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AF058F">
      <w:pPr>
        <w:pStyle w:val="Heading1"/>
        <w:ind w:left="2880" w:hanging="288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2D5315">
        <w:rPr>
          <w:rFonts w:ascii="Garamond" w:hAnsi="Garamond"/>
          <w:lang w:val="en-AU"/>
        </w:rPr>
        <w:t>1</w:t>
      </w:r>
      <w:r w:rsidR="00D5034D">
        <w:rPr>
          <w:rFonts w:ascii="Garamond" w:hAnsi="Garamond"/>
          <w:lang w:val="en-AU"/>
        </w:rPr>
        <w:t>7</w:t>
      </w:r>
    </w:p>
    <w:p w:rsidR="00755242" w:rsidRDefault="00D5034D" w:rsidP="00F738B5">
      <w:pPr>
        <w:rPr>
          <w:rFonts w:ascii="Garamond" w:hAnsi="Garamond"/>
          <w:lang w:val="en-AU"/>
        </w:rPr>
      </w:pPr>
      <w:r>
        <w:rPr>
          <w:rFonts w:ascii="Garamond" w:hAnsi="Garamond"/>
          <w:lang w:val="en-AU"/>
        </w:rPr>
        <w:t>20</w:t>
      </w:r>
      <w:r w:rsidR="00987DF9">
        <w:rPr>
          <w:rFonts w:ascii="Garamond" w:hAnsi="Garamond"/>
          <w:lang w:val="en-AU"/>
        </w:rPr>
        <w:t xml:space="preserve"> May</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F86E13" w:rsidRDefault="00B160EF" w:rsidP="0045757F">
      <w:pPr>
        <w:autoSpaceDE w:val="0"/>
        <w:rPr>
          <w:rStyle w:val="Hyperlink"/>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0A1742">
        <w:rPr>
          <w:rFonts w:ascii="Garamond" w:hAnsi="Garamond"/>
          <w:bCs/>
          <w:lang w:val="en-AU"/>
        </w:rPr>
        <w:t>, Ruth Daniel</w:t>
      </w:r>
      <w:r w:rsidR="00FC7663">
        <w:rPr>
          <w:rFonts w:ascii="Garamond" w:hAnsi="Garamond"/>
          <w:bCs/>
          <w:lang w:val="en-AU"/>
        </w:rPr>
        <w:t>s</w:t>
      </w:r>
    </w:p>
    <w:p w:rsidR="0055445F" w:rsidRDefault="0055445F">
      <w:pPr>
        <w:rPr>
          <w:rFonts w:ascii="Garamond" w:hAnsi="Garamond"/>
          <w:b/>
          <w:lang w:val="en-AU"/>
        </w:rPr>
      </w:pPr>
    </w:p>
    <w:p w:rsidR="005B1BA2" w:rsidRDefault="000A1742">
      <w:pPr>
        <w:rPr>
          <w:rFonts w:ascii="Garamond" w:hAnsi="Garamond"/>
          <w:b/>
          <w:lang w:val="en-AU"/>
        </w:rPr>
      </w:pPr>
      <w:r w:rsidRPr="000A1742">
        <w:rPr>
          <w:rFonts w:ascii="Garamond" w:hAnsi="Garamond"/>
          <w:b/>
          <w:lang w:val="en-AU"/>
        </w:rPr>
        <w:t>Antimicrobial Use and Resistance in Australia 2019: Third Australian report on antimicrobial use and resistance in human health</w:t>
      </w:r>
    </w:p>
    <w:p w:rsidR="000A1742" w:rsidRDefault="000A1742">
      <w:pPr>
        <w:rPr>
          <w:rFonts w:ascii="Garamond" w:hAnsi="Garamond"/>
          <w:lang w:val="en-AU"/>
        </w:rPr>
      </w:pPr>
      <w:r w:rsidRPr="000A1742">
        <w:rPr>
          <w:rFonts w:ascii="Garamond" w:hAnsi="Garamond"/>
          <w:lang w:val="en-AU"/>
        </w:rPr>
        <w:t>Australian Commission on Safety and Quality in Health Care</w:t>
      </w:r>
    </w:p>
    <w:p w:rsidR="000A1742" w:rsidRDefault="000A1742">
      <w:pPr>
        <w:rPr>
          <w:rFonts w:ascii="Garamond" w:hAnsi="Garamond"/>
          <w:lang w:val="en-AU"/>
        </w:rPr>
      </w:pPr>
      <w:r w:rsidRPr="000A1742">
        <w:rPr>
          <w:rFonts w:ascii="Garamond" w:hAnsi="Garamond"/>
          <w:lang w:val="en-AU"/>
        </w:rPr>
        <w:t xml:space="preserve">Sydney: ACSQHC; 2019. </w:t>
      </w:r>
      <w:proofErr w:type="gramStart"/>
      <w:r w:rsidRPr="000A1742">
        <w:rPr>
          <w:rFonts w:ascii="Garamond" w:hAnsi="Garamond"/>
          <w:lang w:val="en-AU"/>
        </w:rPr>
        <w:t>p. 274.</w:t>
      </w:r>
      <w:proofErr w:type="gramEnd"/>
    </w:p>
    <w:p w:rsidR="005B1BA2" w:rsidRDefault="00EF5DB4">
      <w:pPr>
        <w:rPr>
          <w:rFonts w:ascii="Garamond" w:hAnsi="Garamond"/>
          <w:lang w:val="en-AU"/>
        </w:rPr>
      </w:pPr>
      <w:hyperlink r:id="rId16" w:history="1">
        <w:r w:rsidR="000A1742" w:rsidRPr="00317032">
          <w:rPr>
            <w:rStyle w:val="Hyperlink"/>
            <w:rFonts w:ascii="Garamond" w:hAnsi="Garamond"/>
            <w:lang w:val="en-AU"/>
          </w:rPr>
          <w:t>https://www.safetyandquality.gov.au/antimicrobial-use-and-resistance-in-australia/aura-2019/</w:t>
        </w:r>
      </w:hyperlink>
    </w:p>
    <w:p w:rsidR="000A1742" w:rsidRDefault="000A1742">
      <w:pPr>
        <w:rPr>
          <w:rFonts w:ascii="Garamond" w:hAnsi="Garamond"/>
          <w:lang w:val="en-AU"/>
        </w:rPr>
      </w:pPr>
    </w:p>
    <w:p w:rsidR="000A1742" w:rsidRPr="000A1742" w:rsidRDefault="000A1742" w:rsidP="000A1742">
      <w:pPr>
        <w:rPr>
          <w:rFonts w:ascii="Garamond" w:hAnsi="Garamond"/>
          <w:lang w:val="en-AU"/>
        </w:rPr>
      </w:pPr>
      <w:r>
        <w:rPr>
          <w:rFonts w:ascii="Garamond" w:hAnsi="Garamond"/>
          <w:lang w:val="en-AU"/>
        </w:rPr>
        <w:t>T</w:t>
      </w:r>
      <w:r w:rsidRPr="000A1742">
        <w:rPr>
          <w:rFonts w:ascii="Garamond" w:hAnsi="Garamond"/>
          <w:lang w:val="en-AU"/>
        </w:rPr>
        <w:t xml:space="preserve">he Australian Commission on Safety and Quality in Health Care </w:t>
      </w:r>
      <w:r>
        <w:rPr>
          <w:rFonts w:ascii="Garamond" w:hAnsi="Garamond"/>
          <w:lang w:val="en-AU"/>
        </w:rPr>
        <w:t xml:space="preserve">has released </w:t>
      </w:r>
      <w:r w:rsidRPr="000A1742">
        <w:rPr>
          <w:rFonts w:ascii="Garamond" w:hAnsi="Garamond"/>
          <w:i/>
          <w:lang w:val="en-AU"/>
        </w:rPr>
        <w:t>Antimicrobial Use and Resistance in Australia 2019: Third Australian report on antimicrobial use and resistance in human health</w:t>
      </w:r>
      <w:r w:rsidRPr="000A1742">
        <w:rPr>
          <w:rFonts w:ascii="Garamond" w:hAnsi="Garamond"/>
          <w:lang w:val="en-AU"/>
        </w:rPr>
        <w:t xml:space="preserve"> (AURA 2019)</w:t>
      </w:r>
      <w:r>
        <w:rPr>
          <w:rFonts w:ascii="Garamond" w:hAnsi="Garamond"/>
          <w:lang w:val="en-AU"/>
        </w:rPr>
        <w:t xml:space="preserve">. This report </w:t>
      </w:r>
      <w:r w:rsidRPr="000A1742">
        <w:rPr>
          <w:rFonts w:ascii="Garamond" w:hAnsi="Garamond"/>
          <w:lang w:val="en-AU"/>
        </w:rPr>
        <w:t xml:space="preserve">highlights a number of resistant bacteria as major healthcare problems. </w:t>
      </w:r>
      <w:r>
        <w:rPr>
          <w:rFonts w:ascii="Garamond" w:hAnsi="Garamond"/>
          <w:lang w:val="en-AU"/>
        </w:rPr>
        <w:t xml:space="preserve">It </w:t>
      </w:r>
      <w:r w:rsidRPr="000A1742">
        <w:rPr>
          <w:rFonts w:ascii="Garamond" w:hAnsi="Garamond"/>
          <w:lang w:val="en-AU"/>
        </w:rPr>
        <w:t>2019 provides a comprehensive picture of antimicrobial resistance and antimicrobial use and the appropriateness of antimicrobial prescribing in Australia in hospitals, aged care, general practice and the community and provides analyses of antimicrobial resistance and antimicrobial use data, primarily from 2016 and 201</w:t>
      </w:r>
      <w:r>
        <w:rPr>
          <w:rFonts w:ascii="Garamond" w:hAnsi="Garamond"/>
          <w:lang w:val="en-AU"/>
        </w:rPr>
        <w:t xml:space="preserve">7; and </w:t>
      </w:r>
      <w:proofErr w:type="spellStart"/>
      <w:r>
        <w:rPr>
          <w:rFonts w:ascii="Garamond" w:hAnsi="Garamond"/>
          <w:lang w:val="en-AU"/>
        </w:rPr>
        <w:t>CARAlert</w:t>
      </w:r>
      <w:proofErr w:type="spellEnd"/>
      <w:r>
        <w:rPr>
          <w:rFonts w:ascii="Garamond" w:hAnsi="Garamond"/>
          <w:lang w:val="en-AU"/>
        </w:rPr>
        <w:t xml:space="preserve"> data from 2018.</w:t>
      </w:r>
    </w:p>
    <w:p w:rsidR="000A1742" w:rsidRPr="000A1742" w:rsidRDefault="000A1742" w:rsidP="000A1742">
      <w:pPr>
        <w:rPr>
          <w:rFonts w:ascii="Garamond" w:hAnsi="Garamond"/>
          <w:lang w:val="en-AU"/>
        </w:rPr>
      </w:pPr>
    </w:p>
    <w:p w:rsidR="000A1742" w:rsidRPr="000A1742" w:rsidRDefault="000A1742" w:rsidP="000A1742">
      <w:pPr>
        <w:rPr>
          <w:rFonts w:ascii="Garamond" w:hAnsi="Garamond"/>
          <w:lang w:val="en-AU"/>
        </w:rPr>
      </w:pPr>
      <w:r w:rsidRPr="000A1742">
        <w:rPr>
          <w:rFonts w:ascii="Garamond" w:hAnsi="Garamond"/>
          <w:lang w:val="en-AU"/>
        </w:rPr>
        <w:t xml:space="preserve">The report warns that </w:t>
      </w:r>
      <w:r w:rsidRPr="000A1742">
        <w:rPr>
          <w:rFonts w:ascii="Garamond" w:hAnsi="Garamond"/>
          <w:b/>
          <w:lang w:val="en-AU"/>
        </w:rPr>
        <w:t>antimicrobial resistance shows little sign of abating</w:t>
      </w:r>
      <w:r w:rsidRPr="000A1742">
        <w:rPr>
          <w:rFonts w:ascii="Garamond" w:hAnsi="Garamond"/>
          <w:lang w:val="en-AU"/>
        </w:rPr>
        <w:t xml:space="preserve"> and poses an </w:t>
      </w:r>
      <w:r w:rsidRPr="000A1742">
        <w:rPr>
          <w:rFonts w:ascii="Garamond" w:hAnsi="Garamond"/>
          <w:b/>
          <w:lang w:val="en-AU"/>
        </w:rPr>
        <w:t>ongoing risk to patient safety</w:t>
      </w:r>
      <w:r w:rsidRPr="000A1742">
        <w:rPr>
          <w:rFonts w:ascii="Garamond" w:hAnsi="Garamond"/>
          <w:lang w:val="en-AU"/>
        </w:rPr>
        <w:t xml:space="preserve">, with common pathogens such as </w:t>
      </w:r>
      <w:r w:rsidRPr="000A1742">
        <w:rPr>
          <w:rFonts w:ascii="Garamond" w:hAnsi="Garamond"/>
          <w:i/>
          <w:lang w:val="en-AU"/>
        </w:rPr>
        <w:t>E. coli</w:t>
      </w:r>
      <w:r w:rsidRPr="000A1742">
        <w:rPr>
          <w:rFonts w:ascii="Garamond" w:hAnsi="Garamond"/>
          <w:lang w:val="en-AU"/>
        </w:rPr>
        <w:t xml:space="preserve">, </w:t>
      </w:r>
      <w:r w:rsidRPr="000A1742">
        <w:rPr>
          <w:rFonts w:ascii="Garamond" w:hAnsi="Garamond"/>
          <w:i/>
          <w:lang w:val="en-AU"/>
        </w:rPr>
        <w:t>Salmonella</w:t>
      </w:r>
      <w:r w:rsidRPr="000A1742">
        <w:rPr>
          <w:rFonts w:ascii="Garamond" w:hAnsi="Garamond"/>
          <w:lang w:val="en-AU"/>
        </w:rPr>
        <w:t xml:space="preserve">, </w:t>
      </w:r>
      <w:r w:rsidRPr="000A1742">
        <w:rPr>
          <w:rFonts w:ascii="Garamond" w:hAnsi="Garamond"/>
          <w:i/>
          <w:lang w:val="en-AU"/>
        </w:rPr>
        <w:t>Neisseria gonorrhoeae</w:t>
      </w:r>
      <w:r w:rsidRPr="000A1742">
        <w:rPr>
          <w:rFonts w:ascii="Garamond" w:hAnsi="Garamond"/>
          <w:lang w:val="en-AU"/>
        </w:rPr>
        <w:t xml:space="preserve"> and </w:t>
      </w:r>
      <w:r w:rsidRPr="000A1742">
        <w:rPr>
          <w:rFonts w:ascii="Garamond" w:hAnsi="Garamond"/>
          <w:i/>
          <w:lang w:val="en-AU"/>
        </w:rPr>
        <w:t xml:space="preserve">Neisseria </w:t>
      </w:r>
      <w:proofErr w:type="spellStart"/>
      <w:r w:rsidRPr="000A1742">
        <w:rPr>
          <w:rFonts w:ascii="Garamond" w:hAnsi="Garamond"/>
          <w:i/>
          <w:lang w:val="en-AU"/>
        </w:rPr>
        <w:t>meningitidis</w:t>
      </w:r>
      <w:proofErr w:type="spellEnd"/>
      <w:r w:rsidRPr="000A1742">
        <w:rPr>
          <w:rFonts w:ascii="Garamond" w:hAnsi="Garamond"/>
          <w:lang w:val="en-AU"/>
        </w:rPr>
        <w:t xml:space="preserve"> becoming increasingly resistant to major drug classes, and some organisms resistant to last-resort treatments.</w:t>
      </w:r>
    </w:p>
    <w:p w:rsidR="000A1742" w:rsidRPr="000A1742" w:rsidRDefault="000A1742" w:rsidP="000A1742">
      <w:pPr>
        <w:rPr>
          <w:rFonts w:ascii="Garamond" w:hAnsi="Garamond"/>
          <w:lang w:val="en-AU"/>
        </w:rPr>
      </w:pPr>
    </w:p>
    <w:p w:rsidR="000A1742" w:rsidRPr="000A1742" w:rsidRDefault="000A1742" w:rsidP="000A1742">
      <w:pPr>
        <w:rPr>
          <w:rFonts w:ascii="Garamond" w:hAnsi="Garamond"/>
          <w:lang w:val="en-AU"/>
        </w:rPr>
      </w:pPr>
      <w:r w:rsidRPr="000A1742">
        <w:rPr>
          <w:rFonts w:ascii="Garamond" w:hAnsi="Garamond"/>
          <w:lang w:val="en-AU"/>
        </w:rPr>
        <w:t>AURA 2019 found that overall use of antibiotics in the community fell between 2015 and 2017 – the first decline in 20 years. This suggests ongoing and coordinated campaigns targeting GPs and consumers on the risks of using antibiotics inappropriately are beginning to cut through.</w:t>
      </w:r>
    </w:p>
    <w:p w:rsidR="000A1742" w:rsidRPr="000A1742" w:rsidRDefault="000A1742" w:rsidP="000A1742">
      <w:pPr>
        <w:rPr>
          <w:rFonts w:ascii="Garamond" w:hAnsi="Garamond"/>
          <w:lang w:val="en-AU"/>
        </w:rPr>
      </w:pPr>
    </w:p>
    <w:p w:rsidR="000A1742" w:rsidRPr="000A1742" w:rsidRDefault="000A1742" w:rsidP="000A1742">
      <w:pPr>
        <w:rPr>
          <w:rFonts w:ascii="Garamond" w:hAnsi="Garamond"/>
          <w:lang w:val="en-AU"/>
        </w:rPr>
      </w:pPr>
      <w:r w:rsidRPr="000A1742">
        <w:rPr>
          <w:rFonts w:ascii="Garamond" w:hAnsi="Garamond"/>
          <w:lang w:val="en-AU"/>
        </w:rPr>
        <w:lastRenderedPageBreak/>
        <w:t xml:space="preserve">Despite these gains, almost half the samples of enterococci tested across Australia were resistant to the antibiotic vancomycin – a level higher than seen in any European country. </w:t>
      </w:r>
      <w:r>
        <w:rPr>
          <w:rFonts w:ascii="Garamond" w:hAnsi="Garamond"/>
          <w:lang w:val="en-AU"/>
        </w:rPr>
        <w:t xml:space="preserve">It was </w:t>
      </w:r>
      <w:r w:rsidRPr="000A1742">
        <w:rPr>
          <w:rFonts w:ascii="Garamond" w:hAnsi="Garamond"/>
          <w:lang w:val="en-AU"/>
        </w:rPr>
        <w:t xml:space="preserve">also found that community-associated methicillin-resistant </w:t>
      </w:r>
      <w:r w:rsidRPr="000A1742">
        <w:rPr>
          <w:rFonts w:ascii="Garamond" w:hAnsi="Garamond"/>
          <w:i/>
          <w:lang w:val="en-AU"/>
        </w:rPr>
        <w:t>Staphylococcus aureus</w:t>
      </w:r>
      <w:r w:rsidRPr="000A1742">
        <w:rPr>
          <w:rFonts w:ascii="Garamond" w:hAnsi="Garamond"/>
          <w:lang w:val="en-AU"/>
        </w:rPr>
        <w:t xml:space="preserve"> (MRSA) has become the most common type of MRSA infection, particularly in aged care homes and remote regions.</w:t>
      </w:r>
    </w:p>
    <w:p w:rsidR="000A1742" w:rsidRPr="000A1742" w:rsidRDefault="000A1742" w:rsidP="000A1742">
      <w:pPr>
        <w:rPr>
          <w:rFonts w:ascii="Garamond" w:hAnsi="Garamond"/>
          <w:lang w:val="en-AU"/>
        </w:rPr>
      </w:pPr>
    </w:p>
    <w:p w:rsidR="000A1742" w:rsidRPr="000A1742" w:rsidRDefault="000A1742" w:rsidP="000A1742">
      <w:pPr>
        <w:rPr>
          <w:rFonts w:ascii="Garamond" w:hAnsi="Garamond"/>
          <w:b/>
          <w:lang w:val="en-AU"/>
        </w:rPr>
      </w:pPr>
      <w:r w:rsidRPr="000A1742">
        <w:rPr>
          <w:rFonts w:ascii="Garamond" w:hAnsi="Garamond"/>
          <w:b/>
          <w:lang w:val="en-AU"/>
        </w:rPr>
        <w:t>The report found that in 2017, more than 10 million Australians had a least one antibiotic dispensed in the community and more than 26.5 million prescriptions for antimicrobials were dispensed.</w:t>
      </w:r>
    </w:p>
    <w:p w:rsidR="000A1742" w:rsidRPr="000A1742" w:rsidRDefault="000A1742" w:rsidP="000A1742">
      <w:pPr>
        <w:rPr>
          <w:rFonts w:ascii="Garamond" w:hAnsi="Garamond"/>
          <w:lang w:val="en-AU"/>
        </w:rPr>
      </w:pPr>
    </w:p>
    <w:p w:rsidR="000A1742" w:rsidRPr="000A1742" w:rsidRDefault="000A1742" w:rsidP="000A1742">
      <w:pPr>
        <w:rPr>
          <w:rFonts w:ascii="Garamond" w:hAnsi="Garamond"/>
          <w:lang w:val="en-AU"/>
        </w:rPr>
      </w:pPr>
      <w:r w:rsidRPr="000A1742">
        <w:rPr>
          <w:rFonts w:ascii="Garamond" w:hAnsi="Garamond"/>
          <w:lang w:val="en-AU"/>
        </w:rPr>
        <w:t>AURA 2019 showed a substantial burden of infection and colonisation with multidrug-resistant organisms among people living in aged care homes in Australia and there are high levels of unnecessary antimicrobial prescribing and inappropriate antimicrobial use</w:t>
      </w:r>
      <w:r>
        <w:rPr>
          <w:rFonts w:ascii="Garamond" w:hAnsi="Garamond"/>
          <w:lang w:val="en-AU"/>
        </w:rPr>
        <w:t xml:space="preserve">. </w:t>
      </w:r>
      <w:r w:rsidRPr="000A1742">
        <w:rPr>
          <w:rFonts w:ascii="Garamond" w:hAnsi="Garamond"/>
          <w:lang w:val="en-AU"/>
        </w:rPr>
        <w:t xml:space="preserve">Enhanced infection prevention and control, and antimicrobial stewardship efforts in aged care homes and hospitals will help to reduce transmission between these settings and improve the safety of care provided to residents. </w:t>
      </w:r>
    </w:p>
    <w:p w:rsidR="000A1742" w:rsidRPr="000A1742" w:rsidRDefault="000A1742" w:rsidP="000A1742">
      <w:pPr>
        <w:rPr>
          <w:rFonts w:ascii="Garamond" w:hAnsi="Garamond"/>
          <w:lang w:val="en-AU"/>
        </w:rPr>
      </w:pPr>
    </w:p>
    <w:p w:rsidR="000A1742" w:rsidRPr="000A1742" w:rsidRDefault="000A1742" w:rsidP="000A1742">
      <w:pPr>
        <w:rPr>
          <w:rFonts w:ascii="Garamond" w:hAnsi="Garamond"/>
          <w:lang w:val="en-AU"/>
        </w:rPr>
      </w:pPr>
      <w:r w:rsidRPr="000A1742">
        <w:rPr>
          <w:rFonts w:ascii="Garamond" w:hAnsi="Garamond"/>
          <w:lang w:val="en-AU"/>
        </w:rPr>
        <w:t>Sustained efforts in infection prevention and control, and antimicrobial stewardship are required to ensure that trends in antimicrobial resistance in acute hospital, multi-purpose service, aged care and other co</w:t>
      </w:r>
      <w:r>
        <w:rPr>
          <w:rFonts w:ascii="Garamond" w:hAnsi="Garamond"/>
          <w:lang w:val="en-AU"/>
        </w:rPr>
        <w:t>mmunity settings are addressed.</w:t>
      </w:r>
    </w:p>
    <w:p w:rsidR="000A1742" w:rsidRPr="000A1742" w:rsidRDefault="000A1742" w:rsidP="000A1742">
      <w:pPr>
        <w:rPr>
          <w:rFonts w:ascii="Garamond" w:hAnsi="Garamond"/>
          <w:lang w:val="en-AU"/>
        </w:rPr>
      </w:pPr>
    </w:p>
    <w:p w:rsidR="000A1742" w:rsidRDefault="000A1742" w:rsidP="000A1742">
      <w:pPr>
        <w:rPr>
          <w:rFonts w:ascii="Garamond" w:hAnsi="Garamond"/>
          <w:lang w:val="en-AU"/>
        </w:rPr>
      </w:pPr>
      <w:r>
        <w:rPr>
          <w:rFonts w:ascii="Garamond" w:hAnsi="Garamond"/>
          <w:lang w:val="en-AU"/>
        </w:rPr>
        <w:t xml:space="preserve">The report </w:t>
      </w:r>
      <w:r w:rsidRPr="000A1742">
        <w:rPr>
          <w:rFonts w:ascii="Garamond" w:hAnsi="Garamond"/>
          <w:lang w:val="en-AU"/>
        </w:rPr>
        <w:t xml:space="preserve">and its companion documents including a Consumer Summary and Information Sheets are at: </w:t>
      </w:r>
      <w:hyperlink r:id="rId17" w:history="1">
        <w:r w:rsidRPr="00317032">
          <w:rPr>
            <w:rStyle w:val="Hyperlink"/>
            <w:rFonts w:ascii="Garamond" w:hAnsi="Garamond"/>
            <w:lang w:val="en-AU"/>
          </w:rPr>
          <w:t>www.safetyandquality.gov.au/aura2019</w:t>
        </w:r>
      </w:hyperlink>
    </w:p>
    <w:p w:rsidR="000A1742" w:rsidRPr="005B1BA2" w:rsidRDefault="00C00D68" w:rsidP="00C00D68">
      <w:pPr>
        <w:jc w:val="center"/>
        <w:rPr>
          <w:rFonts w:ascii="Garamond" w:hAnsi="Garamond"/>
          <w:lang w:val="en-AU"/>
        </w:rPr>
      </w:pPr>
      <w:r>
        <w:rPr>
          <w:rFonts w:ascii="Garamond" w:hAnsi="Garamond"/>
          <w:noProof/>
          <w:lang w:val="en-AU" w:eastAsia="en-AU"/>
        </w:rPr>
        <w:drawing>
          <wp:inline distT="0" distB="0" distL="0" distR="0">
            <wp:extent cx="3713356" cy="5248617"/>
            <wp:effectExtent l="0" t="0" r="1905" b="0"/>
            <wp:docPr id="2" name="Picture 2" descr="\\central.health\dfsuserenv\Users\User_07\JOHNNI\Downloads\AURA-2019-Highlights-Infographic-9-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ownloads\AURA-2019-Highlights-Infographic-9-May-201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16757" cy="5253425"/>
                    </a:xfrm>
                    <a:prstGeom prst="rect">
                      <a:avLst/>
                    </a:prstGeom>
                    <a:noFill/>
                    <a:ln>
                      <a:noFill/>
                    </a:ln>
                  </pic:spPr>
                </pic:pic>
              </a:graphicData>
            </a:graphic>
          </wp:inline>
        </w:drawing>
      </w:r>
    </w:p>
    <w:p w:rsidR="00282D29" w:rsidRDefault="00282D29">
      <w:pPr>
        <w:rPr>
          <w:rFonts w:ascii="Garamond" w:hAnsi="Garamond"/>
          <w:b/>
          <w:lang w:val="en-AU"/>
        </w:rPr>
      </w:pPr>
      <w:r>
        <w:rPr>
          <w:rFonts w:ascii="Garamond" w:hAnsi="Garamond"/>
          <w:b/>
          <w:lang w:val="en-AU"/>
        </w:rPr>
        <w:lastRenderedPageBreak/>
        <w:t>Reports</w:t>
      </w:r>
    </w:p>
    <w:p w:rsidR="00C3692E" w:rsidRDefault="00C3692E" w:rsidP="00C3692E">
      <w:pPr>
        <w:keepLines/>
        <w:autoSpaceDE w:val="0"/>
        <w:autoSpaceDN w:val="0"/>
        <w:adjustRightInd w:val="0"/>
        <w:rPr>
          <w:rFonts w:ascii="Garamond" w:hAnsi="Garamond"/>
          <w:lang w:val="en-AU"/>
        </w:rPr>
      </w:pPr>
    </w:p>
    <w:p w:rsidR="007C5E85" w:rsidRPr="007B7BAB" w:rsidRDefault="007B7BAB" w:rsidP="007B7BAB">
      <w:pPr>
        <w:keepLines/>
        <w:autoSpaceDE w:val="0"/>
        <w:autoSpaceDN w:val="0"/>
        <w:adjustRightInd w:val="0"/>
        <w:rPr>
          <w:rFonts w:ascii="Garamond" w:hAnsi="Garamond"/>
          <w:i/>
          <w:lang w:val="en-AU"/>
        </w:rPr>
      </w:pPr>
      <w:r w:rsidRPr="007B7BAB">
        <w:rPr>
          <w:rFonts w:ascii="Garamond" w:hAnsi="Garamond"/>
          <w:i/>
          <w:lang w:val="en-AU"/>
        </w:rPr>
        <w:t>The improvement journey: Why organisation-wide improvement in health care matters, and how to get started</w:t>
      </w:r>
    </w:p>
    <w:p w:rsidR="00C00D68" w:rsidRDefault="00C00D68" w:rsidP="007B7BAB">
      <w:pPr>
        <w:keepLines/>
        <w:autoSpaceDE w:val="0"/>
        <w:autoSpaceDN w:val="0"/>
        <w:adjustRightInd w:val="0"/>
        <w:rPr>
          <w:rFonts w:ascii="Garamond" w:hAnsi="Garamond"/>
          <w:lang w:val="en-AU"/>
        </w:rPr>
      </w:pPr>
      <w:r w:rsidRPr="00C00D68">
        <w:rPr>
          <w:rFonts w:ascii="Garamond" w:hAnsi="Garamond"/>
          <w:lang w:val="en-AU"/>
        </w:rPr>
        <w:t>Jones B, Horton T, Warburton W</w:t>
      </w:r>
    </w:p>
    <w:p w:rsidR="007B7BAB" w:rsidRDefault="00C00D68" w:rsidP="007B7BAB">
      <w:pPr>
        <w:keepLines/>
        <w:autoSpaceDE w:val="0"/>
        <w:autoSpaceDN w:val="0"/>
        <w:adjustRightInd w:val="0"/>
        <w:rPr>
          <w:rFonts w:ascii="Garamond" w:hAnsi="Garamond"/>
          <w:lang w:val="en-AU"/>
        </w:rPr>
      </w:pPr>
      <w:r w:rsidRPr="00C00D68">
        <w:rPr>
          <w:rFonts w:ascii="Garamond" w:hAnsi="Garamond"/>
          <w:lang w:val="en-AU"/>
        </w:rPr>
        <w:t>London: The Health Foundation; 2019.</w:t>
      </w:r>
    </w:p>
    <w:tbl>
      <w:tblPr>
        <w:tblStyle w:val="TableGrid"/>
        <w:tblW w:w="0" w:type="auto"/>
        <w:tblInd w:w="288" w:type="dxa"/>
        <w:tblLayout w:type="fixed"/>
        <w:tblLook w:val="01E0" w:firstRow="1" w:lastRow="1" w:firstColumn="1" w:lastColumn="1" w:noHBand="0" w:noVBand="0"/>
      </w:tblPr>
      <w:tblGrid>
        <w:gridCol w:w="1080"/>
        <w:gridCol w:w="8280"/>
      </w:tblGrid>
      <w:tr w:rsidR="002422CA" w:rsidRPr="000170DA" w:rsidTr="00556B7F">
        <w:tc>
          <w:tcPr>
            <w:tcW w:w="1080" w:type="dxa"/>
            <w:tcBorders>
              <w:top w:val="single" w:sz="4" w:space="0" w:color="auto"/>
              <w:left w:val="single" w:sz="4" w:space="0" w:color="auto"/>
              <w:bottom w:val="single" w:sz="4" w:space="0" w:color="auto"/>
              <w:right w:val="single" w:sz="4" w:space="0" w:color="auto"/>
            </w:tcBorders>
            <w:vAlign w:val="center"/>
          </w:tcPr>
          <w:p w:rsidR="002422CA" w:rsidRPr="000170DA" w:rsidRDefault="002422CA" w:rsidP="00556B7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422CA" w:rsidRPr="007C5E85" w:rsidRDefault="00EF5DB4" w:rsidP="00556B7F">
            <w:pPr>
              <w:rPr>
                <w:rStyle w:val="Hyperlink"/>
                <w:rFonts w:ascii="Garamond" w:hAnsi="Garamond"/>
                <w:color w:val="auto"/>
                <w:u w:val="none"/>
                <w:lang w:val="en-AU"/>
              </w:rPr>
            </w:pPr>
            <w:hyperlink r:id="rId19" w:history="1">
              <w:r w:rsidR="007B7BAB" w:rsidRPr="00D4696A">
                <w:rPr>
                  <w:rStyle w:val="Hyperlink"/>
                  <w:rFonts w:ascii="Garamond" w:hAnsi="Garamond"/>
                  <w:lang w:val="en-AU"/>
                </w:rPr>
                <w:t>https://www.health.org.uk/publications/reports/the-improvement-journey</w:t>
              </w:r>
            </w:hyperlink>
          </w:p>
        </w:tc>
      </w:tr>
      <w:tr w:rsidR="002422CA" w:rsidRPr="000170DA" w:rsidTr="00556B7F">
        <w:tc>
          <w:tcPr>
            <w:tcW w:w="1080" w:type="dxa"/>
            <w:tcBorders>
              <w:top w:val="single" w:sz="4" w:space="0" w:color="auto"/>
              <w:left w:val="single" w:sz="4" w:space="0" w:color="auto"/>
              <w:bottom w:val="single" w:sz="4" w:space="0" w:color="auto"/>
              <w:right w:val="single" w:sz="4" w:space="0" w:color="auto"/>
            </w:tcBorders>
            <w:vAlign w:val="center"/>
          </w:tcPr>
          <w:p w:rsidR="002422CA" w:rsidRPr="000170DA" w:rsidRDefault="002422CA" w:rsidP="00556B7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C5E85" w:rsidRDefault="00060A07" w:rsidP="00C00D68">
            <w:pPr>
              <w:pStyle w:val="Caption"/>
              <w:rPr>
                <w:rFonts w:ascii="Garamond" w:hAnsi="Garamond"/>
                <w:b w:val="0"/>
                <w:sz w:val="24"/>
                <w:szCs w:val="24"/>
                <w:lang w:val="en-AU"/>
              </w:rPr>
            </w:pPr>
            <w:r>
              <w:rPr>
                <w:rFonts w:ascii="Garamond" w:hAnsi="Garamond"/>
                <w:b w:val="0"/>
                <w:sz w:val="24"/>
                <w:szCs w:val="24"/>
                <w:lang w:val="en-AU"/>
              </w:rPr>
              <w:t>The Health Foundation in the UK has produced this report</w:t>
            </w:r>
            <w:r w:rsidR="00540A88">
              <w:rPr>
                <w:rFonts w:ascii="Garamond" w:hAnsi="Garamond"/>
                <w:b w:val="0"/>
                <w:sz w:val="24"/>
                <w:szCs w:val="24"/>
                <w:lang w:val="en-AU"/>
              </w:rPr>
              <w:t xml:space="preserve"> as </w:t>
            </w:r>
            <w:r w:rsidR="00540A88" w:rsidRPr="00540A88">
              <w:rPr>
                <w:rFonts w:ascii="Garamond" w:hAnsi="Garamond"/>
                <w:b w:val="0"/>
                <w:sz w:val="24"/>
                <w:szCs w:val="24"/>
                <w:lang w:val="en-AU"/>
              </w:rPr>
              <w:t>a practical guide to developing an organisation-wide approach to improvement. It summarises the benefits of such an approach and outlines the key elements and steps that leaders should adopt when pursuing this agenda.</w:t>
            </w:r>
            <w:r w:rsidR="00540A88">
              <w:rPr>
                <w:rFonts w:ascii="Garamond" w:hAnsi="Garamond"/>
                <w:b w:val="0"/>
                <w:sz w:val="24"/>
                <w:szCs w:val="24"/>
                <w:lang w:val="en-AU"/>
              </w:rPr>
              <w:t xml:space="preserve"> The authors emphasise that </w:t>
            </w:r>
            <w:r w:rsidR="00C00D68">
              <w:rPr>
                <w:rFonts w:ascii="Garamond" w:hAnsi="Garamond"/>
                <w:b w:val="0"/>
                <w:sz w:val="24"/>
                <w:szCs w:val="24"/>
                <w:lang w:val="en-AU"/>
              </w:rPr>
              <w:t>b</w:t>
            </w:r>
            <w:r w:rsidR="00540A88" w:rsidRPr="00540A88">
              <w:rPr>
                <w:rFonts w:ascii="Garamond" w:hAnsi="Garamond"/>
                <w:b w:val="0"/>
                <w:sz w:val="24"/>
                <w:szCs w:val="24"/>
                <w:lang w:val="en-AU"/>
              </w:rPr>
              <w:t>uilding an organisation-wide approach to improvement is a journey that can take several years</w:t>
            </w:r>
            <w:r w:rsidR="00C00D68">
              <w:rPr>
                <w:rFonts w:ascii="Garamond" w:hAnsi="Garamond"/>
                <w:b w:val="0"/>
                <w:sz w:val="24"/>
                <w:szCs w:val="24"/>
                <w:lang w:val="en-AU"/>
              </w:rPr>
              <w:t xml:space="preserve"> and </w:t>
            </w:r>
            <w:r w:rsidR="00540A88" w:rsidRPr="00540A88">
              <w:rPr>
                <w:rFonts w:ascii="Garamond" w:hAnsi="Garamond"/>
                <w:b w:val="0"/>
                <w:sz w:val="24"/>
                <w:szCs w:val="24"/>
                <w:lang w:val="en-AU"/>
              </w:rPr>
              <w:t xml:space="preserve">requires corporate investment in infrastructure, staff capability and culture over the long-term. </w:t>
            </w:r>
            <w:r w:rsidR="00C00D68">
              <w:rPr>
                <w:rFonts w:ascii="Garamond" w:hAnsi="Garamond"/>
                <w:b w:val="0"/>
                <w:sz w:val="24"/>
                <w:szCs w:val="24"/>
                <w:lang w:val="en-AU"/>
              </w:rPr>
              <w:t>They note that a</w:t>
            </w:r>
            <w:r w:rsidR="00540A88" w:rsidRPr="00540A88">
              <w:rPr>
                <w:rFonts w:ascii="Garamond" w:hAnsi="Garamond"/>
                <w:b w:val="0"/>
                <w:sz w:val="24"/>
                <w:szCs w:val="24"/>
                <w:lang w:val="en-AU"/>
              </w:rPr>
              <w:t>n essential early step is securing the support and commitment of the board</w:t>
            </w:r>
            <w:r w:rsidR="00C00D68">
              <w:rPr>
                <w:rFonts w:ascii="Garamond" w:hAnsi="Garamond"/>
                <w:b w:val="0"/>
                <w:sz w:val="24"/>
                <w:szCs w:val="24"/>
                <w:lang w:val="en-AU"/>
              </w:rPr>
              <w:t>/governance structure</w:t>
            </w:r>
            <w:r w:rsidR="00540A88" w:rsidRPr="00540A88">
              <w:rPr>
                <w:rFonts w:ascii="Garamond" w:hAnsi="Garamond"/>
                <w:b w:val="0"/>
                <w:sz w:val="24"/>
                <w:szCs w:val="24"/>
                <w:lang w:val="en-AU"/>
              </w:rPr>
              <w:t xml:space="preserve"> for a long-term programme, including their willingness to finance the skills and infrastructure development needed to implement it.</w:t>
            </w:r>
            <w:r w:rsidR="00C00D68">
              <w:rPr>
                <w:rFonts w:ascii="Garamond" w:hAnsi="Garamond"/>
                <w:b w:val="0"/>
                <w:sz w:val="24"/>
                <w:szCs w:val="24"/>
                <w:lang w:val="en-AU"/>
              </w:rPr>
              <w:t xml:space="preserve"> </w:t>
            </w:r>
            <w:r w:rsidR="00540A88" w:rsidRPr="00540A88">
              <w:rPr>
                <w:rFonts w:ascii="Garamond" w:hAnsi="Garamond"/>
                <w:b w:val="0"/>
                <w:sz w:val="24"/>
                <w:szCs w:val="24"/>
                <w:lang w:val="en-AU"/>
              </w:rPr>
              <w:t>The report includes case studies of three English NHS trusts that have implemented an organisational approach to improvement.</w:t>
            </w:r>
          </w:p>
          <w:p w:rsidR="00C00D68" w:rsidRPr="00C00D68" w:rsidRDefault="00C00D68" w:rsidP="00C00D68">
            <w:pPr>
              <w:rPr>
                <w:lang w:val="en-AU"/>
              </w:rPr>
            </w:pPr>
            <w:r>
              <w:rPr>
                <w:noProof/>
                <w:lang w:val="en-AU" w:eastAsia="en-AU"/>
              </w:rPr>
              <w:drawing>
                <wp:inline distT="0" distB="0" distL="0" distR="0">
                  <wp:extent cx="5107305" cy="3613150"/>
                  <wp:effectExtent l="0" t="0" r="0" b="6350"/>
                  <wp:docPr id="1" name="Picture 1" descr="\\central.health\dfsuserenv\Users\User_07\JOHNNI\Downloads\2019-THF_Improvement_journey_visual.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2019-THF_Improvement_journey_visual.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07305" cy="3613150"/>
                          </a:xfrm>
                          <a:prstGeom prst="rect">
                            <a:avLst/>
                          </a:prstGeom>
                          <a:noFill/>
                          <a:ln>
                            <a:noFill/>
                          </a:ln>
                        </pic:spPr>
                      </pic:pic>
                    </a:graphicData>
                  </a:graphic>
                </wp:inline>
              </w:drawing>
            </w:r>
          </w:p>
        </w:tc>
      </w:tr>
    </w:tbl>
    <w:p w:rsidR="002422CA" w:rsidRDefault="002422CA" w:rsidP="002422CA">
      <w:pPr>
        <w:keepLines/>
        <w:autoSpaceDE w:val="0"/>
        <w:autoSpaceDN w:val="0"/>
        <w:adjustRightInd w:val="0"/>
        <w:rPr>
          <w:rFonts w:ascii="Garamond" w:hAnsi="Garamond"/>
          <w:i/>
          <w:lang w:val="en-AU"/>
        </w:rPr>
      </w:pPr>
    </w:p>
    <w:p w:rsidR="00540A88" w:rsidRPr="00540A88" w:rsidRDefault="00540A88" w:rsidP="00540A88">
      <w:pPr>
        <w:keepLines/>
        <w:autoSpaceDE w:val="0"/>
        <w:autoSpaceDN w:val="0"/>
        <w:adjustRightInd w:val="0"/>
        <w:rPr>
          <w:rFonts w:ascii="Garamond" w:hAnsi="Garamond"/>
          <w:i/>
          <w:lang w:val="en-AU"/>
        </w:rPr>
      </w:pPr>
      <w:r w:rsidRPr="00540A88">
        <w:rPr>
          <w:rFonts w:ascii="Garamond" w:hAnsi="Garamond"/>
          <w:i/>
          <w:lang w:val="en-AU"/>
        </w:rPr>
        <w:t>Indication-Based Pricing (IBP) Discussion Paper: Should dr</w:t>
      </w:r>
      <w:r>
        <w:rPr>
          <w:rFonts w:ascii="Garamond" w:hAnsi="Garamond"/>
          <w:i/>
          <w:lang w:val="en-AU"/>
        </w:rPr>
        <w:t>ug prices differ by indication?</w:t>
      </w:r>
    </w:p>
    <w:p w:rsidR="00540A88" w:rsidRDefault="00540A88" w:rsidP="00540A88">
      <w:pPr>
        <w:keepLines/>
        <w:autoSpaceDE w:val="0"/>
        <w:autoSpaceDN w:val="0"/>
        <w:adjustRightInd w:val="0"/>
        <w:rPr>
          <w:rFonts w:ascii="Garamond" w:hAnsi="Garamond"/>
          <w:lang w:val="en-AU"/>
        </w:rPr>
      </w:pPr>
      <w:r w:rsidRPr="00540A88">
        <w:rPr>
          <w:rFonts w:ascii="Garamond" w:hAnsi="Garamond"/>
          <w:lang w:val="en-AU"/>
        </w:rPr>
        <w:t>Consultation Briefing</w:t>
      </w:r>
    </w:p>
    <w:p w:rsidR="00540A88" w:rsidRDefault="00540A88" w:rsidP="007B7BAB">
      <w:pPr>
        <w:keepLines/>
        <w:autoSpaceDE w:val="0"/>
        <w:autoSpaceDN w:val="0"/>
        <w:adjustRightInd w:val="0"/>
        <w:rPr>
          <w:rFonts w:ascii="Garamond" w:hAnsi="Garamond"/>
          <w:lang w:val="en-AU"/>
        </w:rPr>
      </w:pPr>
      <w:r w:rsidRPr="00540A88">
        <w:rPr>
          <w:rFonts w:ascii="Garamond" w:hAnsi="Garamond"/>
          <w:lang w:val="en-AU"/>
        </w:rPr>
        <w:t xml:space="preserve">Cole A, </w:t>
      </w:r>
      <w:proofErr w:type="spellStart"/>
      <w:r w:rsidRPr="00540A88">
        <w:rPr>
          <w:rFonts w:ascii="Garamond" w:hAnsi="Garamond"/>
          <w:lang w:val="en-AU"/>
        </w:rPr>
        <w:t>Towse</w:t>
      </w:r>
      <w:proofErr w:type="spellEnd"/>
      <w:r w:rsidRPr="00540A88">
        <w:rPr>
          <w:rFonts w:ascii="Garamond" w:hAnsi="Garamond"/>
          <w:lang w:val="en-AU"/>
        </w:rPr>
        <w:t xml:space="preserve"> A, Zamora B</w:t>
      </w:r>
    </w:p>
    <w:p w:rsidR="00540A88" w:rsidRDefault="00540A88" w:rsidP="007B7BAB">
      <w:pPr>
        <w:keepLines/>
        <w:autoSpaceDE w:val="0"/>
        <w:autoSpaceDN w:val="0"/>
        <w:adjustRightInd w:val="0"/>
        <w:rPr>
          <w:rFonts w:ascii="Garamond" w:hAnsi="Garamond"/>
          <w:lang w:val="en-AU"/>
        </w:rPr>
      </w:pPr>
      <w:r w:rsidRPr="00540A88">
        <w:rPr>
          <w:rFonts w:ascii="Garamond" w:hAnsi="Garamond"/>
          <w:lang w:val="en-AU"/>
        </w:rPr>
        <w:t xml:space="preserve">London: Office of Health Economics; 2019. </w:t>
      </w:r>
      <w:proofErr w:type="gramStart"/>
      <w:r w:rsidRPr="00540A88">
        <w:rPr>
          <w:rFonts w:ascii="Garamond" w:hAnsi="Garamond"/>
          <w:lang w:val="en-AU"/>
        </w:rPr>
        <w:t>p. 16.</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7B7BAB" w:rsidRPr="000170DA" w:rsidTr="000A7ED9">
        <w:tc>
          <w:tcPr>
            <w:tcW w:w="1080" w:type="dxa"/>
            <w:tcBorders>
              <w:top w:val="single" w:sz="4" w:space="0" w:color="auto"/>
              <w:left w:val="single" w:sz="4" w:space="0" w:color="auto"/>
              <w:bottom w:val="single" w:sz="4" w:space="0" w:color="auto"/>
              <w:right w:val="single" w:sz="4" w:space="0" w:color="auto"/>
            </w:tcBorders>
            <w:vAlign w:val="center"/>
          </w:tcPr>
          <w:p w:rsidR="007B7BAB" w:rsidRPr="000170DA" w:rsidRDefault="007B7BAB" w:rsidP="000A7ED9">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40A88" w:rsidRPr="00540A88" w:rsidRDefault="00EF5DB4" w:rsidP="00540A88">
            <w:pPr>
              <w:rPr>
                <w:rStyle w:val="Hyperlink"/>
                <w:rFonts w:ascii="Garamond" w:hAnsi="Garamond"/>
                <w:color w:val="auto"/>
                <w:u w:val="none"/>
                <w:lang w:val="en-AU"/>
              </w:rPr>
            </w:pPr>
            <w:hyperlink r:id="rId21" w:history="1">
              <w:r w:rsidR="00540A88" w:rsidRPr="00317032">
                <w:rPr>
                  <w:rStyle w:val="Hyperlink"/>
                  <w:rFonts w:ascii="Garamond" w:hAnsi="Garamond"/>
                  <w:lang w:val="en-AU"/>
                </w:rPr>
                <w:t>https://www.ohe.org/publications/indication-based-pricing-ibp-discussion-paper-should-drug-prices-differ-indication</w:t>
              </w:r>
            </w:hyperlink>
          </w:p>
        </w:tc>
      </w:tr>
      <w:tr w:rsidR="007B7BAB" w:rsidRPr="000170DA" w:rsidTr="000A7ED9">
        <w:tc>
          <w:tcPr>
            <w:tcW w:w="1080" w:type="dxa"/>
            <w:tcBorders>
              <w:top w:val="single" w:sz="4" w:space="0" w:color="auto"/>
              <w:left w:val="single" w:sz="4" w:space="0" w:color="auto"/>
              <w:bottom w:val="single" w:sz="4" w:space="0" w:color="auto"/>
              <w:right w:val="single" w:sz="4" w:space="0" w:color="auto"/>
            </w:tcBorders>
            <w:vAlign w:val="center"/>
          </w:tcPr>
          <w:p w:rsidR="007B7BAB" w:rsidRPr="000170DA" w:rsidRDefault="007B7BAB" w:rsidP="000A7ED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40A88" w:rsidRPr="00540A88" w:rsidRDefault="00540A88" w:rsidP="00540A88">
            <w:pPr>
              <w:pStyle w:val="Caption"/>
              <w:rPr>
                <w:lang w:val="en-AU"/>
              </w:rPr>
            </w:pPr>
            <w:r>
              <w:rPr>
                <w:rFonts w:ascii="Garamond" w:hAnsi="Garamond"/>
                <w:b w:val="0"/>
                <w:sz w:val="24"/>
                <w:szCs w:val="24"/>
                <w:lang w:val="en-AU"/>
              </w:rPr>
              <w:t xml:space="preserve">The </w:t>
            </w:r>
            <w:r w:rsidRPr="00540A88">
              <w:rPr>
                <w:rFonts w:ascii="Garamond" w:hAnsi="Garamond"/>
                <w:b w:val="0"/>
                <w:sz w:val="24"/>
                <w:szCs w:val="24"/>
                <w:lang w:val="en-AU"/>
              </w:rPr>
              <w:t>Office of Health Economics</w:t>
            </w:r>
            <w:r>
              <w:rPr>
                <w:rFonts w:ascii="Garamond" w:hAnsi="Garamond"/>
                <w:b w:val="0"/>
                <w:sz w:val="24"/>
                <w:szCs w:val="24"/>
                <w:lang w:val="en-AU"/>
              </w:rPr>
              <w:t xml:space="preserve"> (a British company the </w:t>
            </w:r>
            <w:r w:rsidRPr="00540A88">
              <w:rPr>
                <w:rFonts w:ascii="Garamond" w:hAnsi="Garamond"/>
                <w:b w:val="0"/>
                <w:sz w:val="24"/>
                <w:szCs w:val="24"/>
                <w:lang w:val="en-AU"/>
              </w:rPr>
              <w:t>conducts research and provides consultancy services on health economics</w:t>
            </w:r>
            <w:r>
              <w:rPr>
                <w:rFonts w:ascii="Garamond" w:hAnsi="Garamond"/>
                <w:b w:val="0"/>
                <w:sz w:val="24"/>
                <w:szCs w:val="24"/>
                <w:lang w:val="en-AU"/>
              </w:rPr>
              <w:t xml:space="preserve">) has released this discussion paper (and survey) that seeks to </w:t>
            </w:r>
            <w:r w:rsidRPr="00540A88">
              <w:rPr>
                <w:rFonts w:ascii="Garamond" w:hAnsi="Garamond"/>
                <w:b w:val="0"/>
                <w:sz w:val="24"/>
                <w:szCs w:val="24"/>
                <w:lang w:val="en-AU"/>
              </w:rPr>
              <w:t>outline the key potential benefits and drawbacks of indication-based pricing</w:t>
            </w:r>
            <w:r>
              <w:rPr>
                <w:rFonts w:ascii="Garamond" w:hAnsi="Garamond"/>
                <w:b w:val="0"/>
                <w:sz w:val="24"/>
                <w:szCs w:val="24"/>
                <w:lang w:val="en-AU"/>
              </w:rPr>
              <w:t xml:space="preserve"> (IBP)</w:t>
            </w:r>
            <w:r w:rsidRPr="00540A88">
              <w:rPr>
                <w:rFonts w:ascii="Garamond" w:hAnsi="Garamond"/>
                <w:b w:val="0"/>
                <w:sz w:val="24"/>
                <w:szCs w:val="24"/>
                <w:lang w:val="en-AU"/>
              </w:rPr>
              <w:t>, along with considerations for implementation</w:t>
            </w:r>
            <w:r>
              <w:rPr>
                <w:rFonts w:ascii="Garamond" w:hAnsi="Garamond"/>
                <w:b w:val="0"/>
                <w:sz w:val="24"/>
                <w:szCs w:val="24"/>
                <w:lang w:val="en-AU"/>
              </w:rPr>
              <w:t xml:space="preserve">. IBP would permit the setting of different prices for a medication based on indication or use. It has been argued that IBP may be </w:t>
            </w:r>
            <w:r w:rsidRPr="00540A88">
              <w:rPr>
                <w:rFonts w:ascii="Garamond" w:hAnsi="Garamond"/>
                <w:b w:val="0"/>
                <w:sz w:val="24"/>
                <w:szCs w:val="24"/>
                <w:lang w:val="en-AU"/>
              </w:rPr>
              <w:t>a way to better link price with value</w:t>
            </w:r>
            <w:r>
              <w:rPr>
                <w:rFonts w:ascii="Garamond" w:hAnsi="Garamond"/>
                <w:b w:val="0"/>
                <w:sz w:val="24"/>
                <w:szCs w:val="24"/>
                <w:lang w:val="en-AU"/>
              </w:rPr>
              <w:t>.</w:t>
            </w:r>
          </w:p>
        </w:tc>
      </w:tr>
    </w:tbl>
    <w:p w:rsidR="007B7BAB" w:rsidRDefault="007B7BAB" w:rsidP="007B7BAB">
      <w:pPr>
        <w:keepLines/>
        <w:autoSpaceDE w:val="0"/>
        <w:autoSpaceDN w:val="0"/>
        <w:adjustRightInd w:val="0"/>
        <w:rPr>
          <w:rFonts w:ascii="Garamond" w:hAnsi="Garamond"/>
          <w:i/>
          <w:lang w:val="en-AU"/>
        </w:rPr>
      </w:pPr>
    </w:p>
    <w:p w:rsidR="00282D29" w:rsidRDefault="00282D29" w:rsidP="00C17C82">
      <w:pPr>
        <w:keepNext/>
        <w:ind w:left="720" w:hanging="720"/>
        <w:rPr>
          <w:rFonts w:ascii="Garamond" w:hAnsi="Garamond"/>
          <w:b/>
          <w:lang w:val="en-AU"/>
        </w:rPr>
      </w:pPr>
      <w:r>
        <w:rPr>
          <w:rFonts w:ascii="Garamond" w:hAnsi="Garamond"/>
          <w:b/>
          <w:lang w:val="en-AU"/>
        </w:rPr>
        <w:lastRenderedPageBreak/>
        <w:t>Journal articles</w:t>
      </w:r>
    </w:p>
    <w:p w:rsidR="00985853" w:rsidRDefault="00985853" w:rsidP="00985853">
      <w:pPr>
        <w:keepNext/>
        <w:keepLines/>
        <w:autoSpaceDE w:val="0"/>
        <w:autoSpaceDN w:val="0"/>
        <w:adjustRightInd w:val="0"/>
        <w:rPr>
          <w:rFonts w:ascii="Garamond" w:hAnsi="Garamond"/>
          <w:lang w:val="en-AU"/>
        </w:rPr>
      </w:pPr>
    </w:p>
    <w:p w:rsidR="003625DC" w:rsidRPr="003625DC" w:rsidRDefault="003625DC" w:rsidP="003625DC">
      <w:pPr>
        <w:keepNext/>
        <w:keepLines/>
        <w:autoSpaceDE w:val="0"/>
        <w:autoSpaceDN w:val="0"/>
        <w:adjustRightInd w:val="0"/>
        <w:rPr>
          <w:rFonts w:ascii="Garamond" w:hAnsi="Garamond"/>
          <w:i/>
          <w:lang w:val="en-AU"/>
        </w:rPr>
      </w:pPr>
      <w:r w:rsidRPr="003625DC">
        <w:rPr>
          <w:rFonts w:ascii="Garamond" w:hAnsi="Garamond"/>
          <w:i/>
          <w:lang w:val="en-AU"/>
        </w:rPr>
        <w:t xml:space="preserve">Association </w:t>
      </w:r>
      <w:proofErr w:type="gramStart"/>
      <w:r w:rsidRPr="003625DC">
        <w:rPr>
          <w:rFonts w:ascii="Garamond" w:hAnsi="Garamond"/>
          <w:i/>
          <w:lang w:val="en-AU"/>
        </w:rPr>
        <w:t>Between</w:t>
      </w:r>
      <w:proofErr w:type="gramEnd"/>
      <w:r w:rsidRPr="003625DC">
        <w:rPr>
          <w:rFonts w:ascii="Garamond" w:hAnsi="Garamond"/>
          <w:i/>
          <w:lang w:val="en-AU"/>
        </w:rPr>
        <w:t xml:space="preserve"> Hospital Safety Culture and Surgical Outcomes in a </w:t>
      </w:r>
      <w:proofErr w:type="spellStart"/>
      <w:r w:rsidRPr="003625DC">
        <w:rPr>
          <w:rFonts w:ascii="Garamond" w:hAnsi="Garamond"/>
          <w:i/>
          <w:lang w:val="en-AU"/>
        </w:rPr>
        <w:t>Statewide</w:t>
      </w:r>
      <w:proofErr w:type="spellEnd"/>
      <w:r w:rsidRPr="003625DC">
        <w:rPr>
          <w:rFonts w:ascii="Garamond" w:hAnsi="Garamond"/>
          <w:i/>
          <w:lang w:val="en-AU"/>
        </w:rPr>
        <w:t xml:space="preserve"> Surgical Quality Improvement Collaborative</w:t>
      </w:r>
    </w:p>
    <w:p w:rsidR="003625DC" w:rsidRDefault="003625DC" w:rsidP="00D5034D">
      <w:pPr>
        <w:keepNext/>
        <w:keepLines/>
        <w:autoSpaceDE w:val="0"/>
        <w:autoSpaceDN w:val="0"/>
        <w:adjustRightInd w:val="0"/>
        <w:rPr>
          <w:rFonts w:ascii="Garamond" w:hAnsi="Garamond"/>
          <w:lang w:val="en-AU"/>
        </w:rPr>
      </w:pPr>
      <w:r w:rsidRPr="003625DC">
        <w:rPr>
          <w:rFonts w:ascii="Garamond" w:hAnsi="Garamond"/>
          <w:lang w:val="en-AU"/>
        </w:rPr>
        <w:t xml:space="preserve">Odell DD, Quinn CM, </w:t>
      </w:r>
      <w:proofErr w:type="spellStart"/>
      <w:r w:rsidRPr="003625DC">
        <w:rPr>
          <w:rFonts w:ascii="Garamond" w:hAnsi="Garamond"/>
          <w:lang w:val="en-AU"/>
        </w:rPr>
        <w:t>Matulewicz</w:t>
      </w:r>
      <w:proofErr w:type="spellEnd"/>
      <w:r w:rsidRPr="003625DC">
        <w:rPr>
          <w:rFonts w:ascii="Garamond" w:hAnsi="Garamond"/>
          <w:lang w:val="en-AU"/>
        </w:rPr>
        <w:t xml:space="preserve"> RS, Johnson J, </w:t>
      </w:r>
      <w:proofErr w:type="spellStart"/>
      <w:r w:rsidRPr="003625DC">
        <w:rPr>
          <w:rFonts w:ascii="Garamond" w:hAnsi="Garamond"/>
          <w:lang w:val="en-AU"/>
        </w:rPr>
        <w:t>Engelhardt</w:t>
      </w:r>
      <w:proofErr w:type="spellEnd"/>
      <w:r w:rsidRPr="003625DC">
        <w:rPr>
          <w:rFonts w:ascii="Garamond" w:hAnsi="Garamond"/>
          <w:lang w:val="en-AU"/>
        </w:rPr>
        <w:t xml:space="preserve"> KE, </w:t>
      </w:r>
      <w:proofErr w:type="spellStart"/>
      <w:r w:rsidRPr="003625DC">
        <w:rPr>
          <w:rFonts w:ascii="Garamond" w:hAnsi="Garamond"/>
          <w:lang w:val="en-AU"/>
        </w:rPr>
        <w:t>Stulberg</w:t>
      </w:r>
      <w:proofErr w:type="spellEnd"/>
      <w:r w:rsidRPr="003625DC">
        <w:rPr>
          <w:rFonts w:ascii="Garamond" w:hAnsi="Garamond"/>
          <w:lang w:val="en-AU"/>
        </w:rPr>
        <w:t xml:space="preserve"> JJ, et al</w:t>
      </w:r>
    </w:p>
    <w:p w:rsidR="00D5034D" w:rsidRDefault="003625DC" w:rsidP="00D5034D">
      <w:pPr>
        <w:keepNext/>
        <w:keepLines/>
        <w:autoSpaceDE w:val="0"/>
        <w:autoSpaceDN w:val="0"/>
        <w:adjustRightInd w:val="0"/>
        <w:rPr>
          <w:rFonts w:ascii="Garamond" w:hAnsi="Garamond"/>
          <w:lang w:val="en-AU"/>
        </w:rPr>
      </w:pPr>
      <w:proofErr w:type="gramStart"/>
      <w:r w:rsidRPr="003625DC">
        <w:rPr>
          <w:rFonts w:ascii="Garamond" w:hAnsi="Garamond"/>
          <w:lang w:val="en-AU"/>
        </w:rPr>
        <w:t>Journal of the American College of Surgeons.</w:t>
      </w:r>
      <w:proofErr w:type="gramEnd"/>
      <w:r w:rsidRPr="003625DC">
        <w:rPr>
          <w:rFonts w:ascii="Garamond" w:hAnsi="Garamond"/>
          <w:lang w:val="en-AU"/>
        </w:rPr>
        <w:t xml:space="preserve"> </w:t>
      </w:r>
      <w:proofErr w:type="gramStart"/>
      <w:r w:rsidRPr="003625DC">
        <w:rPr>
          <w:rFonts w:ascii="Garamond" w:hAnsi="Garamond"/>
          <w:lang w:val="en-AU"/>
        </w:rPr>
        <w:t>2019</w:t>
      </w:r>
      <w:r>
        <w:rPr>
          <w:rFonts w:ascii="Garamond" w:hAnsi="Garamond"/>
          <w:lang w:val="en-AU"/>
        </w:rPr>
        <w:t xml:space="preserve"> [epub]</w:t>
      </w:r>
      <w:r w:rsidRPr="003625DC">
        <w:rPr>
          <w:rFonts w:ascii="Garamond" w:hAnsi="Garamond"/>
          <w:lang w:val="en-AU"/>
        </w:rPr>
        <w:t>.</w:t>
      </w:r>
      <w:proofErr w:type="gramEnd"/>
    </w:p>
    <w:p w:rsidR="003625DC" w:rsidRDefault="003625DC" w:rsidP="00D5034D">
      <w:pPr>
        <w:keepNext/>
        <w:keepLines/>
        <w:autoSpaceDE w:val="0"/>
        <w:autoSpaceDN w:val="0"/>
        <w:adjustRightInd w:val="0"/>
        <w:rPr>
          <w:rFonts w:ascii="Garamond" w:hAnsi="Garamond"/>
          <w:lang w:val="en-AU"/>
        </w:rPr>
      </w:pPr>
    </w:p>
    <w:p w:rsidR="003625DC" w:rsidRPr="003625DC" w:rsidRDefault="003625DC" w:rsidP="003625DC">
      <w:pPr>
        <w:keepNext/>
        <w:keepLines/>
        <w:autoSpaceDE w:val="0"/>
        <w:autoSpaceDN w:val="0"/>
        <w:adjustRightInd w:val="0"/>
        <w:rPr>
          <w:rFonts w:ascii="Garamond" w:hAnsi="Garamond"/>
          <w:i/>
          <w:lang w:val="en-AU"/>
        </w:rPr>
      </w:pPr>
      <w:r w:rsidRPr="003625DC">
        <w:rPr>
          <w:rFonts w:ascii="Garamond" w:hAnsi="Garamond"/>
          <w:i/>
          <w:lang w:val="en-AU"/>
        </w:rPr>
        <w:t xml:space="preserve">The Relationship </w:t>
      </w:r>
      <w:proofErr w:type="gramStart"/>
      <w:r w:rsidRPr="003625DC">
        <w:rPr>
          <w:rFonts w:ascii="Garamond" w:hAnsi="Garamond"/>
          <w:i/>
          <w:lang w:val="en-AU"/>
        </w:rPr>
        <w:t>Between</w:t>
      </w:r>
      <w:proofErr w:type="gramEnd"/>
      <w:r w:rsidRPr="003625DC">
        <w:rPr>
          <w:rFonts w:ascii="Garamond" w:hAnsi="Garamond"/>
          <w:i/>
          <w:lang w:val="en-AU"/>
        </w:rPr>
        <w:t xml:space="preserve"> Culture of Safety and Rate of Adverse Events in Long-Term Care Facilities</w:t>
      </w:r>
    </w:p>
    <w:p w:rsidR="003625DC" w:rsidRDefault="003625DC" w:rsidP="00D5034D">
      <w:pPr>
        <w:keepNext/>
        <w:keepLines/>
        <w:autoSpaceDE w:val="0"/>
        <w:autoSpaceDN w:val="0"/>
        <w:adjustRightInd w:val="0"/>
        <w:rPr>
          <w:rFonts w:ascii="Garamond" w:hAnsi="Garamond"/>
          <w:lang w:val="en-AU"/>
        </w:rPr>
      </w:pPr>
      <w:r w:rsidRPr="003625DC">
        <w:rPr>
          <w:rFonts w:ascii="Garamond" w:hAnsi="Garamond"/>
          <w:lang w:val="en-AU"/>
        </w:rPr>
        <w:t xml:space="preserve">Abusalem S, </w:t>
      </w:r>
      <w:proofErr w:type="spellStart"/>
      <w:r w:rsidRPr="003625DC">
        <w:rPr>
          <w:rFonts w:ascii="Garamond" w:hAnsi="Garamond"/>
          <w:lang w:val="en-AU"/>
        </w:rPr>
        <w:t>Polivka</w:t>
      </w:r>
      <w:proofErr w:type="spellEnd"/>
      <w:r w:rsidRPr="003625DC">
        <w:rPr>
          <w:rFonts w:ascii="Garamond" w:hAnsi="Garamond"/>
          <w:lang w:val="en-AU"/>
        </w:rPr>
        <w:t xml:space="preserve"> B, Coty M-B, Crawford TN, Furman CD, </w:t>
      </w:r>
      <w:proofErr w:type="spellStart"/>
      <w:r w:rsidRPr="003625DC">
        <w:rPr>
          <w:rFonts w:ascii="Garamond" w:hAnsi="Garamond"/>
          <w:lang w:val="en-AU"/>
        </w:rPr>
        <w:t>Alaradi</w:t>
      </w:r>
      <w:proofErr w:type="spellEnd"/>
      <w:r w:rsidRPr="003625DC">
        <w:rPr>
          <w:rFonts w:ascii="Garamond" w:hAnsi="Garamond"/>
          <w:lang w:val="en-AU"/>
        </w:rPr>
        <w:t xml:space="preserve"> M</w:t>
      </w:r>
    </w:p>
    <w:p w:rsidR="003625DC" w:rsidRPr="00E566B0" w:rsidRDefault="003625DC" w:rsidP="00D5034D">
      <w:pPr>
        <w:keepNext/>
        <w:keepLines/>
        <w:autoSpaceDE w:val="0"/>
        <w:autoSpaceDN w:val="0"/>
        <w:adjustRightInd w:val="0"/>
        <w:rPr>
          <w:rFonts w:ascii="Garamond" w:hAnsi="Garamond"/>
          <w:lang w:val="en-AU"/>
        </w:rPr>
      </w:pPr>
      <w:proofErr w:type="gramStart"/>
      <w:r w:rsidRPr="003625DC">
        <w:rPr>
          <w:rFonts w:ascii="Garamond" w:hAnsi="Garamond"/>
          <w:lang w:val="en-AU"/>
        </w:rPr>
        <w:t>Journal of Patient Safety.</w:t>
      </w:r>
      <w:proofErr w:type="gramEnd"/>
      <w:r w:rsidRPr="003625DC">
        <w:rPr>
          <w:rFonts w:ascii="Garamond" w:hAnsi="Garamond"/>
          <w:lang w:val="en-AU"/>
        </w:rPr>
        <w:t xml:space="preserve"> </w:t>
      </w:r>
      <w:proofErr w:type="gramStart"/>
      <w:r w:rsidRPr="003625DC">
        <w:rPr>
          <w:rFonts w:ascii="Garamond" w:hAnsi="Garamond"/>
          <w:lang w:val="en-AU"/>
        </w:rPr>
        <w:t>2019</w:t>
      </w:r>
      <w:r>
        <w:rPr>
          <w:rFonts w:ascii="Garamond" w:hAnsi="Garamond"/>
          <w:lang w:val="en-AU"/>
        </w:rPr>
        <w:t xml:space="preserve"> [epub]</w:t>
      </w:r>
      <w:r w:rsidRPr="003625DC">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D5034D" w:rsidRPr="000170DA" w:rsidTr="008A4BFB">
        <w:tc>
          <w:tcPr>
            <w:tcW w:w="1080" w:type="dxa"/>
            <w:tcBorders>
              <w:top w:val="single" w:sz="4" w:space="0" w:color="auto"/>
              <w:left w:val="single" w:sz="4" w:space="0" w:color="auto"/>
              <w:bottom w:val="single" w:sz="4" w:space="0" w:color="auto"/>
              <w:right w:val="single" w:sz="4" w:space="0" w:color="auto"/>
            </w:tcBorders>
            <w:vAlign w:val="center"/>
          </w:tcPr>
          <w:p w:rsidR="00D5034D" w:rsidRPr="000170DA" w:rsidRDefault="00D5034D" w:rsidP="008A4BF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5034D" w:rsidRDefault="00A96E35" w:rsidP="008A4BFB">
            <w:pPr>
              <w:rPr>
                <w:rStyle w:val="Hyperlink"/>
                <w:rFonts w:ascii="Garamond" w:hAnsi="Garamond"/>
                <w:color w:val="auto"/>
                <w:u w:val="none"/>
                <w:lang w:val="en-AU"/>
              </w:rPr>
            </w:pPr>
            <w:r>
              <w:rPr>
                <w:rStyle w:val="Hyperlink"/>
                <w:rFonts w:ascii="Garamond" w:hAnsi="Garamond"/>
                <w:color w:val="auto"/>
                <w:u w:val="none"/>
                <w:lang w:val="en-AU"/>
              </w:rPr>
              <w:t xml:space="preserve">Odell et al </w:t>
            </w:r>
            <w:hyperlink r:id="rId22" w:history="1">
              <w:r w:rsidRPr="00317032">
                <w:rPr>
                  <w:rStyle w:val="Hyperlink"/>
                  <w:rFonts w:ascii="Garamond" w:hAnsi="Garamond"/>
                  <w:lang w:val="en-AU"/>
                </w:rPr>
                <w:t>https://doi.org/10.1016/j.jamcollsurg.2019.02.046</w:t>
              </w:r>
            </w:hyperlink>
          </w:p>
          <w:p w:rsidR="00A96E35" w:rsidRPr="000170DA" w:rsidRDefault="00A96E35" w:rsidP="008A4BFB">
            <w:pPr>
              <w:rPr>
                <w:rStyle w:val="Hyperlink"/>
                <w:rFonts w:ascii="Garamond" w:hAnsi="Garamond"/>
                <w:color w:val="auto"/>
                <w:u w:val="none"/>
                <w:lang w:val="en-AU"/>
              </w:rPr>
            </w:pPr>
            <w:r>
              <w:rPr>
                <w:rStyle w:val="Hyperlink"/>
                <w:rFonts w:ascii="Garamond" w:hAnsi="Garamond"/>
                <w:color w:val="auto"/>
                <w:u w:val="none"/>
                <w:lang w:val="en-AU"/>
              </w:rPr>
              <w:t xml:space="preserve">Abusalem et al </w:t>
            </w:r>
            <w:hyperlink r:id="rId23" w:history="1">
              <w:r w:rsidRPr="00317032">
                <w:rPr>
                  <w:rStyle w:val="Hyperlink"/>
                  <w:rFonts w:ascii="Garamond" w:hAnsi="Garamond"/>
                  <w:lang w:val="en-AU"/>
                </w:rPr>
                <w:t>https://doi.org/10.1097/PTS.0000000000000587</w:t>
              </w:r>
            </w:hyperlink>
          </w:p>
        </w:tc>
      </w:tr>
      <w:tr w:rsidR="00D5034D" w:rsidRPr="000170DA" w:rsidTr="008A4BFB">
        <w:tc>
          <w:tcPr>
            <w:tcW w:w="1080" w:type="dxa"/>
            <w:tcBorders>
              <w:top w:val="single" w:sz="4" w:space="0" w:color="auto"/>
              <w:left w:val="single" w:sz="4" w:space="0" w:color="auto"/>
              <w:bottom w:val="single" w:sz="4" w:space="0" w:color="auto"/>
              <w:right w:val="single" w:sz="4" w:space="0" w:color="auto"/>
            </w:tcBorders>
            <w:vAlign w:val="center"/>
          </w:tcPr>
          <w:p w:rsidR="00D5034D" w:rsidRPr="000170DA" w:rsidRDefault="00D5034D" w:rsidP="008A4BF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5034D" w:rsidRDefault="00A96E35" w:rsidP="008A4BFB">
            <w:pPr>
              <w:rPr>
                <w:rFonts w:ascii="Garamond" w:hAnsi="Garamond"/>
                <w:lang w:val="en-AU"/>
              </w:rPr>
            </w:pPr>
            <w:r>
              <w:rPr>
                <w:rFonts w:ascii="Garamond" w:hAnsi="Garamond"/>
                <w:lang w:val="en-AU"/>
              </w:rPr>
              <w:t>Further to recent items on culture and outcomes, are these pieces.</w:t>
            </w:r>
          </w:p>
          <w:p w:rsidR="00A96E35" w:rsidRDefault="00A96E35" w:rsidP="00A96E35">
            <w:pPr>
              <w:rPr>
                <w:rFonts w:ascii="Garamond" w:hAnsi="Garamond"/>
                <w:lang w:val="en-AU"/>
              </w:rPr>
            </w:pPr>
            <w:r>
              <w:rPr>
                <w:rFonts w:ascii="Garamond" w:hAnsi="Garamond"/>
                <w:lang w:val="en-AU"/>
              </w:rPr>
              <w:t xml:space="preserve">Odell et al surveyed </w:t>
            </w:r>
            <w:r w:rsidR="003625DC" w:rsidRPr="003625DC">
              <w:rPr>
                <w:rFonts w:ascii="Garamond" w:hAnsi="Garamond"/>
                <w:lang w:val="en-AU"/>
              </w:rPr>
              <w:t>administrators, quality improvement teams, nurses, an</w:t>
            </w:r>
            <w:r w:rsidR="003625DC">
              <w:rPr>
                <w:rFonts w:ascii="Garamond" w:hAnsi="Garamond"/>
                <w:lang w:val="en-AU"/>
              </w:rPr>
              <w:t>a</w:t>
            </w:r>
            <w:r w:rsidR="003625DC" w:rsidRPr="003625DC">
              <w:rPr>
                <w:rFonts w:ascii="Garamond" w:hAnsi="Garamond"/>
                <w:lang w:val="en-AU"/>
              </w:rPr>
              <w:t>esthesiologists, and surgeons</w:t>
            </w:r>
            <w:r>
              <w:rPr>
                <w:rFonts w:ascii="Garamond" w:hAnsi="Garamond"/>
                <w:lang w:val="en-AU"/>
              </w:rPr>
              <w:t xml:space="preserve"> from 49 hospitals in Illinois</w:t>
            </w:r>
            <w:r w:rsidR="003625DC">
              <w:rPr>
                <w:rFonts w:ascii="Garamond" w:hAnsi="Garamond"/>
                <w:lang w:val="en-AU"/>
              </w:rPr>
              <w:t xml:space="preserve"> that had participated in the </w:t>
            </w:r>
            <w:r w:rsidR="003625DC" w:rsidRPr="003625DC">
              <w:rPr>
                <w:rFonts w:ascii="Garamond" w:hAnsi="Garamond"/>
                <w:lang w:val="en-AU"/>
              </w:rPr>
              <w:t>Illinois Surgical Quality Improvement Collaborative</w:t>
            </w:r>
            <w:r>
              <w:rPr>
                <w:rFonts w:ascii="Garamond" w:hAnsi="Garamond"/>
                <w:lang w:val="en-AU"/>
              </w:rPr>
              <w:t xml:space="preserve">. They report finding that the clinicians had somewhat less positive views on safety culture and that there was an </w:t>
            </w:r>
            <w:r w:rsidRPr="003625DC">
              <w:rPr>
                <w:rFonts w:ascii="Garamond" w:hAnsi="Garamond"/>
                <w:b/>
                <w:lang w:val="en-AU"/>
              </w:rPr>
              <w:t>associat</w:t>
            </w:r>
            <w:r w:rsidR="00EF5DB4">
              <w:rPr>
                <w:rFonts w:ascii="Garamond" w:hAnsi="Garamond"/>
                <w:b/>
                <w:lang w:val="en-AU"/>
              </w:rPr>
              <w:t>ion</w:t>
            </w:r>
            <w:r w:rsidRPr="003625DC">
              <w:rPr>
                <w:rFonts w:ascii="Garamond" w:hAnsi="Garamond"/>
                <w:b/>
                <w:lang w:val="en-AU"/>
              </w:rPr>
              <w:t xml:space="preserve"> between improved safety culture</w:t>
            </w:r>
            <w:r w:rsidRPr="00A96E35">
              <w:rPr>
                <w:rFonts w:ascii="Garamond" w:hAnsi="Garamond"/>
                <w:lang w:val="en-AU"/>
              </w:rPr>
              <w:t xml:space="preserve"> as measured by the Safety Attitudes Questionnaire</w:t>
            </w:r>
            <w:r>
              <w:rPr>
                <w:rFonts w:ascii="Garamond" w:hAnsi="Garamond"/>
                <w:lang w:val="en-AU"/>
              </w:rPr>
              <w:t xml:space="preserve"> </w:t>
            </w:r>
            <w:r w:rsidRPr="003625DC">
              <w:rPr>
                <w:rFonts w:ascii="Garamond" w:hAnsi="Garamond"/>
                <w:b/>
                <w:lang w:val="en-AU"/>
              </w:rPr>
              <w:t>and reduced risk of postoperative morbidity and death</w:t>
            </w:r>
            <w:r>
              <w:rPr>
                <w:rFonts w:ascii="Garamond" w:hAnsi="Garamond"/>
                <w:lang w:val="en-AU"/>
              </w:rPr>
              <w:t>.</w:t>
            </w:r>
          </w:p>
          <w:p w:rsidR="00A96E35" w:rsidRPr="00F44FEC" w:rsidRDefault="00A96E35" w:rsidP="003625DC">
            <w:pPr>
              <w:rPr>
                <w:rFonts w:ascii="Garamond" w:hAnsi="Garamond"/>
                <w:lang w:val="en-AU"/>
              </w:rPr>
            </w:pPr>
            <w:r>
              <w:rPr>
                <w:rStyle w:val="Hyperlink"/>
                <w:rFonts w:ascii="Garamond" w:hAnsi="Garamond"/>
                <w:color w:val="auto"/>
                <w:u w:val="none"/>
                <w:lang w:val="en-AU"/>
              </w:rPr>
              <w:t xml:space="preserve">Abusalem et al used data </w:t>
            </w:r>
            <w:r w:rsidR="003625DC">
              <w:rPr>
                <w:rStyle w:val="Hyperlink"/>
                <w:rFonts w:ascii="Garamond" w:hAnsi="Garamond"/>
                <w:color w:val="auto"/>
                <w:u w:val="none"/>
                <w:lang w:val="en-AU"/>
              </w:rPr>
              <w:t>of safety culture surveys of staff (</w:t>
            </w:r>
            <w:r w:rsidR="003625DC" w:rsidRPr="003625DC">
              <w:rPr>
                <w:rStyle w:val="Hyperlink"/>
                <w:rFonts w:ascii="Garamond" w:hAnsi="Garamond"/>
                <w:color w:val="auto"/>
                <w:u w:val="none"/>
                <w:lang w:val="en-AU"/>
              </w:rPr>
              <w:t>registered nurses, licensed practical nurses (LPNs), nursing assistants, administrators/managers, administrative support, and rehabilitation staff</w:t>
            </w:r>
            <w:r w:rsidR="003625DC">
              <w:rPr>
                <w:rStyle w:val="Hyperlink"/>
                <w:rFonts w:ascii="Garamond" w:hAnsi="Garamond"/>
                <w:color w:val="auto"/>
                <w:u w:val="none"/>
                <w:lang w:val="en-AU"/>
              </w:rPr>
              <w:t xml:space="preserve">) at five long-term care facilities </w:t>
            </w:r>
            <w:r w:rsidR="003625DC">
              <w:rPr>
                <w:rFonts w:ascii="Garamond" w:hAnsi="Garamond"/>
                <w:lang w:val="en-AU"/>
              </w:rPr>
              <w:t xml:space="preserve">and </w:t>
            </w:r>
            <w:r w:rsidRPr="00A96E35">
              <w:rPr>
                <w:rFonts w:ascii="Garamond" w:hAnsi="Garamond"/>
                <w:lang w:val="en-AU"/>
              </w:rPr>
              <w:t xml:space="preserve">found an </w:t>
            </w:r>
            <w:r w:rsidRPr="003625DC">
              <w:rPr>
                <w:rFonts w:ascii="Garamond" w:hAnsi="Garamond"/>
                <w:b/>
                <w:lang w:val="en-AU"/>
              </w:rPr>
              <w:t xml:space="preserve">association between improved safety culture scores and a decreased risk of </w:t>
            </w:r>
            <w:r w:rsidR="003625DC" w:rsidRPr="003625DC">
              <w:rPr>
                <w:rFonts w:ascii="Garamond" w:hAnsi="Garamond"/>
                <w:b/>
                <w:lang w:val="en-AU"/>
              </w:rPr>
              <w:t xml:space="preserve">a range of </w:t>
            </w:r>
            <w:r w:rsidRPr="003625DC">
              <w:rPr>
                <w:rFonts w:ascii="Garamond" w:hAnsi="Garamond"/>
                <w:b/>
                <w:lang w:val="en-AU"/>
              </w:rPr>
              <w:t>adverse events</w:t>
            </w:r>
            <w:r w:rsidR="003625DC" w:rsidRPr="003625DC">
              <w:rPr>
                <w:rFonts w:ascii="Garamond" w:hAnsi="Garamond"/>
                <w:lang w:val="en-AU"/>
              </w:rPr>
              <w:t>, including risk of falls, long stay urinary tract infections, and short stay ulcers.</w:t>
            </w:r>
            <w:r w:rsidRPr="00A96E35">
              <w:rPr>
                <w:rFonts w:ascii="Garamond" w:hAnsi="Garamond"/>
                <w:lang w:val="en-AU"/>
              </w:rPr>
              <w:t>.</w:t>
            </w:r>
          </w:p>
        </w:tc>
      </w:tr>
    </w:tbl>
    <w:p w:rsidR="002137BF" w:rsidRDefault="002137BF" w:rsidP="00B01874">
      <w:pPr>
        <w:keepNext/>
        <w:rPr>
          <w:rFonts w:ascii="Garamond" w:hAnsi="Garamond"/>
          <w:i/>
          <w:lang w:val="en-AU"/>
        </w:rPr>
      </w:pPr>
    </w:p>
    <w:p w:rsidR="00D71790" w:rsidRDefault="00D71790" w:rsidP="00D71790">
      <w:pPr>
        <w:keepNext/>
        <w:rPr>
          <w:rFonts w:ascii="Garamond" w:hAnsi="Garamond"/>
          <w:lang w:val="en-AU"/>
        </w:rPr>
      </w:pPr>
      <w:r w:rsidRPr="00D71790">
        <w:rPr>
          <w:rFonts w:ascii="Garamond" w:hAnsi="Garamond"/>
          <w:i/>
          <w:lang w:val="en-AU"/>
        </w:rPr>
        <w:t>American Journal of Medical Quality</w:t>
      </w:r>
    </w:p>
    <w:p w:rsidR="00D71790" w:rsidRPr="00D71790" w:rsidRDefault="00D71790" w:rsidP="00D71790">
      <w:pPr>
        <w:keepNext/>
        <w:rPr>
          <w:rFonts w:ascii="Garamond" w:hAnsi="Garamond"/>
          <w:lang w:val="en-AU"/>
        </w:rPr>
      </w:pPr>
      <w:r w:rsidRPr="00D71790">
        <w:rPr>
          <w:rFonts w:ascii="Garamond" w:hAnsi="Garamond"/>
          <w:lang w:val="en-AU"/>
        </w:rPr>
        <w:t xml:space="preserve">Volume: 34, Number: 3 (May/June 2019) </w:t>
      </w:r>
    </w:p>
    <w:tbl>
      <w:tblPr>
        <w:tblStyle w:val="TableGrid"/>
        <w:tblW w:w="0" w:type="auto"/>
        <w:tblInd w:w="288" w:type="dxa"/>
        <w:tblLayout w:type="fixed"/>
        <w:tblLook w:val="01E0" w:firstRow="1" w:lastRow="1" w:firstColumn="1" w:lastColumn="1" w:noHBand="0" w:noVBand="0"/>
      </w:tblPr>
      <w:tblGrid>
        <w:gridCol w:w="1080"/>
        <w:gridCol w:w="8280"/>
      </w:tblGrid>
      <w:tr w:rsidR="008E7CAA" w:rsidRPr="000170DA" w:rsidTr="00F27731">
        <w:tc>
          <w:tcPr>
            <w:tcW w:w="1080" w:type="dxa"/>
            <w:tcBorders>
              <w:top w:val="single" w:sz="4" w:space="0" w:color="auto"/>
              <w:left w:val="single" w:sz="4" w:space="0" w:color="auto"/>
              <w:bottom w:val="single" w:sz="4" w:space="0" w:color="auto"/>
              <w:right w:val="single" w:sz="4" w:space="0" w:color="auto"/>
            </w:tcBorders>
            <w:vAlign w:val="center"/>
          </w:tcPr>
          <w:p w:rsidR="008E7CAA" w:rsidRPr="000170DA" w:rsidRDefault="008E7CAA" w:rsidP="00F27731">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E7CAA" w:rsidRPr="000170DA" w:rsidRDefault="00EF5DB4" w:rsidP="00D95E03">
            <w:pPr>
              <w:rPr>
                <w:rStyle w:val="Hyperlink"/>
                <w:rFonts w:ascii="Garamond" w:hAnsi="Garamond"/>
                <w:color w:val="auto"/>
                <w:u w:val="none"/>
                <w:lang w:val="en-AU"/>
              </w:rPr>
            </w:pPr>
            <w:hyperlink r:id="rId24" w:history="1">
              <w:r w:rsidR="00D71790" w:rsidRPr="00317032">
                <w:rPr>
                  <w:rStyle w:val="Hyperlink"/>
                  <w:rFonts w:ascii="Garamond" w:hAnsi="Garamond"/>
                  <w:lang w:val="en-AU"/>
                </w:rPr>
                <w:t>https://journals.sagepub.com/toc/ajmb/34/3</w:t>
              </w:r>
            </w:hyperlink>
          </w:p>
        </w:tc>
      </w:tr>
      <w:tr w:rsidR="008E7CAA" w:rsidRPr="000170DA" w:rsidTr="00F27731">
        <w:tc>
          <w:tcPr>
            <w:tcW w:w="1080" w:type="dxa"/>
            <w:tcBorders>
              <w:top w:val="single" w:sz="4" w:space="0" w:color="auto"/>
              <w:left w:val="single" w:sz="4" w:space="0" w:color="auto"/>
              <w:bottom w:val="single" w:sz="4" w:space="0" w:color="auto"/>
              <w:right w:val="single" w:sz="4" w:space="0" w:color="auto"/>
            </w:tcBorders>
            <w:vAlign w:val="center"/>
          </w:tcPr>
          <w:p w:rsidR="008E7CAA" w:rsidRPr="000170DA" w:rsidRDefault="008E7CAA" w:rsidP="00F2773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E7CAA" w:rsidRPr="007C3778" w:rsidRDefault="008E7CAA" w:rsidP="00C57211">
            <w:pPr>
              <w:rPr>
                <w:rFonts w:ascii="Garamond" w:hAnsi="Garamond"/>
                <w:lang w:val="en-AU"/>
              </w:rPr>
            </w:pPr>
            <w:r w:rsidRPr="00B440ED">
              <w:rPr>
                <w:rFonts w:ascii="Garamond" w:hAnsi="Garamond"/>
                <w:lang w:val="en-AU"/>
              </w:rPr>
              <w:t xml:space="preserve">A new issue of </w:t>
            </w:r>
            <w:r w:rsidR="00D71790">
              <w:rPr>
                <w:rFonts w:ascii="Garamond" w:hAnsi="Garamond"/>
                <w:lang w:val="en-AU"/>
              </w:rPr>
              <w:t xml:space="preserve">the </w:t>
            </w:r>
            <w:r w:rsidR="00D71790" w:rsidRPr="00D71790">
              <w:rPr>
                <w:rFonts w:ascii="Garamond" w:hAnsi="Garamond"/>
                <w:i/>
                <w:lang w:val="en-AU"/>
              </w:rPr>
              <w:t>American Journal of Medical Quality</w:t>
            </w:r>
            <w:r w:rsidR="00D71790" w:rsidRPr="00B440ED">
              <w:rPr>
                <w:rFonts w:ascii="Garamond" w:hAnsi="Garamond"/>
                <w:lang w:val="en-AU"/>
              </w:rPr>
              <w:t xml:space="preserve"> </w:t>
            </w:r>
            <w:r w:rsidRPr="00B440ED">
              <w:rPr>
                <w:rFonts w:ascii="Garamond" w:hAnsi="Garamond"/>
                <w:lang w:val="en-AU"/>
              </w:rPr>
              <w:t xml:space="preserve">has been published. Articles in this issue of </w:t>
            </w:r>
            <w:r w:rsidR="00D71790">
              <w:rPr>
                <w:rFonts w:ascii="Garamond" w:hAnsi="Garamond"/>
                <w:lang w:val="en-AU"/>
              </w:rPr>
              <w:t xml:space="preserve">the </w:t>
            </w:r>
            <w:r w:rsidR="00D71790" w:rsidRPr="00D71790">
              <w:rPr>
                <w:rFonts w:ascii="Garamond" w:hAnsi="Garamond"/>
                <w:i/>
                <w:lang w:val="en-AU"/>
              </w:rPr>
              <w:t>American Journal of Medical Quality</w:t>
            </w:r>
            <w:r w:rsidR="00D71790" w:rsidRPr="00B440ED">
              <w:rPr>
                <w:rFonts w:ascii="Garamond" w:hAnsi="Garamond"/>
                <w:lang w:val="en-AU"/>
              </w:rPr>
              <w:t xml:space="preserve"> </w:t>
            </w:r>
            <w:r w:rsidRPr="00B440ED">
              <w:rPr>
                <w:rFonts w:ascii="Garamond" w:hAnsi="Garamond"/>
                <w:lang w:val="en-AU"/>
              </w:rPr>
              <w:t>include:</w:t>
            </w:r>
          </w:p>
          <w:p w:rsidR="00D71790" w:rsidRPr="00D71790" w:rsidRDefault="00D71790" w:rsidP="00D71790">
            <w:pPr>
              <w:pStyle w:val="ListParagraph"/>
              <w:numPr>
                <w:ilvl w:val="0"/>
                <w:numId w:val="15"/>
              </w:numPr>
              <w:rPr>
                <w:rFonts w:ascii="Garamond" w:hAnsi="Garamond"/>
                <w:lang w:val="en-AU"/>
              </w:rPr>
            </w:pPr>
            <w:r w:rsidRPr="00D71790">
              <w:rPr>
                <w:rFonts w:ascii="Garamond" w:hAnsi="Garamond"/>
                <w:lang w:val="en-AU"/>
              </w:rPr>
              <w:t xml:space="preserve">Effect of Audit and Feedback on Physician </w:t>
            </w:r>
            <w:r w:rsidRPr="00D71790">
              <w:rPr>
                <w:rFonts w:ascii="Garamond" w:hAnsi="Garamond"/>
                <w:b/>
                <w:lang w:val="en-AU"/>
              </w:rPr>
              <w:t>Adherence to Clinical Practice Guidelines</w:t>
            </w:r>
            <w:r w:rsidRPr="00D71790">
              <w:rPr>
                <w:rFonts w:ascii="Garamond" w:hAnsi="Garamond"/>
                <w:lang w:val="en-AU"/>
              </w:rPr>
              <w:t xml:space="preserve"> for Pneumonia and Sepsis (Stacy A Trent, Edward P </w:t>
            </w:r>
            <w:proofErr w:type="spellStart"/>
            <w:r w:rsidRPr="00D71790">
              <w:rPr>
                <w:rFonts w:ascii="Garamond" w:hAnsi="Garamond"/>
                <w:lang w:val="en-AU"/>
              </w:rPr>
              <w:t>Havranek</w:t>
            </w:r>
            <w:proofErr w:type="spellEnd"/>
            <w:r w:rsidRPr="00D71790">
              <w:rPr>
                <w:rFonts w:ascii="Garamond" w:hAnsi="Garamond"/>
                <w:lang w:val="en-AU"/>
              </w:rPr>
              <w:t xml:space="preserve">, </w:t>
            </w:r>
            <w:proofErr w:type="spellStart"/>
            <w:r w:rsidRPr="00D71790">
              <w:rPr>
                <w:rFonts w:ascii="Garamond" w:hAnsi="Garamond"/>
                <w:lang w:val="en-AU"/>
              </w:rPr>
              <w:t>Adit</w:t>
            </w:r>
            <w:proofErr w:type="spellEnd"/>
            <w:r w:rsidRPr="00D71790">
              <w:rPr>
                <w:rFonts w:ascii="Garamond" w:hAnsi="Garamond"/>
                <w:lang w:val="en-AU"/>
              </w:rPr>
              <w:t xml:space="preserve"> A </w:t>
            </w:r>
            <w:proofErr w:type="spellStart"/>
            <w:r w:rsidRPr="00D71790">
              <w:rPr>
                <w:rFonts w:ascii="Garamond" w:hAnsi="Garamond"/>
                <w:lang w:val="en-AU"/>
              </w:rPr>
              <w:t>Ginde</w:t>
            </w:r>
            <w:proofErr w:type="spellEnd"/>
            <w:r w:rsidRPr="00D71790">
              <w:rPr>
                <w:rFonts w:ascii="Garamond" w:hAnsi="Garamond"/>
                <w:lang w:val="en-AU"/>
              </w:rPr>
              <w:t xml:space="preserve">, and Jason S </w:t>
            </w:r>
            <w:proofErr w:type="spellStart"/>
            <w:r w:rsidRPr="00D71790">
              <w:rPr>
                <w:rFonts w:ascii="Garamond" w:hAnsi="Garamond"/>
                <w:lang w:val="en-AU"/>
              </w:rPr>
              <w:t>Haukoos</w:t>
            </w:r>
            <w:proofErr w:type="spellEnd"/>
            <w:r w:rsidRPr="00D71790">
              <w:rPr>
                <w:rFonts w:ascii="Garamond" w:hAnsi="Garamond"/>
                <w:lang w:val="en-AU"/>
              </w:rPr>
              <w:t>)</w:t>
            </w:r>
          </w:p>
          <w:p w:rsidR="00D71790" w:rsidRDefault="00D71790" w:rsidP="00D71790">
            <w:pPr>
              <w:pStyle w:val="ListParagraph"/>
              <w:numPr>
                <w:ilvl w:val="0"/>
                <w:numId w:val="15"/>
              </w:numPr>
              <w:rPr>
                <w:rFonts w:ascii="Garamond" w:hAnsi="Garamond"/>
                <w:lang w:val="en-AU"/>
              </w:rPr>
            </w:pPr>
            <w:r w:rsidRPr="00D71790">
              <w:rPr>
                <w:rFonts w:ascii="Garamond" w:hAnsi="Garamond"/>
                <w:lang w:val="en-AU"/>
              </w:rPr>
              <w:t xml:space="preserve">Improved </w:t>
            </w:r>
            <w:r w:rsidRPr="00D71790">
              <w:rPr>
                <w:rFonts w:ascii="Garamond" w:hAnsi="Garamond"/>
                <w:b/>
                <w:lang w:val="en-AU"/>
              </w:rPr>
              <w:t>Supervision and Safety of Discharges</w:t>
            </w:r>
            <w:r w:rsidRPr="00D71790">
              <w:rPr>
                <w:rFonts w:ascii="Garamond" w:hAnsi="Garamond"/>
                <w:lang w:val="en-AU"/>
              </w:rPr>
              <w:t xml:space="preserve"> Through Formal Discharge Education (Lily L Ackermann, Emily A Stewart, and J M </w:t>
            </w:r>
            <w:proofErr w:type="spellStart"/>
            <w:r w:rsidRPr="00D71790">
              <w:rPr>
                <w:rFonts w:ascii="Garamond" w:hAnsi="Garamond"/>
                <w:lang w:val="en-AU"/>
              </w:rPr>
              <w:t>Riggio</w:t>
            </w:r>
            <w:proofErr w:type="spellEnd"/>
            <w:r>
              <w:rPr>
                <w:rFonts w:ascii="Garamond" w:hAnsi="Garamond"/>
                <w:lang w:val="en-AU"/>
              </w:rPr>
              <w:t>)</w:t>
            </w:r>
          </w:p>
          <w:p w:rsidR="00D71790" w:rsidRDefault="00D71790" w:rsidP="00D71790">
            <w:pPr>
              <w:pStyle w:val="ListParagraph"/>
              <w:numPr>
                <w:ilvl w:val="0"/>
                <w:numId w:val="15"/>
              </w:numPr>
              <w:rPr>
                <w:rFonts w:ascii="Garamond" w:hAnsi="Garamond"/>
                <w:lang w:val="en-AU"/>
              </w:rPr>
            </w:pPr>
            <w:r w:rsidRPr="00D71790">
              <w:rPr>
                <w:rFonts w:ascii="Garamond" w:hAnsi="Garamond"/>
                <w:lang w:val="en-AU"/>
              </w:rPr>
              <w:t xml:space="preserve">Lessons Learned in Providing </w:t>
            </w:r>
            <w:r w:rsidRPr="00D71790">
              <w:rPr>
                <w:rFonts w:ascii="Garamond" w:hAnsi="Garamond"/>
                <w:b/>
                <w:lang w:val="en-AU"/>
              </w:rPr>
              <w:t>Claims-Based Data</w:t>
            </w:r>
            <w:r w:rsidRPr="00D71790">
              <w:rPr>
                <w:rFonts w:ascii="Garamond" w:hAnsi="Garamond"/>
                <w:lang w:val="en-AU"/>
              </w:rPr>
              <w:t xml:space="preserve"> to Participants in </w:t>
            </w:r>
            <w:r w:rsidRPr="00D71790">
              <w:rPr>
                <w:rFonts w:ascii="Garamond" w:hAnsi="Garamond"/>
                <w:b/>
                <w:lang w:val="en-AU"/>
              </w:rPr>
              <w:t>Health Care Innovation Models</w:t>
            </w:r>
            <w:r w:rsidRPr="00D71790">
              <w:rPr>
                <w:rFonts w:ascii="Garamond" w:hAnsi="Garamond"/>
                <w:lang w:val="en-AU"/>
              </w:rPr>
              <w:t xml:space="preserve"> (Martin F Cohen, Sarah M </w:t>
            </w:r>
            <w:proofErr w:type="spellStart"/>
            <w:r w:rsidRPr="00D71790">
              <w:rPr>
                <w:rFonts w:ascii="Garamond" w:hAnsi="Garamond"/>
                <w:lang w:val="en-AU"/>
              </w:rPr>
              <w:t>Irie</w:t>
            </w:r>
            <w:proofErr w:type="spellEnd"/>
            <w:r w:rsidRPr="00D71790">
              <w:rPr>
                <w:rFonts w:ascii="Garamond" w:hAnsi="Garamond"/>
                <w:lang w:val="en-AU"/>
              </w:rPr>
              <w:t xml:space="preserve">, C Allison Russo, Veronika Pav, Shannon L O’Connor, and Suzanne G </w:t>
            </w:r>
            <w:proofErr w:type="spellStart"/>
            <w:r w:rsidRPr="00D71790">
              <w:rPr>
                <w:rFonts w:ascii="Garamond" w:hAnsi="Garamond"/>
                <w:lang w:val="en-AU"/>
              </w:rPr>
              <w:t>Wensky</w:t>
            </w:r>
            <w:proofErr w:type="spellEnd"/>
            <w:r>
              <w:rPr>
                <w:rFonts w:ascii="Garamond" w:hAnsi="Garamond"/>
                <w:lang w:val="en-AU"/>
              </w:rPr>
              <w:t>)</w:t>
            </w:r>
          </w:p>
          <w:p w:rsidR="00D71790" w:rsidRDefault="00D71790" w:rsidP="00D71790">
            <w:pPr>
              <w:pStyle w:val="ListParagraph"/>
              <w:numPr>
                <w:ilvl w:val="0"/>
                <w:numId w:val="15"/>
              </w:numPr>
              <w:rPr>
                <w:rFonts w:ascii="Garamond" w:hAnsi="Garamond"/>
                <w:lang w:val="en-AU"/>
              </w:rPr>
            </w:pPr>
            <w:r w:rsidRPr="00D71790">
              <w:rPr>
                <w:rFonts w:ascii="Garamond" w:hAnsi="Garamond"/>
                <w:lang w:val="en-AU"/>
              </w:rPr>
              <w:t xml:space="preserve">Patient Satisfaction Is Associated With </w:t>
            </w:r>
            <w:r w:rsidRPr="00D71790">
              <w:rPr>
                <w:rFonts w:ascii="Garamond" w:hAnsi="Garamond"/>
                <w:b/>
                <w:lang w:val="en-AU"/>
              </w:rPr>
              <w:t>Dialysis Facility Quality</w:t>
            </w:r>
            <w:r w:rsidRPr="00D71790">
              <w:rPr>
                <w:rFonts w:ascii="Garamond" w:hAnsi="Garamond"/>
                <w:lang w:val="en-AU"/>
              </w:rPr>
              <w:t xml:space="preserve"> and Star Ratings (Abhijit V </w:t>
            </w:r>
            <w:proofErr w:type="spellStart"/>
            <w:r w:rsidRPr="00D71790">
              <w:rPr>
                <w:rFonts w:ascii="Garamond" w:hAnsi="Garamond"/>
                <w:lang w:val="en-AU"/>
              </w:rPr>
              <w:t>Kshirsagar</w:t>
            </w:r>
            <w:proofErr w:type="spellEnd"/>
            <w:r w:rsidRPr="00D71790">
              <w:rPr>
                <w:rFonts w:ascii="Garamond" w:hAnsi="Garamond"/>
                <w:lang w:val="en-AU"/>
              </w:rPr>
              <w:t xml:space="preserve">, Amir </w:t>
            </w:r>
            <w:proofErr w:type="spellStart"/>
            <w:r w:rsidRPr="00D71790">
              <w:rPr>
                <w:rFonts w:ascii="Garamond" w:hAnsi="Garamond"/>
                <w:lang w:val="en-AU"/>
              </w:rPr>
              <w:t>Alishahi</w:t>
            </w:r>
            <w:proofErr w:type="spellEnd"/>
            <w:r w:rsidRPr="00D71790">
              <w:rPr>
                <w:rFonts w:ascii="Garamond" w:hAnsi="Garamond"/>
                <w:lang w:val="en-AU"/>
              </w:rPr>
              <w:t xml:space="preserve"> Tabriz, H Bang, S-Y D Lee</w:t>
            </w:r>
            <w:r>
              <w:rPr>
                <w:rFonts w:ascii="Garamond" w:hAnsi="Garamond"/>
                <w:lang w:val="en-AU"/>
              </w:rPr>
              <w:t>)</w:t>
            </w:r>
          </w:p>
          <w:p w:rsidR="00D71790" w:rsidRDefault="00D71790" w:rsidP="00D71790">
            <w:pPr>
              <w:pStyle w:val="ListParagraph"/>
              <w:numPr>
                <w:ilvl w:val="0"/>
                <w:numId w:val="15"/>
              </w:numPr>
              <w:rPr>
                <w:rFonts w:ascii="Garamond" w:hAnsi="Garamond"/>
                <w:lang w:val="en-AU"/>
              </w:rPr>
            </w:pPr>
            <w:r w:rsidRPr="00D71790">
              <w:rPr>
                <w:rFonts w:ascii="Garamond" w:hAnsi="Garamond"/>
                <w:lang w:val="en-AU"/>
              </w:rPr>
              <w:t xml:space="preserve">A Guide to </w:t>
            </w:r>
            <w:r w:rsidRPr="00D71790">
              <w:rPr>
                <w:rFonts w:ascii="Garamond" w:hAnsi="Garamond"/>
                <w:b/>
                <w:lang w:val="en-AU"/>
              </w:rPr>
              <w:t>Evaluation of Quality Improvement and Patient Safety Educational Programs</w:t>
            </w:r>
            <w:r w:rsidRPr="00D71790">
              <w:rPr>
                <w:rFonts w:ascii="Garamond" w:hAnsi="Garamond"/>
                <w:lang w:val="en-AU"/>
              </w:rPr>
              <w:t xml:space="preserve">: Lessons From the VA Chief Resident in Quality and Safety Program (R L Butcher, K L </w:t>
            </w:r>
            <w:proofErr w:type="spellStart"/>
            <w:r w:rsidRPr="00D71790">
              <w:rPr>
                <w:rFonts w:ascii="Garamond" w:hAnsi="Garamond"/>
                <w:lang w:val="en-AU"/>
              </w:rPr>
              <w:t>Carluzzo</w:t>
            </w:r>
            <w:proofErr w:type="spellEnd"/>
            <w:r w:rsidRPr="00D71790">
              <w:rPr>
                <w:rFonts w:ascii="Garamond" w:hAnsi="Garamond"/>
                <w:lang w:val="en-AU"/>
              </w:rPr>
              <w:t xml:space="preserve">, B V Watts, K E </w:t>
            </w:r>
            <w:proofErr w:type="spellStart"/>
            <w:r w:rsidRPr="00D71790">
              <w:rPr>
                <w:rFonts w:ascii="Garamond" w:hAnsi="Garamond"/>
                <w:lang w:val="en-AU"/>
              </w:rPr>
              <w:t>Schifferdecker</w:t>
            </w:r>
            <w:proofErr w:type="spellEnd"/>
            <w:r w:rsidRPr="00D71790">
              <w:rPr>
                <w:rFonts w:ascii="Garamond" w:hAnsi="Garamond"/>
                <w:lang w:val="en-AU"/>
              </w:rPr>
              <w:t>)</w:t>
            </w:r>
          </w:p>
          <w:p w:rsidR="00D71790" w:rsidRDefault="00D71790" w:rsidP="00D71790">
            <w:pPr>
              <w:pStyle w:val="ListParagraph"/>
              <w:numPr>
                <w:ilvl w:val="0"/>
                <w:numId w:val="15"/>
              </w:numPr>
              <w:rPr>
                <w:rFonts w:ascii="Garamond" w:hAnsi="Garamond"/>
                <w:lang w:val="en-AU"/>
              </w:rPr>
            </w:pPr>
            <w:r w:rsidRPr="00D71790">
              <w:rPr>
                <w:rFonts w:ascii="Garamond" w:hAnsi="Garamond"/>
                <w:lang w:val="en-AU"/>
              </w:rPr>
              <w:t xml:space="preserve">Training to Improve </w:t>
            </w:r>
            <w:r w:rsidRPr="00D71790">
              <w:rPr>
                <w:rFonts w:ascii="Garamond" w:hAnsi="Garamond"/>
                <w:b/>
                <w:lang w:val="en-AU"/>
              </w:rPr>
              <w:t>Communication Quality</w:t>
            </w:r>
            <w:r w:rsidRPr="00D71790">
              <w:rPr>
                <w:rFonts w:ascii="Garamond" w:hAnsi="Garamond"/>
                <w:lang w:val="en-AU"/>
              </w:rPr>
              <w:t xml:space="preserve">: An Efficient Interdisciplinary Experience for Emergency Department Clinicians (Emily L Aaronson, B A White, L Black, D F Brown, T </w:t>
            </w:r>
            <w:proofErr w:type="spellStart"/>
            <w:r w:rsidRPr="00D71790">
              <w:rPr>
                <w:rFonts w:ascii="Garamond" w:hAnsi="Garamond"/>
                <w:lang w:val="en-AU"/>
              </w:rPr>
              <w:t>Benzer</w:t>
            </w:r>
            <w:proofErr w:type="spellEnd"/>
            <w:r w:rsidRPr="00D71790">
              <w:rPr>
                <w:rFonts w:ascii="Garamond" w:hAnsi="Garamond"/>
                <w:lang w:val="en-AU"/>
              </w:rPr>
              <w:t xml:space="preserve">, A </w:t>
            </w:r>
            <w:proofErr w:type="spellStart"/>
            <w:r w:rsidRPr="00D71790">
              <w:rPr>
                <w:rFonts w:ascii="Garamond" w:hAnsi="Garamond"/>
                <w:lang w:val="en-AU"/>
              </w:rPr>
              <w:t>Castagna</w:t>
            </w:r>
            <w:proofErr w:type="spellEnd"/>
            <w:r w:rsidRPr="00D71790">
              <w:rPr>
                <w:rFonts w:ascii="Garamond" w:hAnsi="Garamond"/>
                <w:lang w:val="en-AU"/>
              </w:rPr>
              <w:t xml:space="preserve">, A S Raja, J </w:t>
            </w:r>
            <w:proofErr w:type="spellStart"/>
            <w:r w:rsidRPr="00D71790">
              <w:rPr>
                <w:rFonts w:ascii="Garamond" w:hAnsi="Garamond"/>
                <w:lang w:val="en-AU"/>
              </w:rPr>
              <w:t>Sonis</w:t>
            </w:r>
            <w:proofErr w:type="spellEnd"/>
            <w:r w:rsidRPr="00D71790">
              <w:rPr>
                <w:rFonts w:ascii="Garamond" w:hAnsi="Garamond"/>
                <w:lang w:val="en-AU"/>
              </w:rPr>
              <w:t>, E Mort</w:t>
            </w:r>
            <w:r>
              <w:rPr>
                <w:rFonts w:ascii="Garamond" w:hAnsi="Garamond"/>
                <w:lang w:val="en-AU"/>
              </w:rPr>
              <w:t>)</w:t>
            </w:r>
          </w:p>
          <w:p w:rsidR="00D71790" w:rsidRDefault="00D71790" w:rsidP="00D71790">
            <w:pPr>
              <w:pStyle w:val="ListParagraph"/>
              <w:numPr>
                <w:ilvl w:val="0"/>
                <w:numId w:val="15"/>
              </w:numPr>
              <w:rPr>
                <w:rFonts w:ascii="Garamond" w:hAnsi="Garamond"/>
                <w:lang w:val="en-AU"/>
              </w:rPr>
            </w:pPr>
            <w:proofErr w:type="spellStart"/>
            <w:r w:rsidRPr="00D71790">
              <w:rPr>
                <w:rFonts w:ascii="Garamond" w:hAnsi="Garamond"/>
                <w:b/>
                <w:lang w:val="en-AU"/>
              </w:rPr>
              <w:t>MyVA</w:t>
            </w:r>
            <w:proofErr w:type="spellEnd"/>
            <w:r w:rsidRPr="00D71790">
              <w:rPr>
                <w:rFonts w:ascii="Garamond" w:hAnsi="Garamond"/>
                <w:b/>
                <w:lang w:val="en-AU"/>
              </w:rPr>
              <w:t xml:space="preserve"> Access</w:t>
            </w:r>
            <w:r w:rsidRPr="00D71790">
              <w:rPr>
                <w:rFonts w:ascii="Garamond" w:hAnsi="Garamond"/>
                <w:lang w:val="en-AU"/>
              </w:rPr>
              <w:t xml:space="preserve">: An Evaluation of Changes in Access for a System-Wide Program Implemented in the Veterans Health Administration (Janice L Pringle, Aleksandra S </w:t>
            </w:r>
            <w:proofErr w:type="spellStart"/>
            <w:r w:rsidRPr="00D71790">
              <w:rPr>
                <w:rFonts w:ascii="Garamond" w:hAnsi="Garamond"/>
                <w:lang w:val="en-AU"/>
              </w:rPr>
              <w:t>Milićević</w:t>
            </w:r>
            <w:proofErr w:type="spellEnd"/>
            <w:r w:rsidRPr="00D71790">
              <w:rPr>
                <w:rFonts w:ascii="Garamond" w:hAnsi="Garamond"/>
                <w:lang w:val="en-AU"/>
              </w:rPr>
              <w:t xml:space="preserve">, Jaime A Fawcett, Jerrold H May, Shannon M Kearney, </w:t>
            </w:r>
            <w:proofErr w:type="spellStart"/>
            <w:r w:rsidRPr="00D71790">
              <w:rPr>
                <w:rFonts w:ascii="Garamond" w:hAnsi="Garamond"/>
                <w:lang w:val="en-AU"/>
              </w:rPr>
              <w:t>Youxu</w:t>
            </w:r>
            <w:proofErr w:type="spellEnd"/>
            <w:r w:rsidRPr="00D71790">
              <w:rPr>
                <w:rFonts w:ascii="Garamond" w:hAnsi="Garamond"/>
                <w:lang w:val="en-AU"/>
              </w:rPr>
              <w:t xml:space="preserve"> C Tjader, D L Vargas, L G Vargas, J </w:t>
            </w:r>
            <w:r>
              <w:rPr>
                <w:rFonts w:ascii="Garamond" w:hAnsi="Garamond"/>
                <w:lang w:val="en-AU"/>
              </w:rPr>
              <w:t xml:space="preserve">P </w:t>
            </w:r>
            <w:proofErr w:type="spellStart"/>
            <w:r>
              <w:rPr>
                <w:rFonts w:ascii="Garamond" w:hAnsi="Garamond"/>
                <w:lang w:val="en-AU"/>
              </w:rPr>
              <w:t>Radack</w:t>
            </w:r>
            <w:proofErr w:type="spellEnd"/>
            <w:r>
              <w:rPr>
                <w:rFonts w:ascii="Garamond" w:hAnsi="Garamond"/>
                <w:lang w:val="en-AU"/>
              </w:rPr>
              <w:t xml:space="preserve">, P L </w:t>
            </w:r>
            <w:proofErr w:type="spellStart"/>
            <w:r>
              <w:rPr>
                <w:rFonts w:ascii="Garamond" w:hAnsi="Garamond"/>
                <w:lang w:val="en-AU"/>
              </w:rPr>
              <w:t>Alaigh</w:t>
            </w:r>
            <w:proofErr w:type="spellEnd"/>
            <w:r>
              <w:rPr>
                <w:rFonts w:ascii="Garamond" w:hAnsi="Garamond"/>
                <w:lang w:val="en-AU"/>
              </w:rPr>
              <w:t>)</w:t>
            </w:r>
          </w:p>
          <w:p w:rsidR="00D71790" w:rsidRDefault="00D71790" w:rsidP="00D71790">
            <w:pPr>
              <w:pStyle w:val="ListParagraph"/>
              <w:numPr>
                <w:ilvl w:val="0"/>
                <w:numId w:val="15"/>
              </w:numPr>
              <w:rPr>
                <w:rFonts w:ascii="Garamond" w:hAnsi="Garamond"/>
                <w:lang w:val="en-AU"/>
              </w:rPr>
            </w:pPr>
            <w:r w:rsidRPr="00D71790">
              <w:rPr>
                <w:rFonts w:ascii="Garamond" w:hAnsi="Garamond"/>
                <w:lang w:val="en-AU"/>
              </w:rPr>
              <w:lastRenderedPageBreak/>
              <w:t xml:space="preserve">Changes in Care After Implementing a Multifaceted Intervention to </w:t>
            </w:r>
            <w:r w:rsidRPr="00D71790">
              <w:rPr>
                <w:rFonts w:ascii="Garamond" w:hAnsi="Garamond"/>
                <w:b/>
                <w:lang w:val="en-AU"/>
              </w:rPr>
              <w:t>Improve Preventive Cardiology Practice</w:t>
            </w:r>
            <w:r w:rsidRPr="00D71790">
              <w:rPr>
                <w:rFonts w:ascii="Garamond" w:hAnsi="Garamond"/>
                <w:lang w:val="en-AU"/>
              </w:rPr>
              <w:t xml:space="preserve"> in Rheumatoid Arthritis (Darcy S </w:t>
            </w:r>
            <w:proofErr w:type="spellStart"/>
            <w:r w:rsidRPr="00D71790">
              <w:rPr>
                <w:rFonts w:ascii="Garamond" w:hAnsi="Garamond"/>
                <w:lang w:val="en-AU"/>
              </w:rPr>
              <w:t>Majka</w:t>
            </w:r>
            <w:proofErr w:type="spellEnd"/>
            <w:r w:rsidRPr="00D71790">
              <w:rPr>
                <w:rFonts w:ascii="Garamond" w:hAnsi="Garamond"/>
                <w:lang w:val="en-AU"/>
              </w:rPr>
              <w:t xml:space="preserve">, Ji Young Lee, Y A </w:t>
            </w:r>
            <w:proofErr w:type="spellStart"/>
            <w:r w:rsidRPr="00D71790">
              <w:rPr>
                <w:rFonts w:ascii="Garamond" w:hAnsi="Garamond"/>
                <w:lang w:val="en-AU"/>
              </w:rPr>
              <w:t>Peprah</w:t>
            </w:r>
            <w:proofErr w:type="spellEnd"/>
            <w:r w:rsidRPr="00D71790">
              <w:rPr>
                <w:rFonts w:ascii="Garamond" w:hAnsi="Garamond"/>
                <w:lang w:val="en-AU"/>
              </w:rPr>
              <w:t xml:space="preserve">, D </w:t>
            </w:r>
            <w:proofErr w:type="spellStart"/>
            <w:r w:rsidRPr="00D71790">
              <w:rPr>
                <w:rFonts w:ascii="Garamond" w:hAnsi="Garamond"/>
                <w:lang w:val="en-AU"/>
              </w:rPr>
              <w:t>Lipiszko</w:t>
            </w:r>
            <w:proofErr w:type="spellEnd"/>
            <w:r w:rsidRPr="00D71790">
              <w:rPr>
                <w:rFonts w:ascii="Garamond" w:hAnsi="Garamond"/>
                <w:lang w:val="en-AU"/>
              </w:rPr>
              <w:t xml:space="preserve">, E </w:t>
            </w:r>
            <w:proofErr w:type="spellStart"/>
            <w:r w:rsidRPr="00D71790">
              <w:rPr>
                <w:rFonts w:ascii="Garamond" w:hAnsi="Garamond"/>
                <w:lang w:val="en-AU"/>
              </w:rPr>
              <w:t>Friesema</w:t>
            </w:r>
            <w:proofErr w:type="spellEnd"/>
            <w:r w:rsidRPr="00D71790">
              <w:rPr>
                <w:rFonts w:ascii="Garamond" w:hAnsi="Garamond"/>
                <w:lang w:val="en-AU"/>
              </w:rPr>
              <w:t xml:space="preserve">, E M </w:t>
            </w:r>
            <w:proofErr w:type="spellStart"/>
            <w:r w:rsidRPr="00D71790">
              <w:rPr>
                <w:rFonts w:ascii="Garamond" w:hAnsi="Garamond"/>
                <w:lang w:val="en-AU"/>
              </w:rPr>
              <w:t>Ruderman</w:t>
            </w:r>
            <w:proofErr w:type="spellEnd"/>
            <w:r w:rsidRPr="00D71790">
              <w:rPr>
                <w:rFonts w:ascii="Garamond" w:hAnsi="Garamond"/>
                <w:lang w:val="en-AU"/>
              </w:rPr>
              <w:t xml:space="preserve">, S D </w:t>
            </w:r>
            <w:proofErr w:type="spellStart"/>
            <w:r w:rsidRPr="00D71790">
              <w:rPr>
                <w:rFonts w:ascii="Garamond" w:hAnsi="Garamond"/>
                <w:lang w:val="en-AU"/>
              </w:rPr>
              <w:t>Persell</w:t>
            </w:r>
            <w:proofErr w:type="spellEnd"/>
            <w:r>
              <w:rPr>
                <w:rFonts w:ascii="Garamond" w:hAnsi="Garamond"/>
                <w:lang w:val="en-AU"/>
              </w:rPr>
              <w:t>)</w:t>
            </w:r>
          </w:p>
          <w:p w:rsidR="00D71790" w:rsidRDefault="00D71790" w:rsidP="00D71790">
            <w:pPr>
              <w:pStyle w:val="ListParagraph"/>
              <w:numPr>
                <w:ilvl w:val="0"/>
                <w:numId w:val="15"/>
              </w:numPr>
              <w:rPr>
                <w:rFonts w:ascii="Garamond" w:hAnsi="Garamond"/>
                <w:lang w:val="en-AU"/>
              </w:rPr>
            </w:pPr>
            <w:r w:rsidRPr="00D71790">
              <w:rPr>
                <w:rFonts w:ascii="Garamond" w:hAnsi="Garamond"/>
                <w:b/>
                <w:lang w:val="en-AU"/>
              </w:rPr>
              <w:t>Impact of Hearing Loss on Patient–Provider Communication</w:t>
            </w:r>
            <w:r w:rsidRPr="00D71790">
              <w:rPr>
                <w:rFonts w:ascii="Garamond" w:hAnsi="Garamond"/>
                <w:lang w:val="en-AU"/>
              </w:rPr>
              <w:t xml:space="preserve"> Among Hospitalized Patients: A Systematic Review (</w:t>
            </w:r>
            <w:proofErr w:type="spellStart"/>
            <w:r w:rsidRPr="00D71790">
              <w:rPr>
                <w:rFonts w:ascii="Garamond" w:hAnsi="Garamond"/>
                <w:lang w:val="en-AU"/>
              </w:rPr>
              <w:t>Aishwarya</w:t>
            </w:r>
            <w:proofErr w:type="spellEnd"/>
            <w:r w:rsidRPr="00D71790">
              <w:rPr>
                <w:rFonts w:ascii="Garamond" w:hAnsi="Garamond"/>
                <w:lang w:val="en-AU"/>
              </w:rPr>
              <w:t xml:space="preserve"> Shukla, Carrie L </w:t>
            </w:r>
            <w:proofErr w:type="spellStart"/>
            <w:r w:rsidRPr="00D71790">
              <w:rPr>
                <w:rFonts w:ascii="Garamond" w:hAnsi="Garamond"/>
                <w:lang w:val="en-AU"/>
              </w:rPr>
              <w:t>Nieman</w:t>
            </w:r>
            <w:proofErr w:type="spellEnd"/>
            <w:r w:rsidRPr="00D71790">
              <w:rPr>
                <w:rFonts w:ascii="Garamond" w:hAnsi="Garamond"/>
                <w:lang w:val="en-AU"/>
              </w:rPr>
              <w:t>, Carrie Price, Michael Harper, Frank R Lin, and Nicholas S Reed</w:t>
            </w:r>
            <w:r>
              <w:rPr>
                <w:rFonts w:ascii="Garamond" w:hAnsi="Garamond"/>
                <w:lang w:val="en-AU"/>
              </w:rPr>
              <w:t>)</w:t>
            </w:r>
          </w:p>
          <w:p w:rsidR="00D71790" w:rsidRDefault="00D71790" w:rsidP="00D71790">
            <w:pPr>
              <w:pStyle w:val="ListParagraph"/>
              <w:numPr>
                <w:ilvl w:val="0"/>
                <w:numId w:val="15"/>
              </w:numPr>
              <w:rPr>
                <w:rFonts w:ascii="Garamond" w:hAnsi="Garamond"/>
                <w:lang w:val="en-AU"/>
              </w:rPr>
            </w:pPr>
            <w:r w:rsidRPr="00D71790">
              <w:rPr>
                <w:rFonts w:ascii="Garamond" w:hAnsi="Garamond"/>
                <w:b/>
                <w:lang w:val="en-AU"/>
              </w:rPr>
              <w:t>Innovative Implementation Studies</w:t>
            </w:r>
            <w:r w:rsidRPr="00D71790">
              <w:rPr>
                <w:rFonts w:ascii="Garamond" w:hAnsi="Garamond"/>
                <w:lang w:val="en-AU"/>
              </w:rPr>
              <w:t xml:space="preserve"> Conducted in US Safety Net Health Care Settings: A Systematic Review (Courtney R Lyles, Margaret A Handley, S L Ackerman, D Schillinger, P Williams, M Westbrook, G </w:t>
            </w:r>
            <w:proofErr w:type="spellStart"/>
            <w:r w:rsidRPr="00D71790">
              <w:rPr>
                <w:rFonts w:ascii="Garamond" w:hAnsi="Garamond"/>
                <w:lang w:val="en-AU"/>
              </w:rPr>
              <w:t>Gourley</w:t>
            </w:r>
            <w:proofErr w:type="spellEnd"/>
            <w:r w:rsidRPr="00D71790">
              <w:rPr>
                <w:rFonts w:ascii="Garamond" w:hAnsi="Garamond"/>
                <w:lang w:val="en-AU"/>
              </w:rPr>
              <w:t>, U</w:t>
            </w:r>
            <w:r>
              <w:rPr>
                <w:rFonts w:ascii="Garamond" w:hAnsi="Garamond"/>
                <w:lang w:val="en-AU"/>
              </w:rPr>
              <w:t xml:space="preserve"> </w:t>
            </w:r>
            <w:r w:rsidRPr="00D71790">
              <w:rPr>
                <w:rFonts w:ascii="Garamond" w:hAnsi="Garamond"/>
                <w:lang w:val="en-AU"/>
              </w:rPr>
              <w:t>Sarkar</w:t>
            </w:r>
            <w:r>
              <w:rPr>
                <w:rFonts w:ascii="Garamond" w:hAnsi="Garamond"/>
                <w:lang w:val="en-AU"/>
              </w:rPr>
              <w:t>)</w:t>
            </w:r>
          </w:p>
          <w:p w:rsidR="00D71790" w:rsidRDefault="00D71790" w:rsidP="00D71790">
            <w:pPr>
              <w:pStyle w:val="ListParagraph"/>
              <w:numPr>
                <w:ilvl w:val="0"/>
                <w:numId w:val="15"/>
              </w:numPr>
              <w:rPr>
                <w:rFonts w:ascii="Garamond" w:hAnsi="Garamond"/>
                <w:lang w:val="en-AU"/>
              </w:rPr>
            </w:pPr>
            <w:r w:rsidRPr="00D71790">
              <w:rPr>
                <w:rFonts w:ascii="Garamond" w:hAnsi="Garamond"/>
                <w:b/>
                <w:lang w:val="en-AU"/>
              </w:rPr>
              <w:t>Patient- and Family-</w:t>
            </w:r>
            <w:proofErr w:type="spellStart"/>
            <w:r w:rsidRPr="00D71790">
              <w:rPr>
                <w:rFonts w:ascii="Garamond" w:hAnsi="Garamond"/>
                <w:b/>
                <w:lang w:val="en-AU"/>
              </w:rPr>
              <w:t>Centered</w:t>
            </w:r>
            <w:proofErr w:type="spellEnd"/>
            <w:r w:rsidRPr="00D71790">
              <w:rPr>
                <w:rFonts w:ascii="Garamond" w:hAnsi="Garamond"/>
                <w:b/>
                <w:lang w:val="en-AU"/>
              </w:rPr>
              <w:t xml:space="preserve"> Care as a Dimension of Quality</w:t>
            </w:r>
            <w:r w:rsidRPr="00D71790">
              <w:rPr>
                <w:rFonts w:ascii="Garamond" w:hAnsi="Garamond"/>
                <w:lang w:val="en-AU"/>
              </w:rPr>
              <w:t xml:space="preserve"> (Ravi </w:t>
            </w:r>
            <w:proofErr w:type="spellStart"/>
            <w:r w:rsidRPr="00D71790">
              <w:rPr>
                <w:rFonts w:ascii="Garamond" w:hAnsi="Garamond"/>
                <w:lang w:val="en-AU"/>
              </w:rPr>
              <w:t>Dhurjati</w:t>
            </w:r>
            <w:proofErr w:type="spellEnd"/>
            <w:r w:rsidRPr="00D71790">
              <w:rPr>
                <w:rFonts w:ascii="Garamond" w:hAnsi="Garamond"/>
                <w:lang w:val="en-AU"/>
              </w:rPr>
              <w:t xml:space="preserve">, Krista </w:t>
            </w:r>
            <w:proofErr w:type="spellStart"/>
            <w:r w:rsidRPr="00D71790">
              <w:rPr>
                <w:rFonts w:ascii="Garamond" w:hAnsi="Garamond"/>
                <w:lang w:val="en-AU"/>
              </w:rPr>
              <w:t>Sigurdson</w:t>
            </w:r>
            <w:proofErr w:type="spellEnd"/>
            <w:r w:rsidRPr="00D71790">
              <w:rPr>
                <w:rFonts w:ascii="Garamond" w:hAnsi="Garamond"/>
                <w:lang w:val="en-AU"/>
              </w:rPr>
              <w:t xml:space="preserve">, and </w:t>
            </w:r>
            <w:proofErr w:type="spellStart"/>
            <w:r w:rsidRPr="00D71790">
              <w:rPr>
                <w:rFonts w:ascii="Garamond" w:hAnsi="Garamond"/>
                <w:lang w:val="en-AU"/>
              </w:rPr>
              <w:t>Jochen</w:t>
            </w:r>
            <w:proofErr w:type="spellEnd"/>
            <w:r w:rsidRPr="00D71790">
              <w:rPr>
                <w:rFonts w:ascii="Garamond" w:hAnsi="Garamond"/>
                <w:lang w:val="en-AU"/>
              </w:rPr>
              <w:t xml:space="preserve"> Profit</w:t>
            </w:r>
            <w:r>
              <w:rPr>
                <w:rFonts w:ascii="Garamond" w:hAnsi="Garamond"/>
                <w:lang w:val="en-AU"/>
              </w:rPr>
              <w:t>)</w:t>
            </w:r>
          </w:p>
          <w:p w:rsidR="00D71790" w:rsidRDefault="00D71790" w:rsidP="00D71790">
            <w:pPr>
              <w:pStyle w:val="ListParagraph"/>
              <w:numPr>
                <w:ilvl w:val="0"/>
                <w:numId w:val="15"/>
              </w:numPr>
              <w:rPr>
                <w:rFonts w:ascii="Garamond" w:hAnsi="Garamond"/>
                <w:lang w:val="en-AU"/>
              </w:rPr>
            </w:pPr>
            <w:r w:rsidRPr="00D71790">
              <w:rPr>
                <w:rFonts w:ascii="Garamond" w:hAnsi="Garamond"/>
                <w:b/>
                <w:lang w:val="en-AU"/>
              </w:rPr>
              <w:t>Taking the Patient Out of Patient-</w:t>
            </w:r>
            <w:proofErr w:type="spellStart"/>
            <w:r w:rsidRPr="00D71790">
              <w:rPr>
                <w:rFonts w:ascii="Garamond" w:hAnsi="Garamond"/>
                <w:b/>
                <w:lang w:val="en-AU"/>
              </w:rPr>
              <w:t>Centered</w:t>
            </w:r>
            <w:proofErr w:type="spellEnd"/>
            <w:r w:rsidRPr="00D71790">
              <w:rPr>
                <w:rFonts w:ascii="Garamond" w:hAnsi="Garamond"/>
                <w:b/>
                <w:lang w:val="en-AU"/>
              </w:rPr>
              <w:t xml:space="preserve"> Care?</w:t>
            </w:r>
            <w:r w:rsidRPr="00D71790">
              <w:rPr>
                <w:rFonts w:ascii="Garamond" w:hAnsi="Garamond"/>
                <w:lang w:val="en-AU"/>
              </w:rPr>
              <w:t xml:space="preserve"> (</w:t>
            </w:r>
            <w:proofErr w:type="spellStart"/>
            <w:r>
              <w:rPr>
                <w:rFonts w:ascii="Garamond" w:hAnsi="Garamond"/>
                <w:lang w:val="en-AU"/>
              </w:rPr>
              <w:t>Harjot</w:t>
            </w:r>
            <w:proofErr w:type="spellEnd"/>
            <w:r>
              <w:rPr>
                <w:rFonts w:ascii="Garamond" w:hAnsi="Garamond"/>
                <w:lang w:val="en-AU"/>
              </w:rPr>
              <w:t xml:space="preserve"> Uppal)</w:t>
            </w:r>
          </w:p>
          <w:p w:rsidR="00D71790" w:rsidRDefault="00D71790" w:rsidP="00D71790">
            <w:pPr>
              <w:pStyle w:val="ListParagraph"/>
              <w:numPr>
                <w:ilvl w:val="0"/>
                <w:numId w:val="15"/>
              </w:numPr>
              <w:rPr>
                <w:rFonts w:ascii="Garamond" w:hAnsi="Garamond"/>
                <w:lang w:val="en-AU"/>
              </w:rPr>
            </w:pPr>
            <w:r w:rsidRPr="00D71790">
              <w:rPr>
                <w:rFonts w:ascii="Garamond" w:hAnsi="Garamond"/>
                <w:lang w:val="en-AU"/>
              </w:rPr>
              <w:t xml:space="preserve">Improvement of </w:t>
            </w:r>
            <w:r w:rsidRPr="00D71790">
              <w:rPr>
                <w:rFonts w:ascii="Garamond" w:hAnsi="Garamond"/>
                <w:b/>
                <w:lang w:val="en-AU"/>
              </w:rPr>
              <w:t>Specialist Referral Follow-up</w:t>
            </w:r>
            <w:r w:rsidRPr="00D71790">
              <w:rPr>
                <w:rFonts w:ascii="Garamond" w:hAnsi="Garamond"/>
                <w:lang w:val="en-AU"/>
              </w:rPr>
              <w:t xml:space="preserve">: One University Health Service Improvement Success Story (Beth </w:t>
            </w:r>
            <w:proofErr w:type="spellStart"/>
            <w:r w:rsidRPr="00D71790">
              <w:rPr>
                <w:rFonts w:ascii="Garamond" w:hAnsi="Garamond"/>
                <w:lang w:val="en-AU"/>
              </w:rPr>
              <w:t>Kotarski</w:t>
            </w:r>
            <w:proofErr w:type="spellEnd"/>
            <w:r>
              <w:rPr>
                <w:rFonts w:ascii="Garamond" w:hAnsi="Garamond"/>
                <w:lang w:val="en-AU"/>
              </w:rPr>
              <w:t>)</w:t>
            </w:r>
          </w:p>
          <w:p w:rsidR="00D71790" w:rsidRDefault="00D71790" w:rsidP="00D71790">
            <w:pPr>
              <w:pStyle w:val="ListParagraph"/>
              <w:numPr>
                <w:ilvl w:val="0"/>
                <w:numId w:val="15"/>
              </w:numPr>
              <w:rPr>
                <w:rFonts w:ascii="Garamond" w:hAnsi="Garamond"/>
                <w:lang w:val="en-AU"/>
              </w:rPr>
            </w:pPr>
            <w:r w:rsidRPr="00D71790">
              <w:rPr>
                <w:rFonts w:ascii="Garamond" w:hAnsi="Garamond"/>
                <w:lang w:val="en-AU"/>
              </w:rPr>
              <w:t xml:space="preserve">Promoting High-Value Change by Addressing the Structure of </w:t>
            </w:r>
            <w:r w:rsidRPr="00D71790">
              <w:rPr>
                <w:rFonts w:ascii="Garamond" w:hAnsi="Garamond"/>
                <w:b/>
                <w:lang w:val="en-AU"/>
              </w:rPr>
              <w:t>Order Sets</w:t>
            </w:r>
            <w:r w:rsidRPr="00D71790">
              <w:rPr>
                <w:rFonts w:ascii="Garamond" w:hAnsi="Garamond"/>
                <w:lang w:val="en-AU"/>
              </w:rPr>
              <w:t xml:space="preserve">: Lessons From the Cardiac Catheterization Lab (Nagendra </w:t>
            </w:r>
            <w:proofErr w:type="spellStart"/>
            <w:r w:rsidRPr="00D71790">
              <w:rPr>
                <w:rFonts w:ascii="Garamond" w:hAnsi="Garamond"/>
                <w:lang w:val="en-AU"/>
              </w:rPr>
              <w:t>Pokala</w:t>
            </w:r>
            <w:proofErr w:type="spellEnd"/>
            <w:r w:rsidRPr="00D71790">
              <w:rPr>
                <w:rFonts w:ascii="Garamond" w:hAnsi="Garamond"/>
                <w:lang w:val="en-AU"/>
              </w:rPr>
              <w:t xml:space="preserve">, </w:t>
            </w:r>
            <w:proofErr w:type="spellStart"/>
            <w:r w:rsidRPr="00D71790">
              <w:rPr>
                <w:rFonts w:ascii="Garamond" w:hAnsi="Garamond"/>
                <w:lang w:val="en-AU"/>
              </w:rPr>
              <w:t>Shruti</w:t>
            </w:r>
            <w:proofErr w:type="spellEnd"/>
            <w:r w:rsidRPr="00D71790">
              <w:rPr>
                <w:rFonts w:ascii="Garamond" w:hAnsi="Garamond"/>
                <w:lang w:val="en-AU"/>
              </w:rPr>
              <w:t xml:space="preserve"> Singh, Gene Hu, Timothy J Brown, </w:t>
            </w:r>
            <w:proofErr w:type="spellStart"/>
            <w:r w:rsidRPr="00D71790">
              <w:rPr>
                <w:rFonts w:ascii="Garamond" w:hAnsi="Garamond"/>
                <w:lang w:val="en-AU"/>
              </w:rPr>
              <w:t>Ambarish</w:t>
            </w:r>
            <w:proofErr w:type="spellEnd"/>
            <w:r w:rsidRPr="00D71790">
              <w:rPr>
                <w:rFonts w:ascii="Garamond" w:hAnsi="Garamond"/>
                <w:lang w:val="en-AU"/>
              </w:rPr>
              <w:t xml:space="preserve"> Pandey, Sandeep R Das, and Arjun Gupta</w:t>
            </w:r>
            <w:r>
              <w:rPr>
                <w:rFonts w:ascii="Garamond" w:hAnsi="Garamond"/>
                <w:lang w:val="en-AU"/>
              </w:rPr>
              <w:t>)</w:t>
            </w:r>
          </w:p>
          <w:p w:rsidR="00D71790" w:rsidRPr="00D71790" w:rsidRDefault="00D71790" w:rsidP="00D71790">
            <w:pPr>
              <w:pStyle w:val="ListParagraph"/>
              <w:numPr>
                <w:ilvl w:val="0"/>
                <w:numId w:val="15"/>
              </w:numPr>
              <w:rPr>
                <w:rFonts w:ascii="Garamond" w:hAnsi="Garamond"/>
                <w:lang w:val="en-AU"/>
              </w:rPr>
            </w:pPr>
            <w:r w:rsidRPr="00D71790">
              <w:rPr>
                <w:rFonts w:ascii="Garamond" w:hAnsi="Garamond"/>
                <w:lang w:val="en-AU"/>
              </w:rPr>
              <w:t xml:space="preserve">U.S. News and World Report </w:t>
            </w:r>
            <w:r w:rsidRPr="00EF5DB4">
              <w:rPr>
                <w:rFonts w:ascii="Garamond" w:hAnsi="Garamond"/>
                <w:b/>
                <w:lang w:val="en-AU"/>
              </w:rPr>
              <w:t>Top-Ranked Children’s Hospitals and Academic Productivity</w:t>
            </w:r>
            <w:r w:rsidRPr="00D71790">
              <w:rPr>
                <w:rFonts w:ascii="Garamond" w:hAnsi="Garamond"/>
                <w:lang w:val="en-AU"/>
              </w:rPr>
              <w:t xml:space="preserve"> (Don Hayes, Jr)</w:t>
            </w:r>
          </w:p>
          <w:p w:rsidR="00F63992" w:rsidRPr="007C3778" w:rsidRDefault="00D71790" w:rsidP="00D71790">
            <w:pPr>
              <w:pStyle w:val="ListParagraph"/>
              <w:numPr>
                <w:ilvl w:val="0"/>
                <w:numId w:val="15"/>
              </w:numPr>
              <w:rPr>
                <w:rFonts w:ascii="Garamond" w:hAnsi="Garamond"/>
                <w:lang w:val="en-AU"/>
              </w:rPr>
            </w:pPr>
            <w:r w:rsidRPr="00EF5DB4">
              <w:rPr>
                <w:rFonts w:ascii="Garamond" w:hAnsi="Garamond"/>
                <w:b/>
                <w:lang w:val="en-AU"/>
              </w:rPr>
              <w:t>Improving Pediatric Sepsis Treatment</w:t>
            </w:r>
            <w:r w:rsidRPr="00D71790">
              <w:rPr>
                <w:rFonts w:ascii="Garamond" w:hAnsi="Garamond"/>
                <w:lang w:val="en-AU"/>
              </w:rPr>
              <w:t xml:space="preserve"> Using a Novel, Guideline-Based Pro Forma </w:t>
            </w:r>
            <w:r>
              <w:rPr>
                <w:rFonts w:ascii="Garamond" w:hAnsi="Garamond"/>
                <w:lang w:val="en-AU"/>
              </w:rPr>
              <w:t>(</w:t>
            </w:r>
            <w:r w:rsidRPr="00D71790">
              <w:rPr>
                <w:rFonts w:ascii="Garamond" w:hAnsi="Garamond"/>
                <w:lang w:val="en-AU"/>
              </w:rPr>
              <w:t xml:space="preserve">Ahmed Hussain, </w:t>
            </w:r>
            <w:proofErr w:type="spellStart"/>
            <w:r w:rsidRPr="00D71790">
              <w:rPr>
                <w:rFonts w:ascii="Garamond" w:hAnsi="Garamond"/>
                <w:lang w:val="en-AU"/>
              </w:rPr>
              <w:t>Pr</w:t>
            </w:r>
            <w:r>
              <w:rPr>
                <w:rFonts w:ascii="Garamond" w:hAnsi="Garamond"/>
                <w:lang w:val="en-AU"/>
              </w:rPr>
              <w:t>atap</w:t>
            </w:r>
            <w:proofErr w:type="spellEnd"/>
            <w:r>
              <w:rPr>
                <w:rFonts w:ascii="Garamond" w:hAnsi="Garamond"/>
                <w:lang w:val="en-AU"/>
              </w:rPr>
              <w:t xml:space="preserve"> </w:t>
            </w:r>
            <w:proofErr w:type="spellStart"/>
            <w:r>
              <w:rPr>
                <w:rFonts w:ascii="Garamond" w:hAnsi="Garamond"/>
                <w:lang w:val="en-AU"/>
              </w:rPr>
              <w:t>Harbham</w:t>
            </w:r>
            <w:proofErr w:type="spellEnd"/>
            <w:r>
              <w:rPr>
                <w:rFonts w:ascii="Garamond" w:hAnsi="Garamond"/>
                <w:lang w:val="en-AU"/>
              </w:rPr>
              <w:t xml:space="preserve">, and Mohamad </w:t>
            </w:r>
            <w:proofErr w:type="spellStart"/>
            <w:r>
              <w:rPr>
                <w:rFonts w:ascii="Garamond" w:hAnsi="Garamond"/>
                <w:lang w:val="en-AU"/>
              </w:rPr>
              <w:t>Zeina</w:t>
            </w:r>
            <w:proofErr w:type="spellEnd"/>
            <w:r>
              <w:rPr>
                <w:rFonts w:ascii="Garamond" w:hAnsi="Garamond"/>
                <w:lang w:val="en-AU"/>
              </w:rPr>
              <w:t>)</w:t>
            </w:r>
          </w:p>
        </w:tc>
      </w:tr>
    </w:tbl>
    <w:p w:rsidR="008E7CAA" w:rsidRDefault="008E7CAA" w:rsidP="008E7CAA">
      <w:pPr>
        <w:rPr>
          <w:rFonts w:ascii="Garamond" w:hAnsi="Garamond"/>
          <w:i/>
          <w:lang w:val="en-AU"/>
        </w:rPr>
      </w:pPr>
    </w:p>
    <w:p w:rsidR="00B44299" w:rsidRPr="00467B47" w:rsidRDefault="00B44299" w:rsidP="00B44299">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B44299" w:rsidRPr="00467B47" w:rsidTr="00F27731">
        <w:tc>
          <w:tcPr>
            <w:tcW w:w="1080" w:type="dxa"/>
            <w:tcBorders>
              <w:top w:val="single" w:sz="4" w:space="0" w:color="auto"/>
              <w:left w:val="single" w:sz="4" w:space="0" w:color="auto"/>
              <w:bottom w:val="single" w:sz="4" w:space="0" w:color="auto"/>
              <w:right w:val="single" w:sz="4" w:space="0" w:color="auto"/>
            </w:tcBorders>
            <w:vAlign w:val="center"/>
          </w:tcPr>
          <w:p w:rsidR="00B44299" w:rsidRPr="00467B47" w:rsidRDefault="00B44299" w:rsidP="00F27731">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44299" w:rsidRPr="00467B47" w:rsidRDefault="00EF5DB4" w:rsidP="00F27731">
            <w:pPr>
              <w:keepNext/>
              <w:rPr>
                <w:rFonts w:ascii="Garamond" w:hAnsi="Garamond"/>
                <w:lang w:val="en-AU"/>
              </w:rPr>
            </w:pPr>
            <w:hyperlink r:id="rId25" w:history="1">
              <w:r w:rsidR="00B44299" w:rsidRPr="00D31E10">
                <w:rPr>
                  <w:rStyle w:val="Hyperlink"/>
                  <w:rFonts w:ascii="Garamond" w:hAnsi="Garamond"/>
                  <w:lang w:val="en-AU"/>
                </w:rPr>
                <w:t>https://academic.oup.com/intqhc/advance-articles</w:t>
              </w:r>
            </w:hyperlink>
          </w:p>
        </w:tc>
      </w:tr>
      <w:tr w:rsidR="00B44299" w:rsidRPr="00467B47" w:rsidTr="00F27731">
        <w:tc>
          <w:tcPr>
            <w:tcW w:w="1080" w:type="dxa"/>
            <w:tcBorders>
              <w:top w:val="single" w:sz="4" w:space="0" w:color="auto"/>
              <w:left w:val="single" w:sz="4" w:space="0" w:color="auto"/>
              <w:bottom w:val="single" w:sz="4" w:space="0" w:color="auto"/>
              <w:right w:val="single" w:sz="4" w:space="0" w:color="auto"/>
            </w:tcBorders>
            <w:vAlign w:val="center"/>
          </w:tcPr>
          <w:p w:rsidR="00B44299" w:rsidRPr="00467B47" w:rsidRDefault="00B44299" w:rsidP="00F27731">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44299" w:rsidRPr="00467B47" w:rsidRDefault="00B44299" w:rsidP="00F27731">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9878DE" w:rsidRPr="009878DE" w:rsidRDefault="009878DE" w:rsidP="009878DE">
            <w:pPr>
              <w:pStyle w:val="ListParagraph"/>
              <w:numPr>
                <w:ilvl w:val="0"/>
                <w:numId w:val="14"/>
              </w:numPr>
              <w:rPr>
                <w:rFonts w:ascii="Garamond" w:hAnsi="Garamond"/>
                <w:lang w:val="en-AU"/>
              </w:rPr>
            </w:pPr>
            <w:r w:rsidRPr="009878DE">
              <w:rPr>
                <w:rFonts w:ascii="Garamond" w:hAnsi="Garamond"/>
                <w:lang w:val="en-AU"/>
              </w:rPr>
              <w:t xml:space="preserve">The </w:t>
            </w:r>
            <w:r w:rsidRPr="009878DE">
              <w:rPr>
                <w:rFonts w:ascii="Garamond" w:hAnsi="Garamond"/>
                <w:b/>
                <w:lang w:val="en-AU"/>
              </w:rPr>
              <w:t>30-day unplanned readmission rate and hospital volume</w:t>
            </w:r>
            <w:r w:rsidRPr="009878DE">
              <w:rPr>
                <w:rFonts w:ascii="Garamond" w:hAnsi="Garamond"/>
                <w:lang w:val="en-AU"/>
              </w:rPr>
              <w:t>: a national population-based study in South Korea (</w:t>
            </w:r>
            <w:proofErr w:type="spellStart"/>
            <w:r w:rsidRPr="009878DE">
              <w:rPr>
                <w:rFonts w:ascii="Garamond" w:hAnsi="Garamond"/>
                <w:lang w:val="en-AU"/>
              </w:rPr>
              <w:t>Hoo-Yeon</w:t>
            </w:r>
            <w:proofErr w:type="spellEnd"/>
            <w:r w:rsidRPr="009878DE">
              <w:rPr>
                <w:rFonts w:ascii="Garamond" w:hAnsi="Garamond"/>
                <w:lang w:val="en-AU"/>
              </w:rPr>
              <w:t xml:space="preserve"> Lee; Jae Yong Shin; Sang Ah Lee; </w:t>
            </w:r>
            <w:proofErr w:type="spellStart"/>
            <w:r w:rsidRPr="009878DE">
              <w:rPr>
                <w:rFonts w:ascii="Garamond" w:hAnsi="Garamond"/>
                <w:lang w:val="en-AU"/>
              </w:rPr>
              <w:t>Yeong</w:t>
            </w:r>
            <w:proofErr w:type="spellEnd"/>
            <w:r w:rsidRPr="009878DE">
              <w:rPr>
                <w:rFonts w:ascii="Garamond" w:hAnsi="Garamond"/>
                <w:lang w:val="en-AU"/>
              </w:rPr>
              <w:t xml:space="preserve"> Jun </w:t>
            </w:r>
            <w:proofErr w:type="spellStart"/>
            <w:r w:rsidRPr="009878DE">
              <w:rPr>
                <w:rFonts w:ascii="Garamond" w:hAnsi="Garamond"/>
                <w:lang w:val="en-AU"/>
              </w:rPr>
              <w:t>Ju</w:t>
            </w:r>
            <w:proofErr w:type="spellEnd"/>
            <w:r w:rsidRPr="009878DE">
              <w:rPr>
                <w:rFonts w:ascii="Garamond" w:hAnsi="Garamond"/>
                <w:lang w:val="en-AU"/>
              </w:rPr>
              <w:t xml:space="preserve">; </w:t>
            </w:r>
            <w:proofErr w:type="spellStart"/>
            <w:r w:rsidRPr="009878DE">
              <w:rPr>
                <w:rFonts w:ascii="Garamond" w:hAnsi="Garamond"/>
                <w:lang w:val="en-AU"/>
              </w:rPr>
              <w:t>Eun-Cheol</w:t>
            </w:r>
            <w:proofErr w:type="spellEnd"/>
            <w:r w:rsidRPr="009878DE">
              <w:rPr>
                <w:rFonts w:ascii="Garamond" w:hAnsi="Garamond"/>
                <w:lang w:val="en-AU"/>
              </w:rPr>
              <w:t xml:space="preserve"> Park</w:t>
            </w:r>
            <w:r>
              <w:rPr>
                <w:rFonts w:ascii="Garamond" w:hAnsi="Garamond"/>
                <w:lang w:val="en-AU"/>
              </w:rPr>
              <w:t>)</w:t>
            </w:r>
          </w:p>
          <w:p w:rsidR="009878DE" w:rsidRDefault="009878DE" w:rsidP="009878DE">
            <w:pPr>
              <w:pStyle w:val="ListParagraph"/>
              <w:numPr>
                <w:ilvl w:val="0"/>
                <w:numId w:val="14"/>
              </w:numPr>
              <w:rPr>
                <w:rFonts w:ascii="Garamond" w:hAnsi="Garamond"/>
                <w:lang w:val="en-AU"/>
              </w:rPr>
            </w:pPr>
            <w:proofErr w:type="spellStart"/>
            <w:r w:rsidRPr="009878DE">
              <w:rPr>
                <w:rFonts w:ascii="Garamond" w:hAnsi="Garamond"/>
                <w:b/>
                <w:lang w:val="en-AU"/>
              </w:rPr>
              <w:t>EuroGTP</w:t>
            </w:r>
            <w:proofErr w:type="spellEnd"/>
            <w:r w:rsidRPr="009878DE">
              <w:rPr>
                <w:rFonts w:ascii="Garamond" w:hAnsi="Garamond"/>
                <w:b/>
                <w:lang w:val="en-AU"/>
              </w:rPr>
              <w:t xml:space="preserve"> II: a tool to assess risk, safety and efficacy of substances of human origin</w:t>
            </w:r>
            <w:r w:rsidRPr="009878DE">
              <w:rPr>
                <w:rFonts w:ascii="Garamond" w:hAnsi="Garamond"/>
                <w:lang w:val="en-AU"/>
              </w:rPr>
              <w:t xml:space="preserve"> (</w:t>
            </w:r>
            <w:proofErr w:type="spellStart"/>
            <w:r w:rsidRPr="009878DE">
              <w:rPr>
                <w:rFonts w:ascii="Garamond" w:hAnsi="Garamond"/>
                <w:lang w:val="en-AU"/>
              </w:rPr>
              <w:t>Esteve</w:t>
            </w:r>
            <w:proofErr w:type="spellEnd"/>
            <w:r w:rsidRPr="009878DE">
              <w:rPr>
                <w:rFonts w:ascii="Garamond" w:hAnsi="Garamond"/>
                <w:lang w:val="en-AU"/>
              </w:rPr>
              <w:t xml:space="preserve"> </w:t>
            </w:r>
            <w:proofErr w:type="spellStart"/>
            <w:r w:rsidRPr="009878DE">
              <w:rPr>
                <w:rFonts w:ascii="Garamond" w:hAnsi="Garamond"/>
                <w:lang w:val="en-AU"/>
              </w:rPr>
              <w:t>Trias</w:t>
            </w:r>
            <w:proofErr w:type="spellEnd"/>
            <w:r w:rsidRPr="009878DE">
              <w:rPr>
                <w:rFonts w:ascii="Garamond" w:hAnsi="Garamond"/>
                <w:lang w:val="en-AU"/>
              </w:rPr>
              <w:t xml:space="preserve">; Richard Lomas; Jaime </w:t>
            </w:r>
            <w:proofErr w:type="spellStart"/>
            <w:r w:rsidRPr="009878DE">
              <w:rPr>
                <w:rFonts w:ascii="Garamond" w:hAnsi="Garamond"/>
                <w:lang w:val="en-AU"/>
              </w:rPr>
              <w:t>Tabera</w:t>
            </w:r>
            <w:proofErr w:type="spellEnd"/>
            <w:r w:rsidRPr="009878DE">
              <w:rPr>
                <w:rFonts w:ascii="Garamond" w:hAnsi="Garamond"/>
                <w:lang w:val="en-AU"/>
              </w:rPr>
              <w:t xml:space="preserve">; A Rita </w:t>
            </w:r>
            <w:proofErr w:type="spellStart"/>
            <w:r w:rsidRPr="009878DE">
              <w:rPr>
                <w:rFonts w:ascii="Garamond" w:hAnsi="Garamond"/>
                <w:lang w:val="en-AU"/>
              </w:rPr>
              <w:t>Piteira</w:t>
            </w:r>
            <w:proofErr w:type="spellEnd"/>
            <w:r w:rsidRPr="009878DE">
              <w:rPr>
                <w:rFonts w:ascii="Garamond" w:hAnsi="Garamond"/>
                <w:lang w:val="en-AU"/>
              </w:rPr>
              <w:t xml:space="preserve">; Kelly </w:t>
            </w:r>
            <w:proofErr w:type="spellStart"/>
            <w:r w:rsidRPr="009878DE">
              <w:rPr>
                <w:rFonts w:ascii="Garamond" w:hAnsi="Garamond"/>
                <w:lang w:val="en-AU"/>
              </w:rPr>
              <w:t>Tilleman</w:t>
            </w:r>
            <w:proofErr w:type="spellEnd"/>
            <w:r>
              <w:rPr>
                <w:rFonts w:ascii="Garamond" w:hAnsi="Garamond"/>
                <w:lang w:val="en-AU"/>
              </w:rPr>
              <w:t xml:space="preserve">; </w:t>
            </w:r>
            <w:r w:rsidRPr="009878DE">
              <w:rPr>
                <w:rFonts w:ascii="Garamond" w:hAnsi="Garamond"/>
                <w:lang w:val="en-AU"/>
              </w:rPr>
              <w:t xml:space="preserve">Ricardo P </w:t>
            </w:r>
            <w:proofErr w:type="spellStart"/>
            <w:r w:rsidRPr="009878DE">
              <w:rPr>
                <w:rFonts w:ascii="Garamond" w:hAnsi="Garamond"/>
                <w:lang w:val="en-AU"/>
              </w:rPr>
              <w:t>Casaroli-Marano</w:t>
            </w:r>
            <w:proofErr w:type="spellEnd"/>
            <w:r>
              <w:rPr>
                <w:rFonts w:ascii="Garamond" w:hAnsi="Garamond"/>
                <w:lang w:val="en-AU"/>
              </w:rPr>
              <w:t>;</w:t>
            </w:r>
            <w:r w:rsidRPr="009878DE">
              <w:rPr>
                <w:rFonts w:ascii="Garamond" w:hAnsi="Garamond"/>
                <w:lang w:val="en-AU"/>
              </w:rPr>
              <w:t xml:space="preserve"> </w:t>
            </w:r>
            <w:proofErr w:type="spellStart"/>
            <w:r w:rsidRPr="009878DE">
              <w:rPr>
                <w:rFonts w:ascii="Garamond" w:hAnsi="Garamond"/>
                <w:lang w:val="en-AU"/>
              </w:rPr>
              <w:t>Akila</w:t>
            </w:r>
            <w:proofErr w:type="spellEnd"/>
            <w:r w:rsidRPr="009878DE">
              <w:rPr>
                <w:rFonts w:ascii="Garamond" w:hAnsi="Garamond"/>
                <w:lang w:val="en-AU"/>
              </w:rPr>
              <w:t xml:space="preserve"> </w:t>
            </w:r>
            <w:proofErr w:type="spellStart"/>
            <w:r w:rsidRPr="009878DE">
              <w:rPr>
                <w:rFonts w:ascii="Garamond" w:hAnsi="Garamond"/>
                <w:lang w:val="en-AU"/>
              </w:rPr>
              <w:t>Chandrasekar</w:t>
            </w:r>
            <w:proofErr w:type="spellEnd"/>
            <w:r w:rsidRPr="009878DE">
              <w:rPr>
                <w:rFonts w:ascii="Garamond" w:hAnsi="Garamond"/>
                <w:lang w:val="en-AU"/>
              </w:rPr>
              <w:t xml:space="preserve"> on behalf of </w:t>
            </w:r>
            <w:proofErr w:type="spellStart"/>
            <w:r w:rsidRPr="009878DE">
              <w:rPr>
                <w:rFonts w:ascii="Garamond" w:hAnsi="Garamond"/>
                <w:lang w:val="en-AU"/>
              </w:rPr>
              <w:t>EuroGTP</w:t>
            </w:r>
            <w:proofErr w:type="spellEnd"/>
            <w:r w:rsidRPr="009878DE">
              <w:rPr>
                <w:rFonts w:ascii="Garamond" w:hAnsi="Garamond"/>
                <w:lang w:val="en-AU"/>
              </w:rPr>
              <w:t xml:space="preserve"> II Study Group</w:t>
            </w:r>
            <w:r>
              <w:rPr>
                <w:rFonts w:ascii="Garamond" w:hAnsi="Garamond"/>
                <w:lang w:val="en-AU"/>
              </w:rPr>
              <w:t>)</w:t>
            </w:r>
          </w:p>
          <w:p w:rsidR="009878DE" w:rsidRDefault="009878DE" w:rsidP="009878DE">
            <w:pPr>
              <w:pStyle w:val="ListParagraph"/>
              <w:numPr>
                <w:ilvl w:val="0"/>
                <w:numId w:val="14"/>
              </w:numPr>
              <w:rPr>
                <w:rFonts w:ascii="Garamond" w:hAnsi="Garamond"/>
                <w:lang w:val="en-AU"/>
              </w:rPr>
            </w:pPr>
            <w:r w:rsidRPr="009878DE">
              <w:rPr>
                <w:rFonts w:ascii="Garamond" w:hAnsi="Garamond"/>
                <w:lang w:val="en-AU"/>
              </w:rPr>
              <w:t xml:space="preserve">A RCT evaluating a pragmatic in-hospital service to increase the </w:t>
            </w:r>
            <w:r w:rsidRPr="009878DE">
              <w:rPr>
                <w:rFonts w:ascii="Garamond" w:hAnsi="Garamond"/>
                <w:b/>
                <w:lang w:val="en-AU"/>
              </w:rPr>
              <w:t>quality of discharge prescriptions</w:t>
            </w:r>
            <w:r w:rsidRPr="009878DE">
              <w:rPr>
                <w:rFonts w:ascii="Garamond" w:hAnsi="Garamond"/>
                <w:lang w:val="en-AU"/>
              </w:rPr>
              <w:t xml:space="preserve"> (Lea D </w:t>
            </w:r>
            <w:proofErr w:type="spellStart"/>
            <w:r w:rsidRPr="009878DE">
              <w:rPr>
                <w:rFonts w:ascii="Garamond" w:hAnsi="Garamond"/>
                <w:lang w:val="en-AU"/>
              </w:rPr>
              <w:t>Brühwiler</w:t>
            </w:r>
            <w:proofErr w:type="spellEnd"/>
            <w:r w:rsidRPr="009878DE">
              <w:rPr>
                <w:rFonts w:ascii="Garamond" w:hAnsi="Garamond"/>
                <w:lang w:val="en-AU"/>
              </w:rPr>
              <w:t xml:space="preserve">; Patrick E Beeler; </w:t>
            </w:r>
            <w:proofErr w:type="spellStart"/>
            <w:r w:rsidRPr="009878DE">
              <w:rPr>
                <w:rFonts w:ascii="Garamond" w:hAnsi="Garamond"/>
                <w:lang w:val="en-AU"/>
              </w:rPr>
              <w:t>Fabienne</w:t>
            </w:r>
            <w:proofErr w:type="spellEnd"/>
            <w:r w:rsidRPr="009878DE">
              <w:rPr>
                <w:rFonts w:ascii="Garamond" w:hAnsi="Garamond"/>
                <w:lang w:val="en-AU"/>
              </w:rPr>
              <w:t xml:space="preserve"> </w:t>
            </w:r>
            <w:proofErr w:type="spellStart"/>
            <w:r w:rsidRPr="009878DE">
              <w:rPr>
                <w:rFonts w:ascii="Garamond" w:hAnsi="Garamond"/>
                <w:lang w:val="en-AU"/>
              </w:rPr>
              <w:t>Böni</w:t>
            </w:r>
            <w:proofErr w:type="spellEnd"/>
            <w:r w:rsidRPr="009878DE">
              <w:rPr>
                <w:rFonts w:ascii="Garamond" w:hAnsi="Garamond"/>
                <w:lang w:val="en-AU"/>
              </w:rPr>
              <w:t xml:space="preserve">; </w:t>
            </w:r>
            <w:proofErr w:type="spellStart"/>
            <w:r w:rsidRPr="009878DE">
              <w:rPr>
                <w:rFonts w:ascii="Garamond" w:hAnsi="Garamond"/>
                <w:lang w:val="en-AU"/>
              </w:rPr>
              <w:t>Rebekka</w:t>
            </w:r>
            <w:proofErr w:type="spellEnd"/>
            <w:r w:rsidRPr="009878DE">
              <w:rPr>
                <w:rFonts w:ascii="Garamond" w:hAnsi="Garamond"/>
                <w:lang w:val="en-AU"/>
              </w:rPr>
              <w:t xml:space="preserve"> Giger; Peter G </w:t>
            </w:r>
            <w:proofErr w:type="spellStart"/>
            <w:r w:rsidRPr="009878DE">
              <w:rPr>
                <w:rFonts w:ascii="Garamond" w:hAnsi="Garamond"/>
                <w:lang w:val="en-AU"/>
              </w:rPr>
              <w:t>Wiedemeier</w:t>
            </w:r>
            <w:proofErr w:type="spellEnd"/>
            <w:r>
              <w:rPr>
                <w:rFonts w:ascii="Garamond" w:hAnsi="Garamond"/>
                <w:lang w:val="en-AU"/>
              </w:rPr>
              <w:t xml:space="preserve">; </w:t>
            </w:r>
            <w:r w:rsidRPr="009878DE">
              <w:rPr>
                <w:rFonts w:ascii="Garamond" w:hAnsi="Garamond"/>
                <w:lang w:val="en-AU"/>
              </w:rPr>
              <w:t xml:space="preserve">Kurt E </w:t>
            </w:r>
            <w:proofErr w:type="spellStart"/>
            <w:r w:rsidRPr="009878DE">
              <w:rPr>
                <w:rFonts w:ascii="Garamond" w:hAnsi="Garamond"/>
                <w:lang w:val="en-AU"/>
              </w:rPr>
              <w:t>Hersberger</w:t>
            </w:r>
            <w:proofErr w:type="spellEnd"/>
            <w:r>
              <w:rPr>
                <w:rFonts w:ascii="Garamond" w:hAnsi="Garamond"/>
                <w:lang w:val="en-AU"/>
              </w:rPr>
              <w:t>;</w:t>
            </w:r>
            <w:r w:rsidRPr="009878DE">
              <w:rPr>
                <w:rFonts w:ascii="Garamond" w:hAnsi="Garamond"/>
                <w:lang w:val="en-AU"/>
              </w:rPr>
              <w:t xml:space="preserve"> Monika </w:t>
            </w:r>
            <w:proofErr w:type="spellStart"/>
            <w:r w:rsidRPr="009878DE">
              <w:rPr>
                <w:rFonts w:ascii="Garamond" w:hAnsi="Garamond"/>
                <w:lang w:val="en-AU"/>
              </w:rPr>
              <w:t>Lutters</w:t>
            </w:r>
            <w:proofErr w:type="spellEnd"/>
            <w:r>
              <w:rPr>
                <w:rFonts w:ascii="Garamond" w:hAnsi="Garamond"/>
                <w:lang w:val="en-AU"/>
              </w:rPr>
              <w:t>)</w:t>
            </w:r>
          </w:p>
          <w:p w:rsidR="00753EA8" w:rsidRPr="00DA6435" w:rsidRDefault="009878DE" w:rsidP="009878DE">
            <w:pPr>
              <w:pStyle w:val="ListParagraph"/>
              <w:numPr>
                <w:ilvl w:val="0"/>
                <w:numId w:val="14"/>
              </w:numPr>
              <w:rPr>
                <w:rFonts w:ascii="Garamond" w:hAnsi="Garamond"/>
                <w:lang w:val="en-AU"/>
              </w:rPr>
            </w:pPr>
            <w:r w:rsidRPr="009878DE">
              <w:rPr>
                <w:rFonts w:ascii="Garamond" w:hAnsi="Garamond"/>
                <w:lang w:val="en-AU"/>
              </w:rPr>
              <w:t xml:space="preserve">Applying the </w:t>
            </w:r>
            <w:r w:rsidRPr="009878DE">
              <w:rPr>
                <w:rFonts w:ascii="Garamond" w:hAnsi="Garamond"/>
                <w:b/>
                <w:lang w:val="en-AU"/>
              </w:rPr>
              <w:t>triple bottom line of sustainability to healthcare research</w:t>
            </w:r>
            <w:r w:rsidRPr="009878DE">
              <w:rPr>
                <w:rFonts w:ascii="Garamond" w:hAnsi="Garamond"/>
                <w:lang w:val="en-AU"/>
              </w:rPr>
              <w:t xml:space="preserve">—a feasibility study </w:t>
            </w:r>
            <w:r>
              <w:rPr>
                <w:rFonts w:ascii="Garamond" w:hAnsi="Garamond"/>
                <w:lang w:val="en-AU"/>
              </w:rPr>
              <w:t>(</w:t>
            </w:r>
            <w:r w:rsidRPr="009878DE">
              <w:rPr>
                <w:rFonts w:ascii="Garamond" w:hAnsi="Garamond"/>
                <w:lang w:val="en-AU"/>
              </w:rPr>
              <w:t xml:space="preserve">Francis </w:t>
            </w:r>
            <w:proofErr w:type="spellStart"/>
            <w:r w:rsidRPr="009878DE">
              <w:rPr>
                <w:rFonts w:ascii="Garamond" w:hAnsi="Garamond"/>
                <w:lang w:val="en-AU"/>
              </w:rPr>
              <w:t>Vergunst</w:t>
            </w:r>
            <w:proofErr w:type="spellEnd"/>
            <w:r w:rsidRPr="009878DE">
              <w:rPr>
                <w:rFonts w:ascii="Garamond" w:hAnsi="Garamond"/>
                <w:lang w:val="en-AU"/>
              </w:rPr>
              <w:t xml:space="preserve">; Helen L Berry; </w:t>
            </w:r>
            <w:proofErr w:type="spellStart"/>
            <w:r w:rsidRPr="009878DE">
              <w:rPr>
                <w:rFonts w:ascii="Garamond" w:hAnsi="Garamond"/>
                <w:lang w:val="en-AU"/>
              </w:rPr>
              <w:t>Jorun</w:t>
            </w:r>
            <w:proofErr w:type="spellEnd"/>
            <w:r w:rsidRPr="009878DE">
              <w:rPr>
                <w:rFonts w:ascii="Garamond" w:hAnsi="Garamond"/>
                <w:lang w:val="en-AU"/>
              </w:rPr>
              <w:t xml:space="preserve"> </w:t>
            </w:r>
            <w:proofErr w:type="spellStart"/>
            <w:r w:rsidRPr="009878DE">
              <w:rPr>
                <w:rFonts w:ascii="Garamond" w:hAnsi="Garamond"/>
                <w:lang w:val="en-AU"/>
              </w:rPr>
              <w:t>Rugkåsa</w:t>
            </w:r>
            <w:proofErr w:type="spellEnd"/>
            <w:r w:rsidRPr="009878DE">
              <w:rPr>
                <w:rFonts w:ascii="Garamond" w:hAnsi="Garamond"/>
                <w:lang w:val="en-AU"/>
              </w:rPr>
              <w:t xml:space="preserve">; Tom Burns; Andrew </w:t>
            </w:r>
            <w:proofErr w:type="spellStart"/>
            <w:r w:rsidRPr="009878DE">
              <w:rPr>
                <w:rFonts w:ascii="Garamond" w:hAnsi="Garamond"/>
                <w:lang w:val="en-AU"/>
              </w:rPr>
              <w:t>Molodynski</w:t>
            </w:r>
            <w:proofErr w:type="spellEnd"/>
            <w:r>
              <w:rPr>
                <w:rFonts w:ascii="Garamond" w:hAnsi="Garamond"/>
                <w:lang w:val="en-AU"/>
              </w:rPr>
              <w:t xml:space="preserve">; </w:t>
            </w:r>
            <w:r w:rsidRPr="009878DE">
              <w:rPr>
                <w:rFonts w:ascii="Garamond" w:hAnsi="Garamond"/>
                <w:lang w:val="en-AU"/>
              </w:rPr>
              <w:t xml:space="preserve">Daniel L </w:t>
            </w:r>
            <w:proofErr w:type="spellStart"/>
            <w:r w:rsidRPr="009878DE">
              <w:rPr>
                <w:rFonts w:ascii="Garamond" w:hAnsi="Garamond"/>
                <w:lang w:val="en-AU"/>
              </w:rPr>
              <w:t>Maughan</w:t>
            </w:r>
            <w:proofErr w:type="spellEnd"/>
            <w:r>
              <w:rPr>
                <w:rFonts w:ascii="Garamond" w:hAnsi="Garamond"/>
                <w:lang w:val="en-AU"/>
              </w:rPr>
              <w:t>)</w:t>
            </w:r>
          </w:p>
        </w:tc>
      </w:tr>
    </w:tbl>
    <w:p w:rsidR="009878DE" w:rsidRDefault="009878DE" w:rsidP="00070CFE">
      <w:pPr>
        <w:rPr>
          <w:rFonts w:ascii="Garamond" w:hAnsi="Garamond"/>
          <w:lang w:val="en-AU"/>
        </w:rPr>
      </w:pPr>
    </w:p>
    <w:p w:rsidR="009878DE" w:rsidRDefault="009878DE" w:rsidP="00070CFE">
      <w:pPr>
        <w:rPr>
          <w:rFonts w:ascii="Garamond" w:hAnsi="Garamond"/>
          <w:lang w:val="en-AU"/>
        </w:rPr>
      </w:pPr>
    </w:p>
    <w:p w:rsidR="009878DE" w:rsidRPr="009878DE" w:rsidRDefault="009878DE" w:rsidP="00070CFE">
      <w:pPr>
        <w:rPr>
          <w:rFonts w:ascii="Garamond" w:hAnsi="Garamond"/>
          <w:lang w:val="en-AU"/>
        </w:rPr>
      </w:pPr>
    </w:p>
    <w:p w:rsidR="007348F9" w:rsidRDefault="007348F9">
      <w:pPr>
        <w:rPr>
          <w:rFonts w:ascii="Garamond" w:hAnsi="Garamond"/>
          <w:b/>
          <w:lang w:val="en-AU"/>
        </w:rPr>
      </w:pPr>
      <w:r>
        <w:rPr>
          <w:rFonts w:ascii="Garamond" w:hAnsi="Garamond"/>
          <w:b/>
          <w:lang w:val="en-AU"/>
        </w:rPr>
        <w:br w:type="page"/>
      </w:r>
    </w:p>
    <w:p w:rsidR="00E7643F" w:rsidRPr="001C0CF1" w:rsidRDefault="001C0CF1" w:rsidP="00070CFE">
      <w:pPr>
        <w:rPr>
          <w:rFonts w:ascii="Garamond" w:hAnsi="Garamond"/>
          <w:b/>
          <w:lang w:val="en-AU"/>
        </w:rPr>
      </w:pPr>
      <w:r w:rsidRPr="001C0CF1">
        <w:rPr>
          <w:rFonts w:ascii="Garamond" w:hAnsi="Garamond"/>
          <w:b/>
          <w:lang w:val="en-AU"/>
        </w:rPr>
        <w:lastRenderedPageBreak/>
        <w:t>Online resources</w:t>
      </w:r>
    </w:p>
    <w:p w:rsidR="00F44FEC" w:rsidRDefault="00F44FEC" w:rsidP="000210FE">
      <w:pPr>
        <w:keepNext/>
        <w:keepLines/>
        <w:rPr>
          <w:rFonts w:ascii="Garamond" w:hAnsi="Garamond"/>
          <w:i/>
          <w:lang w:val="en-AU"/>
        </w:rPr>
      </w:pPr>
    </w:p>
    <w:p w:rsidR="00115A17" w:rsidRPr="000170DA" w:rsidRDefault="00115A17" w:rsidP="00115A17">
      <w:pPr>
        <w:keepNext/>
        <w:keepLines/>
        <w:rPr>
          <w:rFonts w:ascii="Garamond" w:hAnsi="Garamond"/>
          <w:i/>
          <w:lang w:val="en-AU"/>
        </w:rPr>
      </w:pPr>
      <w:r w:rsidRPr="000170DA">
        <w:rPr>
          <w:rFonts w:ascii="Garamond" w:hAnsi="Garamond"/>
          <w:i/>
          <w:lang w:val="en-AU"/>
        </w:rPr>
        <w:t>[USA] Effective Health Care Program reports</w:t>
      </w:r>
    </w:p>
    <w:bookmarkStart w:id="1" w:name="_GoBack"/>
    <w:p w:rsidR="00115A17" w:rsidRPr="000170DA" w:rsidRDefault="00EF5DB4" w:rsidP="00115A17">
      <w:pPr>
        <w:keepNext/>
        <w:keepLines/>
        <w:rPr>
          <w:rFonts w:ascii="Garamond" w:hAnsi="Garamond"/>
          <w:u w:val="single"/>
          <w:lang w:val="en-AU"/>
        </w:rPr>
      </w:pPr>
      <w:r>
        <w:fldChar w:fldCharType="begin"/>
      </w:r>
      <w:r>
        <w:instrText xml:space="preserve"> HYPERLINK "https://effectivehealthcare.ahrq.gov/" </w:instrText>
      </w:r>
      <w:r>
        <w:fldChar w:fldCharType="separate"/>
      </w:r>
      <w:r w:rsidR="00115A17" w:rsidRPr="000170DA">
        <w:rPr>
          <w:rStyle w:val="Hyperlink"/>
          <w:rFonts w:ascii="Garamond" w:hAnsi="Garamond"/>
          <w:lang w:val="en-AU"/>
        </w:rPr>
        <w:t>https://effectivehealthcare.ahrq.gov/</w:t>
      </w:r>
      <w:r>
        <w:rPr>
          <w:rStyle w:val="Hyperlink"/>
          <w:rFonts w:ascii="Garamond" w:hAnsi="Garamond"/>
          <w:lang w:val="en-AU"/>
        </w:rPr>
        <w:fldChar w:fldCharType="end"/>
      </w:r>
    </w:p>
    <w:p w:rsidR="00115A17" w:rsidRDefault="00115A17" w:rsidP="00115A17">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115A17" w:rsidRDefault="00115A17" w:rsidP="00115A17">
      <w:pPr>
        <w:pStyle w:val="ListParagraph"/>
        <w:keepNext/>
        <w:keepLines/>
        <w:numPr>
          <w:ilvl w:val="0"/>
          <w:numId w:val="14"/>
        </w:numPr>
        <w:rPr>
          <w:rFonts w:ascii="Garamond" w:hAnsi="Garamond"/>
          <w:lang w:val="en-AU"/>
        </w:rPr>
      </w:pPr>
      <w:r w:rsidRPr="00115A17">
        <w:rPr>
          <w:rFonts w:ascii="Garamond" w:hAnsi="Garamond"/>
          <w:i/>
          <w:lang w:val="en-AU"/>
        </w:rPr>
        <w:t xml:space="preserve">Management of </w:t>
      </w:r>
      <w:r w:rsidRPr="00115A17">
        <w:rPr>
          <w:rFonts w:ascii="Garamond" w:hAnsi="Garamond"/>
          <w:b/>
          <w:i/>
          <w:lang w:val="en-AU"/>
        </w:rPr>
        <w:t>Infertility</w:t>
      </w:r>
      <w:r>
        <w:rPr>
          <w:rFonts w:ascii="Garamond" w:hAnsi="Garamond"/>
          <w:lang w:val="en-AU"/>
        </w:rPr>
        <w:t xml:space="preserve"> </w:t>
      </w:r>
      <w:hyperlink r:id="rId26" w:history="1">
        <w:r w:rsidRPr="00317032">
          <w:rPr>
            <w:rStyle w:val="Hyperlink"/>
            <w:rFonts w:ascii="Garamond" w:hAnsi="Garamond"/>
            <w:lang w:val="en-AU"/>
          </w:rPr>
          <w:t>https://effectivehealthcare.ahrq.gov/topics/infertility/research</w:t>
        </w:r>
      </w:hyperlink>
    </w:p>
    <w:p w:rsidR="00EF0265" w:rsidRPr="00EF0265" w:rsidRDefault="00EF0265" w:rsidP="00EF0265">
      <w:pPr>
        <w:pStyle w:val="ListParagraph"/>
        <w:keepNext/>
        <w:keepLines/>
        <w:numPr>
          <w:ilvl w:val="0"/>
          <w:numId w:val="14"/>
        </w:numPr>
        <w:rPr>
          <w:rFonts w:ascii="Garamond" w:hAnsi="Garamond"/>
          <w:i/>
          <w:lang w:val="en-AU"/>
        </w:rPr>
      </w:pPr>
      <w:r w:rsidRPr="00EF0265">
        <w:rPr>
          <w:rFonts w:ascii="Garamond" w:hAnsi="Garamond"/>
          <w:i/>
          <w:lang w:val="en-AU"/>
        </w:rPr>
        <w:t xml:space="preserve">Pharmacologic and </w:t>
      </w:r>
      <w:proofErr w:type="spellStart"/>
      <w:r w:rsidRPr="00EF0265">
        <w:rPr>
          <w:rFonts w:ascii="Garamond" w:hAnsi="Garamond"/>
          <w:i/>
          <w:lang w:val="en-AU"/>
        </w:rPr>
        <w:t>Nonpharmacologic</w:t>
      </w:r>
      <w:proofErr w:type="spellEnd"/>
      <w:r w:rsidRPr="00EF0265">
        <w:rPr>
          <w:rFonts w:ascii="Garamond" w:hAnsi="Garamond"/>
          <w:i/>
          <w:lang w:val="en-AU"/>
        </w:rPr>
        <w:t xml:space="preserve"> Treatments for </w:t>
      </w:r>
      <w:r w:rsidRPr="00EF0265">
        <w:rPr>
          <w:rFonts w:ascii="Garamond" w:hAnsi="Garamond"/>
          <w:b/>
          <w:i/>
          <w:lang w:val="en-AU"/>
        </w:rPr>
        <w:t>Posttraumatic Stress Disorder</w:t>
      </w:r>
      <w:r w:rsidRPr="00EF0265">
        <w:rPr>
          <w:rFonts w:ascii="Garamond" w:hAnsi="Garamond"/>
          <w:i/>
          <w:lang w:val="en-AU"/>
        </w:rPr>
        <w:t xml:space="preserve"> </w:t>
      </w:r>
      <w:hyperlink r:id="rId27" w:history="1">
        <w:r w:rsidRPr="00317032">
          <w:rPr>
            <w:rStyle w:val="Hyperlink"/>
            <w:rFonts w:ascii="Garamond" w:hAnsi="Garamond"/>
            <w:lang w:val="en-AU"/>
          </w:rPr>
          <w:t>https://effectivehealthcare.ahrq.gov/topics/ptsd-pharm-treatment/research</w:t>
        </w:r>
      </w:hyperlink>
    </w:p>
    <w:bookmarkEnd w:id="1"/>
    <w:p w:rsidR="00115A17" w:rsidRPr="00EF0265" w:rsidRDefault="00115A17" w:rsidP="000210FE">
      <w:pPr>
        <w:keepNext/>
        <w:keepLines/>
        <w:rPr>
          <w:rFonts w:ascii="Garamond" w:hAnsi="Garamond"/>
          <w:lang w:val="en-AU"/>
        </w:rPr>
      </w:pPr>
    </w:p>
    <w:p w:rsidR="00882FD6" w:rsidRDefault="00882FD6" w:rsidP="000210FE">
      <w:pPr>
        <w:keepNext/>
        <w:keepLines/>
        <w:rPr>
          <w:rFonts w:ascii="Garamond" w:hAnsi="Garamond"/>
          <w:i/>
          <w:lang w:val="en-AU"/>
        </w:rPr>
      </w:pPr>
    </w:p>
    <w:p w:rsidR="00624648" w:rsidRPr="00BD76EB" w:rsidRDefault="00624648" w:rsidP="00BD76EB">
      <w:pPr>
        <w:keepNext/>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28"/>
      <w:footerReference w:type="default" r:id="rId2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731" w:rsidRDefault="00F27731">
      <w:r>
        <w:separator/>
      </w:r>
    </w:p>
  </w:endnote>
  <w:endnote w:type="continuationSeparator" w:id="0">
    <w:p w:rsidR="00F27731" w:rsidRDefault="00F2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31" w:rsidRDefault="00F27731"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F5DB4">
      <w:rPr>
        <w:rStyle w:val="PageNumber"/>
        <w:noProof/>
      </w:rPr>
      <w:t>6</w:t>
    </w:r>
    <w:r>
      <w:rPr>
        <w:rStyle w:val="PageNumber"/>
      </w:rPr>
      <w:fldChar w:fldCharType="end"/>
    </w:r>
  </w:p>
  <w:p w:rsidR="00F27731" w:rsidRPr="001E78F0" w:rsidRDefault="00F27731"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2422CA">
      <w:rPr>
        <w:rFonts w:ascii="Garamond" w:hAnsi="Garamond"/>
      </w:rPr>
      <w:t xml:space="preserve"> Issue 41</w:t>
    </w:r>
    <w:r w:rsidR="00D5034D">
      <w:rPr>
        <w:rFonts w:ascii="Garamond" w:hAnsi="Garamond"/>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31" w:rsidRPr="001E78F0" w:rsidRDefault="00F27731"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EF5DB4">
      <w:rPr>
        <w:rStyle w:val="PageNumber"/>
        <w:rFonts w:ascii="Garamond" w:hAnsi="Garamond"/>
        <w:noProof/>
      </w:rPr>
      <w:t>5</w:t>
    </w:r>
    <w:r w:rsidRPr="001E78F0">
      <w:rPr>
        <w:rStyle w:val="PageNumber"/>
        <w:rFonts w:ascii="Garamond" w:hAnsi="Garamond"/>
      </w:rPr>
      <w:fldChar w:fldCharType="end"/>
    </w:r>
  </w:p>
  <w:p w:rsidR="00F27731" w:rsidRPr="001E78F0" w:rsidRDefault="00F27731"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D5034D">
      <w:rPr>
        <w:rFonts w:ascii="Garamond" w:hAnsi="Garamond"/>
      </w:rPr>
      <w:t xml:space="preserve"> Issue 417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731" w:rsidRDefault="00F27731">
      <w:r>
        <w:separator/>
      </w:r>
    </w:p>
  </w:footnote>
  <w:footnote w:type="continuationSeparator" w:id="0">
    <w:p w:rsidR="00F27731" w:rsidRDefault="00F27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674E3B"/>
    <w:multiLevelType w:val="hybridMultilevel"/>
    <w:tmpl w:val="3E2806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3E1699F"/>
    <w:multiLevelType w:val="hybridMultilevel"/>
    <w:tmpl w:val="82546F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372F0D"/>
    <w:multiLevelType w:val="hybridMultilevel"/>
    <w:tmpl w:val="9A94A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BF63F5"/>
    <w:multiLevelType w:val="hybridMultilevel"/>
    <w:tmpl w:val="3562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DF42A6"/>
    <w:multiLevelType w:val="hybridMultilevel"/>
    <w:tmpl w:val="17742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D5C24D3"/>
    <w:multiLevelType w:val="hybridMultilevel"/>
    <w:tmpl w:val="F7CC1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91612AB"/>
    <w:multiLevelType w:val="hybridMultilevel"/>
    <w:tmpl w:val="9E4AE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6"/>
  </w:num>
  <w:num w:numId="15">
    <w:abstractNumId w:val="11"/>
  </w:num>
  <w:num w:numId="16">
    <w:abstractNumId w:val="10"/>
  </w:num>
  <w:num w:numId="17">
    <w:abstractNumId w:val="18"/>
  </w:num>
  <w:num w:numId="18">
    <w:abstractNumId w:val="14"/>
  </w:num>
  <w:num w:numId="19">
    <w:abstractNumId w:val="13"/>
  </w:num>
  <w:num w:numId="20">
    <w:abstractNumId w:val="12"/>
  </w:num>
  <w:num w:numId="21">
    <w:abstractNumId w:val="21"/>
  </w:num>
  <w:num w:numId="2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87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0A07"/>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9"/>
    <w:rsid w:val="000A12DF"/>
    <w:rsid w:val="000A155F"/>
    <w:rsid w:val="000A1742"/>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A17"/>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48F"/>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29D"/>
    <w:rsid w:val="002373FA"/>
    <w:rsid w:val="0023774E"/>
    <w:rsid w:val="00237877"/>
    <w:rsid w:val="0023797C"/>
    <w:rsid w:val="00237EAA"/>
    <w:rsid w:val="002402AE"/>
    <w:rsid w:val="00240CFC"/>
    <w:rsid w:val="002410E4"/>
    <w:rsid w:val="002411AE"/>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6EC"/>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5DC"/>
    <w:rsid w:val="00362617"/>
    <w:rsid w:val="00362938"/>
    <w:rsid w:val="00362B77"/>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6AE"/>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B6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5BF"/>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772"/>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8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BA2"/>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8F9"/>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B7BAB"/>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5D"/>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8DE"/>
    <w:rsid w:val="0098795D"/>
    <w:rsid w:val="00987DD8"/>
    <w:rsid w:val="00987DF9"/>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BD3"/>
    <w:rsid w:val="00A12DB6"/>
    <w:rsid w:val="00A12FE9"/>
    <w:rsid w:val="00A1307F"/>
    <w:rsid w:val="00A133FD"/>
    <w:rsid w:val="00A1372A"/>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6E35"/>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701D"/>
    <w:rsid w:val="00B77326"/>
    <w:rsid w:val="00B7747F"/>
    <w:rsid w:val="00B77579"/>
    <w:rsid w:val="00B7762D"/>
    <w:rsid w:val="00B777D0"/>
    <w:rsid w:val="00B778AF"/>
    <w:rsid w:val="00B77A54"/>
    <w:rsid w:val="00B77B98"/>
    <w:rsid w:val="00B77CAD"/>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D68"/>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400"/>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57F"/>
    <w:rsid w:val="00D47772"/>
    <w:rsid w:val="00D47D0C"/>
    <w:rsid w:val="00D47FD2"/>
    <w:rsid w:val="00D50074"/>
    <w:rsid w:val="00D501B6"/>
    <w:rsid w:val="00D5034D"/>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790"/>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82C"/>
    <w:rsid w:val="00DE0C66"/>
    <w:rsid w:val="00DE0C8E"/>
    <w:rsid w:val="00DE0E6C"/>
    <w:rsid w:val="00DE0EF7"/>
    <w:rsid w:val="00DE0F38"/>
    <w:rsid w:val="00DE10EE"/>
    <w:rsid w:val="00DE1188"/>
    <w:rsid w:val="00DE1395"/>
    <w:rsid w:val="00DE1500"/>
    <w:rsid w:val="00DE174E"/>
    <w:rsid w:val="00DE1A97"/>
    <w:rsid w:val="00DE1B36"/>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802"/>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EF0"/>
    <w:rsid w:val="00E02100"/>
    <w:rsid w:val="00E021D6"/>
    <w:rsid w:val="00E0265D"/>
    <w:rsid w:val="00E0292E"/>
    <w:rsid w:val="00E030C3"/>
    <w:rsid w:val="00E0331A"/>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5A"/>
    <w:rsid w:val="00E14CAD"/>
    <w:rsid w:val="00E14D42"/>
    <w:rsid w:val="00E150D0"/>
    <w:rsid w:val="00E151AE"/>
    <w:rsid w:val="00E15653"/>
    <w:rsid w:val="00E158AE"/>
    <w:rsid w:val="00E15D5B"/>
    <w:rsid w:val="00E15E79"/>
    <w:rsid w:val="00E16364"/>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57"/>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265"/>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9D0"/>
    <w:rsid w:val="00EF5DB4"/>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183"/>
    <w:rsid w:val="00F97235"/>
    <w:rsid w:val="00F976AD"/>
    <w:rsid w:val="00F97C5F"/>
    <w:rsid w:val="00F97D61"/>
    <w:rsid w:val="00F97D70"/>
    <w:rsid w:val="00FA0C54"/>
    <w:rsid w:val="00FA0CB1"/>
    <w:rsid w:val="00FA0D21"/>
    <w:rsid w:val="00FA0E88"/>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663"/>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87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248469544">
                  <w:marLeft w:val="0"/>
                  <w:marRight w:val="0"/>
                  <w:marTop w:val="0"/>
                  <w:marBottom w:val="0"/>
                  <w:divBdr>
                    <w:top w:val="none" w:sz="0" w:space="0" w:color="auto"/>
                    <w:left w:val="none" w:sz="0" w:space="0" w:color="auto"/>
                    <w:bottom w:val="none" w:sz="0" w:space="0" w:color="auto"/>
                    <w:right w:val="none" w:sz="0" w:space="0" w:color="auto"/>
                  </w:divBdr>
                </w:div>
                <w:div w:id="97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1474560435">
                  <w:marLeft w:val="0"/>
                  <w:marRight w:val="0"/>
                  <w:marTop w:val="0"/>
                  <w:marBottom w:val="0"/>
                  <w:divBdr>
                    <w:top w:val="none" w:sz="0" w:space="0" w:color="auto"/>
                    <w:left w:val="none" w:sz="0" w:space="0" w:color="auto"/>
                    <w:bottom w:val="none" w:sz="0" w:space="0" w:color="auto"/>
                    <w:right w:val="none" w:sz="0" w:space="0" w:color="auto"/>
                  </w:divBdr>
                </w:div>
                <w:div w:id="838620169">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974480611">
                  <w:marLeft w:val="0"/>
                  <w:marRight w:val="0"/>
                  <w:marTop w:val="0"/>
                  <w:marBottom w:val="0"/>
                  <w:divBdr>
                    <w:top w:val="none" w:sz="0" w:space="0" w:color="auto"/>
                    <w:left w:val="none" w:sz="0" w:space="0" w:color="auto"/>
                    <w:bottom w:val="none" w:sz="0" w:space="0" w:color="auto"/>
                    <w:right w:val="none" w:sz="0" w:space="0" w:color="auto"/>
                  </w:divBdr>
                </w:div>
                <w:div w:id="16399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378820010">
                  <w:marLeft w:val="0"/>
                  <w:marRight w:val="0"/>
                  <w:marTop w:val="0"/>
                  <w:marBottom w:val="0"/>
                  <w:divBdr>
                    <w:top w:val="none" w:sz="0" w:space="0" w:color="auto"/>
                    <w:left w:val="none" w:sz="0" w:space="0" w:color="auto"/>
                    <w:bottom w:val="none" w:sz="0" w:space="0" w:color="auto"/>
                    <w:right w:val="none" w:sz="0" w:space="0" w:color="auto"/>
                  </w:divBdr>
                </w:div>
                <w:div w:id="1659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860729366">
                  <w:marLeft w:val="0"/>
                  <w:marRight w:val="0"/>
                  <w:marTop w:val="0"/>
                  <w:marBottom w:val="0"/>
                  <w:divBdr>
                    <w:top w:val="none" w:sz="0" w:space="0" w:color="auto"/>
                    <w:left w:val="none" w:sz="0" w:space="0" w:color="auto"/>
                    <w:bottom w:val="none" w:sz="0" w:space="0" w:color="auto"/>
                    <w:right w:val="none" w:sz="0" w:space="0" w:color="auto"/>
                  </w:divBdr>
                </w:div>
                <w:div w:id="11577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1596012815">
                  <w:marLeft w:val="0"/>
                  <w:marRight w:val="0"/>
                  <w:marTop w:val="0"/>
                  <w:marBottom w:val="0"/>
                  <w:divBdr>
                    <w:top w:val="none" w:sz="0" w:space="0" w:color="auto"/>
                    <w:left w:val="none" w:sz="0" w:space="0" w:color="auto"/>
                    <w:bottom w:val="none" w:sz="0" w:space="0" w:color="auto"/>
                    <w:right w:val="none" w:sz="0" w:space="0" w:color="auto"/>
                  </w:divBdr>
                </w:div>
                <w:div w:id="5102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838540941">
                  <w:marLeft w:val="0"/>
                  <w:marRight w:val="0"/>
                  <w:marTop w:val="0"/>
                  <w:marBottom w:val="0"/>
                  <w:divBdr>
                    <w:top w:val="none" w:sz="0" w:space="0" w:color="auto"/>
                    <w:left w:val="none" w:sz="0" w:space="0" w:color="auto"/>
                    <w:bottom w:val="none" w:sz="0" w:space="0" w:color="auto"/>
                    <w:right w:val="none" w:sz="0" w:space="0" w:color="auto"/>
                  </w:divBdr>
                </w:div>
                <w:div w:id="3156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image" Target="media/image2.jpeg"/><Relationship Id="rId26" Type="http://schemas.openxmlformats.org/officeDocument/2006/relationships/hyperlink" Target="https://effectivehealthcare.ahrq.gov/topics/infertility/research" TargetMode="External"/><Relationship Id="rId3" Type="http://schemas.openxmlformats.org/officeDocument/2006/relationships/styles" Target="styles.xml"/><Relationship Id="rId21" Type="http://schemas.openxmlformats.org/officeDocument/2006/relationships/hyperlink" Target="https://www.ohe.org/publications/indication-based-pricing-ibp-discussion-paper-should-drug-prices-differ-indication"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aura2019" TargetMode="External"/><Relationship Id="rId25" Type="http://schemas.openxmlformats.org/officeDocument/2006/relationships/hyperlink" Target="https://academic.oup.com/intqhc/advance-articles" TargetMode="External"/><Relationship Id="rId2" Type="http://schemas.openxmlformats.org/officeDocument/2006/relationships/numbering" Target="numbering.xml"/><Relationship Id="rId16" Type="http://schemas.openxmlformats.org/officeDocument/2006/relationships/hyperlink" Target="https://www.safetyandquality.gov.au/antimicrobial-use-and-resistance-in-australia/aura-2019/" TargetMode="External"/><Relationship Id="rId20" Type="http://schemas.openxmlformats.org/officeDocument/2006/relationships/image" Target="media/image3.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journals.sagepub.com/toc/ajmb/34/3"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doi.org/10.1097/PTS.0000000000000587" TargetMode="External"/><Relationship Id="rId28" Type="http://schemas.openxmlformats.org/officeDocument/2006/relationships/footer" Target="footer1.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health.org.uk/publications/reports/the-improvement-journey"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doi.org/10.1016/j.jamcollsurg.2019.02.046" TargetMode="External"/><Relationship Id="rId27" Type="http://schemas.openxmlformats.org/officeDocument/2006/relationships/hyperlink" Target="https://effectivehealthcare.ahrq.gov/topics/ptsd-pharm-treatment/research"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B5BE4-57B3-45F1-AD3B-99D6247F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6</Pages>
  <Words>2123</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On the Radar Issue 416</vt:lpstr>
    </vt:vector>
  </TitlesOfParts>
  <Company>DHA</Company>
  <LinksUpToDate>false</LinksUpToDate>
  <CharactersWithSpaces>14202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416</dc:title>
  <dc:creator>johnni;Dr Niall Johnson</dc:creator>
  <cp:lastModifiedBy>Niall Johnson</cp:lastModifiedBy>
  <cp:revision>9</cp:revision>
  <cp:lastPrinted>2018-03-02T02:34:00Z</cp:lastPrinted>
  <dcterms:created xsi:type="dcterms:W3CDTF">2019-05-12T23:35:00Z</dcterms:created>
  <dcterms:modified xsi:type="dcterms:W3CDTF">2019-05-17T05:09:00Z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