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0170DA" w:rsidRDefault="00824B99" w:rsidP="00AF058F">
      <w:pPr>
        <w:pStyle w:val="Heading1"/>
        <w:ind w:left="2880" w:hanging="288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672D42">
        <w:rPr>
          <w:rFonts w:ascii="Garamond" w:hAnsi="Garamond"/>
          <w:lang w:val="en-AU"/>
        </w:rPr>
        <w:t>20</w:t>
      </w:r>
    </w:p>
    <w:p w:rsidR="00755242" w:rsidRDefault="00803F35" w:rsidP="00F738B5">
      <w:pPr>
        <w:rPr>
          <w:rFonts w:ascii="Garamond" w:hAnsi="Garamond"/>
          <w:lang w:val="en-AU"/>
        </w:rPr>
      </w:pPr>
      <w:r>
        <w:rPr>
          <w:rFonts w:ascii="Garamond" w:hAnsi="Garamond"/>
          <w:lang w:val="en-AU"/>
        </w:rPr>
        <w:t>Tuesday 11</w:t>
      </w:r>
      <w:r w:rsidR="00227602">
        <w:rPr>
          <w:rFonts w:ascii="Garamond" w:hAnsi="Garamond"/>
          <w:lang w:val="en-AU"/>
        </w:rPr>
        <w:t xml:space="preserve"> June </w:t>
      </w:r>
      <w:r w:rsidR="006C06FF">
        <w:rPr>
          <w:rFonts w:ascii="Garamond" w:hAnsi="Garamond"/>
          <w:lang w:val="en-AU"/>
        </w:rPr>
        <w:t>2019</w:t>
      </w:r>
    </w:p>
    <w:p w:rsidR="00D84575" w:rsidRDefault="00D84575" w:rsidP="00F738B5">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F86E13" w:rsidRDefault="00B160EF" w:rsidP="0045757F">
      <w:pPr>
        <w:autoSpaceDE w:val="0"/>
        <w:rPr>
          <w:rStyle w:val="Hyperlink"/>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0"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55445F" w:rsidRDefault="0055445F">
      <w:pPr>
        <w:rPr>
          <w:rFonts w:ascii="Garamond" w:hAnsi="Garamond"/>
          <w:b/>
          <w:lang w:val="en-AU"/>
        </w:rPr>
      </w:pPr>
    </w:p>
    <w:p w:rsidR="00275EBC" w:rsidRDefault="00275EBC">
      <w:pPr>
        <w:rPr>
          <w:rFonts w:ascii="Garamond" w:hAnsi="Garamond"/>
          <w:b/>
          <w:lang w:val="en-AU"/>
        </w:rPr>
      </w:pPr>
    </w:p>
    <w:p w:rsidR="00282D29" w:rsidRDefault="00282D29">
      <w:pPr>
        <w:rPr>
          <w:rFonts w:ascii="Garamond" w:hAnsi="Garamond"/>
          <w:b/>
          <w:lang w:val="en-AU"/>
        </w:rPr>
      </w:pPr>
      <w:r>
        <w:rPr>
          <w:rFonts w:ascii="Garamond" w:hAnsi="Garamond"/>
          <w:b/>
          <w:lang w:val="en-AU"/>
        </w:rPr>
        <w:t>Reports</w:t>
      </w:r>
    </w:p>
    <w:p w:rsidR="00924D4C" w:rsidRDefault="00924D4C" w:rsidP="00924D4C">
      <w:pPr>
        <w:keepLines/>
        <w:autoSpaceDE w:val="0"/>
        <w:autoSpaceDN w:val="0"/>
        <w:adjustRightInd w:val="0"/>
        <w:rPr>
          <w:rFonts w:ascii="Garamond" w:hAnsi="Garamond"/>
          <w:lang w:val="en-AU"/>
        </w:rPr>
      </w:pPr>
    </w:p>
    <w:p w:rsidR="001372EF" w:rsidRPr="001372EF" w:rsidRDefault="001372EF" w:rsidP="001372EF">
      <w:pPr>
        <w:keepLines/>
        <w:autoSpaceDE w:val="0"/>
        <w:autoSpaceDN w:val="0"/>
        <w:adjustRightInd w:val="0"/>
        <w:rPr>
          <w:rFonts w:ascii="Garamond" w:hAnsi="Garamond"/>
          <w:i/>
          <w:lang w:val="en-AU"/>
        </w:rPr>
      </w:pPr>
      <w:r w:rsidRPr="001372EF">
        <w:rPr>
          <w:rFonts w:ascii="Garamond" w:hAnsi="Garamond"/>
          <w:i/>
          <w:lang w:val="en-AU"/>
        </w:rPr>
        <w:t>Towards quality improvement at scale in the New Zealand primary care setting: Findings from consumer and health service engagement</w:t>
      </w:r>
    </w:p>
    <w:p w:rsidR="001372EF" w:rsidRDefault="001372EF" w:rsidP="002422CA">
      <w:pPr>
        <w:keepLines/>
        <w:autoSpaceDE w:val="0"/>
        <w:autoSpaceDN w:val="0"/>
        <w:adjustRightInd w:val="0"/>
        <w:rPr>
          <w:rFonts w:ascii="Garamond" w:hAnsi="Garamond"/>
          <w:lang w:val="en-AU"/>
        </w:rPr>
      </w:pPr>
      <w:r w:rsidRPr="001372EF">
        <w:rPr>
          <w:rFonts w:ascii="Garamond" w:hAnsi="Garamond"/>
          <w:lang w:val="en-AU"/>
        </w:rPr>
        <w:t>Wells S</w:t>
      </w:r>
    </w:p>
    <w:p w:rsidR="007C5E85" w:rsidRDefault="001372EF" w:rsidP="002422CA">
      <w:pPr>
        <w:keepLines/>
        <w:autoSpaceDE w:val="0"/>
        <w:autoSpaceDN w:val="0"/>
        <w:adjustRightInd w:val="0"/>
        <w:rPr>
          <w:rFonts w:ascii="Garamond" w:hAnsi="Garamond"/>
          <w:lang w:val="en-AU"/>
        </w:rPr>
      </w:pPr>
      <w:r w:rsidRPr="001372EF">
        <w:rPr>
          <w:rFonts w:ascii="Garamond" w:hAnsi="Garamond"/>
          <w:lang w:val="en-AU"/>
        </w:rPr>
        <w:t>Wellington: Health Quality &amp; Safety Commi</w:t>
      </w:r>
      <w:r w:rsidR="003B4228">
        <w:rPr>
          <w:rFonts w:ascii="Garamond" w:hAnsi="Garamond"/>
          <w:lang w:val="en-AU"/>
        </w:rPr>
        <w:t>s</w:t>
      </w:r>
      <w:r w:rsidRPr="001372EF">
        <w:rPr>
          <w:rFonts w:ascii="Garamond" w:hAnsi="Garamond"/>
          <w:lang w:val="en-AU"/>
        </w:rPr>
        <w:t>sion New Zealand; 2019. p. 45.</w:t>
      </w:r>
    </w:p>
    <w:tbl>
      <w:tblPr>
        <w:tblStyle w:val="TableGrid"/>
        <w:tblW w:w="0" w:type="auto"/>
        <w:tblInd w:w="288" w:type="dxa"/>
        <w:tblLayout w:type="fixed"/>
        <w:tblLook w:val="01E0" w:firstRow="1" w:lastRow="1" w:firstColumn="1" w:lastColumn="1" w:noHBand="0" w:noVBand="0"/>
      </w:tblPr>
      <w:tblGrid>
        <w:gridCol w:w="1080"/>
        <w:gridCol w:w="8280"/>
      </w:tblGrid>
      <w:tr w:rsidR="002422CA" w:rsidRPr="000170DA" w:rsidTr="00556B7F">
        <w:tc>
          <w:tcPr>
            <w:tcW w:w="1080" w:type="dxa"/>
            <w:tcBorders>
              <w:top w:val="single" w:sz="4" w:space="0" w:color="auto"/>
              <w:left w:val="single" w:sz="4" w:space="0" w:color="auto"/>
              <w:bottom w:val="single" w:sz="4" w:space="0" w:color="auto"/>
              <w:right w:val="single" w:sz="4" w:space="0" w:color="auto"/>
            </w:tcBorders>
            <w:vAlign w:val="center"/>
          </w:tcPr>
          <w:p w:rsidR="002422CA" w:rsidRPr="000170DA" w:rsidRDefault="002422CA" w:rsidP="00556B7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422CA" w:rsidRDefault="00F90931" w:rsidP="00556B7F">
            <w:pPr>
              <w:rPr>
                <w:rStyle w:val="Hyperlink"/>
                <w:rFonts w:ascii="Garamond" w:hAnsi="Garamond"/>
                <w:color w:val="auto"/>
                <w:u w:val="none"/>
                <w:lang w:val="en-AU"/>
              </w:rPr>
            </w:pPr>
            <w:hyperlink r:id="rId15" w:history="1">
              <w:r w:rsidR="00924D4C" w:rsidRPr="00DC2D0B">
                <w:rPr>
                  <w:rStyle w:val="Hyperlink"/>
                  <w:rFonts w:ascii="Garamond" w:hAnsi="Garamond"/>
                  <w:lang w:val="en-AU"/>
                </w:rPr>
                <w:t>https://www.hqsc.govt.nz/our-programmes/primary-care/news-and-events/news/3739/</w:t>
              </w:r>
            </w:hyperlink>
            <w:r w:rsidR="00924D4C">
              <w:rPr>
                <w:rStyle w:val="Hyperlink"/>
                <w:rFonts w:ascii="Garamond" w:hAnsi="Garamond"/>
                <w:color w:val="auto"/>
                <w:u w:val="none"/>
                <w:lang w:val="en-AU"/>
              </w:rPr>
              <w:t xml:space="preserve"> </w:t>
            </w:r>
          </w:p>
          <w:p w:rsidR="00924D4C" w:rsidRPr="007C5E85" w:rsidRDefault="00F90931" w:rsidP="00556B7F">
            <w:pPr>
              <w:rPr>
                <w:rStyle w:val="Hyperlink"/>
                <w:rFonts w:ascii="Garamond" w:hAnsi="Garamond"/>
                <w:color w:val="auto"/>
                <w:u w:val="none"/>
                <w:lang w:val="en-AU"/>
              </w:rPr>
            </w:pPr>
            <w:hyperlink r:id="rId16" w:history="1">
              <w:r w:rsidR="00924D4C" w:rsidRPr="00DC2D0B">
                <w:rPr>
                  <w:rStyle w:val="Hyperlink"/>
                  <w:rFonts w:ascii="Garamond" w:hAnsi="Garamond"/>
                  <w:lang w:val="en-AU"/>
                </w:rPr>
                <w:t>https://www.hqsc.govt.nz/our-programmes/primary-care/publications-and-resources/publication/3740/</w:t>
              </w:r>
            </w:hyperlink>
            <w:r w:rsidR="00924D4C">
              <w:rPr>
                <w:rStyle w:val="Hyperlink"/>
                <w:rFonts w:ascii="Garamond" w:hAnsi="Garamond"/>
                <w:color w:val="auto"/>
                <w:u w:val="none"/>
                <w:lang w:val="en-AU"/>
              </w:rPr>
              <w:t xml:space="preserve"> </w:t>
            </w:r>
          </w:p>
        </w:tc>
      </w:tr>
      <w:tr w:rsidR="002422CA" w:rsidRPr="000170DA" w:rsidTr="00556B7F">
        <w:tc>
          <w:tcPr>
            <w:tcW w:w="1080" w:type="dxa"/>
            <w:tcBorders>
              <w:top w:val="single" w:sz="4" w:space="0" w:color="auto"/>
              <w:left w:val="single" w:sz="4" w:space="0" w:color="auto"/>
              <w:bottom w:val="single" w:sz="4" w:space="0" w:color="auto"/>
              <w:right w:val="single" w:sz="4" w:space="0" w:color="auto"/>
            </w:tcBorders>
            <w:vAlign w:val="center"/>
          </w:tcPr>
          <w:p w:rsidR="002422CA" w:rsidRPr="000170DA" w:rsidRDefault="002422CA" w:rsidP="00556B7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E3760" w:rsidRPr="008E3760" w:rsidRDefault="008E3760" w:rsidP="008E3760">
            <w:pPr>
              <w:pStyle w:val="Caption"/>
              <w:rPr>
                <w:rFonts w:ascii="Garamond" w:hAnsi="Garamond"/>
                <w:b w:val="0"/>
                <w:sz w:val="24"/>
                <w:szCs w:val="24"/>
                <w:lang w:val="en-AU"/>
              </w:rPr>
            </w:pPr>
            <w:r>
              <w:rPr>
                <w:rFonts w:ascii="Garamond" w:hAnsi="Garamond"/>
                <w:b w:val="0"/>
                <w:sz w:val="24"/>
                <w:szCs w:val="24"/>
                <w:lang w:val="en-AU"/>
              </w:rPr>
              <w:t xml:space="preserve">The </w:t>
            </w:r>
            <w:r w:rsidRPr="008E3760">
              <w:rPr>
                <w:rFonts w:ascii="Garamond" w:hAnsi="Garamond"/>
                <w:b w:val="0"/>
                <w:sz w:val="24"/>
                <w:szCs w:val="24"/>
                <w:lang w:val="en-AU"/>
              </w:rPr>
              <w:t>Health Quality &amp; Safety Commission New Zealand</w:t>
            </w:r>
            <w:r>
              <w:rPr>
                <w:rFonts w:ascii="Garamond" w:hAnsi="Garamond"/>
                <w:b w:val="0"/>
                <w:sz w:val="24"/>
                <w:szCs w:val="24"/>
                <w:lang w:val="en-AU"/>
              </w:rPr>
              <w:t xml:space="preserve"> has released this report of the findings of a </w:t>
            </w:r>
            <w:r w:rsidRPr="008E3760">
              <w:rPr>
                <w:rFonts w:ascii="Garamond" w:hAnsi="Garamond"/>
                <w:b w:val="0"/>
                <w:sz w:val="24"/>
                <w:szCs w:val="24"/>
                <w:lang w:val="en-AU"/>
              </w:rPr>
              <w:t>consumer, health service and stakeholder engagement</w:t>
            </w:r>
            <w:r>
              <w:rPr>
                <w:rFonts w:ascii="Garamond" w:hAnsi="Garamond"/>
                <w:b w:val="0"/>
                <w:sz w:val="24"/>
                <w:szCs w:val="24"/>
                <w:lang w:val="en-AU"/>
              </w:rPr>
              <w:t xml:space="preserve"> that sought to garner views on primary care in New Zealand. According to the Commission’s website, </w:t>
            </w:r>
            <w:r w:rsidR="00275EBC">
              <w:rPr>
                <w:rFonts w:ascii="Garamond" w:hAnsi="Garamond"/>
                <w:b w:val="0"/>
                <w:sz w:val="24"/>
                <w:szCs w:val="24"/>
                <w:lang w:val="en-AU"/>
              </w:rPr>
              <w:t>‘t</w:t>
            </w:r>
            <w:r w:rsidRPr="008E3760">
              <w:rPr>
                <w:rFonts w:ascii="Garamond" w:hAnsi="Garamond"/>
                <w:b w:val="0"/>
                <w:sz w:val="24"/>
                <w:szCs w:val="24"/>
                <w:lang w:val="en-AU"/>
              </w:rPr>
              <w:t>he document captures and summarises sector feedback according to key themes, which are to:</w:t>
            </w:r>
          </w:p>
          <w:p w:rsidR="008E3760" w:rsidRPr="008E3760" w:rsidRDefault="008E3760" w:rsidP="00275EBC">
            <w:pPr>
              <w:pStyle w:val="Caption"/>
              <w:numPr>
                <w:ilvl w:val="0"/>
                <w:numId w:val="24"/>
              </w:numPr>
              <w:rPr>
                <w:rFonts w:ascii="Garamond" w:hAnsi="Garamond"/>
                <w:b w:val="0"/>
                <w:sz w:val="24"/>
                <w:szCs w:val="24"/>
                <w:lang w:val="en-AU"/>
              </w:rPr>
            </w:pPr>
            <w:r w:rsidRPr="008E3760">
              <w:rPr>
                <w:rFonts w:ascii="Garamond" w:hAnsi="Garamond"/>
                <w:b w:val="0"/>
                <w:sz w:val="24"/>
                <w:szCs w:val="24"/>
                <w:lang w:val="en-AU"/>
              </w:rPr>
              <w:t>develop definitions of quality and quality improvement from tangata whenua, to reflect Aotearoa New Zealand perspectives</w:t>
            </w:r>
          </w:p>
          <w:p w:rsidR="008E3760" w:rsidRPr="008E3760" w:rsidRDefault="008E3760" w:rsidP="00275EBC">
            <w:pPr>
              <w:pStyle w:val="Caption"/>
              <w:numPr>
                <w:ilvl w:val="0"/>
                <w:numId w:val="24"/>
              </w:numPr>
              <w:rPr>
                <w:rFonts w:ascii="Garamond" w:hAnsi="Garamond"/>
                <w:b w:val="0"/>
                <w:sz w:val="24"/>
                <w:szCs w:val="24"/>
                <w:lang w:val="en-AU"/>
              </w:rPr>
            </w:pPr>
            <w:r w:rsidRPr="008E3760">
              <w:rPr>
                <w:rFonts w:ascii="Garamond" w:hAnsi="Garamond"/>
                <w:b w:val="0"/>
                <w:sz w:val="24"/>
                <w:szCs w:val="24"/>
                <w:lang w:val="en-AU"/>
              </w:rPr>
              <w:t>investigate the application of the ‘collective impact’ model, develop a shared vision for quality improvement and a national cross-agency unified charter and strategy</w:t>
            </w:r>
          </w:p>
          <w:p w:rsidR="008E3760" w:rsidRPr="008E3760" w:rsidRDefault="008E3760" w:rsidP="00275EBC">
            <w:pPr>
              <w:pStyle w:val="Caption"/>
              <w:numPr>
                <w:ilvl w:val="0"/>
                <w:numId w:val="24"/>
              </w:numPr>
              <w:rPr>
                <w:rFonts w:ascii="Garamond" w:hAnsi="Garamond"/>
                <w:b w:val="0"/>
                <w:sz w:val="24"/>
                <w:szCs w:val="24"/>
                <w:lang w:val="en-AU"/>
              </w:rPr>
            </w:pPr>
            <w:r w:rsidRPr="008E3760">
              <w:rPr>
                <w:rFonts w:ascii="Garamond" w:hAnsi="Garamond"/>
                <w:b w:val="0"/>
                <w:sz w:val="24"/>
                <w:szCs w:val="24"/>
                <w:lang w:val="en-AU"/>
              </w:rPr>
              <w:t>expand our knowledge management role</w:t>
            </w:r>
          </w:p>
          <w:p w:rsidR="008E3760" w:rsidRPr="008E3760" w:rsidRDefault="008E3760" w:rsidP="00275EBC">
            <w:pPr>
              <w:pStyle w:val="Caption"/>
              <w:numPr>
                <w:ilvl w:val="0"/>
                <w:numId w:val="24"/>
              </w:numPr>
              <w:rPr>
                <w:rFonts w:ascii="Garamond" w:hAnsi="Garamond"/>
                <w:b w:val="0"/>
                <w:sz w:val="24"/>
                <w:szCs w:val="24"/>
                <w:lang w:val="en-AU"/>
              </w:rPr>
            </w:pPr>
            <w:r w:rsidRPr="008E3760">
              <w:rPr>
                <w:rFonts w:ascii="Garamond" w:hAnsi="Garamond"/>
                <w:b w:val="0"/>
                <w:sz w:val="24"/>
                <w:szCs w:val="24"/>
                <w:lang w:val="en-AU"/>
              </w:rPr>
              <w:lastRenderedPageBreak/>
              <w:t>continue to build workforce capability</w:t>
            </w:r>
          </w:p>
          <w:p w:rsidR="008E3760" w:rsidRPr="008E3760" w:rsidRDefault="008E3760" w:rsidP="00275EBC">
            <w:pPr>
              <w:pStyle w:val="Caption"/>
              <w:numPr>
                <w:ilvl w:val="0"/>
                <w:numId w:val="24"/>
              </w:numPr>
              <w:rPr>
                <w:rFonts w:ascii="Garamond" w:hAnsi="Garamond"/>
                <w:b w:val="0"/>
                <w:sz w:val="24"/>
                <w:szCs w:val="24"/>
                <w:lang w:val="en-AU"/>
              </w:rPr>
            </w:pPr>
            <w:r w:rsidRPr="008E3760">
              <w:rPr>
                <w:rFonts w:ascii="Garamond" w:hAnsi="Garamond"/>
                <w:b w:val="0"/>
                <w:sz w:val="24"/>
                <w:szCs w:val="24"/>
                <w:lang w:val="en-AU"/>
              </w:rPr>
              <w:t>consider primary care collaboratives as a vehicle for addressing health outcomes, building intersectoral relationships, teamwork (across consumers and the health and social service workforce) and quality improvement capability building.</w:t>
            </w:r>
          </w:p>
          <w:p w:rsidR="007C5E85" w:rsidRPr="007C5E85" w:rsidRDefault="008E3760" w:rsidP="008E3760">
            <w:pPr>
              <w:pStyle w:val="Caption"/>
              <w:rPr>
                <w:rFonts w:ascii="Garamond" w:hAnsi="Garamond"/>
                <w:b w:val="0"/>
                <w:sz w:val="24"/>
                <w:szCs w:val="24"/>
                <w:lang w:val="en-AU"/>
              </w:rPr>
            </w:pPr>
            <w:r w:rsidRPr="008E3760">
              <w:rPr>
                <w:rFonts w:ascii="Garamond" w:hAnsi="Garamond"/>
                <w:b w:val="0"/>
                <w:sz w:val="24"/>
                <w:szCs w:val="24"/>
                <w:lang w:val="en-AU"/>
              </w:rPr>
              <w:t>Overall, the document findings support the need for central agencies and the Commission to work much more collectively and create a national charter or framework for quality improvement with clear strategic initiatives.</w:t>
            </w:r>
            <w:r w:rsidR="00275EBC">
              <w:rPr>
                <w:rFonts w:ascii="Garamond" w:hAnsi="Garamond"/>
                <w:b w:val="0"/>
                <w:sz w:val="24"/>
                <w:szCs w:val="24"/>
                <w:lang w:val="en-AU"/>
              </w:rPr>
              <w:t>’</w:t>
            </w:r>
          </w:p>
        </w:tc>
      </w:tr>
    </w:tbl>
    <w:p w:rsidR="002422CA" w:rsidRDefault="002422CA" w:rsidP="002422CA">
      <w:pPr>
        <w:keepLines/>
        <w:autoSpaceDE w:val="0"/>
        <w:autoSpaceDN w:val="0"/>
        <w:adjustRightInd w:val="0"/>
        <w:rPr>
          <w:rFonts w:ascii="Garamond" w:hAnsi="Garamond"/>
          <w:i/>
          <w:lang w:val="en-AU"/>
        </w:rPr>
      </w:pPr>
    </w:p>
    <w:p w:rsidR="00275EBC" w:rsidRDefault="00275EBC" w:rsidP="002422CA">
      <w:pPr>
        <w:keepLines/>
        <w:autoSpaceDE w:val="0"/>
        <w:autoSpaceDN w:val="0"/>
        <w:adjustRightInd w:val="0"/>
        <w:rPr>
          <w:rFonts w:ascii="Garamond" w:hAnsi="Garamond"/>
          <w:i/>
          <w:lang w:val="en-AU"/>
        </w:rPr>
      </w:pPr>
    </w:p>
    <w:p w:rsidR="002137BF" w:rsidRDefault="002137BF" w:rsidP="002422CA">
      <w:pPr>
        <w:keepLines/>
        <w:autoSpaceDE w:val="0"/>
        <w:autoSpaceDN w:val="0"/>
        <w:adjustRightInd w:val="0"/>
        <w:rPr>
          <w:rFonts w:ascii="Garamond" w:hAnsi="Garamond"/>
          <w:i/>
          <w:lang w:val="en-AU"/>
        </w:rPr>
      </w:pPr>
    </w:p>
    <w:p w:rsidR="00282D29" w:rsidRDefault="00282D29" w:rsidP="00C17C82">
      <w:pPr>
        <w:keepNext/>
        <w:ind w:left="720" w:hanging="720"/>
        <w:rPr>
          <w:rFonts w:ascii="Garamond" w:hAnsi="Garamond"/>
          <w:b/>
          <w:lang w:val="en-AU"/>
        </w:rPr>
      </w:pPr>
      <w:r>
        <w:rPr>
          <w:rFonts w:ascii="Garamond" w:hAnsi="Garamond"/>
          <w:b/>
          <w:lang w:val="en-AU"/>
        </w:rPr>
        <w:t>Journal articles</w:t>
      </w:r>
    </w:p>
    <w:p w:rsidR="00985853" w:rsidRDefault="00985853" w:rsidP="00985853">
      <w:pPr>
        <w:keepNext/>
        <w:keepLines/>
        <w:autoSpaceDE w:val="0"/>
        <w:autoSpaceDN w:val="0"/>
        <w:adjustRightInd w:val="0"/>
        <w:rPr>
          <w:rFonts w:ascii="Garamond" w:hAnsi="Garamond"/>
          <w:lang w:val="en-AU"/>
        </w:rPr>
      </w:pPr>
    </w:p>
    <w:p w:rsidR="00803F35" w:rsidRPr="00803F35" w:rsidRDefault="00803F35" w:rsidP="00985853">
      <w:pPr>
        <w:keepNext/>
        <w:keepLines/>
        <w:autoSpaceDE w:val="0"/>
        <w:autoSpaceDN w:val="0"/>
        <w:adjustRightInd w:val="0"/>
        <w:rPr>
          <w:rFonts w:ascii="Garamond" w:hAnsi="Garamond"/>
          <w:i/>
          <w:lang w:val="en-AU"/>
        </w:rPr>
      </w:pPr>
      <w:r w:rsidRPr="00803F35">
        <w:rPr>
          <w:rFonts w:ascii="Garamond" w:hAnsi="Garamond"/>
          <w:i/>
          <w:lang w:val="en-AU"/>
        </w:rPr>
        <w:t>Review of medication errors that are new or likely to occur more frequently with electronic medication management systems</w:t>
      </w:r>
    </w:p>
    <w:p w:rsidR="00672391" w:rsidRDefault="00672391" w:rsidP="00985853">
      <w:pPr>
        <w:keepNext/>
        <w:keepLines/>
        <w:autoSpaceDE w:val="0"/>
        <w:autoSpaceDN w:val="0"/>
        <w:adjustRightInd w:val="0"/>
        <w:rPr>
          <w:rFonts w:ascii="Garamond" w:hAnsi="Garamond"/>
          <w:lang w:val="en-AU"/>
        </w:rPr>
      </w:pPr>
      <w:r w:rsidRPr="00672391">
        <w:rPr>
          <w:rFonts w:ascii="Garamond" w:hAnsi="Garamond"/>
          <w:lang w:val="en-AU"/>
        </w:rPr>
        <w:t>Van de Vreede M, McGrath A, de Clifford J</w:t>
      </w:r>
    </w:p>
    <w:p w:rsidR="00803F35" w:rsidRDefault="00672391" w:rsidP="00985853">
      <w:pPr>
        <w:keepNext/>
        <w:keepLines/>
        <w:autoSpaceDE w:val="0"/>
        <w:autoSpaceDN w:val="0"/>
        <w:adjustRightInd w:val="0"/>
        <w:rPr>
          <w:rFonts w:ascii="Garamond" w:hAnsi="Garamond"/>
          <w:lang w:val="en-AU"/>
        </w:rPr>
      </w:pPr>
      <w:r w:rsidRPr="00672391">
        <w:rPr>
          <w:rFonts w:ascii="Garamond" w:hAnsi="Garamond"/>
          <w:lang w:val="en-AU"/>
        </w:rPr>
        <w:t>Australian Health Review. 2019;43(3):276-83.</w:t>
      </w:r>
    </w:p>
    <w:tbl>
      <w:tblPr>
        <w:tblStyle w:val="TableGrid"/>
        <w:tblW w:w="0" w:type="auto"/>
        <w:tblInd w:w="288" w:type="dxa"/>
        <w:tblLayout w:type="fixed"/>
        <w:tblLook w:val="01E0" w:firstRow="1" w:lastRow="1" w:firstColumn="1" w:lastColumn="1" w:noHBand="0" w:noVBand="0"/>
      </w:tblPr>
      <w:tblGrid>
        <w:gridCol w:w="1080"/>
        <w:gridCol w:w="8280"/>
      </w:tblGrid>
      <w:tr w:rsidR="00F67DEB" w:rsidRPr="000170DA" w:rsidTr="00DE0C3F">
        <w:tc>
          <w:tcPr>
            <w:tcW w:w="1080" w:type="dxa"/>
            <w:tcBorders>
              <w:top w:val="single" w:sz="4" w:space="0" w:color="auto"/>
              <w:left w:val="single" w:sz="4" w:space="0" w:color="auto"/>
              <w:bottom w:val="single" w:sz="4" w:space="0" w:color="auto"/>
              <w:right w:val="single" w:sz="4" w:space="0" w:color="auto"/>
            </w:tcBorders>
            <w:vAlign w:val="center"/>
          </w:tcPr>
          <w:p w:rsidR="00F67DEB" w:rsidRPr="000170DA" w:rsidRDefault="00F67DEB" w:rsidP="00DE0C3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67DEB" w:rsidRPr="000170DA" w:rsidRDefault="00F90931" w:rsidP="00DE0C3F">
            <w:pPr>
              <w:rPr>
                <w:rStyle w:val="Hyperlink"/>
                <w:rFonts w:ascii="Garamond" w:hAnsi="Garamond"/>
                <w:color w:val="auto"/>
                <w:u w:val="none"/>
                <w:lang w:val="en-AU"/>
              </w:rPr>
            </w:pPr>
            <w:hyperlink r:id="rId17" w:history="1">
              <w:r w:rsidR="00803F35" w:rsidRPr="003D4BCE">
                <w:rPr>
                  <w:rStyle w:val="Hyperlink"/>
                  <w:rFonts w:ascii="Garamond" w:hAnsi="Garamond"/>
                  <w:lang w:val="en-AU"/>
                </w:rPr>
                <w:t>https://doi.org/10.1071/AH17119</w:t>
              </w:r>
            </w:hyperlink>
          </w:p>
        </w:tc>
      </w:tr>
      <w:tr w:rsidR="00F67DEB" w:rsidRPr="000170DA" w:rsidTr="00DE0C3F">
        <w:tc>
          <w:tcPr>
            <w:tcW w:w="1080" w:type="dxa"/>
            <w:tcBorders>
              <w:top w:val="single" w:sz="4" w:space="0" w:color="auto"/>
              <w:left w:val="single" w:sz="4" w:space="0" w:color="auto"/>
              <w:bottom w:val="single" w:sz="4" w:space="0" w:color="auto"/>
              <w:right w:val="single" w:sz="4" w:space="0" w:color="auto"/>
            </w:tcBorders>
            <w:vAlign w:val="center"/>
          </w:tcPr>
          <w:p w:rsidR="00F67DEB" w:rsidRPr="000170DA" w:rsidRDefault="00F67DEB" w:rsidP="00DE0C3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50824" w:rsidRPr="00F44FEC" w:rsidRDefault="00D1530D" w:rsidP="008E3760">
            <w:pPr>
              <w:rPr>
                <w:rFonts w:ascii="Garamond" w:hAnsi="Garamond"/>
                <w:lang w:val="en-AU"/>
              </w:rPr>
            </w:pPr>
            <w:r>
              <w:rPr>
                <w:rFonts w:ascii="Garamond" w:hAnsi="Garamond"/>
                <w:lang w:val="en-AU"/>
              </w:rPr>
              <w:t xml:space="preserve">Technologies are often applied to address issues, but can also contribute to existing issues and raise new ones. This paper </w:t>
            </w:r>
            <w:r w:rsidR="008E3760">
              <w:rPr>
                <w:rFonts w:ascii="Garamond" w:hAnsi="Garamond"/>
                <w:lang w:val="en-AU"/>
              </w:rPr>
              <w:t xml:space="preserve">reports on a study that sought </w:t>
            </w:r>
            <w:r w:rsidR="008E3760" w:rsidRPr="008E3760">
              <w:rPr>
                <w:rFonts w:ascii="Garamond" w:hAnsi="Garamond"/>
                <w:lang w:val="en-AU"/>
              </w:rPr>
              <w:t>s to identify and quantify medication errors reportedly related to electronic medication management systems (eMMS) and those considered likely to occur more frequently with eMMS</w:t>
            </w:r>
            <w:r w:rsidR="008E3760">
              <w:rPr>
                <w:rFonts w:ascii="Garamond" w:hAnsi="Garamond"/>
                <w:lang w:val="en-AU"/>
              </w:rPr>
              <w:t xml:space="preserve">. The study involved eight hospitals in Victoria and reviewed nearly 6,000 medication-related incidents. Of these, </w:t>
            </w:r>
            <w:r w:rsidR="008E3760" w:rsidRPr="008E3760">
              <w:rPr>
                <w:rFonts w:ascii="Garamond" w:hAnsi="Garamond"/>
                <w:lang w:val="en-AU"/>
              </w:rPr>
              <w:t xml:space="preserve">93 (47 prescribing errors, 46 administration errors) were identified as new or potentially related to eMMS. </w:t>
            </w:r>
            <w:r w:rsidR="008E3760">
              <w:rPr>
                <w:rFonts w:ascii="Garamond" w:hAnsi="Garamond"/>
                <w:lang w:val="en-AU"/>
              </w:rPr>
              <w:t>However, harm was minimal as o</w:t>
            </w:r>
            <w:r w:rsidR="008E3760" w:rsidRPr="008E3760">
              <w:rPr>
                <w:rFonts w:ascii="Garamond" w:hAnsi="Garamond"/>
                <w:lang w:val="en-AU"/>
              </w:rPr>
              <w:t>nly one ISR 2 (moderate) and no ISR 1 (severe or death) errors were reported. The most commonly reported error types were ‘human factors’ and ‘unfamiliarity or training’ (70%) and ‘cross-encounter or hybrid system errors’ (22%).</w:t>
            </w:r>
          </w:p>
        </w:tc>
      </w:tr>
    </w:tbl>
    <w:p w:rsidR="00F67DEB" w:rsidRDefault="00F67DEB" w:rsidP="002E6A67">
      <w:pPr>
        <w:keepNext/>
        <w:keepLines/>
        <w:autoSpaceDE w:val="0"/>
        <w:autoSpaceDN w:val="0"/>
        <w:adjustRightInd w:val="0"/>
        <w:rPr>
          <w:rFonts w:ascii="Garamond" w:hAnsi="Garamond"/>
          <w:i/>
          <w:lang w:val="en-AU"/>
        </w:rPr>
      </w:pPr>
    </w:p>
    <w:p w:rsidR="00803F35" w:rsidRPr="00803F35" w:rsidRDefault="00803F35" w:rsidP="002E6A67">
      <w:pPr>
        <w:keepNext/>
        <w:keepLines/>
        <w:autoSpaceDE w:val="0"/>
        <w:autoSpaceDN w:val="0"/>
        <w:adjustRightInd w:val="0"/>
        <w:rPr>
          <w:rFonts w:ascii="Garamond" w:hAnsi="Garamond"/>
          <w:lang w:val="en-AU"/>
        </w:rPr>
      </w:pPr>
      <w:r w:rsidRPr="00803F35">
        <w:rPr>
          <w:rFonts w:ascii="Garamond" w:hAnsi="Garamond"/>
          <w:lang w:val="en-AU"/>
        </w:rPr>
        <w:t xml:space="preserve">For information on the Commission’s work on </w:t>
      </w:r>
      <w:r>
        <w:rPr>
          <w:rFonts w:ascii="Garamond" w:hAnsi="Garamond"/>
          <w:lang w:val="en-AU"/>
        </w:rPr>
        <w:t>medication safety</w:t>
      </w:r>
      <w:r w:rsidRPr="00803F35">
        <w:rPr>
          <w:rFonts w:ascii="Garamond" w:hAnsi="Garamond"/>
          <w:lang w:val="en-AU"/>
        </w:rPr>
        <w:t xml:space="preserve">, including </w:t>
      </w:r>
      <w:r w:rsidR="008E3760">
        <w:rPr>
          <w:rFonts w:ascii="Garamond" w:hAnsi="Garamond"/>
          <w:lang w:val="en-AU"/>
        </w:rPr>
        <w:t xml:space="preserve">the safe implementation of </w:t>
      </w:r>
      <w:r w:rsidRPr="00803F35">
        <w:rPr>
          <w:rFonts w:ascii="Garamond" w:hAnsi="Garamond"/>
          <w:lang w:val="en-AU"/>
        </w:rPr>
        <w:t>electronic medication management</w:t>
      </w:r>
      <w:r w:rsidR="008E3760">
        <w:rPr>
          <w:rFonts w:ascii="Garamond" w:hAnsi="Garamond"/>
          <w:lang w:val="en-AU"/>
        </w:rPr>
        <w:t xml:space="preserve"> systems</w:t>
      </w:r>
      <w:r w:rsidRPr="00803F35">
        <w:rPr>
          <w:rFonts w:ascii="Garamond" w:hAnsi="Garamond"/>
          <w:lang w:val="en-AU"/>
        </w:rPr>
        <w:t xml:space="preserve">, see </w:t>
      </w:r>
      <w:hyperlink r:id="rId18" w:history="1">
        <w:r w:rsidRPr="003D4BCE">
          <w:rPr>
            <w:rStyle w:val="Hyperlink"/>
            <w:rFonts w:ascii="Garamond" w:hAnsi="Garamond"/>
            <w:lang w:val="en-AU"/>
          </w:rPr>
          <w:t>https://www.safetyandquality.gov.au/our-work/medication-safety/</w:t>
        </w:r>
      </w:hyperlink>
      <w:r>
        <w:rPr>
          <w:rFonts w:ascii="Garamond" w:hAnsi="Garamond"/>
          <w:lang w:val="en-AU"/>
        </w:rPr>
        <w:t xml:space="preserve"> </w:t>
      </w:r>
    </w:p>
    <w:p w:rsidR="00803F35" w:rsidRDefault="00803F35" w:rsidP="002E6A67">
      <w:pPr>
        <w:keepNext/>
        <w:keepLines/>
        <w:autoSpaceDE w:val="0"/>
        <w:autoSpaceDN w:val="0"/>
        <w:adjustRightInd w:val="0"/>
        <w:rPr>
          <w:rFonts w:ascii="Garamond" w:hAnsi="Garamond"/>
          <w:i/>
          <w:lang w:val="en-AU"/>
        </w:rPr>
      </w:pPr>
    </w:p>
    <w:p w:rsidR="00275EBC" w:rsidRPr="00D1530D" w:rsidRDefault="00275EBC" w:rsidP="00275EBC">
      <w:pPr>
        <w:keepNext/>
        <w:keepLines/>
        <w:autoSpaceDE w:val="0"/>
        <w:autoSpaceDN w:val="0"/>
        <w:adjustRightInd w:val="0"/>
        <w:rPr>
          <w:rFonts w:ascii="Garamond" w:hAnsi="Garamond"/>
          <w:i/>
          <w:lang w:val="en-AU"/>
        </w:rPr>
      </w:pPr>
      <w:r w:rsidRPr="00D1530D">
        <w:rPr>
          <w:rFonts w:ascii="Garamond" w:hAnsi="Garamond"/>
          <w:i/>
          <w:lang w:val="en-AU"/>
        </w:rPr>
        <w:t>Improving quality in hospital end-of-life care: honest communication, compassion and empathy</w:t>
      </w:r>
    </w:p>
    <w:p w:rsidR="00275EBC" w:rsidRDefault="00275EBC" w:rsidP="00275EBC">
      <w:pPr>
        <w:keepNext/>
        <w:keepLines/>
        <w:autoSpaceDE w:val="0"/>
        <w:autoSpaceDN w:val="0"/>
        <w:adjustRightInd w:val="0"/>
        <w:rPr>
          <w:rFonts w:ascii="Garamond" w:hAnsi="Garamond"/>
          <w:lang w:val="en-AU"/>
        </w:rPr>
      </w:pPr>
      <w:r w:rsidRPr="00D1530D">
        <w:rPr>
          <w:rFonts w:ascii="Garamond" w:hAnsi="Garamond"/>
          <w:lang w:val="en-AU"/>
        </w:rPr>
        <w:t>Rawlings D, Devery K, Poole N</w:t>
      </w:r>
    </w:p>
    <w:p w:rsidR="00275EBC" w:rsidRDefault="00275EBC" w:rsidP="00275EBC">
      <w:pPr>
        <w:keepNext/>
        <w:keepLines/>
        <w:autoSpaceDE w:val="0"/>
        <w:autoSpaceDN w:val="0"/>
        <w:adjustRightInd w:val="0"/>
        <w:rPr>
          <w:rFonts w:ascii="Garamond" w:hAnsi="Garamond"/>
          <w:lang w:val="en-AU"/>
        </w:rPr>
      </w:pPr>
      <w:r w:rsidRPr="00D1530D">
        <w:rPr>
          <w:rFonts w:ascii="Garamond" w:hAnsi="Garamond"/>
          <w:lang w:val="en-AU"/>
        </w:rPr>
        <w:t>BMJ Open Quality. 2019;8(2):e000669.</w:t>
      </w:r>
    </w:p>
    <w:tbl>
      <w:tblPr>
        <w:tblStyle w:val="TableGrid"/>
        <w:tblW w:w="0" w:type="auto"/>
        <w:tblInd w:w="288" w:type="dxa"/>
        <w:tblLayout w:type="fixed"/>
        <w:tblLook w:val="01E0" w:firstRow="1" w:lastRow="1" w:firstColumn="1" w:lastColumn="1" w:noHBand="0" w:noVBand="0"/>
      </w:tblPr>
      <w:tblGrid>
        <w:gridCol w:w="1080"/>
        <w:gridCol w:w="8280"/>
      </w:tblGrid>
      <w:tr w:rsidR="00275EBC" w:rsidRPr="000170DA" w:rsidTr="00367FE8">
        <w:tc>
          <w:tcPr>
            <w:tcW w:w="1080" w:type="dxa"/>
            <w:tcBorders>
              <w:top w:val="single" w:sz="4" w:space="0" w:color="auto"/>
              <w:left w:val="single" w:sz="4" w:space="0" w:color="auto"/>
              <w:bottom w:val="single" w:sz="4" w:space="0" w:color="auto"/>
              <w:right w:val="single" w:sz="4" w:space="0" w:color="auto"/>
            </w:tcBorders>
            <w:vAlign w:val="center"/>
          </w:tcPr>
          <w:p w:rsidR="00275EBC" w:rsidRPr="000170DA" w:rsidRDefault="00275EBC" w:rsidP="00367FE8">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75EBC" w:rsidRPr="000170DA" w:rsidRDefault="00F90931" w:rsidP="00367FE8">
            <w:pPr>
              <w:rPr>
                <w:rStyle w:val="Hyperlink"/>
                <w:rFonts w:ascii="Garamond" w:hAnsi="Garamond"/>
                <w:color w:val="auto"/>
                <w:u w:val="none"/>
                <w:lang w:val="en-AU"/>
              </w:rPr>
            </w:pPr>
            <w:hyperlink r:id="rId19" w:history="1">
              <w:r w:rsidR="00275EBC" w:rsidRPr="003D4BCE">
                <w:rPr>
                  <w:rStyle w:val="Hyperlink"/>
                  <w:rFonts w:ascii="Garamond" w:hAnsi="Garamond"/>
                  <w:lang w:val="en-AU"/>
                </w:rPr>
                <w:t>https://doi.org/10.1136/bmjoq-2019-000669</w:t>
              </w:r>
            </w:hyperlink>
          </w:p>
        </w:tc>
      </w:tr>
      <w:tr w:rsidR="00275EBC" w:rsidRPr="000170DA" w:rsidTr="00367FE8">
        <w:tc>
          <w:tcPr>
            <w:tcW w:w="1080" w:type="dxa"/>
            <w:tcBorders>
              <w:top w:val="single" w:sz="4" w:space="0" w:color="auto"/>
              <w:left w:val="single" w:sz="4" w:space="0" w:color="auto"/>
              <w:bottom w:val="single" w:sz="4" w:space="0" w:color="auto"/>
              <w:right w:val="single" w:sz="4" w:space="0" w:color="auto"/>
            </w:tcBorders>
            <w:vAlign w:val="center"/>
          </w:tcPr>
          <w:p w:rsidR="00275EBC" w:rsidRPr="000170DA" w:rsidRDefault="00275EBC" w:rsidP="00367FE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75EBC" w:rsidRPr="00F44FEC" w:rsidRDefault="00275EBC" w:rsidP="00367FE8">
            <w:pPr>
              <w:rPr>
                <w:rFonts w:ascii="Garamond" w:hAnsi="Garamond"/>
                <w:lang w:val="en-AU"/>
              </w:rPr>
            </w:pPr>
            <w:r>
              <w:rPr>
                <w:rFonts w:ascii="Garamond" w:hAnsi="Garamond"/>
                <w:lang w:val="en-AU"/>
              </w:rPr>
              <w:t xml:space="preserve">Paper describing the development of </w:t>
            </w:r>
            <w:r w:rsidRPr="00D1530D">
              <w:rPr>
                <w:rFonts w:ascii="Garamond" w:hAnsi="Garamond"/>
                <w:lang w:val="en-AU"/>
              </w:rPr>
              <w:t>e-learning modules</w:t>
            </w:r>
            <w:r>
              <w:rPr>
                <w:rFonts w:ascii="Garamond" w:hAnsi="Garamond"/>
                <w:lang w:val="en-AU"/>
              </w:rPr>
              <w:t xml:space="preserve"> derived from t</w:t>
            </w:r>
            <w:r w:rsidRPr="00D1530D">
              <w:rPr>
                <w:rFonts w:ascii="Garamond" w:hAnsi="Garamond"/>
                <w:lang w:val="en-AU"/>
              </w:rPr>
              <w:t xml:space="preserve">he </w:t>
            </w:r>
            <w:r w:rsidRPr="00D1530D">
              <w:rPr>
                <w:rFonts w:ascii="Garamond" w:hAnsi="Garamond"/>
                <w:i/>
                <w:lang w:val="en-AU"/>
              </w:rPr>
              <w:t>National Consensus Statement on Essential Elements for Safe and High-Quality End-of-Life Care</w:t>
            </w:r>
            <w:r>
              <w:rPr>
                <w:rFonts w:ascii="Garamond" w:hAnsi="Garamond"/>
                <w:lang w:val="en-AU"/>
              </w:rPr>
              <w:t xml:space="preserve">. </w:t>
            </w:r>
            <w:r w:rsidRPr="00D1530D">
              <w:rPr>
                <w:rFonts w:ascii="Garamond" w:hAnsi="Garamond"/>
                <w:lang w:val="en-AU"/>
              </w:rPr>
              <w:t>The modules were developed by a palliative care educator with the support of a peer review group and were piloted with 35 health professionals. Pre-post module evaluation data were collected and during a 10-month period from 2016 to 2017 a total of 5181 individuals registered for the project accessing one or more of the six modules.</w:t>
            </w:r>
          </w:p>
        </w:tc>
      </w:tr>
    </w:tbl>
    <w:p w:rsidR="00275EBC" w:rsidRDefault="00275EBC" w:rsidP="00275EBC">
      <w:pPr>
        <w:keepNext/>
        <w:keepLines/>
        <w:autoSpaceDE w:val="0"/>
        <w:autoSpaceDN w:val="0"/>
        <w:adjustRightInd w:val="0"/>
        <w:rPr>
          <w:rFonts w:ascii="Garamond" w:hAnsi="Garamond"/>
          <w:i/>
          <w:lang w:val="en-AU"/>
        </w:rPr>
      </w:pPr>
    </w:p>
    <w:p w:rsidR="00275EBC" w:rsidRDefault="00275EBC" w:rsidP="00275EBC">
      <w:pPr>
        <w:keepLines/>
        <w:autoSpaceDE w:val="0"/>
        <w:autoSpaceDN w:val="0"/>
        <w:adjustRightInd w:val="0"/>
        <w:rPr>
          <w:rFonts w:ascii="Garamond" w:hAnsi="Garamond"/>
          <w:lang w:val="en-AU"/>
        </w:rPr>
      </w:pPr>
      <w:r w:rsidRPr="00CC7EC2">
        <w:rPr>
          <w:rFonts w:ascii="Garamond" w:hAnsi="Garamond"/>
          <w:lang w:val="en-AU"/>
        </w:rPr>
        <w:t xml:space="preserve">For information on the Commission’s work on </w:t>
      </w:r>
      <w:r>
        <w:rPr>
          <w:rFonts w:ascii="Garamond" w:hAnsi="Garamond"/>
          <w:lang w:val="en-AU"/>
        </w:rPr>
        <w:t xml:space="preserve">end of life care, including the </w:t>
      </w:r>
      <w:r w:rsidRPr="00D1530D">
        <w:rPr>
          <w:rFonts w:ascii="Garamond" w:hAnsi="Garamond"/>
          <w:i/>
          <w:lang w:val="en-AU"/>
        </w:rPr>
        <w:t>National Consensus Statement on Essential Elements for Safe and High-Quality End-of-Life Care</w:t>
      </w:r>
      <w:r>
        <w:rPr>
          <w:rFonts w:ascii="Garamond" w:hAnsi="Garamond"/>
          <w:i/>
          <w:lang w:val="en-AU"/>
        </w:rPr>
        <w:t xml:space="preserve"> </w:t>
      </w:r>
      <w:r w:rsidRPr="00D1530D">
        <w:rPr>
          <w:rFonts w:ascii="Garamond" w:hAnsi="Garamond"/>
          <w:lang w:val="en-AU"/>
        </w:rPr>
        <w:t xml:space="preserve">and access to the three end-of-life education modules to assist acute care clinicians in meeting the challenges of providing end-of-life </w:t>
      </w:r>
      <w:r w:rsidR="000720A2" w:rsidRPr="00D1530D">
        <w:rPr>
          <w:rFonts w:ascii="Garamond" w:hAnsi="Garamond"/>
          <w:lang w:val="en-AU"/>
        </w:rPr>
        <w:t>care,</w:t>
      </w:r>
      <w:r w:rsidRPr="00CC7EC2">
        <w:rPr>
          <w:rFonts w:ascii="Garamond" w:hAnsi="Garamond"/>
          <w:lang w:val="en-AU"/>
        </w:rPr>
        <w:t xml:space="preserve"> </w:t>
      </w:r>
      <w:r>
        <w:rPr>
          <w:rFonts w:ascii="Garamond" w:hAnsi="Garamond"/>
          <w:lang w:val="en-AU"/>
        </w:rPr>
        <w:t xml:space="preserve">see </w:t>
      </w:r>
      <w:hyperlink r:id="rId20" w:history="1">
        <w:r w:rsidRPr="003D4BCE">
          <w:rPr>
            <w:rStyle w:val="Hyperlink"/>
            <w:rFonts w:ascii="Garamond" w:hAnsi="Garamond"/>
            <w:lang w:val="en-AU"/>
          </w:rPr>
          <w:t>https://www.safetyandquality.gov.au/our-work/end-of-life-care-in-acute-hospitals/</w:t>
        </w:r>
      </w:hyperlink>
    </w:p>
    <w:p w:rsidR="00275EBC" w:rsidRDefault="00275EBC">
      <w:pPr>
        <w:rPr>
          <w:rFonts w:ascii="Garamond" w:hAnsi="Garamond"/>
          <w:i/>
          <w:lang w:val="en-AU"/>
        </w:rPr>
      </w:pPr>
      <w:r>
        <w:rPr>
          <w:rFonts w:ascii="Garamond" w:hAnsi="Garamond"/>
          <w:i/>
          <w:lang w:val="en-AU"/>
        </w:rPr>
        <w:br w:type="page"/>
      </w:r>
    </w:p>
    <w:p w:rsidR="00B76BA1" w:rsidRPr="00803F35" w:rsidRDefault="00803F35" w:rsidP="00B76BA1">
      <w:pPr>
        <w:keepNext/>
        <w:keepLines/>
        <w:autoSpaceDE w:val="0"/>
        <w:autoSpaceDN w:val="0"/>
        <w:adjustRightInd w:val="0"/>
        <w:rPr>
          <w:rFonts w:ascii="Garamond" w:hAnsi="Garamond"/>
          <w:i/>
          <w:lang w:val="en-AU"/>
        </w:rPr>
      </w:pPr>
      <w:r w:rsidRPr="00803F35">
        <w:rPr>
          <w:rFonts w:ascii="Garamond" w:hAnsi="Garamond"/>
          <w:i/>
          <w:lang w:val="en-AU"/>
        </w:rPr>
        <w:lastRenderedPageBreak/>
        <w:t>Towards a strategy for clinical quality registries in Australia</w:t>
      </w:r>
    </w:p>
    <w:p w:rsidR="00672391" w:rsidRDefault="00672391" w:rsidP="00B76BA1">
      <w:pPr>
        <w:keepNext/>
        <w:keepLines/>
        <w:autoSpaceDE w:val="0"/>
        <w:autoSpaceDN w:val="0"/>
        <w:adjustRightInd w:val="0"/>
        <w:rPr>
          <w:rFonts w:ascii="Garamond" w:hAnsi="Garamond"/>
          <w:lang w:val="en-AU"/>
        </w:rPr>
      </w:pPr>
      <w:r w:rsidRPr="00672391">
        <w:rPr>
          <w:rFonts w:ascii="Garamond" w:hAnsi="Garamond"/>
          <w:lang w:val="en-AU"/>
        </w:rPr>
        <w:t>Ahern S, Evans S, Hopper I, Zalcberg J</w:t>
      </w:r>
    </w:p>
    <w:p w:rsidR="00803F35" w:rsidRDefault="00672391" w:rsidP="00B76BA1">
      <w:pPr>
        <w:keepNext/>
        <w:keepLines/>
        <w:autoSpaceDE w:val="0"/>
        <w:autoSpaceDN w:val="0"/>
        <w:adjustRightInd w:val="0"/>
        <w:rPr>
          <w:rFonts w:ascii="Garamond" w:hAnsi="Garamond"/>
          <w:lang w:val="en-AU"/>
        </w:rPr>
      </w:pPr>
      <w:r w:rsidRPr="00672391">
        <w:rPr>
          <w:rFonts w:ascii="Garamond" w:hAnsi="Garamond"/>
          <w:lang w:val="en-AU"/>
        </w:rPr>
        <w:t>Australian Health Review. 2019;43(3):284-7.</w:t>
      </w:r>
    </w:p>
    <w:tbl>
      <w:tblPr>
        <w:tblStyle w:val="TableGrid"/>
        <w:tblW w:w="0" w:type="auto"/>
        <w:tblInd w:w="288" w:type="dxa"/>
        <w:tblLayout w:type="fixed"/>
        <w:tblLook w:val="01E0" w:firstRow="1" w:lastRow="1" w:firstColumn="1" w:lastColumn="1" w:noHBand="0" w:noVBand="0"/>
      </w:tblPr>
      <w:tblGrid>
        <w:gridCol w:w="1080"/>
        <w:gridCol w:w="8280"/>
      </w:tblGrid>
      <w:tr w:rsidR="00B76BA1" w:rsidRPr="000170DA" w:rsidTr="00AC7DC7">
        <w:tc>
          <w:tcPr>
            <w:tcW w:w="1080" w:type="dxa"/>
            <w:tcBorders>
              <w:top w:val="single" w:sz="4" w:space="0" w:color="auto"/>
              <w:left w:val="single" w:sz="4" w:space="0" w:color="auto"/>
              <w:bottom w:val="single" w:sz="4" w:space="0" w:color="auto"/>
              <w:right w:val="single" w:sz="4" w:space="0" w:color="auto"/>
            </w:tcBorders>
            <w:vAlign w:val="center"/>
          </w:tcPr>
          <w:p w:rsidR="00B76BA1" w:rsidRPr="000170DA" w:rsidRDefault="00B76BA1" w:rsidP="00AC7DC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76BA1" w:rsidRPr="000170DA" w:rsidRDefault="00F90931" w:rsidP="00AC7DC7">
            <w:pPr>
              <w:rPr>
                <w:rStyle w:val="Hyperlink"/>
                <w:rFonts w:ascii="Garamond" w:hAnsi="Garamond"/>
                <w:color w:val="auto"/>
                <w:u w:val="none"/>
                <w:lang w:val="en-AU"/>
              </w:rPr>
            </w:pPr>
            <w:hyperlink r:id="rId21" w:history="1">
              <w:r w:rsidR="00803F35" w:rsidRPr="003D4BCE">
                <w:rPr>
                  <w:rStyle w:val="Hyperlink"/>
                  <w:rFonts w:ascii="Garamond" w:hAnsi="Garamond"/>
                  <w:lang w:val="en-AU"/>
                </w:rPr>
                <w:t>https://doi.org/10.1071/AH17201</w:t>
              </w:r>
            </w:hyperlink>
          </w:p>
        </w:tc>
      </w:tr>
      <w:tr w:rsidR="00B76BA1" w:rsidRPr="000170DA" w:rsidTr="00AC7DC7">
        <w:tc>
          <w:tcPr>
            <w:tcW w:w="1080" w:type="dxa"/>
            <w:tcBorders>
              <w:top w:val="single" w:sz="4" w:space="0" w:color="auto"/>
              <w:left w:val="single" w:sz="4" w:space="0" w:color="auto"/>
              <w:bottom w:val="single" w:sz="4" w:space="0" w:color="auto"/>
              <w:right w:val="single" w:sz="4" w:space="0" w:color="auto"/>
            </w:tcBorders>
            <w:vAlign w:val="center"/>
          </w:tcPr>
          <w:p w:rsidR="00B76BA1" w:rsidRPr="000170DA" w:rsidRDefault="00B76BA1" w:rsidP="00AC7DC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03F35" w:rsidRDefault="00803F35" w:rsidP="00AC7DC7">
            <w:pPr>
              <w:rPr>
                <w:rFonts w:ascii="Garamond" w:hAnsi="Garamond"/>
                <w:lang w:val="en-AU"/>
              </w:rPr>
            </w:pPr>
            <w:r>
              <w:rPr>
                <w:rFonts w:ascii="Garamond" w:hAnsi="Garamond"/>
                <w:lang w:val="en-AU"/>
              </w:rPr>
              <w:t xml:space="preserve">Paper noting the proven utility and potential for clinical quality registries. The papers notes the work of the Australian Commission on Safety and </w:t>
            </w:r>
            <w:r w:rsidR="000720A2">
              <w:rPr>
                <w:rFonts w:ascii="Garamond" w:hAnsi="Garamond"/>
                <w:lang w:val="en-AU"/>
              </w:rPr>
              <w:t>Quality</w:t>
            </w:r>
            <w:r>
              <w:rPr>
                <w:rFonts w:ascii="Garamond" w:hAnsi="Garamond"/>
                <w:lang w:val="en-AU"/>
              </w:rPr>
              <w:t xml:space="preserve"> in Health Care in this area, but also calls for the</w:t>
            </w:r>
            <w:r w:rsidR="00CC7EC2">
              <w:rPr>
                <w:rFonts w:ascii="Garamond" w:hAnsi="Garamond"/>
                <w:lang w:val="en-AU"/>
              </w:rPr>
              <w:t xml:space="preserve"> Commission to have a leadership role. </w:t>
            </w:r>
            <w:r>
              <w:rPr>
                <w:rFonts w:ascii="Garamond" w:hAnsi="Garamond"/>
                <w:lang w:val="en-AU"/>
              </w:rPr>
              <w:t xml:space="preserve">The author’s call for a national strategy that ensures improved governance, </w:t>
            </w:r>
            <w:r w:rsidR="00CC7EC2">
              <w:rPr>
                <w:rFonts w:ascii="Garamond" w:hAnsi="Garamond"/>
                <w:lang w:val="en-AU"/>
              </w:rPr>
              <w:t xml:space="preserve">more secure funding and ensures data provision and quality to registries. </w:t>
            </w:r>
          </w:p>
          <w:p w:rsidR="00803F35" w:rsidRPr="00F44FEC" w:rsidRDefault="00803F35" w:rsidP="00803F35">
            <w:pPr>
              <w:rPr>
                <w:rFonts w:ascii="Garamond" w:hAnsi="Garamond"/>
                <w:lang w:val="en-AU"/>
              </w:rPr>
            </w:pPr>
            <w:r>
              <w:rPr>
                <w:rFonts w:ascii="Garamond" w:hAnsi="Garamond"/>
                <w:lang w:val="en-AU"/>
              </w:rPr>
              <w:t xml:space="preserve">As was noted in last week’s issue of </w:t>
            </w:r>
            <w:r w:rsidRPr="00803F35">
              <w:rPr>
                <w:rFonts w:ascii="Garamond" w:hAnsi="Garamond"/>
                <w:i/>
                <w:lang w:val="en-AU"/>
              </w:rPr>
              <w:t>On the Radar</w:t>
            </w:r>
            <w:r>
              <w:rPr>
                <w:rFonts w:ascii="Garamond" w:hAnsi="Garamond"/>
                <w:lang w:val="en-AU"/>
              </w:rPr>
              <w:t xml:space="preserve">, a </w:t>
            </w:r>
            <w:r w:rsidRPr="00803F35">
              <w:rPr>
                <w:rFonts w:ascii="Garamond" w:hAnsi="Garamond"/>
                <w:lang w:val="en-AU"/>
              </w:rPr>
              <w:t xml:space="preserve">Draft National Clinical Quality Registry Strategy </w:t>
            </w:r>
            <w:r>
              <w:rPr>
                <w:rFonts w:ascii="Garamond" w:hAnsi="Garamond"/>
                <w:lang w:val="en-AU"/>
              </w:rPr>
              <w:t>has been developed and is currently in a c</w:t>
            </w:r>
            <w:r w:rsidRPr="00803F35">
              <w:rPr>
                <w:rFonts w:ascii="Garamond" w:hAnsi="Garamond"/>
                <w:lang w:val="en-AU"/>
              </w:rPr>
              <w:t>onsultation</w:t>
            </w:r>
            <w:r>
              <w:rPr>
                <w:rFonts w:ascii="Garamond" w:hAnsi="Garamond"/>
                <w:lang w:val="en-AU"/>
              </w:rPr>
              <w:t xml:space="preserve"> phase. For information about the </w:t>
            </w:r>
            <w:r w:rsidRPr="00803F35">
              <w:rPr>
                <w:rFonts w:ascii="Garamond" w:hAnsi="Garamond"/>
                <w:lang w:val="en-AU"/>
              </w:rPr>
              <w:t>Draft National Clinical Quality Registry Strategy</w:t>
            </w:r>
            <w:r>
              <w:rPr>
                <w:rFonts w:ascii="Garamond" w:hAnsi="Garamond"/>
                <w:lang w:val="en-AU"/>
              </w:rPr>
              <w:t xml:space="preserve"> consultation, see </w:t>
            </w:r>
            <w:hyperlink r:id="rId22" w:history="1">
              <w:r w:rsidRPr="003D4BCE">
                <w:rPr>
                  <w:rStyle w:val="Hyperlink"/>
                  <w:rFonts w:ascii="Garamond" w:hAnsi="Garamond"/>
                  <w:lang w:val="en-AU"/>
                </w:rPr>
                <w:t>https://consultations.health.gov.au/health-economics-and-research-division/national-cqr-strategy/</w:t>
              </w:r>
            </w:hyperlink>
          </w:p>
        </w:tc>
      </w:tr>
    </w:tbl>
    <w:p w:rsidR="00275EBC" w:rsidRDefault="00275EBC" w:rsidP="00275EBC">
      <w:pPr>
        <w:keepLines/>
        <w:autoSpaceDE w:val="0"/>
        <w:autoSpaceDN w:val="0"/>
        <w:adjustRightInd w:val="0"/>
        <w:rPr>
          <w:rFonts w:ascii="Garamond" w:hAnsi="Garamond"/>
          <w:lang w:val="en-AU"/>
        </w:rPr>
      </w:pPr>
    </w:p>
    <w:p w:rsidR="00803F35" w:rsidRDefault="00803F35" w:rsidP="00275EBC">
      <w:pPr>
        <w:keepLines/>
        <w:autoSpaceDE w:val="0"/>
        <w:autoSpaceDN w:val="0"/>
        <w:adjustRightInd w:val="0"/>
        <w:rPr>
          <w:rFonts w:ascii="Garamond" w:hAnsi="Garamond"/>
          <w:lang w:val="en-AU"/>
        </w:rPr>
      </w:pPr>
      <w:r w:rsidRPr="00803F35">
        <w:rPr>
          <w:rFonts w:ascii="Garamond" w:hAnsi="Garamond"/>
          <w:lang w:val="en-AU"/>
        </w:rPr>
        <w:t xml:space="preserve">For information on the Commission’s work on clinical quality registries, see </w:t>
      </w:r>
      <w:hyperlink r:id="rId23" w:history="1">
        <w:r w:rsidRPr="003D4BCE">
          <w:rPr>
            <w:rStyle w:val="Hyperlink"/>
            <w:rFonts w:ascii="Garamond" w:hAnsi="Garamond"/>
            <w:lang w:val="en-AU"/>
          </w:rPr>
          <w:t>https://www.safetyandquality.gov.au/our-work/information-strategy/clinical-quality-registries/</w:t>
        </w:r>
      </w:hyperlink>
    </w:p>
    <w:p w:rsidR="00275EBC" w:rsidRDefault="00275EBC" w:rsidP="00B76BA1">
      <w:pPr>
        <w:keepNext/>
        <w:keepLines/>
        <w:autoSpaceDE w:val="0"/>
        <w:autoSpaceDN w:val="0"/>
        <w:adjustRightInd w:val="0"/>
        <w:rPr>
          <w:rFonts w:ascii="Garamond" w:hAnsi="Garamond"/>
          <w:i/>
          <w:lang w:val="en-AU"/>
        </w:rPr>
      </w:pPr>
    </w:p>
    <w:p w:rsidR="00B76BA1" w:rsidRPr="00CC7EC2" w:rsidRDefault="00CC7EC2" w:rsidP="00B76BA1">
      <w:pPr>
        <w:keepNext/>
        <w:keepLines/>
        <w:autoSpaceDE w:val="0"/>
        <w:autoSpaceDN w:val="0"/>
        <w:adjustRightInd w:val="0"/>
        <w:rPr>
          <w:rFonts w:ascii="Garamond" w:hAnsi="Garamond"/>
          <w:i/>
          <w:lang w:val="en-AU"/>
        </w:rPr>
      </w:pPr>
      <w:r w:rsidRPr="00CC7EC2">
        <w:rPr>
          <w:rFonts w:ascii="Garamond" w:hAnsi="Garamond"/>
          <w:i/>
          <w:lang w:val="en-AU"/>
        </w:rPr>
        <w:t>Disclosure of adverse events: a data linkage study reporting patient experiences among Australian adults aged ≥45 years</w:t>
      </w:r>
    </w:p>
    <w:p w:rsidR="00672391" w:rsidRDefault="00672391" w:rsidP="00B76BA1">
      <w:pPr>
        <w:keepNext/>
        <w:keepLines/>
        <w:autoSpaceDE w:val="0"/>
        <w:autoSpaceDN w:val="0"/>
        <w:adjustRightInd w:val="0"/>
        <w:rPr>
          <w:rFonts w:ascii="Garamond" w:hAnsi="Garamond"/>
          <w:lang w:val="en-AU"/>
        </w:rPr>
      </w:pPr>
      <w:r w:rsidRPr="00672391">
        <w:rPr>
          <w:rFonts w:ascii="Garamond" w:hAnsi="Garamond"/>
          <w:lang w:val="en-AU"/>
        </w:rPr>
        <w:t>Walton M, Harrison R, Smith-Merry J, Kelly P, Manias E, Jorm C, et al</w:t>
      </w:r>
    </w:p>
    <w:p w:rsidR="00CC7EC2" w:rsidRDefault="00672391" w:rsidP="00B76BA1">
      <w:pPr>
        <w:keepNext/>
        <w:keepLines/>
        <w:autoSpaceDE w:val="0"/>
        <w:autoSpaceDN w:val="0"/>
        <w:adjustRightInd w:val="0"/>
        <w:rPr>
          <w:rFonts w:ascii="Garamond" w:hAnsi="Garamond"/>
          <w:lang w:val="en-AU"/>
        </w:rPr>
      </w:pPr>
      <w:r w:rsidRPr="00672391">
        <w:rPr>
          <w:rFonts w:ascii="Garamond" w:hAnsi="Garamond"/>
          <w:lang w:val="en-AU"/>
        </w:rPr>
        <w:t>Australian Health Review. 2019;43(3):268-75.</w:t>
      </w:r>
    </w:p>
    <w:tbl>
      <w:tblPr>
        <w:tblStyle w:val="TableGrid"/>
        <w:tblW w:w="0" w:type="auto"/>
        <w:tblInd w:w="288" w:type="dxa"/>
        <w:tblLayout w:type="fixed"/>
        <w:tblLook w:val="01E0" w:firstRow="1" w:lastRow="1" w:firstColumn="1" w:lastColumn="1" w:noHBand="0" w:noVBand="0"/>
      </w:tblPr>
      <w:tblGrid>
        <w:gridCol w:w="1080"/>
        <w:gridCol w:w="8280"/>
      </w:tblGrid>
      <w:tr w:rsidR="00B76BA1" w:rsidRPr="000170DA" w:rsidTr="00AC7DC7">
        <w:tc>
          <w:tcPr>
            <w:tcW w:w="1080" w:type="dxa"/>
            <w:tcBorders>
              <w:top w:val="single" w:sz="4" w:space="0" w:color="auto"/>
              <w:left w:val="single" w:sz="4" w:space="0" w:color="auto"/>
              <w:bottom w:val="single" w:sz="4" w:space="0" w:color="auto"/>
              <w:right w:val="single" w:sz="4" w:space="0" w:color="auto"/>
            </w:tcBorders>
            <w:vAlign w:val="center"/>
          </w:tcPr>
          <w:p w:rsidR="00B76BA1" w:rsidRPr="000170DA" w:rsidRDefault="00B76BA1" w:rsidP="00AC7DC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76BA1" w:rsidRPr="000170DA" w:rsidRDefault="00F90931" w:rsidP="00AC7DC7">
            <w:pPr>
              <w:rPr>
                <w:rStyle w:val="Hyperlink"/>
                <w:rFonts w:ascii="Garamond" w:hAnsi="Garamond"/>
                <w:color w:val="auto"/>
                <w:u w:val="none"/>
                <w:lang w:val="en-AU"/>
              </w:rPr>
            </w:pPr>
            <w:hyperlink r:id="rId24" w:history="1">
              <w:r w:rsidR="00CC7EC2" w:rsidRPr="003D4BCE">
                <w:rPr>
                  <w:rStyle w:val="Hyperlink"/>
                  <w:rFonts w:ascii="Garamond" w:hAnsi="Garamond"/>
                  <w:lang w:val="en-AU"/>
                </w:rPr>
                <w:t>https://doi.org/10.1071/AH17179</w:t>
              </w:r>
            </w:hyperlink>
          </w:p>
        </w:tc>
      </w:tr>
      <w:tr w:rsidR="00B76BA1" w:rsidRPr="000170DA" w:rsidTr="00AC7DC7">
        <w:tc>
          <w:tcPr>
            <w:tcW w:w="1080" w:type="dxa"/>
            <w:tcBorders>
              <w:top w:val="single" w:sz="4" w:space="0" w:color="auto"/>
              <w:left w:val="single" w:sz="4" w:space="0" w:color="auto"/>
              <w:bottom w:val="single" w:sz="4" w:space="0" w:color="auto"/>
              <w:right w:val="single" w:sz="4" w:space="0" w:color="auto"/>
            </w:tcBorders>
            <w:vAlign w:val="center"/>
          </w:tcPr>
          <w:p w:rsidR="00B76BA1" w:rsidRPr="000170DA" w:rsidRDefault="00B76BA1" w:rsidP="00AC7DC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C7EC2" w:rsidRDefault="00CC7EC2" w:rsidP="00CC7EC2">
            <w:pPr>
              <w:rPr>
                <w:rFonts w:ascii="Garamond" w:hAnsi="Garamond"/>
                <w:lang w:val="en-AU"/>
              </w:rPr>
            </w:pPr>
            <w:r>
              <w:rPr>
                <w:rFonts w:ascii="Garamond" w:hAnsi="Garamond"/>
                <w:lang w:val="en-AU"/>
              </w:rPr>
              <w:t xml:space="preserve">The need for open disclosure in the event of error, including adverse events, is generally understood. Following the development of the </w:t>
            </w:r>
            <w:r w:rsidRPr="00CC7EC2">
              <w:rPr>
                <w:rFonts w:ascii="Garamond" w:hAnsi="Garamond"/>
                <w:i/>
                <w:lang w:val="en-AU"/>
              </w:rPr>
              <w:t>Australian Open Disclosure Framework</w:t>
            </w:r>
            <w:r w:rsidRPr="00CC7EC2">
              <w:rPr>
                <w:rFonts w:ascii="Garamond" w:hAnsi="Garamond"/>
                <w:lang w:val="en-AU"/>
              </w:rPr>
              <w:t>, ma</w:t>
            </w:r>
            <w:r>
              <w:rPr>
                <w:rFonts w:ascii="Garamond" w:hAnsi="Garamond"/>
                <w:lang w:val="en-AU"/>
              </w:rPr>
              <w:t>n</w:t>
            </w:r>
            <w:r w:rsidRPr="00CC7EC2">
              <w:rPr>
                <w:rFonts w:ascii="Garamond" w:hAnsi="Garamond"/>
                <w:lang w:val="en-AU"/>
              </w:rPr>
              <w:t>y</w:t>
            </w:r>
            <w:r>
              <w:rPr>
                <w:rFonts w:ascii="Garamond" w:hAnsi="Garamond"/>
                <w:i/>
                <w:lang w:val="en-AU"/>
              </w:rPr>
              <w:t xml:space="preserve"> </w:t>
            </w:r>
            <w:r>
              <w:rPr>
                <w:rFonts w:ascii="Garamond" w:hAnsi="Garamond"/>
                <w:lang w:val="en-AU"/>
              </w:rPr>
              <w:t>Australian health systems implemented disclosure policies. This paper reports on a study that received survey responses from 7661 patients in New South Wales hospitals to identify 474 patients who had reported an adverse event. The authors report that of these ‘</w:t>
            </w:r>
            <w:r w:rsidRPr="00CC7EC2">
              <w:rPr>
                <w:rFonts w:ascii="Garamond" w:hAnsi="Garamond"/>
                <w:lang w:val="en-AU"/>
              </w:rPr>
              <w:t xml:space="preserve">a significant </w:t>
            </w:r>
            <w:r w:rsidRPr="00CC7EC2">
              <w:rPr>
                <w:rFonts w:ascii="Garamond" w:hAnsi="Garamond"/>
                <w:b/>
                <w:lang w:val="en-AU"/>
              </w:rPr>
              <w:t>majority reported an informal or bedside disclosure</w:t>
            </w:r>
            <w:r w:rsidRPr="00CC7EC2">
              <w:rPr>
                <w:rFonts w:ascii="Garamond" w:hAnsi="Garamond"/>
                <w:lang w:val="en-AU"/>
              </w:rPr>
              <w:t xml:space="preserve"> (91%; 430/474). Only 79 patients (17%) participated in a formal open disclosure meeting. Most informal disclosures were provided by nurses, with only 25% provided by medical practitioners.</w:t>
            </w:r>
            <w:r>
              <w:rPr>
                <w:rFonts w:ascii="Garamond" w:hAnsi="Garamond"/>
                <w:lang w:val="en-AU"/>
              </w:rPr>
              <w:t>’ The authors observe that:</w:t>
            </w:r>
          </w:p>
          <w:p w:rsidR="00CC7EC2" w:rsidRPr="00F90931" w:rsidRDefault="00CC7EC2" w:rsidP="00F90931">
            <w:pPr>
              <w:pStyle w:val="ListParagraph"/>
              <w:numPr>
                <w:ilvl w:val="0"/>
                <w:numId w:val="25"/>
              </w:numPr>
              <w:rPr>
                <w:rFonts w:ascii="Garamond" w:hAnsi="Garamond"/>
                <w:lang w:val="en-AU"/>
              </w:rPr>
            </w:pPr>
            <w:r w:rsidRPr="00F90931">
              <w:rPr>
                <w:rFonts w:ascii="Garamond" w:hAnsi="Garamond"/>
                <w:lang w:val="en-AU"/>
              </w:rPr>
              <w:t>most patients receive informal disclosures rather than a process that aligns with the current policy guidance</w:t>
            </w:r>
          </w:p>
          <w:p w:rsidR="00CC7EC2" w:rsidRPr="00CC7EC2" w:rsidRDefault="00CC7EC2" w:rsidP="00CC7EC2">
            <w:pPr>
              <w:pStyle w:val="ListParagraph"/>
              <w:numPr>
                <w:ilvl w:val="0"/>
                <w:numId w:val="23"/>
              </w:numPr>
              <w:rPr>
                <w:rFonts w:ascii="Garamond" w:hAnsi="Garamond"/>
                <w:lang w:val="en-AU"/>
              </w:rPr>
            </w:pPr>
            <w:r w:rsidRPr="00CC7EC2">
              <w:rPr>
                <w:rFonts w:ascii="Garamond" w:hAnsi="Garamond"/>
                <w:lang w:val="en-AU"/>
              </w:rPr>
              <w:t>patients’ experiences are variable, and lack of, or poor quality disclosures are all too common</w:t>
            </w:r>
          </w:p>
          <w:p w:rsidR="00CC7EC2" w:rsidRPr="00CC7EC2" w:rsidRDefault="00CC7EC2" w:rsidP="00CC7EC2">
            <w:pPr>
              <w:pStyle w:val="ListParagraph"/>
              <w:numPr>
                <w:ilvl w:val="0"/>
                <w:numId w:val="23"/>
              </w:numPr>
              <w:rPr>
                <w:rFonts w:ascii="Garamond" w:hAnsi="Garamond"/>
                <w:lang w:val="en-AU"/>
              </w:rPr>
            </w:pPr>
            <w:r w:rsidRPr="00CC7EC2">
              <w:rPr>
                <w:rFonts w:ascii="Garamond" w:hAnsi="Garamond"/>
                <w:lang w:val="en-AU"/>
              </w:rPr>
              <w:t>open disclosure may be enhanced by informing patients of their right to full disclosure in advance of or upon admission to hospital</w:t>
            </w:r>
          </w:p>
          <w:p w:rsidR="00CC7EC2" w:rsidRPr="00CC7EC2" w:rsidRDefault="00CC7EC2" w:rsidP="00CC7EC2">
            <w:pPr>
              <w:pStyle w:val="ListParagraph"/>
              <w:numPr>
                <w:ilvl w:val="0"/>
                <w:numId w:val="23"/>
              </w:numPr>
              <w:rPr>
                <w:rFonts w:ascii="Garamond" w:hAnsi="Garamond"/>
                <w:lang w:val="en-AU"/>
              </w:rPr>
            </w:pPr>
            <w:r w:rsidRPr="00CC7EC2">
              <w:rPr>
                <w:rFonts w:ascii="Garamond" w:hAnsi="Garamond"/>
                <w:lang w:val="en-AU"/>
              </w:rPr>
              <w:t xml:space="preserve">recognition of and support for informal or bedside disclosure for appropriate types of incidents. </w:t>
            </w:r>
          </w:p>
          <w:p w:rsidR="00CC7EC2" w:rsidRPr="00CC7EC2" w:rsidRDefault="00CC7EC2" w:rsidP="00CC7EC2">
            <w:pPr>
              <w:pStyle w:val="ListParagraph"/>
              <w:numPr>
                <w:ilvl w:val="0"/>
                <w:numId w:val="23"/>
              </w:numPr>
              <w:rPr>
                <w:rFonts w:ascii="Garamond" w:hAnsi="Garamond"/>
                <w:lang w:val="en-AU"/>
              </w:rPr>
            </w:pPr>
            <w:r w:rsidRPr="00CC7EC2">
              <w:rPr>
                <w:rFonts w:ascii="Garamond" w:hAnsi="Garamond"/>
                <w:lang w:val="en-AU"/>
              </w:rPr>
              <w:t>guidelines for bedside disclosure should be drafted to assist medical practitioners and other health professionals facilitate and improve their communications about adverse events.</w:t>
            </w:r>
          </w:p>
        </w:tc>
      </w:tr>
    </w:tbl>
    <w:p w:rsidR="00B76BA1" w:rsidRDefault="00B76BA1" w:rsidP="00B76BA1">
      <w:pPr>
        <w:keepNext/>
        <w:keepLines/>
        <w:autoSpaceDE w:val="0"/>
        <w:autoSpaceDN w:val="0"/>
        <w:adjustRightInd w:val="0"/>
        <w:rPr>
          <w:rFonts w:ascii="Garamond" w:hAnsi="Garamond"/>
          <w:i/>
          <w:lang w:val="en-AU"/>
        </w:rPr>
      </w:pPr>
    </w:p>
    <w:p w:rsidR="00CC7EC2" w:rsidRDefault="00CC7EC2" w:rsidP="00B76BA1">
      <w:pPr>
        <w:keepNext/>
        <w:keepLines/>
        <w:autoSpaceDE w:val="0"/>
        <w:autoSpaceDN w:val="0"/>
        <w:adjustRightInd w:val="0"/>
        <w:rPr>
          <w:rFonts w:ascii="Garamond" w:hAnsi="Garamond"/>
          <w:lang w:val="en-AU"/>
        </w:rPr>
      </w:pPr>
      <w:r w:rsidRPr="00CC7EC2">
        <w:rPr>
          <w:rFonts w:ascii="Garamond" w:hAnsi="Garamond"/>
          <w:lang w:val="en-AU"/>
        </w:rPr>
        <w:t xml:space="preserve">For information on the Commission’s work on open disclosure, including the </w:t>
      </w:r>
      <w:r w:rsidRPr="00CC7EC2">
        <w:rPr>
          <w:rFonts w:ascii="Garamond" w:hAnsi="Garamond"/>
          <w:i/>
          <w:lang w:val="en-AU"/>
        </w:rPr>
        <w:t>Australian Open Disclosure Framework</w:t>
      </w:r>
      <w:r w:rsidRPr="00CC7EC2">
        <w:rPr>
          <w:rFonts w:ascii="Garamond" w:hAnsi="Garamond"/>
          <w:lang w:val="en-AU"/>
        </w:rPr>
        <w:t xml:space="preserve">, </w:t>
      </w:r>
      <w:r w:rsidR="00CA7EFB">
        <w:rPr>
          <w:rFonts w:ascii="Garamond" w:hAnsi="Garamond"/>
          <w:lang w:val="en-AU"/>
        </w:rPr>
        <w:t xml:space="preserve">see </w:t>
      </w:r>
      <w:hyperlink r:id="rId25" w:history="1">
        <w:r w:rsidRPr="003D4BCE">
          <w:rPr>
            <w:rStyle w:val="Hyperlink"/>
            <w:rFonts w:ascii="Garamond" w:hAnsi="Garamond"/>
            <w:lang w:val="en-AU"/>
          </w:rPr>
          <w:t>https://www.safetyandquality.gov.au/our-work/open-disclosure/</w:t>
        </w:r>
      </w:hyperlink>
    </w:p>
    <w:p w:rsidR="00CC7EC2" w:rsidRPr="00CC7EC2" w:rsidRDefault="00CC7EC2" w:rsidP="00B76BA1">
      <w:pPr>
        <w:keepNext/>
        <w:keepLines/>
        <w:autoSpaceDE w:val="0"/>
        <w:autoSpaceDN w:val="0"/>
        <w:adjustRightInd w:val="0"/>
        <w:rPr>
          <w:rFonts w:ascii="Garamond" w:hAnsi="Garamond"/>
          <w:lang w:val="en-AU"/>
        </w:rPr>
      </w:pPr>
    </w:p>
    <w:p w:rsidR="00275EBC" w:rsidRDefault="00275EBC">
      <w:pPr>
        <w:rPr>
          <w:rFonts w:ascii="Garamond" w:hAnsi="Garamond"/>
          <w:i/>
          <w:lang w:val="en-AU"/>
        </w:rPr>
      </w:pPr>
      <w:r>
        <w:rPr>
          <w:rFonts w:ascii="Garamond" w:hAnsi="Garamond"/>
          <w:i/>
          <w:lang w:val="en-AU"/>
        </w:rPr>
        <w:br w:type="page"/>
      </w:r>
    </w:p>
    <w:p w:rsidR="00B76BA1" w:rsidRPr="006353B6" w:rsidRDefault="006353B6" w:rsidP="006353B6">
      <w:pPr>
        <w:keepNext/>
        <w:keepLines/>
        <w:autoSpaceDE w:val="0"/>
        <w:autoSpaceDN w:val="0"/>
        <w:adjustRightInd w:val="0"/>
        <w:rPr>
          <w:rFonts w:ascii="Garamond" w:hAnsi="Garamond"/>
          <w:i/>
          <w:lang w:val="en-AU"/>
        </w:rPr>
      </w:pPr>
      <w:r w:rsidRPr="006353B6">
        <w:rPr>
          <w:rFonts w:ascii="Garamond" w:hAnsi="Garamond"/>
          <w:i/>
          <w:lang w:val="en-AU"/>
        </w:rPr>
        <w:lastRenderedPageBreak/>
        <w:t>Dangers of diagnostic overshadowing</w:t>
      </w:r>
    </w:p>
    <w:p w:rsidR="00CA7EFB" w:rsidRDefault="00CA7EFB" w:rsidP="006353B6">
      <w:pPr>
        <w:keepNext/>
        <w:keepLines/>
        <w:autoSpaceDE w:val="0"/>
        <w:autoSpaceDN w:val="0"/>
        <w:adjustRightInd w:val="0"/>
        <w:rPr>
          <w:rFonts w:ascii="Garamond" w:hAnsi="Garamond"/>
          <w:lang w:val="en-AU"/>
        </w:rPr>
      </w:pPr>
      <w:r w:rsidRPr="00CA7EFB">
        <w:rPr>
          <w:rFonts w:ascii="Garamond" w:hAnsi="Garamond"/>
          <w:lang w:val="en-AU"/>
        </w:rPr>
        <w:t>Iezzoni LI</w:t>
      </w:r>
    </w:p>
    <w:p w:rsidR="006353B6" w:rsidRDefault="00CA7EFB" w:rsidP="006353B6">
      <w:pPr>
        <w:keepNext/>
        <w:keepLines/>
        <w:autoSpaceDE w:val="0"/>
        <w:autoSpaceDN w:val="0"/>
        <w:adjustRightInd w:val="0"/>
        <w:rPr>
          <w:rFonts w:ascii="Garamond" w:hAnsi="Garamond"/>
          <w:lang w:val="en-AU"/>
        </w:rPr>
      </w:pPr>
      <w:r w:rsidRPr="00CA7EFB">
        <w:rPr>
          <w:rFonts w:ascii="Garamond" w:hAnsi="Garamond"/>
          <w:lang w:val="en-AU"/>
        </w:rPr>
        <w:t>New England Journal of Medicine. 2019;380(22):2092-3.</w:t>
      </w:r>
    </w:p>
    <w:tbl>
      <w:tblPr>
        <w:tblStyle w:val="TableGrid"/>
        <w:tblW w:w="0" w:type="auto"/>
        <w:tblInd w:w="288" w:type="dxa"/>
        <w:tblLayout w:type="fixed"/>
        <w:tblLook w:val="01E0" w:firstRow="1" w:lastRow="1" w:firstColumn="1" w:lastColumn="1" w:noHBand="0" w:noVBand="0"/>
      </w:tblPr>
      <w:tblGrid>
        <w:gridCol w:w="1080"/>
        <w:gridCol w:w="8280"/>
      </w:tblGrid>
      <w:tr w:rsidR="00B76BA1" w:rsidRPr="000170DA" w:rsidTr="00AC7DC7">
        <w:tc>
          <w:tcPr>
            <w:tcW w:w="1080" w:type="dxa"/>
            <w:tcBorders>
              <w:top w:val="single" w:sz="4" w:space="0" w:color="auto"/>
              <w:left w:val="single" w:sz="4" w:space="0" w:color="auto"/>
              <w:bottom w:val="single" w:sz="4" w:space="0" w:color="auto"/>
              <w:right w:val="single" w:sz="4" w:space="0" w:color="auto"/>
            </w:tcBorders>
            <w:vAlign w:val="center"/>
          </w:tcPr>
          <w:p w:rsidR="00B76BA1" w:rsidRPr="000170DA" w:rsidRDefault="00B76BA1" w:rsidP="00AC7DC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76BA1" w:rsidRPr="000170DA" w:rsidRDefault="00F90931" w:rsidP="00AC7DC7">
            <w:pPr>
              <w:rPr>
                <w:rStyle w:val="Hyperlink"/>
                <w:rFonts w:ascii="Garamond" w:hAnsi="Garamond"/>
                <w:color w:val="auto"/>
                <w:u w:val="none"/>
                <w:lang w:val="en-AU"/>
              </w:rPr>
            </w:pPr>
            <w:hyperlink r:id="rId26" w:history="1">
              <w:r w:rsidR="006353B6" w:rsidRPr="003D4BCE">
                <w:rPr>
                  <w:rStyle w:val="Hyperlink"/>
                  <w:rFonts w:ascii="Garamond" w:hAnsi="Garamond"/>
                  <w:lang w:val="en-AU"/>
                </w:rPr>
                <w:t>http://doi.org/10.1056/NEJMp1903078</w:t>
              </w:r>
            </w:hyperlink>
            <w:r w:rsidR="006353B6">
              <w:rPr>
                <w:rStyle w:val="Hyperlink"/>
                <w:rFonts w:ascii="Garamond" w:hAnsi="Garamond"/>
                <w:color w:val="auto"/>
                <w:u w:val="none"/>
                <w:lang w:val="en-AU"/>
              </w:rPr>
              <w:t xml:space="preserve"> </w:t>
            </w:r>
          </w:p>
        </w:tc>
      </w:tr>
      <w:tr w:rsidR="00B76BA1" w:rsidRPr="000170DA" w:rsidTr="00AC7DC7">
        <w:tc>
          <w:tcPr>
            <w:tcW w:w="1080" w:type="dxa"/>
            <w:tcBorders>
              <w:top w:val="single" w:sz="4" w:space="0" w:color="auto"/>
              <w:left w:val="single" w:sz="4" w:space="0" w:color="auto"/>
              <w:bottom w:val="single" w:sz="4" w:space="0" w:color="auto"/>
              <w:right w:val="single" w:sz="4" w:space="0" w:color="auto"/>
            </w:tcBorders>
            <w:vAlign w:val="center"/>
          </w:tcPr>
          <w:p w:rsidR="00B76BA1" w:rsidRPr="000170DA" w:rsidRDefault="00B76BA1" w:rsidP="00AC7DC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76BA1" w:rsidRPr="00F44FEC" w:rsidRDefault="006353B6" w:rsidP="006353B6">
            <w:pPr>
              <w:rPr>
                <w:rFonts w:ascii="Garamond" w:hAnsi="Garamond"/>
                <w:lang w:val="en-AU"/>
              </w:rPr>
            </w:pPr>
            <w:r>
              <w:rPr>
                <w:rFonts w:ascii="Garamond" w:hAnsi="Garamond"/>
                <w:lang w:val="en-AU"/>
              </w:rPr>
              <w:t>This Perspective piece recounts the experience of patient with an existing disability whose condition ‘overshadowed’ new or emerging conditions such that the diagnosis and treatment of the new conditions by the clinicians involved were significantly delayed. Assumptions about the patient and their conditions may have contributed to ‘</w:t>
            </w:r>
            <w:r w:rsidRPr="006353B6">
              <w:rPr>
                <w:rFonts w:ascii="Garamond" w:hAnsi="Garamond"/>
                <w:lang w:val="en-AU"/>
              </w:rPr>
              <w:t>“diagnostic overshadowing” — the erroneous attribution of all new symptoms to an underlying health condition, especial</w:t>
            </w:r>
            <w:r>
              <w:rPr>
                <w:rFonts w:ascii="Garamond" w:hAnsi="Garamond"/>
                <w:lang w:val="en-AU"/>
              </w:rPr>
              <w:t>ly in patients with disability.’</w:t>
            </w:r>
          </w:p>
        </w:tc>
      </w:tr>
    </w:tbl>
    <w:p w:rsidR="00B76BA1" w:rsidRDefault="00B76BA1" w:rsidP="00B76BA1">
      <w:pPr>
        <w:keepNext/>
        <w:keepLines/>
        <w:autoSpaceDE w:val="0"/>
        <w:autoSpaceDN w:val="0"/>
        <w:adjustRightInd w:val="0"/>
        <w:rPr>
          <w:rFonts w:ascii="Garamond" w:hAnsi="Garamond"/>
          <w:i/>
          <w:lang w:val="en-AU"/>
        </w:rPr>
      </w:pPr>
    </w:p>
    <w:p w:rsidR="00CA7EFB" w:rsidRDefault="00CA7EFB" w:rsidP="00B76BA1">
      <w:pPr>
        <w:keepNext/>
        <w:keepLines/>
        <w:autoSpaceDE w:val="0"/>
        <w:autoSpaceDN w:val="0"/>
        <w:adjustRightInd w:val="0"/>
        <w:rPr>
          <w:rFonts w:ascii="Garamond" w:hAnsi="Garamond"/>
          <w:lang w:val="en-AU"/>
        </w:rPr>
      </w:pPr>
      <w:r w:rsidRPr="00CC7EC2">
        <w:rPr>
          <w:rFonts w:ascii="Garamond" w:hAnsi="Garamond"/>
          <w:lang w:val="en-AU"/>
        </w:rPr>
        <w:t xml:space="preserve">For information on the Commission’s work on </w:t>
      </w:r>
      <w:r>
        <w:rPr>
          <w:rFonts w:ascii="Garamond" w:hAnsi="Garamond"/>
          <w:lang w:val="en-AU"/>
        </w:rPr>
        <w:t>patient and consumer centred care</w:t>
      </w:r>
      <w:r w:rsidRPr="00CC7EC2">
        <w:rPr>
          <w:rFonts w:ascii="Garamond" w:hAnsi="Garamond"/>
          <w:lang w:val="en-AU"/>
        </w:rPr>
        <w:t xml:space="preserve">, </w:t>
      </w:r>
      <w:r>
        <w:rPr>
          <w:rFonts w:ascii="Garamond" w:hAnsi="Garamond"/>
          <w:lang w:val="en-AU"/>
        </w:rPr>
        <w:t xml:space="preserve">see </w:t>
      </w:r>
      <w:hyperlink r:id="rId27" w:history="1">
        <w:r w:rsidRPr="003D4BCE">
          <w:rPr>
            <w:rStyle w:val="Hyperlink"/>
            <w:rFonts w:ascii="Garamond" w:hAnsi="Garamond"/>
            <w:lang w:val="en-AU"/>
          </w:rPr>
          <w:t>https://www.safetyandquality.gov.au/our-work/patient-and-consumer-centred-care/</w:t>
        </w:r>
      </w:hyperlink>
    </w:p>
    <w:p w:rsidR="00B76BA1" w:rsidRDefault="00B76BA1" w:rsidP="00B76BA1">
      <w:pPr>
        <w:keepNext/>
        <w:keepLines/>
        <w:autoSpaceDE w:val="0"/>
        <w:autoSpaceDN w:val="0"/>
        <w:adjustRightInd w:val="0"/>
        <w:rPr>
          <w:rFonts w:ascii="Garamond" w:hAnsi="Garamond"/>
          <w:lang w:val="en-AU"/>
        </w:rPr>
      </w:pPr>
    </w:p>
    <w:p w:rsidR="00275EBC" w:rsidRPr="00672391" w:rsidRDefault="00275EBC" w:rsidP="00275EBC">
      <w:pPr>
        <w:keepNext/>
        <w:keepLines/>
        <w:autoSpaceDE w:val="0"/>
        <w:autoSpaceDN w:val="0"/>
        <w:adjustRightInd w:val="0"/>
        <w:rPr>
          <w:rFonts w:ascii="Garamond" w:hAnsi="Garamond"/>
          <w:i/>
          <w:lang w:val="en-AU"/>
        </w:rPr>
      </w:pPr>
      <w:r w:rsidRPr="00672391">
        <w:rPr>
          <w:rFonts w:ascii="Garamond" w:hAnsi="Garamond"/>
          <w:i/>
          <w:lang w:val="en-AU"/>
        </w:rPr>
        <w:t>Artificial Intelligence in Health Care: Will the Value Match the Hype?</w:t>
      </w:r>
    </w:p>
    <w:p w:rsidR="00275EBC" w:rsidRDefault="00275EBC" w:rsidP="00275EBC">
      <w:pPr>
        <w:keepNext/>
        <w:keepLines/>
        <w:autoSpaceDE w:val="0"/>
        <w:autoSpaceDN w:val="0"/>
        <w:adjustRightInd w:val="0"/>
        <w:rPr>
          <w:rFonts w:ascii="Garamond" w:hAnsi="Garamond"/>
          <w:lang w:val="en-AU"/>
        </w:rPr>
      </w:pPr>
      <w:r w:rsidRPr="00672391">
        <w:rPr>
          <w:rFonts w:ascii="Garamond" w:hAnsi="Garamond"/>
          <w:lang w:val="en-AU"/>
        </w:rPr>
        <w:t>Emanuel EJ, Wachter RM</w:t>
      </w:r>
    </w:p>
    <w:p w:rsidR="00275EBC" w:rsidRDefault="00275EBC" w:rsidP="00275EBC">
      <w:pPr>
        <w:keepNext/>
        <w:keepLines/>
        <w:autoSpaceDE w:val="0"/>
        <w:autoSpaceDN w:val="0"/>
        <w:adjustRightInd w:val="0"/>
        <w:rPr>
          <w:rFonts w:ascii="Garamond" w:hAnsi="Garamond"/>
          <w:lang w:val="en-AU"/>
        </w:rPr>
      </w:pPr>
      <w:r w:rsidRPr="00672391">
        <w:rPr>
          <w:rFonts w:ascii="Garamond" w:hAnsi="Garamond"/>
          <w:lang w:val="en-AU"/>
        </w:rPr>
        <w:t>JAMA. 2019</w:t>
      </w:r>
      <w:r>
        <w:rPr>
          <w:rFonts w:ascii="Garamond" w:hAnsi="Garamond"/>
          <w:lang w:val="en-AU"/>
        </w:rPr>
        <w:t xml:space="preserve"> [epub]</w:t>
      </w:r>
      <w:r w:rsidRPr="00672391">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275EBC" w:rsidRPr="000170DA" w:rsidTr="00367FE8">
        <w:tc>
          <w:tcPr>
            <w:tcW w:w="1080" w:type="dxa"/>
            <w:tcBorders>
              <w:top w:val="single" w:sz="4" w:space="0" w:color="auto"/>
              <w:left w:val="single" w:sz="4" w:space="0" w:color="auto"/>
              <w:bottom w:val="single" w:sz="4" w:space="0" w:color="auto"/>
              <w:right w:val="single" w:sz="4" w:space="0" w:color="auto"/>
            </w:tcBorders>
            <w:vAlign w:val="center"/>
          </w:tcPr>
          <w:p w:rsidR="00275EBC" w:rsidRPr="000170DA" w:rsidRDefault="00275EBC" w:rsidP="00367FE8">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75EBC" w:rsidRPr="000170DA" w:rsidRDefault="00F90931" w:rsidP="00367FE8">
            <w:pPr>
              <w:rPr>
                <w:rStyle w:val="Hyperlink"/>
                <w:rFonts w:ascii="Garamond" w:hAnsi="Garamond"/>
                <w:color w:val="auto"/>
                <w:u w:val="none"/>
                <w:lang w:val="en-AU"/>
              </w:rPr>
            </w:pPr>
            <w:hyperlink r:id="rId28" w:history="1">
              <w:r w:rsidR="00275EBC" w:rsidRPr="003D4BCE">
                <w:rPr>
                  <w:rStyle w:val="Hyperlink"/>
                  <w:rFonts w:ascii="Garamond" w:hAnsi="Garamond"/>
                  <w:lang w:val="en-AU"/>
                </w:rPr>
                <w:t>https://doi.org/10.1001/jama.2019.4914</w:t>
              </w:r>
            </w:hyperlink>
          </w:p>
        </w:tc>
      </w:tr>
      <w:tr w:rsidR="00275EBC" w:rsidRPr="000170DA" w:rsidTr="00367FE8">
        <w:tc>
          <w:tcPr>
            <w:tcW w:w="1080" w:type="dxa"/>
            <w:tcBorders>
              <w:top w:val="single" w:sz="4" w:space="0" w:color="auto"/>
              <w:left w:val="single" w:sz="4" w:space="0" w:color="auto"/>
              <w:bottom w:val="single" w:sz="4" w:space="0" w:color="auto"/>
              <w:right w:val="single" w:sz="4" w:space="0" w:color="auto"/>
            </w:tcBorders>
            <w:vAlign w:val="center"/>
          </w:tcPr>
          <w:p w:rsidR="00275EBC" w:rsidRPr="000170DA" w:rsidRDefault="00275EBC" w:rsidP="00367FE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75EBC" w:rsidRPr="00F44FEC" w:rsidRDefault="00275EBC" w:rsidP="00367FE8">
            <w:pPr>
              <w:rPr>
                <w:rFonts w:ascii="Garamond" w:hAnsi="Garamond"/>
                <w:lang w:val="en-AU"/>
              </w:rPr>
            </w:pPr>
            <w:r>
              <w:rPr>
                <w:rFonts w:ascii="Garamond" w:hAnsi="Garamond"/>
                <w:lang w:val="en-AU"/>
              </w:rPr>
              <w:t xml:space="preserve">Recent issues of </w:t>
            </w:r>
            <w:r w:rsidRPr="00F90931">
              <w:rPr>
                <w:rFonts w:ascii="Garamond" w:hAnsi="Garamond"/>
                <w:i/>
                <w:lang w:val="en-AU"/>
              </w:rPr>
              <w:t>On the Radar</w:t>
            </w:r>
            <w:r>
              <w:rPr>
                <w:rFonts w:ascii="Garamond" w:hAnsi="Garamond"/>
                <w:lang w:val="en-AU"/>
              </w:rPr>
              <w:t xml:space="preserve"> have include a number of items on artificial intelligence and ‘i</w:t>
            </w:r>
            <w:r w:rsidRPr="00672391">
              <w:rPr>
                <w:rFonts w:ascii="Garamond" w:hAnsi="Garamond"/>
                <w:lang w:val="en-AU"/>
              </w:rPr>
              <w:t>ts many related applications (ie, big data, deep analytics, machine learning)</w:t>
            </w:r>
            <w:r>
              <w:rPr>
                <w:rFonts w:ascii="Garamond" w:hAnsi="Garamond"/>
                <w:lang w:val="en-AU"/>
              </w:rPr>
              <w:t>’. This short Viewpoint piece reflects some of those other pieces in pondering the impact of these on health care. Here the focus is on the ‘effector arm’ and how ‘</w:t>
            </w:r>
            <w:r w:rsidRPr="00672391">
              <w:rPr>
                <w:rFonts w:ascii="Garamond" w:hAnsi="Garamond"/>
                <w:lang w:val="en-AU"/>
              </w:rPr>
              <w:t>A narrow focus on data and analytics will distract the health system from what is needed to achieve health care transformation: meaningful behavior change.</w:t>
            </w:r>
            <w:r>
              <w:rPr>
                <w:rFonts w:ascii="Garamond" w:hAnsi="Garamond"/>
                <w:lang w:val="en-AU"/>
              </w:rPr>
              <w:t>’ The authors argue that sustained improvements in health and health care are the consequence of human actions and behaviours, both by patients/consumers and by clinicians.</w:t>
            </w:r>
          </w:p>
        </w:tc>
      </w:tr>
    </w:tbl>
    <w:p w:rsidR="00275EBC" w:rsidRDefault="00275EBC" w:rsidP="00275EBC">
      <w:pPr>
        <w:keepNext/>
        <w:keepLines/>
        <w:autoSpaceDE w:val="0"/>
        <w:autoSpaceDN w:val="0"/>
        <w:adjustRightInd w:val="0"/>
        <w:rPr>
          <w:rFonts w:ascii="Garamond" w:hAnsi="Garamond"/>
          <w:i/>
          <w:lang w:val="en-AU"/>
        </w:rPr>
      </w:pPr>
    </w:p>
    <w:p w:rsidR="00E0406F" w:rsidRPr="00C57211" w:rsidRDefault="00E0406F" w:rsidP="00E0406F">
      <w:pPr>
        <w:keepNext/>
        <w:rPr>
          <w:rFonts w:ascii="Garamond" w:hAnsi="Garamond"/>
          <w:i/>
          <w:lang w:val="en-AU"/>
        </w:rPr>
      </w:pPr>
      <w:r w:rsidRPr="00E0406F">
        <w:rPr>
          <w:rFonts w:ascii="Garamond" w:hAnsi="Garamond"/>
          <w:i/>
          <w:lang w:val="en-AU"/>
        </w:rPr>
        <w:t>Australian Health Review</w:t>
      </w:r>
    </w:p>
    <w:p w:rsidR="00E0406F" w:rsidRPr="00D65371" w:rsidRDefault="00E0406F" w:rsidP="00E0406F">
      <w:pPr>
        <w:keepNext/>
        <w:rPr>
          <w:rFonts w:ascii="Garamond" w:hAnsi="Garamond"/>
          <w:lang w:val="en-AU"/>
        </w:rPr>
      </w:pPr>
      <w:r w:rsidRPr="00F63992">
        <w:rPr>
          <w:rFonts w:ascii="Garamond" w:hAnsi="Garamond"/>
          <w:lang w:val="en-AU"/>
        </w:rPr>
        <w:t>Volume</w:t>
      </w:r>
      <w:r>
        <w:rPr>
          <w:rFonts w:ascii="Garamond" w:hAnsi="Garamond"/>
          <w:lang w:val="en-AU"/>
        </w:rPr>
        <w:t xml:space="preserve"> 43</w:t>
      </w:r>
      <w:r w:rsidRPr="00F63992">
        <w:rPr>
          <w:rFonts w:ascii="Garamond" w:hAnsi="Garamond"/>
          <w:lang w:val="en-AU"/>
        </w:rPr>
        <w:t>, Number</w:t>
      </w:r>
      <w:r>
        <w:rPr>
          <w:rFonts w:ascii="Garamond" w:hAnsi="Garamond"/>
          <w:lang w:val="en-AU"/>
        </w:rPr>
        <w:t xml:space="preserve"> 3</w:t>
      </w:r>
      <w:r w:rsidRPr="00F63992">
        <w:rPr>
          <w:rFonts w:ascii="Garamond" w:hAnsi="Garamond"/>
          <w:lang w:val="en-AU"/>
        </w:rPr>
        <w:t xml:space="preserve"> (2019)</w:t>
      </w:r>
    </w:p>
    <w:tbl>
      <w:tblPr>
        <w:tblStyle w:val="TableGrid"/>
        <w:tblW w:w="0" w:type="auto"/>
        <w:tblInd w:w="288" w:type="dxa"/>
        <w:tblLayout w:type="fixed"/>
        <w:tblLook w:val="01E0" w:firstRow="1" w:lastRow="1" w:firstColumn="1" w:lastColumn="1" w:noHBand="0" w:noVBand="0"/>
      </w:tblPr>
      <w:tblGrid>
        <w:gridCol w:w="1080"/>
        <w:gridCol w:w="8280"/>
      </w:tblGrid>
      <w:tr w:rsidR="00E0406F" w:rsidRPr="000170DA" w:rsidTr="00C759F5">
        <w:tc>
          <w:tcPr>
            <w:tcW w:w="1080" w:type="dxa"/>
            <w:tcBorders>
              <w:top w:val="single" w:sz="4" w:space="0" w:color="auto"/>
              <w:left w:val="single" w:sz="4" w:space="0" w:color="auto"/>
              <w:bottom w:val="single" w:sz="4" w:space="0" w:color="auto"/>
              <w:right w:val="single" w:sz="4" w:space="0" w:color="auto"/>
            </w:tcBorders>
            <w:vAlign w:val="center"/>
          </w:tcPr>
          <w:p w:rsidR="00E0406F" w:rsidRPr="000170DA" w:rsidRDefault="00E0406F" w:rsidP="00C759F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0406F" w:rsidRPr="000170DA" w:rsidRDefault="00F90931" w:rsidP="00C759F5">
            <w:pPr>
              <w:rPr>
                <w:rStyle w:val="Hyperlink"/>
                <w:rFonts w:ascii="Garamond" w:hAnsi="Garamond"/>
                <w:color w:val="auto"/>
                <w:u w:val="none"/>
                <w:lang w:val="en-AU"/>
              </w:rPr>
            </w:pPr>
            <w:hyperlink r:id="rId29" w:history="1">
              <w:r w:rsidR="00E0406F" w:rsidRPr="00C96423">
                <w:rPr>
                  <w:rStyle w:val="Hyperlink"/>
                  <w:rFonts w:ascii="Garamond" w:hAnsi="Garamond"/>
                  <w:lang w:val="en-AU"/>
                </w:rPr>
                <w:t>https://www.publish.csiro.au/ah/issue/9365</w:t>
              </w:r>
            </w:hyperlink>
          </w:p>
        </w:tc>
      </w:tr>
      <w:tr w:rsidR="00E0406F" w:rsidRPr="000170DA" w:rsidTr="00C759F5">
        <w:tc>
          <w:tcPr>
            <w:tcW w:w="1080" w:type="dxa"/>
            <w:tcBorders>
              <w:top w:val="single" w:sz="4" w:space="0" w:color="auto"/>
              <w:left w:val="single" w:sz="4" w:space="0" w:color="auto"/>
              <w:bottom w:val="single" w:sz="4" w:space="0" w:color="auto"/>
              <w:right w:val="single" w:sz="4" w:space="0" w:color="auto"/>
            </w:tcBorders>
            <w:vAlign w:val="center"/>
          </w:tcPr>
          <w:p w:rsidR="00E0406F" w:rsidRPr="000170DA" w:rsidRDefault="00E0406F" w:rsidP="00C759F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0406F" w:rsidRPr="007C3778" w:rsidRDefault="00E0406F" w:rsidP="00E0406F">
            <w:pPr>
              <w:keepNext/>
              <w:rPr>
                <w:rFonts w:ascii="Garamond" w:hAnsi="Garamond"/>
                <w:lang w:val="en-AU"/>
              </w:rPr>
            </w:pPr>
            <w:r w:rsidRPr="00B440ED">
              <w:rPr>
                <w:rFonts w:ascii="Garamond" w:hAnsi="Garamond"/>
                <w:lang w:val="en-AU"/>
              </w:rPr>
              <w:t xml:space="preserve">A new issue of </w:t>
            </w:r>
            <w:r w:rsidRPr="00E0406F">
              <w:rPr>
                <w:rFonts w:ascii="Garamond" w:hAnsi="Garamond"/>
                <w:i/>
                <w:lang w:val="en-AU"/>
              </w:rPr>
              <w:t>Australian Health Review</w:t>
            </w:r>
            <w:r>
              <w:rPr>
                <w:rFonts w:ascii="Garamond" w:hAnsi="Garamond"/>
                <w:i/>
                <w:lang w:val="en-AU"/>
              </w:rPr>
              <w:t xml:space="preserve"> </w:t>
            </w:r>
            <w:r w:rsidRPr="00B440ED">
              <w:rPr>
                <w:rFonts w:ascii="Garamond" w:hAnsi="Garamond"/>
                <w:lang w:val="en-AU"/>
              </w:rPr>
              <w:t xml:space="preserve">has been published. Articles in this issue of </w:t>
            </w:r>
            <w:r w:rsidRPr="00E0406F">
              <w:rPr>
                <w:rFonts w:ascii="Garamond" w:hAnsi="Garamond"/>
                <w:i/>
                <w:lang w:val="en-AU"/>
              </w:rPr>
              <w:t>Australian Health Review</w:t>
            </w:r>
            <w:r w:rsidRPr="00B440ED">
              <w:rPr>
                <w:rFonts w:ascii="Garamond" w:hAnsi="Garamond"/>
                <w:lang w:val="en-AU"/>
              </w:rPr>
              <w:t xml:space="preserve"> include:</w:t>
            </w:r>
          </w:p>
          <w:p w:rsidR="00E0406F" w:rsidRDefault="00E0406F" w:rsidP="00C50672">
            <w:pPr>
              <w:pStyle w:val="ListParagraph"/>
              <w:numPr>
                <w:ilvl w:val="0"/>
                <w:numId w:val="15"/>
              </w:numPr>
              <w:rPr>
                <w:rFonts w:ascii="Garamond" w:hAnsi="Garamond"/>
                <w:lang w:val="en-AU"/>
              </w:rPr>
            </w:pPr>
            <w:r w:rsidRPr="00E0406F">
              <w:rPr>
                <w:rFonts w:ascii="Garamond" w:hAnsi="Garamond"/>
                <w:b/>
                <w:lang w:val="en-AU"/>
              </w:rPr>
              <w:t>Healthcare in a carbon-constrained world</w:t>
            </w:r>
            <w:r w:rsidRPr="00E0406F">
              <w:rPr>
                <w:rFonts w:ascii="Garamond" w:hAnsi="Garamond"/>
                <w:lang w:val="en-AU"/>
              </w:rPr>
              <w:t xml:space="preserve"> (Kate E Charlesworth and Maggie Jamieson</w:t>
            </w:r>
            <w:r>
              <w:rPr>
                <w:rFonts w:ascii="Garamond" w:hAnsi="Garamond"/>
                <w:lang w:val="en-AU"/>
              </w:rPr>
              <w:t>)</w:t>
            </w:r>
          </w:p>
          <w:p w:rsidR="00E0406F" w:rsidRPr="00E0406F" w:rsidRDefault="00E0406F" w:rsidP="002C6F71">
            <w:pPr>
              <w:pStyle w:val="ListParagraph"/>
              <w:numPr>
                <w:ilvl w:val="0"/>
                <w:numId w:val="15"/>
              </w:numPr>
              <w:rPr>
                <w:rFonts w:ascii="Garamond" w:hAnsi="Garamond"/>
                <w:lang w:val="en-AU"/>
              </w:rPr>
            </w:pPr>
            <w:r w:rsidRPr="00E0406F">
              <w:rPr>
                <w:rFonts w:ascii="Garamond" w:hAnsi="Garamond"/>
                <w:lang w:val="en-AU"/>
              </w:rPr>
              <w:t xml:space="preserve">General practitioners' views on the </w:t>
            </w:r>
            <w:r w:rsidRPr="00E0406F">
              <w:rPr>
                <w:rFonts w:ascii="Garamond" w:hAnsi="Garamond"/>
                <w:b/>
                <w:lang w:val="en-AU"/>
              </w:rPr>
              <w:t>influence of cost on the prescribing of asthma preventer medicines</w:t>
            </w:r>
            <w:r w:rsidRPr="00E0406F">
              <w:rPr>
                <w:rFonts w:ascii="Garamond" w:hAnsi="Garamond"/>
                <w:lang w:val="en-AU"/>
              </w:rPr>
              <w:t>: a qualitative study (Jacqueline Tudball, Helen K Reddel, Tracey-Lea Laba, Stephen Jan, Anthony Flynn, Michele Goldman, Kirsty Lembke, Elizabeth Rough</w:t>
            </w:r>
            <w:r>
              <w:rPr>
                <w:rFonts w:ascii="Garamond" w:hAnsi="Garamond"/>
                <w:lang w:val="en-AU"/>
              </w:rPr>
              <w:t>ead, Guy B Marks and Nick Zwar)</w:t>
            </w:r>
          </w:p>
          <w:p w:rsidR="00E0406F" w:rsidRDefault="00E0406F" w:rsidP="00704176">
            <w:pPr>
              <w:pStyle w:val="ListParagraph"/>
              <w:numPr>
                <w:ilvl w:val="0"/>
                <w:numId w:val="15"/>
              </w:numPr>
              <w:rPr>
                <w:rFonts w:ascii="Garamond" w:hAnsi="Garamond"/>
                <w:lang w:val="en-AU"/>
              </w:rPr>
            </w:pPr>
            <w:r w:rsidRPr="00E0406F">
              <w:rPr>
                <w:rFonts w:ascii="Garamond" w:hAnsi="Garamond"/>
                <w:lang w:val="en-AU"/>
              </w:rPr>
              <w:t xml:space="preserve">Community views on factors affecting </w:t>
            </w:r>
            <w:r w:rsidRPr="00E0406F">
              <w:rPr>
                <w:rFonts w:ascii="Garamond" w:hAnsi="Garamond"/>
                <w:b/>
                <w:lang w:val="en-AU"/>
              </w:rPr>
              <w:t>medicines resource allocation</w:t>
            </w:r>
            <w:r w:rsidRPr="00E0406F">
              <w:rPr>
                <w:rFonts w:ascii="Garamond" w:hAnsi="Garamond"/>
                <w:lang w:val="en-AU"/>
              </w:rPr>
              <w:t>: cross-sectional survey of 3080 adults in Australia (Lesley Chim, Glenn Salkeld, Patrick J Kelly, Wendy Lipworth, Dyfrig A Hughes and Martin R Stockler</w:t>
            </w:r>
            <w:r>
              <w:rPr>
                <w:rFonts w:ascii="Garamond" w:hAnsi="Garamond"/>
                <w:lang w:val="en-AU"/>
              </w:rPr>
              <w:t>)</w:t>
            </w:r>
          </w:p>
          <w:p w:rsidR="00E0406F" w:rsidRDefault="00E0406F" w:rsidP="001A19A1">
            <w:pPr>
              <w:pStyle w:val="ListParagraph"/>
              <w:numPr>
                <w:ilvl w:val="0"/>
                <w:numId w:val="15"/>
              </w:numPr>
              <w:rPr>
                <w:rFonts w:ascii="Garamond" w:hAnsi="Garamond"/>
                <w:lang w:val="en-AU"/>
              </w:rPr>
            </w:pPr>
            <w:r w:rsidRPr="00E0406F">
              <w:rPr>
                <w:rFonts w:ascii="Garamond" w:hAnsi="Garamond"/>
                <w:lang w:val="en-AU"/>
              </w:rPr>
              <w:t xml:space="preserve">Cost analysis of an </w:t>
            </w:r>
            <w:r w:rsidRPr="00E0406F">
              <w:rPr>
                <w:rFonts w:ascii="Garamond" w:hAnsi="Garamond"/>
                <w:b/>
                <w:lang w:val="en-AU"/>
              </w:rPr>
              <w:t>integrated aged care program for residential aged care facilities</w:t>
            </w:r>
            <w:r w:rsidRPr="00E0406F">
              <w:rPr>
                <w:rFonts w:ascii="Garamond" w:hAnsi="Garamond"/>
                <w:lang w:val="en-AU"/>
              </w:rPr>
              <w:t xml:space="preserve"> (Rod Ling, Andrew Searles, Jacqueline Hewitt, Robyn Considine, Catherine Turner, Susan Thomas, Kelly Thomas, Keith Drinkwater, Isabel Higgins, Karen Best, Jane Conway and Carolyn Hullick</w:t>
            </w:r>
            <w:r>
              <w:rPr>
                <w:rFonts w:ascii="Garamond" w:hAnsi="Garamond"/>
                <w:lang w:val="en-AU"/>
              </w:rPr>
              <w:t>)</w:t>
            </w:r>
          </w:p>
          <w:p w:rsidR="00E0406F" w:rsidRPr="00E0406F" w:rsidRDefault="00E0406F" w:rsidP="00B57FCA">
            <w:pPr>
              <w:pStyle w:val="ListParagraph"/>
              <w:numPr>
                <w:ilvl w:val="0"/>
                <w:numId w:val="15"/>
              </w:numPr>
              <w:rPr>
                <w:rFonts w:ascii="Garamond" w:hAnsi="Garamond"/>
                <w:lang w:val="en-AU"/>
              </w:rPr>
            </w:pPr>
            <w:r w:rsidRPr="00E0406F">
              <w:rPr>
                <w:rFonts w:ascii="Garamond" w:hAnsi="Garamond"/>
                <w:b/>
                <w:lang w:val="en-AU"/>
              </w:rPr>
              <w:t>Disclosure of adverse events</w:t>
            </w:r>
            <w:r w:rsidRPr="00E0406F">
              <w:rPr>
                <w:rFonts w:ascii="Garamond" w:hAnsi="Garamond"/>
                <w:lang w:val="en-AU"/>
              </w:rPr>
              <w:t>: a data linkage study reporting patient experiences among Australian adults aged ≥45 years (Merrilyn Walton, Reema Harrison, Jennifer Smith-Merry, P Kelly, E Manias,</w:t>
            </w:r>
            <w:r>
              <w:rPr>
                <w:rFonts w:ascii="Garamond" w:hAnsi="Garamond"/>
                <w:lang w:val="en-AU"/>
              </w:rPr>
              <w:t xml:space="preserve"> C Jorm and R Iedema)</w:t>
            </w:r>
          </w:p>
          <w:p w:rsidR="00E0406F" w:rsidRPr="00E0406F" w:rsidRDefault="00E0406F" w:rsidP="00534D1A">
            <w:pPr>
              <w:pStyle w:val="ListParagraph"/>
              <w:numPr>
                <w:ilvl w:val="0"/>
                <w:numId w:val="15"/>
              </w:numPr>
              <w:rPr>
                <w:rFonts w:ascii="Garamond" w:hAnsi="Garamond"/>
                <w:lang w:val="en-AU"/>
              </w:rPr>
            </w:pPr>
            <w:r w:rsidRPr="00E0406F">
              <w:rPr>
                <w:rFonts w:ascii="Garamond" w:hAnsi="Garamond"/>
                <w:lang w:val="en-AU"/>
              </w:rPr>
              <w:t xml:space="preserve">Review of </w:t>
            </w:r>
            <w:r w:rsidRPr="00E0406F">
              <w:rPr>
                <w:rFonts w:ascii="Garamond" w:hAnsi="Garamond"/>
                <w:b/>
                <w:lang w:val="en-AU"/>
              </w:rPr>
              <w:t>medication errors</w:t>
            </w:r>
            <w:r w:rsidRPr="00E0406F">
              <w:rPr>
                <w:rFonts w:ascii="Garamond" w:hAnsi="Garamond"/>
                <w:lang w:val="en-AU"/>
              </w:rPr>
              <w:t xml:space="preserve"> that are new or likely to occur more frequently with </w:t>
            </w:r>
            <w:r w:rsidRPr="00E0406F">
              <w:rPr>
                <w:rFonts w:ascii="Garamond" w:hAnsi="Garamond"/>
                <w:b/>
                <w:lang w:val="en-AU"/>
              </w:rPr>
              <w:t>electronic medication management systems</w:t>
            </w:r>
            <w:r w:rsidRPr="00E0406F">
              <w:rPr>
                <w:rFonts w:ascii="Garamond" w:hAnsi="Garamond"/>
                <w:lang w:val="en-AU"/>
              </w:rPr>
              <w:t xml:space="preserve"> (Melita Van de Vreede, A</w:t>
            </w:r>
            <w:r>
              <w:rPr>
                <w:rFonts w:ascii="Garamond" w:hAnsi="Garamond"/>
                <w:lang w:val="en-AU"/>
              </w:rPr>
              <w:t>nne McGrath and Jan de Clifford)</w:t>
            </w:r>
          </w:p>
          <w:p w:rsidR="00E0406F" w:rsidRPr="0023262D" w:rsidRDefault="00E0406F" w:rsidP="00D71349">
            <w:pPr>
              <w:pStyle w:val="ListParagraph"/>
              <w:numPr>
                <w:ilvl w:val="0"/>
                <w:numId w:val="15"/>
              </w:numPr>
              <w:rPr>
                <w:rFonts w:ascii="Garamond" w:hAnsi="Garamond"/>
                <w:lang w:val="en-AU"/>
              </w:rPr>
            </w:pPr>
            <w:r w:rsidRPr="0023262D">
              <w:rPr>
                <w:rFonts w:ascii="Garamond" w:hAnsi="Garamond"/>
                <w:lang w:val="en-AU"/>
              </w:rPr>
              <w:lastRenderedPageBreak/>
              <w:t xml:space="preserve">Towards a strategy for </w:t>
            </w:r>
            <w:r w:rsidRPr="0023262D">
              <w:rPr>
                <w:rFonts w:ascii="Garamond" w:hAnsi="Garamond"/>
                <w:b/>
                <w:lang w:val="en-AU"/>
              </w:rPr>
              <w:t>clinical quality registries</w:t>
            </w:r>
            <w:r w:rsidRPr="0023262D">
              <w:rPr>
                <w:rFonts w:ascii="Garamond" w:hAnsi="Garamond"/>
                <w:lang w:val="en-AU"/>
              </w:rPr>
              <w:t xml:space="preserve"> in Australia </w:t>
            </w:r>
            <w:r w:rsidR="0023262D" w:rsidRPr="0023262D">
              <w:rPr>
                <w:rFonts w:ascii="Garamond" w:hAnsi="Garamond"/>
                <w:lang w:val="en-AU"/>
              </w:rPr>
              <w:t>(</w:t>
            </w:r>
            <w:r w:rsidRPr="0023262D">
              <w:rPr>
                <w:rFonts w:ascii="Garamond" w:hAnsi="Garamond"/>
                <w:lang w:val="en-AU"/>
              </w:rPr>
              <w:t xml:space="preserve">Susannah Ahern, Sue Evans, </w:t>
            </w:r>
            <w:r w:rsidR="0023262D">
              <w:rPr>
                <w:rFonts w:ascii="Garamond" w:hAnsi="Garamond"/>
                <w:lang w:val="en-AU"/>
              </w:rPr>
              <w:t>Ingrid Hopper and John Zalcberg)</w:t>
            </w:r>
          </w:p>
          <w:p w:rsidR="0023262D" w:rsidRDefault="00E0406F" w:rsidP="00386540">
            <w:pPr>
              <w:pStyle w:val="ListParagraph"/>
              <w:numPr>
                <w:ilvl w:val="0"/>
                <w:numId w:val="15"/>
              </w:numPr>
              <w:rPr>
                <w:rFonts w:ascii="Garamond" w:hAnsi="Garamond"/>
                <w:lang w:val="en-AU"/>
              </w:rPr>
            </w:pPr>
            <w:r w:rsidRPr="0023262D">
              <w:rPr>
                <w:rFonts w:ascii="Garamond" w:hAnsi="Garamond"/>
                <w:lang w:val="en-AU"/>
              </w:rPr>
              <w:t xml:space="preserve">Systematic review of the evidence related to mandated </w:t>
            </w:r>
            <w:r w:rsidRPr="0023262D">
              <w:rPr>
                <w:rFonts w:ascii="Garamond" w:hAnsi="Garamond"/>
                <w:b/>
                <w:lang w:val="en-AU"/>
              </w:rPr>
              <w:t xml:space="preserve">nurse staffing ratios in acute hospitals </w:t>
            </w:r>
            <w:r w:rsidR="0023262D" w:rsidRPr="0023262D">
              <w:rPr>
                <w:rFonts w:ascii="Garamond" w:hAnsi="Garamond"/>
                <w:lang w:val="en-AU"/>
              </w:rPr>
              <w:t>(</w:t>
            </w:r>
            <w:r w:rsidRPr="0023262D">
              <w:rPr>
                <w:rFonts w:ascii="Garamond" w:hAnsi="Garamond"/>
                <w:lang w:val="en-AU"/>
              </w:rPr>
              <w:t>Richard Olley, Ian Edwards, Mark Avery and H Cooper</w:t>
            </w:r>
            <w:r w:rsidR="0023262D">
              <w:rPr>
                <w:rFonts w:ascii="Garamond" w:hAnsi="Garamond"/>
                <w:lang w:val="en-AU"/>
              </w:rPr>
              <w:t>)</w:t>
            </w:r>
          </w:p>
          <w:p w:rsidR="00E0406F" w:rsidRPr="0023262D" w:rsidRDefault="00E0406F" w:rsidP="006B3BC5">
            <w:pPr>
              <w:pStyle w:val="ListParagraph"/>
              <w:numPr>
                <w:ilvl w:val="0"/>
                <w:numId w:val="15"/>
              </w:numPr>
              <w:rPr>
                <w:rFonts w:ascii="Garamond" w:hAnsi="Garamond"/>
                <w:lang w:val="en-AU"/>
              </w:rPr>
            </w:pPr>
            <w:r w:rsidRPr="0023262D">
              <w:rPr>
                <w:rFonts w:ascii="Garamond" w:hAnsi="Garamond"/>
                <w:lang w:val="en-AU"/>
              </w:rPr>
              <w:t xml:space="preserve">Factors affecting the </w:t>
            </w:r>
            <w:r w:rsidRPr="0023262D">
              <w:rPr>
                <w:rFonts w:ascii="Garamond" w:hAnsi="Garamond"/>
                <w:b/>
                <w:lang w:val="en-AU"/>
              </w:rPr>
              <w:t>performance of public out-patient services</w:t>
            </w:r>
            <w:r w:rsidRPr="0023262D">
              <w:rPr>
                <w:rFonts w:ascii="Garamond" w:hAnsi="Garamond"/>
                <w:lang w:val="en-AU"/>
              </w:rPr>
              <w:t xml:space="preserve"> </w:t>
            </w:r>
            <w:r w:rsidR="0023262D" w:rsidRPr="0023262D">
              <w:rPr>
                <w:rFonts w:ascii="Garamond" w:hAnsi="Garamond"/>
                <w:lang w:val="en-AU"/>
              </w:rPr>
              <w:t>(</w:t>
            </w:r>
            <w:r w:rsidRPr="0023262D">
              <w:rPr>
                <w:rFonts w:ascii="Garamond" w:hAnsi="Garamond"/>
                <w:lang w:val="en-AU"/>
              </w:rPr>
              <w:t>Ugenthiri Naiker, Gerry FitzGerald, Joel M. Dulhunty and Michael Rosemann</w:t>
            </w:r>
            <w:r w:rsidR="0023262D">
              <w:rPr>
                <w:rFonts w:ascii="Garamond" w:hAnsi="Garamond"/>
                <w:lang w:val="en-AU"/>
              </w:rPr>
              <w:t>)</w:t>
            </w:r>
          </w:p>
          <w:p w:rsidR="00E0406F" w:rsidRPr="0023262D" w:rsidRDefault="00E0406F" w:rsidP="00114C0F">
            <w:pPr>
              <w:pStyle w:val="ListParagraph"/>
              <w:numPr>
                <w:ilvl w:val="0"/>
                <w:numId w:val="15"/>
              </w:numPr>
              <w:rPr>
                <w:rFonts w:ascii="Garamond" w:hAnsi="Garamond"/>
                <w:lang w:val="en-AU"/>
              </w:rPr>
            </w:pPr>
            <w:r w:rsidRPr="0023262D">
              <w:rPr>
                <w:rFonts w:ascii="Garamond" w:hAnsi="Garamond"/>
                <w:lang w:val="en-AU"/>
              </w:rPr>
              <w:t xml:space="preserve">Going digital: a checklist in preparing for </w:t>
            </w:r>
            <w:r w:rsidRPr="0023262D">
              <w:rPr>
                <w:rFonts w:ascii="Garamond" w:hAnsi="Garamond"/>
                <w:b/>
                <w:lang w:val="en-AU"/>
              </w:rPr>
              <w:t>hospital-wide electronic medical record implementation and digital transformation</w:t>
            </w:r>
            <w:r w:rsidRPr="0023262D">
              <w:rPr>
                <w:rFonts w:ascii="Garamond" w:hAnsi="Garamond"/>
                <w:lang w:val="en-AU"/>
              </w:rPr>
              <w:t xml:space="preserve"> </w:t>
            </w:r>
            <w:r w:rsidR="0023262D" w:rsidRPr="0023262D">
              <w:rPr>
                <w:rFonts w:ascii="Garamond" w:hAnsi="Garamond"/>
                <w:lang w:val="en-AU"/>
              </w:rPr>
              <w:t>(</w:t>
            </w:r>
            <w:r w:rsidRPr="0023262D">
              <w:rPr>
                <w:rFonts w:ascii="Garamond" w:hAnsi="Garamond"/>
                <w:lang w:val="en-AU"/>
              </w:rPr>
              <w:t xml:space="preserve">Ian A. Scott, </w:t>
            </w:r>
            <w:r w:rsidR="0023262D">
              <w:rPr>
                <w:rFonts w:ascii="Garamond" w:hAnsi="Garamond"/>
                <w:lang w:val="en-AU"/>
              </w:rPr>
              <w:t>Clair Sullivan and Andrew Staib)</w:t>
            </w:r>
          </w:p>
          <w:p w:rsidR="00E0406F" w:rsidRPr="0023262D" w:rsidRDefault="00E0406F" w:rsidP="001E2D8A">
            <w:pPr>
              <w:pStyle w:val="ListParagraph"/>
              <w:numPr>
                <w:ilvl w:val="0"/>
                <w:numId w:val="15"/>
              </w:numPr>
              <w:rPr>
                <w:rFonts w:ascii="Garamond" w:hAnsi="Garamond"/>
                <w:lang w:val="en-AU"/>
              </w:rPr>
            </w:pPr>
            <w:r w:rsidRPr="0023262D">
              <w:rPr>
                <w:rFonts w:ascii="Garamond" w:hAnsi="Garamond"/>
                <w:lang w:val="en-AU"/>
              </w:rPr>
              <w:t xml:space="preserve">Improving the </w:t>
            </w:r>
            <w:r w:rsidRPr="0023262D">
              <w:rPr>
                <w:rFonts w:ascii="Garamond" w:hAnsi="Garamond"/>
                <w:b/>
                <w:lang w:val="en-AU"/>
              </w:rPr>
              <w:t>efficacy of healthcare services for Aboriginal Australians</w:t>
            </w:r>
            <w:r w:rsidRPr="0023262D">
              <w:rPr>
                <w:rFonts w:ascii="Garamond" w:hAnsi="Garamond"/>
                <w:lang w:val="en-AU"/>
              </w:rPr>
              <w:t xml:space="preserve"> </w:t>
            </w:r>
            <w:r w:rsidR="0023262D" w:rsidRPr="0023262D">
              <w:rPr>
                <w:rFonts w:ascii="Garamond" w:hAnsi="Garamond"/>
                <w:lang w:val="en-AU"/>
              </w:rPr>
              <w:t>(</w:t>
            </w:r>
            <w:r w:rsidRPr="0023262D">
              <w:rPr>
                <w:rFonts w:ascii="Garamond" w:hAnsi="Garamond"/>
                <w:lang w:val="en-AU"/>
              </w:rPr>
              <w:t>Kylie Gwynne, Thomas J</w:t>
            </w:r>
            <w:r w:rsidR="0023262D">
              <w:rPr>
                <w:rFonts w:ascii="Garamond" w:hAnsi="Garamond"/>
                <w:lang w:val="en-AU"/>
              </w:rPr>
              <w:t>effries Jr and Michelle Lincoln)</w:t>
            </w:r>
          </w:p>
          <w:p w:rsidR="00E0406F" w:rsidRPr="0023262D" w:rsidRDefault="00E0406F" w:rsidP="0036170C">
            <w:pPr>
              <w:pStyle w:val="ListParagraph"/>
              <w:numPr>
                <w:ilvl w:val="0"/>
                <w:numId w:val="15"/>
              </w:numPr>
              <w:rPr>
                <w:rFonts w:ascii="Garamond" w:hAnsi="Garamond"/>
                <w:lang w:val="en-AU"/>
              </w:rPr>
            </w:pPr>
            <w:r w:rsidRPr="0023262D">
              <w:rPr>
                <w:rFonts w:ascii="Garamond" w:hAnsi="Garamond"/>
                <w:lang w:val="en-AU"/>
              </w:rPr>
              <w:t xml:space="preserve">Improving access to important </w:t>
            </w:r>
            <w:r w:rsidRPr="0023262D">
              <w:rPr>
                <w:rFonts w:ascii="Garamond" w:hAnsi="Garamond"/>
                <w:b/>
                <w:lang w:val="en-AU"/>
              </w:rPr>
              <w:t>recovery information for heart patients with low health literacy</w:t>
            </w:r>
            <w:r w:rsidRPr="0023262D">
              <w:rPr>
                <w:rFonts w:ascii="Garamond" w:hAnsi="Garamond"/>
                <w:lang w:val="en-AU"/>
              </w:rPr>
              <w:t xml:space="preserve">: reflections on practice-based initiatives </w:t>
            </w:r>
            <w:r w:rsidR="0023262D" w:rsidRPr="0023262D">
              <w:rPr>
                <w:rFonts w:ascii="Garamond" w:hAnsi="Garamond"/>
                <w:lang w:val="en-AU"/>
              </w:rPr>
              <w:t>(</w:t>
            </w:r>
            <w:r w:rsidRPr="0023262D">
              <w:rPr>
                <w:rFonts w:ascii="Garamond" w:hAnsi="Garamond"/>
                <w:lang w:val="en-AU"/>
              </w:rPr>
              <w:t>Lucio Naccarella, Catuscia Biuso, Amand</w:t>
            </w:r>
            <w:r w:rsidR="0023262D">
              <w:rPr>
                <w:rFonts w:ascii="Garamond" w:hAnsi="Garamond"/>
                <w:lang w:val="en-AU"/>
              </w:rPr>
              <w:t>a Jennings and Harry Patsamanis)</w:t>
            </w:r>
          </w:p>
          <w:p w:rsidR="0023262D" w:rsidRDefault="00E0406F" w:rsidP="00D4354D">
            <w:pPr>
              <w:pStyle w:val="ListParagraph"/>
              <w:numPr>
                <w:ilvl w:val="0"/>
                <w:numId w:val="15"/>
              </w:numPr>
              <w:rPr>
                <w:rFonts w:ascii="Garamond" w:hAnsi="Garamond"/>
                <w:lang w:val="en-AU"/>
              </w:rPr>
            </w:pPr>
            <w:r w:rsidRPr="0023262D">
              <w:rPr>
                <w:rFonts w:ascii="Garamond" w:hAnsi="Garamond"/>
                <w:b/>
                <w:lang w:val="en-AU"/>
              </w:rPr>
              <w:t>Bullying and sexual harassment of junior doctors</w:t>
            </w:r>
            <w:r w:rsidRPr="0023262D">
              <w:rPr>
                <w:rFonts w:ascii="Garamond" w:hAnsi="Garamond"/>
                <w:lang w:val="en-AU"/>
              </w:rPr>
              <w:t xml:space="preserve"> in New South Wales, Australia: rate and reporting outcomes </w:t>
            </w:r>
            <w:r w:rsidR="0023262D" w:rsidRPr="0023262D">
              <w:rPr>
                <w:rFonts w:ascii="Garamond" w:hAnsi="Garamond"/>
                <w:lang w:val="en-AU"/>
              </w:rPr>
              <w:t>(</w:t>
            </w:r>
            <w:r w:rsidRPr="0023262D">
              <w:rPr>
                <w:rFonts w:ascii="Garamond" w:hAnsi="Garamond"/>
                <w:lang w:val="en-AU"/>
              </w:rPr>
              <w:t>Anthony Llewellyn, Aspasia Karageorge, Louise Nash, Wenlong Li and Dennis Neuen</w:t>
            </w:r>
            <w:r w:rsidR="0023262D">
              <w:rPr>
                <w:rFonts w:ascii="Garamond" w:hAnsi="Garamond"/>
                <w:lang w:val="en-AU"/>
              </w:rPr>
              <w:t>)</w:t>
            </w:r>
          </w:p>
          <w:p w:rsidR="0023262D" w:rsidRDefault="00E0406F" w:rsidP="006B7DBA">
            <w:pPr>
              <w:pStyle w:val="ListParagraph"/>
              <w:numPr>
                <w:ilvl w:val="0"/>
                <w:numId w:val="15"/>
              </w:numPr>
              <w:rPr>
                <w:rFonts w:ascii="Garamond" w:hAnsi="Garamond"/>
                <w:lang w:val="en-AU"/>
              </w:rPr>
            </w:pPr>
            <w:r w:rsidRPr="0023262D">
              <w:rPr>
                <w:rFonts w:ascii="Garamond" w:hAnsi="Garamond"/>
                <w:lang w:val="en-AU"/>
              </w:rPr>
              <w:t xml:space="preserve">Building capacity for change: evaluation of an </w:t>
            </w:r>
            <w:r w:rsidRPr="0023262D">
              <w:rPr>
                <w:rFonts w:ascii="Garamond" w:hAnsi="Garamond"/>
                <w:b/>
                <w:lang w:val="en-AU"/>
              </w:rPr>
              <w:t>organisation-wide leadership development program</w:t>
            </w:r>
            <w:r w:rsidRPr="0023262D">
              <w:rPr>
                <w:rFonts w:ascii="Garamond" w:hAnsi="Garamond"/>
                <w:lang w:val="en-AU"/>
              </w:rPr>
              <w:t xml:space="preserve"> </w:t>
            </w:r>
            <w:r w:rsidR="0023262D" w:rsidRPr="0023262D">
              <w:rPr>
                <w:rFonts w:ascii="Garamond" w:hAnsi="Garamond"/>
                <w:lang w:val="en-AU"/>
              </w:rPr>
              <w:t>(</w:t>
            </w:r>
            <w:r w:rsidRPr="0023262D">
              <w:rPr>
                <w:rFonts w:ascii="Garamond" w:hAnsi="Garamond"/>
                <w:lang w:val="en-AU"/>
              </w:rPr>
              <w:t>Tim Schultz, Jodie Shoobridge, Gill Harvey, Libby Carter and Alison Kitson</w:t>
            </w:r>
            <w:r w:rsidR="0023262D">
              <w:rPr>
                <w:rFonts w:ascii="Garamond" w:hAnsi="Garamond"/>
                <w:lang w:val="en-AU"/>
              </w:rPr>
              <w:t>)</w:t>
            </w:r>
          </w:p>
          <w:p w:rsidR="0023262D" w:rsidRDefault="00E0406F" w:rsidP="004E237B">
            <w:pPr>
              <w:pStyle w:val="ListParagraph"/>
              <w:numPr>
                <w:ilvl w:val="0"/>
                <w:numId w:val="15"/>
              </w:numPr>
              <w:rPr>
                <w:rFonts w:ascii="Garamond" w:hAnsi="Garamond"/>
                <w:lang w:val="en-AU"/>
              </w:rPr>
            </w:pPr>
            <w:r w:rsidRPr="0023262D">
              <w:rPr>
                <w:rFonts w:ascii="Garamond" w:hAnsi="Garamond"/>
                <w:lang w:val="en-AU"/>
              </w:rPr>
              <w:t xml:space="preserve">Combining participatory action research and appreciative inquiry to design, deliver and evaluate an </w:t>
            </w:r>
            <w:r w:rsidRPr="0023262D">
              <w:rPr>
                <w:rFonts w:ascii="Garamond" w:hAnsi="Garamond"/>
                <w:b/>
                <w:lang w:val="en-AU"/>
              </w:rPr>
              <w:t>interdisciplinary continuing education program for a regional health workforce</w:t>
            </w:r>
            <w:r w:rsidRPr="0023262D">
              <w:rPr>
                <w:rFonts w:ascii="Garamond" w:hAnsi="Garamond"/>
                <w:lang w:val="en-AU"/>
              </w:rPr>
              <w:t xml:space="preserve"> </w:t>
            </w:r>
            <w:r w:rsidR="0023262D" w:rsidRPr="0023262D">
              <w:rPr>
                <w:rFonts w:ascii="Garamond" w:hAnsi="Garamond"/>
                <w:lang w:val="en-AU"/>
              </w:rPr>
              <w:t>(</w:t>
            </w:r>
            <w:r w:rsidRPr="0023262D">
              <w:rPr>
                <w:rFonts w:ascii="Garamond" w:hAnsi="Garamond"/>
                <w:lang w:val="en-AU"/>
              </w:rPr>
              <w:t>Julie-Anne Martyn, Jackie Scott, Jasper H. van der Westhuyzen, Dale Spanhake, Sally Zanella, April Martin and Ruth Newby</w:t>
            </w:r>
            <w:r w:rsidR="0023262D">
              <w:rPr>
                <w:rFonts w:ascii="Garamond" w:hAnsi="Garamond"/>
                <w:lang w:val="en-AU"/>
              </w:rPr>
              <w:t>)</w:t>
            </w:r>
          </w:p>
          <w:p w:rsidR="00E0406F" w:rsidRPr="007C3778" w:rsidRDefault="00E0406F" w:rsidP="0023262D">
            <w:pPr>
              <w:pStyle w:val="ListParagraph"/>
              <w:numPr>
                <w:ilvl w:val="0"/>
                <w:numId w:val="15"/>
              </w:numPr>
              <w:rPr>
                <w:rFonts w:ascii="Garamond" w:hAnsi="Garamond"/>
                <w:lang w:val="en-AU"/>
              </w:rPr>
            </w:pPr>
            <w:r w:rsidRPr="0023262D">
              <w:rPr>
                <w:rFonts w:ascii="Garamond" w:hAnsi="Garamond"/>
                <w:lang w:val="en-AU"/>
              </w:rPr>
              <w:t xml:space="preserve">Widening </w:t>
            </w:r>
            <w:r w:rsidRPr="0023262D">
              <w:rPr>
                <w:rFonts w:ascii="Garamond" w:hAnsi="Garamond"/>
                <w:b/>
                <w:lang w:val="en-AU"/>
              </w:rPr>
              <w:t>participation of Māori and Pasifika students in health careers</w:t>
            </w:r>
            <w:r w:rsidRPr="0023262D">
              <w:rPr>
                <w:rFonts w:ascii="Garamond" w:hAnsi="Garamond"/>
                <w:lang w:val="en-AU"/>
              </w:rPr>
              <w:t xml:space="preserve">: evaluation of two health science academies </w:t>
            </w:r>
            <w:r w:rsidR="0023262D" w:rsidRPr="0023262D">
              <w:rPr>
                <w:rFonts w:ascii="Garamond" w:hAnsi="Garamond"/>
                <w:lang w:val="en-AU"/>
              </w:rPr>
              <w:t>(</w:t>
            </w:r>
            <w:r w:rsidRPr="0023262D">
              <w:rPr>
                <w:rFonts w:ascii="Garamond" w:hAnsi="Garamond"/>
                <w:lang w:val="en-AU"/>
              </w:rPr>
              <w:t>Lesley Middleton, Ausaga Faasalele Tanuvasa, Megan Pledger, Nicola Grace, Kirsten Smiler, Tua Taueetia Loto-Su'a and Jacqueline Cumming</w:t>
            </w:r>
            <w:r w:rsidR="0023262D">
              <w:rPr>
                <w:rFonts w:ascii="Garamond" w:hAnsi="Garamond"/>
                <w:lang w:val="en-AU"/>
              </w:rPr>
              <w:t>)</w:t>
            </w:r>
          </w:p>
        </w:tc>
      </w:tr>
    </w:tbl>
    <w:p w:rsidR="00E0406F" w:rsidRDefault="00E0406F" w:rsidP="00E0406F">
      <w:pPr>
        <w:rPr>
          <w:rFonts w:ascii="Garamond" w:hAnsi="Garamond"/>
          <w:i/>
          <w:lang w:val="en-AU"/>
        </w:rPr>
      </w:pPr>
    </w:p>
    <w:p w:rsidR="00275EBC" w:rsidRDefault="00275EBC" w:rsidP="00E0406F">
      <w:pPr>
        <w:rPr>
          <w:rFonts w:ascii="Garamond" w:hAnsi="Garamond"/>
          <w:i/>
          <w:lang w:val="en-AU"/>
        </w:rPr>
      </w:pPr>
    </w:p>
    <w:p w:rsidR="009C75AE" w:rsidRPr="00C57211" w:rsidRDefault="009C75AE" w:rsidP="009C75AE">
      <w:pPr>
        <w:keepNext/>
        <w:rPr>
          <w:rFonts w:ascii="Garamond" w:hAnsi="Garamond"/>
          <w:i/>
          <w:lang w:val="en-AU"/>
        </w:rPr>
      </w:pPr>
      <w:r>
        <w:rPr>
          <w:rFonts w:ascii="Garamond" w:hAnsi="Garamond"/>
          <w:i/>
          <w:lang w:val="en-AU"/>
        </w:rPr>
        <w:t>Health Affairs</w:t>
      </w:r>
    </w:p>
    <w:p w:rsidR="009C75AE" w:rsidRPr="00D65371" w:rsidRDefault="009C75AE" w:rsidP="009C75AE">
      <w:pPr>
        <w:keepNext/>
        <w:rPr>
          <w:rFonts w:ascii="Garamond" w:hAnsi="Garamond"/>
          <w:lang w:val="en-AU"/>
        </w:rPr>
      </w:pPr>
      <w:r w:rsidRPr="00F63992">
        <w:rPr>
          <w:rFonts w:ascii="Garamond" w:hAnsi="Garamond"/>
          <w:lang w:val="en-AU"/>
        </w:rPr>
        <w:t xml:space="preserve">Volume: 38, Number: </w:t>
      </w:r>
      <w:r>
        <w:rPr>
          <w:rFonts w:ascii="Garamond" w:hAnsi="Garamond"/>
          <w:lang w:val="en-AU"/>
        </w:rPr>
        <w:t>6</w:t>
      </w:r>
      <w:r w:rsidRPr="00F63992">
        <w:rPr>
          <w:rFonts w:ascii="Garamond" w:hAnsi="Garamond"/>
          <w:lang w:val="en-AU"/>
        </w:rPr>
        <w:t xml:space="preserve"> (</w:t>
      </w:r>
      <w:r>
        <w:rPr>
          <w:rFonts w:ascii="Garamond" w:hAnsi="Garamond"/>
          <w:lang w:val="en-AU"/>
        </w:rPr>
        <w:t>June</w:t>
      </w:r>
      <w:r w:rsidRPr="00F63992">
        <w:rPr>
          <w:rFonts w:ascii="Garamond" w:hAnsi="Garamond"/>
          <w:lang w:val="en-AU"/>
        </w:rPr>
        <w:t xml:space="preserve"> 2019)</w:t>
      </w:r>
    </w:p>
    <w:tbl>
      <w:tblPr>
        <w:tblStyle w:val="TableGrid"/>
        <w:tblW w:w="0" w:type="auto"/>
        <w:tblInd w:w="288" w:type="dxa"/>
        <w:tblLayout w:type="fixed"/>
        <w:tblLook w:val="01E0" w:firstRow="1" w:lastRow="1" w:firstColumn="1" w:lastColumn="1" w:noHBand="0" w:noVBand="0"/>
      </w:tblPr>
      <w:tblGrid>
        <w:gridCol w:w="1080"/>
        <w:gridCol w:w="8280"/>
      </w:tblGrid>
      <w:tr w:rsidR="009C75AE" w:rsidRPr="000170DA" w:rsidTr="00FA2FA2">
        <w:tc>
          <w:tcPr>
            <w:tcW w:w="1080" w:type="dxa"/>
            <w:tcBorders>
              <w:top w:val="single" w:sz="4" w:space="0" w:color="auto"/>
              <w:left w:val="single" w:sz="4" w:space="0" w:color="auto"/>
              <w:bottom w:val="single" w:sz="4" w:space="0" w:color="auto"/>
              <w:right w:val="single" w:sz="4" w:space="0" w:color="auto"/>
            </w:tcBorders>
            <w:vAlign w:val="center"/>
          </w:tcPr>
          <w:p w:rsidR="009C75AE" w:rsidRPr="000170DA" w:rsidRDefault="009C75AE" w:rsidP="00FA2FA2">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C75AE" w:rsidRPr="000170DA" w:rsidRDefault="00F90931" w:rsidP="00FA2FA2">
            <w:pPr>
              <w:rPr>
                <w:rStyle w:val="Hyperlink"/>
                <w:rFonts w:ascii="Garamond" w:hAnsi="Garamond"/>
                <w:color w:val="auto"/>
                <w:u w:val="none"/>
                <w:lang w:val="en-AU"/>
              </w:rPr>
            </w:pPr>
            <w:hyperlink r:id="rId30" w:history="1">
              <w:r w:rsidR="009C75AE" w:rsidRPr="003B022C">
                <w:rPr>
                  <w:rStyle w:val="Hyperlink"/>
                  <w:rFonts w:ascii="Garamond" w:hAnsi="Garamond"/>
                  <w:lang w:val="en-AU"/>
                </w:rPr>
                <w:t>https://www.healthaffairs.org/toc/hlthaff/38/6</w:t>
              </w:r>
            </w:hyperlink>
          </w:p>
        </w:tc>
      </w:tr>
      <w:tr w:rsidR="009C75AE" w:rsidRPr="000170DA" w:rsidTr="00FA2FA2">
        <w:tc>
          <w:tcPr>
            <w:tcW w:w="1080" w:type="dxa"/>
            <w:tcBorders>
              <w:top w:val="single" w:sz="4" w:space="0" w:color="auto"/>
              <w:left w:val="single" w:sz="4" w:space="0" w:color="auto"/>
              <w:bottom w:val="single" w:sz="4" w:space="0" w:color="auto"/>
              <w:right w:val="single" w:sz="4" w:space="0" w:color="auto"/>
            </w:tcBorders>
            <w:vAlign w:val="center"/>
          </w:tcPr>
          <w:p w:rsidR="009C75AE" w:rsidRPr="000170DA" w:rsidRDefault="009C75AE" w:rsidP="00FA2FA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C75AE" w:rsidRPr="007C3778" w:rsidRDefault="009C75AE" w:rsidP="00FA2FA2">
            <w:pPr>
              <w:rPr>
                <w:rFonts w:ascii="Garamond" w:hAnsi="Garamond"/>
                <w:lang w:val="en-AU"/>
              </w:rPr>
            </w:pPr>
            <w:r w:rsidRPr="00B440ED">
              <w:rPr>
                <w:rFonts w:ascii="Garamond" w:hAnsi="Garamond"/>
                <w:lang w:val="en-AU"/>
              </w:rPr>
              <w:t xml:space="preserve">A new issue of </w:t>
            </w:r>
            <w:r>
              <w:rPr>
                <w:rFonts w:ascii="Garamond" w:hAnsi="Garamond"/>
                <w:i/>
                <w:lang w:val="en-AU"/>
              </w:rPr>
              <w:t>Health Affairs</w:t>
            </w:r>
            <w:r w:rsidRPr="00B440ED">
              <w:rPr>
                <w:rFonts w:ascii="Garamond" w:hAnsi="Garamond"/>
                <w:lang w:val="en-AU"/>
              </w:rPr>
              <w:t xml:space="preserve"> has been published</w:t>
            </w:r>
            <w:r>
              <w:rPr>
                <w:rFonts w:ascii="Garamond" w:hAnsi="Garamond"/>
                <w:lang w:val="en-AU"/>
              </w:rPr>
              <w:t xml:space="preserve"> with the theme ‘</w:t>
            </w:r>
            <w:r w:rsidRPr="00BB3232">
              <w:rPr>
                <w:rFonts w:ascii="Garamond" w:hAnsi="Garamond"/>
                <w:b/>
                <w:lang w:val="en-AU"/>
              </w:rPr>
              <w:t>Community Care For High-Need Patients</w:t>
            </w:r>
            <w:r>
              <w:rPr>
                <w:rFonts w:ascii="Garamond" w:hAnsi="Garamond"/>
                <w:lang w:val="en-AU"/>
              </w:rPr>
              <w:t>’</w:t>
            </w:r>
            <w:r w:rsidRPr="00B440ED">
              <w:rPr>
                <w:rFonts w:ascii="Garamond" w:hAnsi="Garamond"/>
                <w:lang w:val="en-AU"/>
              </w:rPr>
              <w:t xml:space="preserve">. Articles in this issue of </w:t>
            </w:r>
            <w:r>
              <w:rPr>
                <w:rFonts w:ascii="Garamond" w:hAnsi="Garamond"/>
                <w:i/>
                <w:lang w:val="en-AU"/>
              </w:rPr>
              <w:t>Health Affairs</w:t>
            </w:r>
            <w:r w:rsidRPr="00B440ED">
              <w:rPr>
                <w:rFonts w:ascii="Garamond" w:hAnsi="Garamond"/>
                <w:lang w:val="en-AU"/>
              </w:rPr>
              <w:t xml:space="preserve"> include:</w:t>
            </w:r>
          </w:p>
          <w:p w:rsidR="009C75AE" w:rsidRPr="00BB3232" w:rsidRDefault="009C75AE" w:rsidP="00FF32B1">
            <w:pPr>
              <w:pStyle w:val="ListParagraph"/>
              <w:numPr>
                <w:ilvl w:val="0"/>
                <w:numId w:val="15"/>
              </w:numPr>
              <w:rPr>
                <w:rFonts w:ascii="Garamond" w:hAnsi="Garamond"/>
                <w:lang w:val="en-AU"/>
              </w:rPr>
            </w:pPr>
            <w:r w:rsidRPr="00BB3232">
              <w:rPr>
                <w:rFonts w:ascii="Garamond" w:hAnsi="Garamond"/>
                <w:lang w:val="en-AU"/>
              </w:rPr>
              <w:t xml:space="preserve">Beyond Twelve Steps, </w:t>
            </w:r>
            <w:r w:rsidRPr="00BB3232">
              <w:rPr>
                <w:rFonts w:ascii="Garamond" w:hAnsi="Garamond"/>
                <w:b/>
                <w:lang w:val="en-AU"/>
              </w:rPr>
              <w:t>Peer-Supported Mental Health Care</w:t>
            </w:r>
            <w:r w:rsidR="00BB3232" w:rsidRPr="00BB3232">
              <w:rPr>
                <w:rFonts w:ascii="Garamond" w:hAnsi="Garamond"/>
                <w:lang w:val="en-AU"/>
              </w:rPr>
              <w:t xml:space="preserve"> (</w:t>
            </w:r>
            <w:r w:rsidRPr="00BB3232">
              <w:rPr>
                <w:rFonts w:ascii="Garamond" w:hAnsi="Garamond"/>
                <w:lang w:val="en-AU"/>
              </w:rPr>
              <w:t>M C Marill</w:t>
            </w:r>
            <w:r w:rsidR="00BB3232">
              <w:rPr>
                <w:rFonts w:ascii="Garamond" w:hAnsi="Garamond"/>
                <w:lang w:val="en-AU"/>
              </w:rPr>
              <w:t>)</w:t>
            </w:r>
          </w:p>
          <w:p w:rsidR="009C75AE" w:rsidRPr="00BB3232" w:rsidRDefault="009C75AE" w:rsidP="00E63A0C">
            <w:pPr>
              <w:pStyle w:val="ListParagraph"/>
              <w:numPr>
                <w:ilvl w:val="0"/>
                <w:numId w:val="15"/>
              </w:numPr>
              <w:rPr>
                <w:rFonts w:ascii="Garamond" w:hAnsi="Garamond"/>
                <w:lang w:val="en-AU"/>
              </w:rPr>
            </w:pPr>
            <w:r w:rsidRPr="00BB3232">
              <w:rPr>
                <w:rFonts w:ascii="Garamond" w:hAnsi="Garamond"/>
                <w:b/>
                <w:lang w:val="en-AU"/>
              </w:rPr>
              <w:t>Home And Community-Based Workforce For Patients With Serious Illness</w:t>
            </w:r>
            <w:r w:rsidRPr="00BB3232">
              <w:rPr>
                <w:rFonts w:ascii="Garamond" w:hAnsi="Garamond"/>
                <w:lang w:val="en-AU"/>
              </w:rPr>
              <w:t xml:space="preserve"> Requires Support To Meet Growing Needs</w:t>
            </w:r>
            <w:r w:rsidR="00BB3232" w:rsidRPr="00BB3232">
              <w:rPr>
                <w:rFonts w:ascii="Garamond" w:hAnsi="Garamond"/>
                <w:lang w:val="en-AU"/>
              </w:rPr>
              <w:t xml:space="preserve"> (</w:t>
            </w:r>
            <w:r w:rsidRPr="00BB3232">
              <w:rPr>
                <w:rFonts w:ascii="Garamond" w:hAnsi="Garamond"/>
                <w:lang w:val="en-AU"/>
              </w:rPr>
              <w:t>Joanne Spetz, Robyn I Stone, Susan A Chapman, and Natasha Bryant</w:t>
            </w:r>
            <w:r w:rsidR="00BB3232">
              <w:rPr>
                <w:rFonts w:ascii="Garamond" w:hAnsi="Garamond"/>
                <w:lang w:val="en-AU"/>
              </w:rPr>
              <w:t>)</w:t>
            </w:r>
          </w:p>
          <w:p w:rsidR="009C75AE" w:rsidRPr="00BB3232" w:rsidRDefault="009C75AE" w:rsidP="00BE6227">
            <w:pPr>
              <w:pStyle w:val="ListParagraph"/>
              <w:numPr>
                <w:ilvl w:val="0"/>
                <w:numId w:val="15"/>
              </w:numPr>
              <w:rPr>
                <w:rFonts w:ascii="Garamond" w:hAnsi="Garamond"/>
                <w:lang w:val="en-AU"/>
              </w:rPr>
            </w:pPr>
            <w:r w:rsidRPr="00BB3232">
              <w:rPr>
                <w:rFonts w:ascii="Garamond" w:hAnsi="Garamond"/>
                <w:lang w:val="en-AU"/>
              </w:rPr>
              <w:t xml:space="preserve">Policy Changes Key To Promoting Sustainability And Growth Of The </w:t>
            </w:r>
            <w:r w:rsidRPr="00BB3232">
              <w:rPr>
                <w:rFonts w:ascii="Garamond" w:hAnsi="Garamond"/>
                <w:b/>
                <w:lang w:val="en-AU"/>
              </w:rPr>
              <w:t>Specialty Palliative Care Workforce</w:t>
            </w:r>
            <w:r w:rsidR="00BB3232" w:rsidRPr="00BB3232">
              <w:rPr>
                <w:rFonts w:ascii="Garamond" w:hAnsi="Garamond"/>
                <w:lang w:val="en-AU"/>
              </w:rPr>
              <w:t xml:space="preserve"> (</w:t>
            </w:r>
            <w:r w:rsidRPr="00BB3232">
              <w:rPr>
                <w:rFonts w:ascii="Garamond" w:hAnsi="Garamond"/>
                <w:lang w:val="en-AU"/>
              </w:rPr>
              <w:t>Arif H Kamal, Steven P Wolf, Jesse Troy, Victoria Leff, Constance Dahlin, Joseph D Rotella, George Handzo, Phillip E Rodgers, and Evan R Myers</w:t>
            </w:r>
            <w:r w:rsidR="00BB3232">
              <w:rPr>
                <w:rFonts w:ascii="Garamond" w:hAnsi="Garamond"/>
                <w:lang w:val="en-AU"/>
              </w:rPr>
              <w:t>)</w:t>
            </w:r>
          </w:p>
          <w:p w:rsidR="009C75AE" w:rsidRPr="00BB3232" w:rsidRDefault="009C75AE" w:rsidP="000F364A">
            <w:pPr>
              <w:pStyle w:val="ListParagraph"/>
              <w:numPr>
                <w:ilvl w:val="0"/>
                <w:numId w:val="15"/>
              </w:numPr>
              <w:rPr>
                <w:rFonts w:ascii="Garamond" w:hAnsi="Garamond"/>
                <w:lang w:val="en-AU"/>
              </w:rPr>
            </w:pPr>
            <w:r w:rsidRPr="00BB3232">
              <w:rPr>
                <w:rFonts w:ascii="Garamond" w:hAnsi="Garamond"/>
                <w:b/>
                <w:lang w:val="en-AU"/>
              </w:rPr>
              <w:t>Care For</w:t>
            </w:r>
            <w:r w:rsidRPr="00BB3232">
              <w:rPr>
                <w:rFonts w:ascii="Garamond" w:hAnsi="Garamond"/>
                <w:lang w:val="en-AU"/>
              </w:rPr>
              <w:t xml:space="preserve"> America’s </w:t>
            </w:r>
            <w:r w:rsidRPr="00BB3232">
              <w:rPr>
                <w:rFonts w:ascii="Garamond" w:hAnsi="Garamond"/>
                <w:b/>
                <w:lang w:val="en-AU"/>
              </w:rPr>
              <w:t>Elderly And Disabled People</w:t>
            </w:r>
            <w:r w:rsidRPr="00BB3232">
              <w:rPr>
                <w:rFonts w:ascii="Garamond" w:hAnsi="Garamond"/>
                <w:lang w:val="en-AU"/>
              </w:rPr>
              <w:t xml:space="preserve"> Relies On Immigrant Labor</w:t>
            </w:r>
            <w:r w:rsidR="00BB3232" w:rsidRPr="00BB3232">
              <w:rPr>
                <w:rFonts w:ascii="Garamond" w:hAnsi="Garamond"/>
                <w:lang w:val="en-AU"/>
              </w:rPr>
              <w:t xml:space="preserve"> (</w:t>
            </w:r>
            <w:r w:rsidRPr="00BB3232">
              <w:rPr>
                <w:rFonts w:ascii="Garamond" w:hAnsi="Garamond"/>
                <w:lang w:val="en-AU"/>
              </w:rPr>
              <w:t>Leah Zallman, Karen E Finnegan, David U Himmelstein, Sharon Touw, and Steffie Woolhandler</w:t>
            </w:r>
            <w:r w:rsidR="00BB3232">
              <w:rPr>
                <w:rFonts w:ascii="Garamond" w:hAnsi="Garamond"/>
                <w:lang w:val="en-AU"/>
              </w:rPr>
              <w:t>)</w:t>
            </w:r>
          </w:p>
          <w:p w:rsidR="009C75AE" w:rsidRPr="00BB3232" w:rsidRDefault="009C75AE" w:rsidP="00993C6A">
            <w:pPr>
              <w:pStyle w:val="ListParagraph"/>
              <w:numPr>
                <w:ilvl w:val="0"/>
                <w:numId w:val="15"/>
              </w:numPr>
              <w:rPr>
                <w:rFonts w:ascii="Garamond" w:hAnsi="Garamond"/>
                <w:lang w:val="en-AU"/>
              </w:rPr>
            </w:pPr>
            <w:r w:rsidRPr="00BB3232">
              <w:rPr>
                <w:rFonts w:ascii="Garamond" w:hAnsi="Garamond"/>
                <w:lang w:val="en-AU"/>
              </w:rPr>
              <w:t xml:space="preserve">Beyond Functional Support: The </w:t>
            </w:r>
            <w:r w:rsidRPr="00BB3232">
              <w:rPr>
                <w:rFonts w:ascii="Garamond" w:hAnsi="Garamond"/>
                <w:b/>
                <w:lang w:val="en-AU"/>
              </w:rPr>
              <w:t>Range Of Health-Related Tasks Performed In The Home By Paid Caregivers</w:t>
            </w:r>
            <w:r w:rsidRPr="00BB3232">
              <w:rPr>
                <w:rFonts w:ascii="Garamond" w:hAnsi="Garamond"/>
                <w:lang w:val="en-AU"/>
              </w:rPr>
              <w:t xml:space="preserve"> In New York</w:t>
            </w:r>
            <w:r w:rsidR="00BB3232" w:rsidRPr="00BB3232">
              <w:rPr>
                <w:rFonts w:ascii="Garamond" w:hAnsi="Garamond"/>
                <w:lang w:val="en-AU"/>
              </w:rPr>
              <w:t xml:space="preserve"> (</w:t>
            </w:r>
            <w:r w:rsidRPr="00BB3232">
              <w:rPr>
                <w:rFonts w:ascii="Garamond" w:hAnsi="Garamond"/>
                <w:lang w:val="en-AU"/>
              </w:rPr>
              <w:t>Jennifer M Reckrey, Emma K Tsui, R Sean Morrison, Emma T Geduldig, Robyn I Stone, Katherine A Ornstein, and Alex D Federman</w:t>
            </w:r>
            <w:r w:rsidR="00BB3232">
              <w:rPr>
                <w:rFonts w:ascii="Garamond" w:hAnsi="Garamond"/>
                <w:lang w:val="en-AU"/>
              </w:rPr>
              <w:t>)</w:t>
            </w:r>
          </w:p>
          <w:p w:rsidR="009C75AE" w:rsidRPr="00BB3232" w:rsidRDefault="009C75AE" w:rsidP="007C2B10">
            <w:pPr>
              <w:pStyle w:val="ListParagraph"/>
              <w:numPr>
                <w:ilvl w:val="0"/>
                <w:numId w:val="15"/>
              </w:numPr>
              <w:rPr>
                <w:rFonts w:ascii="Garamond" w:hAnsi="Garamond"/>
                <w:lang w:val="en-AU"/>
              </w:rPr>
            </w:pPr>
            <w:r w:rsidRPr="00BB3232">
              <w:rPr>
                <w:rFonts w:ascii="Garamond" w:hAnsi="Garamond"/>
                <w:lang w:val="en-AU"/>
              </w:rPr>
              <w:lastRenderedPageBreak/>
              <w:t xml:space="preserve">A Path To </w:t>
            </w:r>
            <w:r w:rsidRPr="00BB3232">
              <w:rPr>
                <w:rFonts w:ascii="Garamond" w:hAnsi="Garamond"/>
                <w:b/>
                <w:lang w:val="en-AU"/>
              </w:rPr>
              <w:t>High-Quality Team-Based Care</w:t>
            </w:r>
            <w:r w:rsidRPr="00BB3232">
              <w:rPr>
                <w:rFonts w:ascii="Garamond" w:hAnsi="Garamond"/>
                <w:lang w:val="en-AU"/>
              </w:rPr>
              <w:t xml:space="preserve"> For People With Serious Illness</w:t>
            </w:r>
            <w:r w:rsidR="00BB3232" w:rsidRPr="00BB3232">
              <w:rPr>
                <w:rFonts w:ascii="Garamond" w:hAnsi="Garamond"/>
                <w:lang w:val="en-AU"/>
              </w:rPr>
              <w:t xml:space="preserve"> (</w:t>
            </w:r>
            <w:r w:rsidRPr="00BB3232">
              <w:rPr>
                <w:rFonts w:ascii="Garamond" w:hAnsi="Garamond"/>
                <w:lang w:val="en-AU"/>
              </w:rPr>
              <w:t>Courtney H Van Houtven, S Nicole Hastings, and Cathleen Colón-Emeric</w:t>
            </w:r>
            <w:r w:rsidR="00BB3232">
              <w:rPr>
                <w:rFonts w:ascii="Garamond" w:hAnsi="Garamond"/>
                <w:lang w:val="en-AU"/>
              </w:rPr>
              <w:t>)</w:t>
            </w:r>
          </w:p>
          <w:p w:rsidR="009C75AE" w:rsidRPr="00BB3232" w:rsidRDefault="009C75AE" w:rsidP="005679DC">
            <w:pPr>
              <w:pStyle w:val="ListParagraph"/>
              <w:numPr>
                <w:ilvl w:val="0"/>
                <w:numId w:val="15"/>
              </w:numPr>
              <w:rPr>
                <w:rFonts w:ascii="Garamond" w:hAnsi="Garamond"/>
                <w:lang w:val="en-AU"/>
              </w:rPr>
            </w:pPr>
            <w:r w:rsidRPr="00BB3232">
              <w:rPr>
                <w:rFonts w:ascii="Garamond" w:hAnsi="Garamond"/>
                <w:b/>
                <w:lang w:val="en-AU"/>
              </w:rPr>
              <w:t>Care Management For Older Adults</w:t>
            </w:r>
            <w:r w:rsidRPr="00BB3232">
              <w:rPr>
                <w:rFonts w:ascii="Garamond" w:hAnsi="Garamond"/>
                <w:lang w:val="en-AU"/>
              </w:rPr>
              <w:t>: The Roles Of Nurses, Social Workers, And Physicians</w:t>
            </w:r>
            <w:r w:rsidR="00BB3232" w:rsidRPr="00BB3232">
              <w:rPr>
                <w:rFonts w:ascii="Garamond" w:hAnsi="Garamond"/>
                <w:lang w:val="en-AU"/>
              </w:rPr>
              <w:t xml:space="preserve"> (</w:t>
            </w:r>
            <w:r w:rsidRPr="00BB3232">
              <w:rPr>
                <w:rFonts w:ascii="Garamond" w:hAnsi="Garamond"/>
                <w:lang w:val="en-AU"/>
              </w:rPr>
              <w:t>Karen Donelan, Yuchiao Chang, Julie Berrett-Abebe, Joanne Spetz, David I Auerbach, Linda Norman, and Peter I. Buerhaus</w:t>
            </w:r>
            <w:r w:rsidR="00BB3232">
              <w:rPr>
                <w:rFonts w:ascii="Garamond" w:hAnsi="Garamond"/>
                <w:lang w:val="en-AU"/>
              </w:rPr>
              <w:t>)</w:t>
            </w:r>
          </w:p>
          <w:p w:rsidR="009C75AE" w:rsidRPr="00BB3232" w:rsidRDefault="009C75AE" w:rsidP="00FC4F6C">
            <w:pPr>
              <w:pStyle w:val="ListParagraph"/>
              <w:numPr>
                <w:ilvl w:val="0"/>
                <w:numId w:val="15"/>
              </w:numPr>
              <w:rPr>
                <w:rFonts w:ascii="Garamond" w:hAnsi="Garamond"/>
                <w:lang w:val="en-AU"/>
              </w:rPr>
            </w:pPr>
            <w:r w:rsidRPr="00BB3232">
              <w:rPr>
                <w:rFonts w:ascii="Garamond" w:hAnsi="Garamond"/>
                <w:lang w:val="en-AU"/>
              </w:rPr>
              <w:t xml:space="preserve">A Large-Scale Advanced Illness Intervention Informs </w:t>
            </w:r>
            <w:r w:rsidRPr="00BB3232">
              <w:rPr>
                <w:rFonts w:ascii="Garamond" w:hAnsi="Garamond"/>
                <w:b/>
                <w:lang w:val="en-AU"/>
              </w:rPr>
              <w:t>Medicare’s New Serious Illness Payment Model</w:t>
            </w:r>
            <w:r w:rsidR="00BB3232" w:rsidRPr="00BB3232">
              <w:rPr>
                <w:rFonts w:ascii="Garamond" w:hAnsi="Garamond"/>
                <w:lang w:val="en-AU"/>
              </w:rPr>
              <w:t xml:space="preserve"> (</w:t>
            </w:r>
            <w:r w:rsidRPr="00BB3232">
              <w:rPr>
                <w:rFonts w:ascii="Garamond" w:hAnsi="Garamond"/>
                <w:lang w:val="en-AU"/>
              </w:rPr>
              <w:t>Brad Stuart, E Mahler, and P Koomson</w:t>
            </w:r>
            <w:r w:rsidR="00BB3232">
              <w:rPr>
                <w:rFonts w:ascii="Garamond" w:hAnsi="Garamond"/>
                <w:lang w:val="en-AU"/>
              </w:rPr>
              <w:t>)</w:t>
            </w:r>
          </w:p>
          <w:p w:rsidR="009C75AE" w:rsidRDefault="009C75AE" w:rsidP="00CE7D5D">
            <w:pPr>
              <w:pStyle w:val="ListParagraph"/>
              <w:numPr>
                <w:ilvl w:val="0"/>
                <w:numId w:val="15"/>
              </w:numPr>
              <w:rPr>
                <w:rFonts w:ascii="Garamond" w:hAnsi="Garamond"/>
                <w:lang w:val="en-AU"/>
              </w:rPr>
            </w:pPr>
            <w:r w:rsidRPr="00BB3232">
              <w:rPr>
                <w:rFonts w:ascii="Garamond" w:hAnsi="Garamond"/>
                <w:lang w:val="en-AU"/>
              </w:rPr>
              <w:t xml:space="preserve">Including </w:t>
            </w:r>
            <w:r w:rsidRPr="00BB3232">
              <w:rPr>
                <w:rFonts w:ascii="Garamond" w:hAnsi="Garamond"/>
                <w:b/>
                <w:lang w:val="en-AU"/>
              </w:rPr>
              <w:t>Family Caregivers In Seriously Ill Veterans’ Care</w:t>
            </w:r>
            <w:r w:rsidRPr="00BB3232">
              <w:rPr>
                <w:rFonts w:ascii="Garamond" w:hAnsi="Garamond"/>
                <w:lang w:val="en-AU"/>
              </w:rPr>
              <w:t>: A Mixed-Methods Study</w:t>
            </w:r>
            <w:r w:rsidR="00BB3232" w:rsidRPr="00BB3232">
              <w:rPr>
                <w:rFonts w:ascii="Garamond" w:hAnsi="Garamond"/>
                <w:lang w:val="en-AU"/>
              </w:rPr>
              <w:t xml:space="preserve"> (</w:t>
            </w:r>
            <w:r w:rsidRPr="00BB3232">
              <w:rPr>
                <w:rFonts w:ascii="Garamond" w:hAnsi="Garamond"/>
                <w:lang w:val="en-AU"/>
              </w:rPr>
              <w:t>Nina R Sperber, Nathan A Boucher, Roxana Delgado, Megan E Shepherd-Banigan, Kevin McKenna, Madison Moore, Rachael Barrett, Margaret Kabat, and Courtney H Van Houtven</w:t>
            </w:r>
            <w:r w:rsidR="00BB3232">
              <w:rPr>
                <w:rFonts w:ascii="Garamond" w:hAnsi="Garamond"/>
                <w:lang w:val="en-AU"/>
              </w:rPr>
              <w:t>)</w:t>
            </w:r>
          </w:p>
          <w:p w:rsidR="009C75AE" w:rsidRPr="00BB3232" w:rsidRDefault="009C75AE" w:rsidP="004551F4">
            <w:pPr>
              <w:pStyle w:val="ListParagraph"/>
              <w:numPr>
                <w:ilvl w:val="0"/>
                <w:numId w:val="15"/>
              </w:numPr>
              <w:rPr>
                <w:rFonts w:ascii="Garamond" w:hAnsi="Garamond"/>
                <w:lang w:val="en-AU"/>
              </w:rPr>
            </w:pPr>
            <w:r w:rsidRPr="00BB3232">
              <w:rPr>
                <w:rFonts w:ascii="Garamond" w:hAnsi="Garamond"/>
                <w:b/>
                <w:lang w:val="en-AU"/>
              </w:rPr>
              <w:t xml:space="preserve">Spousal Caregivers </w:t>
            </w:r>
            <w:r w:rsidRPr="00BB3232">
              <w:rPr>
                <w:rFonts w:ascii="Garamond" w:hAnsi="Garamond"/>
                <w:lang w:val="en-AU"/>
              </w:rPr>
              <w:t>Are Caregiving Alone</w:t>
            </w:r>
            <w:r w:rsidRPr="00BB3232">
              <w:rPr>
                <w:rFonts w:ascii="Garamond" w:hAnsi="Garamond"/>
                <w:b/>
                <w:lang w:val="en-AU"/>
              </w:rPr>
              <w:t xml:space="preserve"> In The Last Years Of Life</w:t>
            </w:r>
            <w:r w:rsidR="00BB3232" w:rsidRPr="00BB3232">
              <w:rPr>
                <w:rFonts w:ascii="Garamond" w:hAnsi="Garamond"/>
                <w:b/>
                <w:lang w:val="en-AU"/>
              </w:rPr>
              <w:t xml:space="preserve"> </w:t>
            </w:r>
            <w:r w:rsidR="00BB3232" w:rsidRPr="00BB3232">
              <w:rPr>
                <w:rFonts w:ascii="Garamond" w:hAnsi="Garamond"/>
                <w:lang w:val="en-AU"/>
              </w:rPr>
              <w:t>(</w:t>
            </w:r>
            <w:r w:rsidRPr="00BB3232">
              <w:rPr>
                <w:rFonts w:ascii="Garamond" w:hAnsi="Garamond"/>
                <w:lang w:val="en-AU"/>
              </w:rPr>
              <w:t>Katherine A Ornstein, Jennifer L Wolff, Evan Bollens-Lund, Omari-Khalid Rahman, and Amy S. Kelley</w:t>
            </w:r>
            <w:r w:rsidR="00BB3232">
              <w:rPr>
                <w:rFonts w:ascii="Garamond" w:hAnsi="Garamond"/>
                <w:lang w:val="en-AU"/>
              </w:rPr>
              <w:t>)</w:t>
            </w:r>
          </w:p>
          <w:p w:rsidR="009C75AE" w:rsidRPr="00BB3232" w:rsidRDefault="009C75AE" w:rsidP="00383DBC">
            <w:pPr>
              <w:pStyle w:val="ListParagraph"/>
              <w:numPr>
                <w:ilvl w:val="0"/>
                <w:numId w:val="15"/>
              </w:numPr>
              <w:rPr>
                <w:rFonts w:ascii="Garamond" w:hAnsi="Garamond"/>
                <w:lang w:val="en-AU"/>
              </w:rPr>
            </w:pPr>
            <w:r w:rsidRPr="00BB3232">
              <w:rPr>
                <w:rFonts w:ascii="Garamond" w:hAnsi="Garamond"/>
                <w:lang w:val="en-AU"/>
              </w:rPr>
              <w:t xml:space="preserve">Historical Mismatch Between </w:t>
            </w:r>
            <w:r w:rsidRPr="00BB3232">
              <w:rPr>
                <w:rFonts w:ascii="Garamond" w:hAnsi="Garamond"/>
                <w:b/>
                <w:lang w:val="en-AU"/>
              </w:rPr>
              <w:t>Home-Based Care Policies And Laws Governing Home Care Workers</w:t>
            </w:r>
            <w:r w:rsidR="00BB3232" w:rsidRPr="00BB3232">
              <w:rPr>
                <w:rFonts w:ascii="Garamond" w:hAnsi="Garamond"/>
                <w:lang w:val="en-AU"/>
              </w:rPr>
              <w:t xml:space="preserve"> (</w:t>
            </w:r>
            <w:r w:rsidRPr="00BB3232">
              <w:rPr>
                <w:rFonts w:ascii="Garamond" w:hAnsi="Garamond"/>
                <w:lang w:val="en-AU"/>
              </w:rPr>
              <w:t>Lisa I Iezzoni, N Gallopyn, and K Scales</w:t>
            </w:r>
            <w:r w:rsidR="00BB3232">
              <w:rPr>
                <w:rFonts w:ascii="Garamond" w:hAnsi="Garamond"/>
                <w:lang w:val="en-AU"/>
              </w:rPr>
              <w:t>)</w:t>
            </w:r>
          </w:p>
          <w:p w:rsidR="009C75AE" w:rsidRPr="00BB3232" w:rsidRDefault="009C75AE" w:rsidP="00C10060">
            <w:pPr>
              <w:pStyle w:val="ListParagraph"/>
              <w:numPr>
                <w:ilvl w:val="0"/>
                <w:numId w:val="15"/>
              </w:numPr>
              <w:rPr>
                <w:rFonts w:ascii="Garamond" w:hAnsi="Garamond"/>
                <w:lang w:val="en-AU"/>
              </w:rPr>
            </w:pPr>
            <w:r w:rsidRPr="00BB3232">
              <w:rPr>
                <w:rFonts w:ascii="Garamond" w:hAnsi="Garamond"/>
                <w:b/>
                <w:lang w:val="en-AU"/>
              </w:rPr>
              <w:t>Home Health Care Providers Struggle With State Laws And Medicare Rules</w:t>
            </w:r>
            <w:r w:rsidRPr="00BB3232">
              <w:rPr>
                <w:rFonts w:ascii="Garamond" w:hAnsi="Garamond"/>
                <w:lang w:val="en-AU"/>
              </w:rPr>
              <w:t xml:space="preserve"> As Demand Rises</w:t>
            </w:r>
            <w:r w:rsidR="00BB3232" w:rsidRPr="00BB3232">
              <w:rPr>
                <w:rFonts w:ascii="Garamond" w:hAnsi="Garamond"/>
                <w:lang w:val="en-AU"/>
              </w:rPr>
              <w:t xml:space="preserve"> (</w:t>
            </w:r>
            <w:r w:rsidRPr="00BB3232">
              <w:rPr>
                <w:rFonts w:ascii="Garamond" w:hAnsi="Garamond"/>
                <w:lang w:val="en-AU"/>
              </w:rPr>
              <w:t>Susan Jaffe</w:t>
            </w:r>
            <w:r w:rsidR="00BB3232">
              <w:rPr>
                <w:rFonts w:ascii="Garamond" w:hAnsi="Garamond"/>
                <w:lang w:val="en-AU"/>
              </w:rPr>
              <w:t>)</w:t>
            </w:r>
          </w:p>
          <w:p w:rsidR="009C75AE" w:rsidRPr="00BB3232" w:rsidRDefault="009C75AE" w:rsidP="00B60332">
            <w:pPr>
              <w:pStyle w:val="ListParagraph"/>
              <w:numPr>
                <w:ilvl w:val="0"/>
                <w:numId w:val="15"/>
              </w:numPr>
              <w:rPr>
                <w:rFonts w:ascii="Garamond" w:hAnsi="Garamond"/>
                <w:lang w:val="en-AU"/>
              </w:rPr>
            </w:pPr>
            <w:r w:rsidRPr="00BB3232">
              <w:rPr>
                <w:rFonts w:ascii="Garamond" w:hAnsi="Garamond"/>
                <w:b/>
                <w:lang w:val="en-AU"/>
              </w:rPr>
              <w:t>Home Health Care For Children With Medical Complexity</w:t>
            </w:r>
            <w:r w:rsidRPr="00BB3232">
              <w:rPr>
                <w:rFonts w:ascii="Garamond" w:hAnsi="Garamond"/>
                <w:lang w:val="en-AU"/>
              </w:rPr>
              <w:t>: Workforce Gaps, Policy, And Future Directions</w:t>
            </w:r>
            <w:r w:rsidR="00BB3232" w:rsidRPr="00BB3232">
              <w:rPr>
                <w:rFonts w:ascii="Garamond" w:hAnsi="Garamond"/>
                <w:lang w:val="en-AU"/>
              </w:rPr>
              <w:t xml:space="preserve"> (</w:t>
            </w:r>
            <w:r w:rsidRPr="00BB3232">
              <w:rPr>
                <w:rFonts w:ascii="Garamond" w:hAnsi="Garamond"/>
                <w:lang w:val="en-AU"/>
              </w:rPr>
              <w:t>Carolyn C Foster, Rishi K</w:t>
            </w:r>
            <w:r w:rsidR="00BB3232">
              <w:rPr>
                <w:rFonts w:ascii="Garamond" w:hAnsi="Garamond"/>
                <w:lang w:val="en-AU"/>
              </w:rPr>
              <w:t xml:space="preserve"> Agrawal, and Matthew M</w:t>
            </w:r>
            <w:r w:rsidRPr="00BB3232">
              <w:rPr>
                <w:rFonts w:ascii="Garamond" w:hAnsi="Garamond"/>
                <w:lang w:val="en-AU"/>
              </w:rPr>
              <w:t xml:space="preserve"> Davis</w:t>
            </w:r>
            <w:r w:rsidR="00BB3232">
              <w:rPr>
                <w:rFonts w:ascii="Garamond" w:hAnsi="Garamond"/>
                <w:lang w:val="en-AU"/>
              </w:rPr>
              <w:t>)</w:t>
            </w:r>
          </w:p>
          <w:p w:rsidR="009C75AE" w:rsidRPr="00BB3232" w:rsidRDefault="009C75AE" w:rsidP="005048B2">
            <w:pPr>
              <w:pStyle w:val="ListParagraph"/>
              <w:numPr>
                <w:ilvl w:val="0"/>
                <w:numId w:val="15"/>
              </w:numPr>
              <w:rPr>
                <w:rFonts w:ascii="Garamond" w:hAnsi="Garamond"/>
                <w:lang w:val="en-AU"/>
              </w:rPr>
            </w:pPr>
            <w:r w:rsidRPr="00BB3232">
              <w:rPr>
                <w:rFonts w:ascii="Garamond" w:hAnsi="Garamond"/>
                <w:lang w:val="en-AU"/>
              </w:rPr>
              <w:t xml:space="preserve">The </w:t>
            </w:r>
            <w:r w:rsidRPr="00BB3232">
              <w:rPr>
                <w:rFonts w:ascii="Garamond" w:hAnsi="Garamond"/>
                <w:b/>
                <w:lang w:val="en-AU"/>
              </w:rPr>
              <w:t>Financial Burden Of Paid Home Care On Older Adults</w:t>
            </w:r>
            <w:r w:rsidRPr="00BB3232">
              <w:rPr>
                <w:rFonts w:ascii="Garamond" w:hAnsi="Garamond"/>
                <w:lang w:val="en-AU"/>
              </w:rPr>
              <w:t>: Oldest And Sickest Are Least Likely To Have Enough Income</w:t>
            </w:r>
            <w:r w:rsidR="00BB3232" w:rsidRPr="00BB3232">
              <w:rPr>
                <w:rFonts w:ascii="Garamond" w:hAnsi="Garamond"/>
                <w:lang w:val="en-AU"/>
              </w:rPr>
              <w:t xml:space="preserve"> (</w:t>
            </w:r>
            <w:r w:rsidRPr="00BB3232">
              <w:rPr>
                <w:rFonts w:ascii="Garamond" w:hAnsi="Garamond"/>
                <w:lang w:val="en-AU"/>
              </w:rPr>
              <w:t>Richard W Johnson and Claire Xiaozhi Wang</w:t>
            </w:r>
            <w:r w:rsidR="00BB3232">
              <w:rPr>
                <w:rFonts w:ascii="Garamond" w:hAnsi="Garamond"/>
                <w:lang w:val="en-AU"/>
              </w:rPr>
              <w:t>)</w:t>
            </w:r>
          </w:p>
          <w:p w:rsidR="009C75AE" w:rsidRPr="00BB3232" w:rsidRDefault="009C75AE" w:rsidP="006D52C9">
            <w:pPr>
              <w:pStyle w:val="ListParagraph"/>
              <w:numPr>
                <w:ilvl w:val="0"/>
                <w:numId w:val="15"/>
              </w:numPr>
              <w:rPr>
                <w:rFonts w:ascii="Garamond" w:hAnsi="Garamond"/>
                <w:lang w:val="en-AU"/>
              </w:rPr>
            </w:pPr>
            <w:r w:rsidRPr="00BB3232">
              <w:rPr>
                <w:rFonts w:ascii="Garamond" w:hAnsi="Garamond"/>
                <w:lang w:val="en-AU"/>
              </w:rPr>
              <w:t xml:space="preserve">Work-Related </w:t>
            </w:r>
            <w:r w:rsidRPr="00BB3232">
              <w:rPr>
                <w:rFonts w:ascii="Garamond" w:hAnsi="Garamond"/>
                <w:b/>
                <w:lang w:val="en-AU"/>
              </w:rPr>
              <w:t>Opportunity Costs Of Providing Unpaid Family Care</w:t>
            </w:r>
            <w:r w:rsidRPr="00BB3232">
              <w:rPr>
                <w:rFonts w:ascii="Garamond" w:hAnsi="Garamond"/>
                <w:lang w:val="en-AU"/>
              </w:rPr>
              <w:t xml:space="preserve"> In 2013 And 2050</w:t>
            </w:r>
            <w:r w:rsidR="00BB3232" w:rsidRPr="00BB3232">
              <w:rPr>
                <w:rFonts w:ascii="Garamond" w:hAnsi="Garamond"/>
                <w:lang w:val="en-AU"/>
              </w:rPr>
              <w:t xml:space="preserve"> (</w:t>
            </w:r>
            <w:r w:rsidRPr="00BB3232">
              <w:rPr>
                <w:rFonts w:ascii="Garamond" w:hAnsi="Garamond"/>
                <w:lang w:val="en-AU"/>
              </w:rPr>
              <w:t>Stipica Mudrazija</w:t>
            </w:r>
            <w:r w:rsidR="00BB3232">
              <w:rPr>
                <w:rFonts w:ascii="Garamond" w:hAnsi="Garamond"/>
                <w:lang w:val="en-AU"/>
              </w:rPr>
              <w:t>)</w:t>
            </w:r>
          </w:p>
          <w:p w:rsidR="009C75AE" w:rsidRPr="00BB3232" w:rsidRDefault="009C75AE" w:rsidP="00132047">
            <w:pPr>
              <w:pStyle w:val="ListParagraph"/>
              <w:numPr>
                <w:ilvl w:val="0"/>
                <w:numId w:val="15"/>
              </w:numPr>
              <w:rPr>
                <w:rFonts w:ascii="Garamond" w:hAnsi="Garamond"/>
                <w:lang w:val="en-AU"/>
              </w:rPr>
            </w:pPr>
            <w:r w:rsidRPr="00BB3232">
              <w:rPr>
                <w:rFonts w:ascii="Garamond" w:hAnsi="Garamond"/>
                <w:b/>
                <w:lang w:val="en-AU"/>
              </w:rPr>
              <w:t>ACO Serious Illness Care</w:t>
            </w:r>
            <w:r w:rsidRPr="00BB3232">
              <w:rPr>
                <w:rFonts w:ascii="Garamond" w:hAnsi="Garamond"/>
                <w:lang w:val="en-AU"/>
              </w:rPr>
              <w:t>: Survey And Case Studies Depict Current Challenges And Future Opportunities</w:t>
            </w:r>
            <w:r w:rsidR="00BB3232" w:rsidRPr="00BB3232">
              <w:rPr>
                <w:rFonts w:ascii="Garamond" w:hAnsi="Garamond"/>
                <w:lang w:val="en-AU"/>
              </w:rPr>
              <w:t xml:space="preserve"> (</w:t>
            </w:r>
            <w:r w:rsidRPr="00BB3232">
              <w:rPr>
                <w:rFonts w:ascii="Garamond" w:hAnsi="Garamond"/>
                <w:lang w:val="en-AU"/>
              </w:rPr>
              <w:t>William K Bleser, Robert S Saunders, Lia Winfield, Mark Japinga, Nathan Smith, Brystana G Kaufman, Hannah L Crook, David B Muhlestein, and Mark McClellan</w:t>
            </w:r>
            <w:r w:rsidR="00BB3232">
              <w:rPr>
                <w:rFonts w:ascii="Garamond" w:hAnsi="Garamond"/>
                <w:lang w:val="en-AU"/>
              </w:rPr>
              <w:t>)</w:t>
            </w:r>
          </w:p>
          <w:p w:rsidR="009C75AE" w:rsidRPr="001C4C72" w:rsidRDefault="009C75AE" w:rsidP="00E52B35">
            <w:pPr>
              <w:pStyle w:val="ListParagraph"/>
              <w:numPr>
                <w:ilvl w:val="0"/>
                <w:numId w:val="15"/>
              </w:numPr>
              <w:rPr>
                <w:rFonts w:ascii="Garamond" w:hAnsi="Garamond"/>
                <w:lang w:val="en-AU"/>
              </w:rPr>
            </w:pPr>
            <w:r w:rsidRPr="001C4C72">
              <w:rPr>
                <w:rFonts w:ascii="Garamond" w:hAnsi="Garamond"/>
                <w:lang w:val="en-AU"/>
              </w:rPr>
              <w:t xml:space="preserve">‘Eyes In The Home’: ACOs Use </w:t>
            </w:r>
            <w:r w:rsidRPr="001C4C72">
              <w:rPr>
                <w:rFonts w:ascii="Garamond" w:hAnsi="Garamond"/>
                <w:b/>
                <w:lang w:val="en-AU"/>
              </w:rPr>
              <w:t>Home Visits To Improve Care Management, Identify Needs, And Reduce Hospital Use</w:t>
            </w:r>
            <w:r w:rsidR="001C4C72" w:rsidRPr="001C4C72">
              <w:rPr>
                <w:rFonts w:ascii="Garamond" w:hAnsi="Garamond"/>
                <w:lang w:val="en-AU"/>
              </w:rPr>
              <w:t xml:space="preserve"> (</w:t>
            </w:r>
            <w:r w:rsidRPr="001C4C72">
              <w:rPr>
                <w:rFonts w:ascii="Garamond" w:hAnsi="Garamond"/>
                <w:lang w:val="en-AU"/>
              </w:rPr>
              <w:t>Taressa K Fraze, Laura B Beidler, Adam D M Briggs, and Carrie H. Colla</w:t>
            </w:r>
            <w:r w:rsidR="001C4C72">
              <w:rPr>
                <w:rFonts w:ascii="Garamond" w:hAnsi="Garamond"/>
                <w:lang w:val="en-AU"/>
              </w:rPr>
              <w:t>)</w:t>
            </w:r>
          </w:p>
          <w:p w:rsidR="009C75AE" w:rsidRPr="001C4C72" w:rsidRDefault="009C75AE" w:rsidP="00D0012E">
            <w:pPr>
              <w:pStyle w:val="ListParagraph"/>
              <w:numPr>
                <w:ilvl w:val="0"/>
                <w:numId w:val="15"/>
              </w:numPr>
              <w:rPr>
                <w:rFonts w:ascii="Garamond" w:hAnsi="Garamond"/>
                <w:lang w:val="en-AU"/>
              </w:rPr>
            </w:pPr>
            <w:r w:rsidRPr="001C4C72">
              <w:rPr>
                <w:rFonts w:ascii="Garamond" w:hAnsi="Garamond"/>
                <w:lang w:val="en-AU"/>
              </w:rPr>
              <w:t xml:space="preserve">Impact Of Physicians, Nurse Practitioners, And Physician Assistants On </w:t>
            </w:r>
            <w:r w:rsidRPr="001C4C72">
              <w:rPr>
                <w:rFonts w:ascii="Garamond" w:hAnsi="Garamond"/>
                <w:b/>
                <w:lang w:val="en-AU"/>
              </w:rPr>
              <w:t>Utilization And Costs For Complex Patients</w:t>
            </w:r>
            <w:r w:rsidR="001C4C72" w:rsidRPr="001C4C72">
              <w:rPr>
                <w:rFonts w:ascii="Garamond" w:hAnsi="Garamond"/>
                <w:lang w:val="en-AU"/>
              </w:rPr>
              <w:t xml:space="preserve"> (</w:t>
            </w:r>
            <w:r w:rsidRPr="001C4C72">
              <w:rPr>
                <w:rFonts w:ascii="Garamond" w:hAnsi="Garamond"/>
                <w:lang w:val="en-AU"/>
              </w:rPr>
              <w:t>Perri A Morgan, Valerie A Smith, Theodore S Z Berkowitz, David Edelman, Courtney H Van Houtven, Sandra L Woolson, C C Hendrix, C M Everett, B S</w:t>
            </w:r>
            <w:r w:rsidR="001C4C72">
              <w:rPr>
                <w:rFonts w:ascii="Garamond" w:hAnsi="Garamond"/>
                <w:lang w:val="en-AU"/>
              </w:rPr>
              <w:t xml:space="preserve"> White, and G L</w:t>
            </w:r>
            <w:r w:rsidRPr="001C4C72">
              <w:rPr>
                <w:rFonts w:ascii="Garamond" w:hAnsi="Garamond"/>
                <w:lang w:val="en-AU"/>
              </w:rPr>
              <w:t xml:space="preserve"> Jackson</w:t>
            </w:r>
            <w:r w:rsidR="001C4C72">
              <w:rPr>
                <w:rFonts w:ascii="Garamond" w:hAnsi="Garamond"/>
                <w:lang w:val="en-AU"/>
              </w:rPr>
              <w:t>)</w:t>
            </w:r>
          </w:p>
          <w:p w:rsidR="009C75AE" w:rsidRPr="001C4C72" w:rsidRDefault="009C75AE" w:rsidP="00226C56">
            <w:pPr>
              <w:pStyle w:val="ListParagraph"/>
              <w:numPr>
                <w:ilvl w:val="0"/>
                <w:numId w:val="15"/>
              </w:numPr>
              <w:rPr>
                <w:rFonts w:ascii="Garamond" w:hAnsi="Garamond"/>
                <w:lang w:val="en-AU"/>
              </w:rPr>
            </w:pPr>
            <w:r w:rsidRPr="001C4C72">
              <w:rPr>
                <w:rFonts w:ascii="Garamond" w:hAnsi="Garamond"/>
                <w:lang w:val="en-AU"/>
              </w:rPr>
              <w:t xml:space="preserve">Users Of </w:t>
            </w:r>
            <w:r w:rsidRPr="001C4C72">
              <w:rPr>
                <w:rFonts w:ascii="Garamond" w:hAnsi="Garamond"/>
                <w:b/>
                <w:lang w:val="en-AU"/>
              </w:rPr>
              <w:t>Veteran-Directed Care And Other Purchased Care</w:t>
            </w:r>
            <w:r w:rsidRPr="001C4C72">
              <w:rPr>
                <w:rFonts w:ascii="Garamond" w:hAnsi="Garamond"/>
                <w:lang w:val="en-AU"/>
              </w:rPr>
              <w:t xml:space="preserve"> Have Similar Hospital Use And Costs Over Time</w:t>
            </w:r>
            <w:r w:rsidR="001C4C72" w:rsidRPr="001C4C72">
              <w:rPr>
                <w:rFonts w:ascii="Garamond" w:hAnsi="Garamond"/>
                <w:lang w:val="en-AU"/>
              </w:rPr>
              <w:t xml:space="preserve"> (</w:t>
            </w:r>
            <w:r w:rsidRPr="001C4C72">
              <w:rPr>
                <w:rFonts w:ascii="Garamond" w:hAnsi="Garamond"/>
                <w:lang w:val="en-AU"/>
              </w:rPr>
              <w:t>Yingzhe Yuan, Kali S Thomas, Austin B Frakt, Steven D Pizer, and Melissa M Garrido</w:t>
            </w:r>
            <w:r w:rsidR="001C4C72">
              <w:rPr>
                <w:rFonts w:ascii="Garamond" w:hAnsi="Garamond"/>
                <w:lang w:val="en-AU"/>
              </w:rPr>
              <w:t>)</w:t>
            </w:r>
          </w:p>
          <w:p w:rsidR="009C75AE" w:rsidRPr="007C3778" w:rsidRDefault="009C75AE" w:rsidP="001C4C72">
            <w:pPr>
              <w:pStyle w:val="ListParagraph"/>
              <w:numPr>
                <w:ilvl w:val="0"/>
                <w:numId w:val="15"/>
              </w:numPr>
              <w:rPr>
                <w:rFonts w:ascii="Garamond" w:hAnsi="Garamond"/>
                <w:lang w:val="en-AU"/>
              </w:rPr>
            </w:pPr>
            <w:r w:rsidRPr="001C4C72">
              <w:rPr>
                <w:rFonts w:ascii="Garamond" w:hAnsi="Garamond"/>
                <w:b/>
                <w:lang w:val="en-AU"/>
              </w:rPr>
              <w:t>Remaining At Home With Severe Disability</w:t>
            </w:r>
            <w:r w:rsidR="001C4C72">
              <w:rPr>
                <w:rFonts w:ascii="Garamond" w:hAnsi="Garamond"/>
                <w:lang w:val="en-AU"/>
              </w:rPr>
              <w:t xml:space="preserve"> (</w:t>
            </w:r>
            <w:r w:rsidRPr="009C75AE">
              <w:rPr>
                <w:rFonts w:ascii="Garamond" w:hAnsi="Garamond"/>
                <w:lang w:val="en-AU"/>
              </w:rPr>
              <w:t>Michael Ogg</w:t>
            </w:r>
            <w:r w:rsidR="001C4C72">
              <w:rPr>
                <w:rFonts w:ascii="Garamond" w:hAnsi="Garamond"/>
                <w:lang w:val="en-AU"/>
              </w:rPr>
              <w:t>)</w:t>
            </w:r>
          </w:p>
        </w:tc>
      </w:tr>
    </w:tbl>
    <w:p w:rsidR="009C75AE" w:rsidRDefault="009C75AE" w:rsidP="009C75AE">
      <w:pPr>
        <w:rPr>
          <w:rFonts w:ascii="Garamond" w:hAnsi="Garamond"/>
          <w:i/>
          <w:lang w:val="en-AU"/>
        </w:rPr>
      </w:pPr>
    </w:p>
    <w:p w:rsidR="00275EBC" w:rsidRDefault="00275EBC">
      <w:pPr>
        <w:rPr>
          <w:rFonts w:ascii="Garamond" w:hAnsi="Garamond"/>
          <w:i/>
          <w:lang w:val="en-AU"/>
        </w:rPr>
      </w:pPr>
      <w:r>
        <w:rPr>
          <w:rFonts w:ascii="Garamond" w:hAnsi="Garamond"/>
          <w:i/>
          <w:lang w:val="en-AU"/>
        </w:rPr>
        <w:br w:type="page"/>
      </w:r>
    </w:p>
    <w:p w:rsidR="004E4D38" w:rsidRPr="00467B47" w:rsidRDefault="004E4D38" w:rsidP="004E4D38">
      <w:pPr>
        <w:keepNext/>
        <w:rPr>
          <w:rFonts w:ascii="Garamond" w:hAnsi="Garamond"/>
          <w:lang w:val="en-AU"/>
        </w:rPr>
      </w:pPr>
      <w:r w:rsidRPr="00467B47">
        <w:rPr>
          <w:rFonts w:ascii="Garamond" w:hAnsi="Garamond"/>
          <w:i/>
          <w:lang w:val="en-AU"/>
        </w:rPr>
        <w:lastRenderedPageBreak/>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E4D38" w:rsidRPr="00467B47" w:rsidTr="0023729D">
        <w:trPr>
          <w:cantSplit/>
        </w:trPr>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4E4D38" w:rsidRPr="00467B47" w:rsidRDefault="00F90931" w:rsidP="0023729D">
            <w:pPr>
              <w:keepNext/>
              <w:rPr>
                <w:rFonts w:ascii="Garamond" w:hAnsi="Garamond"/>
                <w:lang w:val="en-AU"/>
              </w:rPr>
            </w:pPr>
            <w:hyperlink r:id="rId31" w:history="1">
              <w:r w:rsidR="004E4D38" w:rsidRPr="00467B47">
                <w:rPr>
                  <w:rStyle w:val="Hyperlink"/>
                  <w:rFonts w:ascii="Garamond" w:hAnsi="Garamond"/>
                  <w:lang w:val="en-AU"/>
                </w:rPr>
                <w:t>https://qualitysafety.bmj.com/content/early/recent</w:t>
              </w:r>
            </w:hyperlink>
          </w:p>
        </w:tc>
      </w:tr>
      <w:tr w:rsidR="004E4D38" w:rsidRPr="00467B47" w:rsidTr="0023729D">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4E4D38" w:rsidRPr="00467B47" w:rsidRDefault="004E4D38" w:rsidP="0023729D">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672391" w:rsidRPr="00672391" w:rsidRDefault="00672391" w:rsidP="00D204A4">
            <w:pPr>
              <w:pStyle w:val="ListParagraph"/>
              <w:numPr>
                <w:ilvl w:val="0"/>
                <w:numId w:val="14"/>
              </w:numPr>
              <w:rPr>
                <w:rFonts w:ascii="Garamond" w:hAnsi="Garamond"/>
                <w:lang w:val="en-AU"/>
              </w:rPr>
            </w:pPr>
            <w:r w:rsidRPr="00672391">
              <w:rPr>
                <w:rFonts w:ascii="Garamond" w:hAnsi="Garamond"/>
                <w:b/>
                <w:lang w:val="en-AU"/>
              </w:rPr>
              <w:t>Missed nursing care in newborn units</w:t>
            </w:r>
            <w:r w:rsidRPr="00672391">
              <w:rPr>
                <w:rFonts w:ascii="Garamond" w:hAnsi="Garamond"/>
                <w:lang w:val="en-AU"/>
              </w:rPr>
              <w:t>: a cross-sectional direct observational study (David Gathara, George Serem, Georgina A V Murphy, Alfred Obengo, Edna Tallam, Debra Jackson, Sharon Brownie, Mike English</w:t>
            </w:r>
            <w:r>
              <w:rPr>
                <w:rFonts w:ascii="Garamond" w:hAnsi="Garamond"/>
                <w:lang w:val="en-AU"/>
              </w:rPr>
              <w:t>)</w:t>
            </w:r>
          </w:p>
          <w:p w:rsidR="00924D4C" w:rsidRPr="00924D4C" w:rsidRDefault="00924D4C" w:rsidP="006827F8">
            <w:pPr>
              <w:pStyle w:val="ListParagraph"/>
              <w:numPr>
                <w:ilvl w:val="0"/>
                <w:numId w:val="14"/>
              </w:numPr>
              <w:rPr>
                <w:rFonts w:ascii="Garamond" w:hAnsi="Garamond"/>
                <w:lang w:val="en-AU"/>
              </w:rPr>
            </w:pPr>
            <w:r w:rsidRPr="00924D4C">
              <w:rPr>
                <w:rFonts w:ascii="Garamond" w:hAnsi="Garamond"/>
                <w:b/>
                <w:lang w:val="en-AU"/>
              </w:rPr>
              <w:t>Management of low back pain</w:t>
            </w:r>
            <w:r w:rsidRPr="00924D4C">
              <w:rPr>
                <w:rFonts w:ascii="Garamond" w:hAnsi="Garamond"/>
                <w:lang w:val="en-AU"/>
              </w:rPr>
              <w:t xml:space="preserve"> in Australian emergency departments (Giovanni E Ferreira, Gustavo C Machado, Christina Abdel Shaheed, Chung-Wei Christine Lin, Chris Needs, James Edwards, Rochelle Facer, Eileen Rogan, Bethan Richards, Christopher G Maher</w:t>
            </w:r>
            <w:r>
              <w:rPr>
                <w:rFonts w:ascii="Garamond" w:hAnsi="Garamond"/>
                <w:lang w:val="en-AU"/>
              </w:rPr>
              <w:t>)</w:t>
            </w:r>
          </w:p>
          <w:p w:rsidR="00924D4C" w:rsidRPr="00924D4C" w:rsidRDefault="00924D4C" w:rsidP="0074206A">
            <w:pPr>
              <w:pStyle w:val="ListParagraph"/>
              <w:numPr>
                <w:ilvl w:val="0"/>
                <w:numId w:val="14"/>
              </w:numPr>
              <w:rPr>
                <w:rFonts w:ascii="Garamond" w:hAnsi="Garamond"/>
                <w:lang w:val="en-AU"/>
              </w:rPr>
            </w:pPr>
            <w:r w:rsidRPr="00924D4C">
              <w:rPr>
                <w:rFonts w:ascii="Garamond" w:hAnsi="Garamond"/>
                <w:lang w:val="en-AU"/>
              </w:rPr>
              <w:t xml:space="preserve">When </w:t>
            </w:r>
            <w:r w:rsidRPr="00924D4C">
              <w:rPr>
                <w:rFonts w:ascii="Garamond" w:hAnsi="Garamond"/>
                <w:b/>
                <w:lang w:val="en-AU"/>
              </w:rPr>
              <w:t>order sets</w:t>
            </w:r>
            <w:r w:rsidRPr="00924D4C">
              <w:rPr>
                <w:rFonts w:ascii="Garamond" w:hAnsi="Garamond"/>
                <w:lang w:val="en-AU"/>
              </w:rPr>
              <w:t xml:space="preserve"> do not align with clinician workflow: assessing </w:t>
            </w:r>
            <w:r w:rsidRPr="00924D4C">
              <w:rPr>
                <w:rFonts w:ascii="Garamond" w:hAnsi="Garamond"/>
                <w:b/>
                <w:lang w:val="en-AU"/>
              </w:rPr>
              <w:t>practice patterns in the electronic health record</w:t>
            </w:r>
            <w:r w:rsidRPr="00924D4C">
              <w:rPr>
                <w:rFonts w:ascii="Garamond" w:hAnsi="Garamond"/>
                <w:lang w:val="en-AU"/>
              </w:rPr>
              <w:t xml:space="preserve"> (Ron C Li, Jason K Wang, Christopher Sharp, Jonathan H Chen</w:t>
            </w:r>
            <w:r>
              <w:rPr>
                <w:rFonts w:ascii="Garamond" w:hAnsi="Garamond"/>
                <w:lang w:val="en-AU"/>
              </w:rPr>
              <w:t>)</w:t>
            </w:r>
          </w:p>
          <w:p w:rsidR="00F97183" w:rsidRPr="00D84575" w:rsidRDefault="00756287" w:rsidP="00756287">
            <w:pPr>
              <w:pStyle w:val="ListParagraph"/>
              <w:numPr>
                <w:ilvl w:val="0"/>
                <w:numId w:val="14"/>
              </w:numPr>
              <w:rPr>
                <w:rFonts w:ascii="Garamond" w:hAnsi="Garamond"/>
                <w:lang w:val="en-AU"/>
              </w:rPr>
            </w:pPr>
            <w:r w:rsidRPr="00756287">
              <w:rPr>
                <w:rFonts w:ascii="Garamond" w:hAnsi="Garamond"/>
                <w:lang w:val="en-AU"/>
              </w:rPr>
              <w:t xml:space="preserve">Exposure to </w:t>
            </w:r>
            <w:r w:rsidRPr="00756287">
              <w:rPr>
                <w:rFonts w:ascii="Garamond" w:hAnsi="Garamond"/>
                <w:b/>
                <w:lang w:val="en-AU"/>
              </w:rPr>
              <w:t>incivility hinders clinical performance</w:t>
            </w:r>
            <w:r w:rsidRPr="00756287">
              <w:rPr>
                <w:rFonts w:ascii="Garamond" w:hAnsi="Garamond"/>
                <w:lang w:val="en-AU"/>
              </w:rPr>
              <w:t xml:space="preserve"> in a simulated operative crisis</w:t>
            </w:r>
            <w:r>
              <w:rPr>
                <w:rFonts w:ascii="Garamond" w:hAnsi="Garamond"/>
                <w:lang w:val="en-AU"/>
              </w:rPr>
              <w:t xml:space="preserve"> (</w:t>
            </w:r>
            <w:r w:rsidRPr="00756287">
              <w:rPr>
                <w:rFonts w:ascii="Garamond" w:hAnsi="Garamond"/>
                <w:lang w:val="en-AU"/>
              </w:rPr>
              <w:t>Daniel Katz, Kimberly Blasius, Robert Isaak, Jonathan Lipps, Michael Kushelev, Andrew Goldberg, Jarrett Fastman, B Marsh, S DeMaria</w:t>
            </w:r>
            <w:r>
              <w:rPr>
                <w:rFonts w:ascii="Garamond" w:hAnsi="Garamond"/>
                <w:lang w:val="en-AU"/>
              </w:rPr>
              <w:t>)</w:t>
            </w:r>
          </w:p>
        </w:tc>
      </w:tr>
    </w:tbl>
    <w:p w:rsidR="00563806" w:rsidRDefault="00563806" w:rsidP="00D0516A">
      <w:pPr>
        <w:keepNext/>
        <w:rPr>
          <w:rFonts w:ascii="Garamond" w:hAnsi="Garamond"/>
          <w:i/>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09148E" w:rsidRDefault="0009148E" w:rsidP="00070CFE">
      <w:pPr>
        <w:rPr>
          <w:rFonts w:ascii="Garamond" w:hAnsi="Garamond"/>
          <w:lang w:val="en-AU"/>
        </w:rPr>
      </w:pPr>
    </w:p>
    <w:p w:rsidR="00CA7EFB" w:rsidRPr="00CA7EFB" w:rsidRDefault="00CA7EFB" w:rsidP="00070CFE">
      <w:pPr>
        <w:rPr>
          <w:rFonts w:ascii="Garamond" w:hAnsi="Garamond"/>
          <w:i/>
          <w:lang w:val="en-AU"/>
        </w:rPr>
      </w:pPr>
      <w:r w:rsidRPr="00CA7EFB">
        <w:rPr>
          <w:rFonts w:ascii="Garamond" w:hAnsi="Garamond"/>
          <w:i/>
          <w:lang w:val="en-AU"/>
        </w:rPr>
        <w:t xml:space="preserve">Pressure Injury Toolkit </w:t>
      </w:r>
      <w:r>
        <w:rPr>
          <w:rFonts w:ascii="Garamond" w:hAnsi="Garamond"/>
          <w:i/>
          <w:lang w:val="en-AU"/>
        </w:rPr>
        <w:t>f</w:t>
      </w:r>
      <w:r w:rsidRPr="00CA7EFB">
        <w:rPr>
          <w:rFonts w:ascii="Garamond" w:hAnsi="Garamond"/>
          <w:i/>
          <w:lang w:val="en-AU"/>
        </w:rPr>
        <w:t>or Spinal Cord Injury and Spina Bifida</w:t>
      </w:r>
    </w:p>
    <w:p w:rsidR="00CA7EFB" w:rsidRDefault="00F90931" w:rsidP="00070CFE">
      <w:pPr>
        <w:rPr>
          <w:rFonts w:ascii="Garamond" w:hAnsi="Garamond"/>
          <w:lang w:val="en-AU"/>
        </w:rPr>
      </w:pPr>
      <w:hyperlink r:id="rId32" w:history="1">
        <w:r w:rsidR="00CA7EFB" w:rsidRPr="003D4BCE">
          <w:rPr>
            <w:rStyle w:val="Hyperlink"/>
            <w:rFonts w:ascii="Garamond" w:hAnsi="Garamond"/>
            <w:lang w:val="en-AU"/>
          </w:rPr>
          <w:t>https://www.aci.health.nsw.gov.au/networks/spinal-cord-injury/pi-toolkit</w:t>
        </w:r>
      </w:hyperlink>
    </w:p>
    <w:p w:rsidR="00CA7EFB" w:rsidRDefault="00CA7EFB" w:rsidP="00CA7EFB">
      <w:pPr>
        <w:rPr>
          <w:rFonts w:ascii="Garamond" w:hAnsi="Garamond"/>
          <w:lang w:val="en-AU"/>
        </w:rPr>
      </w:pPr>
      <w:r>
        <w:rPr>
          <w:rFonts w:ascii="Garamond" w:hAnsi="Garamond"/>
          <w:lang w:val="en-AU"/>
        </w:rPr>
        <w:t xml:space="preserve">The New South Wales Agency for Clinical Innovation (ACI) has developed this toolkit </w:t>
      </w:r>
      <w:r w:rsidRPr="00CA7EFB">
        <w:rPr>
          <w:rFonts w:ascii="Garamond" w:hAnsi="Garamond"/>
          <w:lang w:val="en-AU"/>
        </w:rPr>
        <w:t>to support clinical decision-making and the use of an interdisciplinary, consumer focused approach to pressure injury assessment and management.</w:t>
      </w:r>
      <w:r>
        <w:rPr>
          <w:rFonts w:ascii="Garamond" w:hAnsi="Garamond"/>
          <w:lang w:val="en-AU"/>
        </w:rPr>
        <w:t xml:space="preserve"> </w:t>
      </w:r>
      <w:r w:rsidRPr="00CA7EFB">
        <w:rPr>
          <w:rFonts w:ascii="Garamond" w:hAnsi="Garamond"/>
          <w:lang w:val="en-AU"/>
        </w:rPr>
        <w:t>It is intended for use by all health professionals working in collaboration with children and adults with spinal cord injury and spina bifida, including general practitioners and other medical practitioners, nurses, occupational therapists, rehabilitation engineers, physiotherapists, social workers, dietitians, psychologists, case managers and peer support workers, in hospital and community settings.</w:t>
      </w:r>
    </w:p>
    <w:p w:rsidR="00CA7EFB" w:rsidRDefault="00CA7EFB" w:rsidP="00070CFE">
      <w:pPr>
        <w:rPr>
          <w:rFonts w:ascii="Garamond" w:hAnsi="Garamond"/>
          <w:lang w:val="en-AU"/>
        </w:rPr>
      </w:pPr>
    </w:p>
    <w:p w:rsidR="00B44299" w:rsidRPr="000170DA" w:rsidRDefault="00B44299" w:rsidP="00B44299">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624648" w:rsidRDefault="00F90931" w:rsidP="00B44299">
      <w:pPr>
        <w:keepNext/>
        <w:keepLines/>
        <w:rPr>
          <w:rFonts w:ascii="Garamond" w:hAnsi="Garamond"/>
          <w:u w:val="single"/>
          <w:lang w:val="en-AU"/>
        </w:rPr>
      </w:pPr>
      <w:hyperlink r:id="rId33" w:history="1">
        <w:r w:rsidR="00624648" w:rsidRPr="00131E90">
          <w:rPr>
            <w:rStyle w:val="Hyperlink"/>
            <w:rFonts w:ascii="Garamond" w:hAnsi="Garamond"/>
            <w:lang w:val="en-AU"/>
          </w:rPr>
          <w:t>https://www.nice.org.uk/guidance</w:t>
        </w:r>
      </w:hyperlink>
    </w:p>
    <w:p w:rsidR="00B44299" w:rsidRPr="000170DA" w:rsidRDefault="00B44299" w:rsidP="00B44299">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B76BA1" w:rsidRDefault="00882FD6" w:rsidP="00672391">
      <w:pPr>
        <w:pStyle w:val="ListParagraph"/>
        <w:keepNext/>
        <w:keepLines/>
        <w:numPr>
          <w:ilvl w:val="0"/>
          <w:numId w:val="14"/>
        </w:numPr>
        <w:rPr>
          <w:rFonts w:ascii="Garamond" w:hAnsi="Garamond"/>
          <w:lang w:val="en-AU"/>
        </w:rPr>
      </w:pPr>
      <w:r>
        <w:rPr>
          <w:rFonts w:ascii="Garamond" w:hAnsi="Garamond"/>
          <w:lang w:val="en-AU"/>
        </w:rPr>
        <w:t>Quality Standard QS</w:t>
      </w:r>
      <w:r w:rsidR="00672391">
        <w:rPr>
          <w:rFonts w:ascii="Garamond" w:hAnsi="Garamond"/>
          <w:lang w:val="en-AU"/>
        </w:rPr>
        <w:t xml:space="preserve">183 </w:t>
      </w:r>
      <w:r w:rsidR="00672391" w:rsidRPr="00672391">
        <w:rPr>
          <w:rFonts w:ascii="Garamond" w:hAnsi="Garamond"/>
          <w:b/>
          <w:i/>
          <w:lang w:val="en-AU"/>
        </w:rPr>
        <w:t>Physical activity</w:t>
      </w:r>
      <w:r w:rsidR="00672391" w:rsidRPr="00672391">
        <w:rPr>
          <w:rFonts w:ascii="Garamond" w:hAnsi="Garamond"/>
          <w:i/>
          <w:lang w:val="en-AU"/>
        </w:rPr>
        <w:t xml:space="preserve">: encouraging activity in the community </w:t>
      </w:r>
      <w:hyperlink r:id="rId34" w:history="1">
        <w:r w:rsidR="00672391" w:rsidRPr="003D4BCE">
          <w:rPr>
            <w:rStyle w:val="Hyperlink"/>
            <w:rFonts w:ascii="Garamond" w:hAnsi="Garamond"/>
            <w:lang w:val="en-AU"/>
          </w:rPr>
          <w:t>https://www.nice.org.uk/guidance/qs183</w:t>
        </w:r>
      </w:hyperlink>
    </w:p>
    <w:p w:rsidR="00F44FEC" w:rsidRDefault="00F44FEC" w:rsidP="00275EBC">
      <w:pPr>
        <w:keepLines/>
        <w:rPr>
          <w:rFonts w:ascii="Garamond" w:hAnsi="Garamond"/>
          <w:i/>
          <w:lang w:val="en-AU"/>
        </w:rPr>
      </w:pPr>
    </w:p>
    <w:p w:rsidR="00882FD6" w:rsidRDefault="003B4228" w:rsidP="000210FE">
      <w:pPr>
        <w:keepNext/>
        <w:keepLines/>
        <w:rPr>
          <w:rFonts w:ascii="Garamond" w:hAnsi="Garamond"/>
          <w:i/>
          <w:lang w:val="en-AU"/>
        </w:rPr>
      </w:pPr>
      <w:r>
        <w:rPr>
          <w:rFonts w:ascii="Garamond" w:hAnsi="Garamond"/>
          <w:i/>
          <w:lang w:val="en-AU"/>
        </w:rPr>
        <w:t xml:space="preserve">[USA] </w:t>
      </w:r>
      <w:r w:rsidRPr="003B4228">
        <w:rPr>
          <w:rFonts w:ascii="Garamond" w:hAnsi="Garamond"/>
          <w:i/>
          <w:lang w:val="en-AU"/>
        </w:rPr>
        <w:t>Learning Health Systems</w:t>
      </w:r>
    </w:p>
    <w:bookmarkStart w:id="1" w:name="_GoBack"/>
    <w:p w:rsidR="003B4228" w:rsidRDefault="00F90931" w:rsidP="000210FE">
      <w:pPr>
        <w:keepNext/>
        <w:keepLines/>
        <w:rPr>
          <w:rFonts w:ascii="Garamond" w:hAnsi="Garamond"/>
          <w:lang w:val="en-AU"/>
        </w:rPr>
      </w:pPr>
      <w:r>
        <w:fldChar w:fldCharType="begin"/>
      </w:r>
      <w:r>
        <w:instrText xml:space="preserve"> HYPERLINK "https://www.ahrq.gov/learning-health-systems/index.html" </w:instrText>
      </w:r>
      <w:r>
        <w:fldChar w:fldCharType="separate"/>
      </w:r>
      <w:r w:rsidR="003B4228" w:rsidRPr="003D4BCE">
        <w:rPr>
          <w:rStyle w:val="Hyperlink"/>
          <w:rFonts w:ascii="Garamond" w:hAnsi="Garamond"/>
          <w:lang w:val="en-AU"/>
        </w:rPr>
        <w:t>https://www.ahrq.gov/learning-health-systems/index.html</w:t>
      </w:r>
      <w:r>
        <w:rPr>
          <w:rStyle w:val="Hyperlink"/>
          <w:rFonts w:ascii="Garamond" w:hAnsi="Garamond"/>
          <w:lang w:val="en-AU"/>
        </w:rPr>
        <w:fldChar w:fldCharType="end"/>
      </w:r>
    </w:p>
    <w:p w:rsidR="003B4228" w:rsidRPr="00275EBC" w:rsidRDefault="00CA7EFB" w:rsidP="00275EBC">
      <w:pPr>
        <w:keepNext/>
        <w:keepLines/>
        <w:rPr>
          <w:rFonts w:ascii="Garamond" w:hAnsi="Garamond"/>
          <w:lang w:val="en-AU"/>
        </w:rPr>
      </w:pPr>
      <w:r>
        <w:rPr>
          <w:rFonts w:ascii="Garamond" w:hAnsi="Garamond"/>
          <w:lang w:val="en-AU"/>
        </w:rPr>
        <w:t>T</w:t>
      </w:r>
      <w:r w:rsidR="003B4228">
        <w:rPr>
          <w:rFonts w:ascii="Garamond" w:hAnsi="Garamond"/>
          <w:lang w:val="en-AU"/>
        </w:rPr>
        <w:t>he US Agency for Healthcare Research and Quality (AHRQ) has</w:t>
      </w:r>
      <w:r w:rsidR="00275EBC">
        <w:rPr>
          <w:rFonts w:ascii="Garamond" w:hAnsi="Garamond"/>
          <w:lang w:val="en-AU"/>
        </w:rPr>
        <w:t xml:space="preserve"> developed this resource </w:t>
      </w:r>
      <w:r w:rsidR="00275EBC" w:rsidRPr="00275EBC">
        <w:rPr>
          <w:rFonts w:ascii="Garamond" w:hAnsi="Garamond"/>
          <w:lang w:val="en-AU"/>
        </w:rPr>
        <w:t>to help health system executives better understand what it takes to create a learning health system. A learning health system (LHS) combines internal data and experience with external evidence to make care higher quality, safer, more efficient care for patients. The key traits of LHS’ are detailed in a series of four real-world case studies and other resources</w:t>
      </w:r>
      <w:r w:rsidR="00275EBC">
        <w:rPr>
          <w:rFonts w:ascii="Garamond" w:hAnsi="Garamond"/>
          <w:lang w:val="en-AU"/>
        </w:rPr>
        <w:t>.</w:t>
      </w:r>
    </w:p>
    <w:bookmarkEnd w:id="1"/>
    <w:p w:rsidR="003B4228" w:rsidRPr="003B4228" w:rsidRDefault="003B4228" w:rsidP="00275EBC">
      <w:pPr>
        <w:keepLines/>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5"/>
      <w:footerReference w:type="default" r:id="rId3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731" w:rsidRDefault="00F27731">
      <w:r>
        <w:separator/>
      </w:r>
    </w:p>
  </w:endnote>
  <w:endnote w:type="continuationSeparator" w:id="0">
    <w:p w:rsidR="00F27731" w:rsidRDefault="00F27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731" w:rsidRDefault="00F27731"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90931">
      <w:rPr>
        <w:rStyle w:val="PageNumber"/>
        <w:noProof/>
      </w:rPr>
      <w:t>6</w:t>
    </w:r>
    <w:r>
      <w:rPr>
        <w:rStyle w:val="PageNumber"/>
      </w:rPr>
      <w:fldChar w:fldCharType="end"/>
    </w:r>
  </w:p>
  <w:p w:rsidR="00F27731" w:rsidRPr="001E78F0" w:rsidRDefault="00F27731"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672D42">
      <w:rPr>
        <w:rFonts w:ascii="Garamond" w:hAnsi="Garamond"/>
      </w:rPr>
      <w:t xml:space="preserve"> Issue 420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731" w:rsidRPr="001E78F0" w:rsidRDefault="00F27731"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F90931">
      <w:rPr>
        <w:rStyle w:val="PageNumber"/>
        <w:rFonts w:ascii="Garamond" w:hAnsi="Garamond"/>
        <w:noProof/>
      </w:rPr>
      <w:t>5</w:t>
    </w:r>
    <w:r w:rsidRPr="001E78F0">
      <w:rPr>
        <w:rStyle w:val="PageNumber"/>
        <w:rFonts w:ascii="Garamond" w:hAnsi="Garamond"/>
      </w:rPr>
      <w:fldChar w:fldCharType="end"/>
    </w:r>
  </w:p>
  <w:p w:rsidR="00F27731" w:rsidRPr="001E78F0" w:rsidRDefault="00F27731"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227602">
      <w:rPr>
        <w:rFonts w:ascii="Garamond" w:hAnsi="Garamond"/>
      </w:rPr>
      <w:t xml:space="preserve"> Issue 4</w:t>
    </w:r>
    <w:r w:rsidR="00672D42">
      <w:rPr>
        <w:rFonts w:ascii="Garamond" w:hAnsi="Garamond"/>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731" w:rsidRDefault="00F27731">
      <w:r>
        <w:separator/>
      </w:r>
    </w:p>
  </w:footnote>
  <w:footnote w:type="continuationSeparator" w:id="0">
    <w:p w:rsidR="00F27731" w:rsidRDefault="00F27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1134C"/>
    <w:multiLevelType w:val="hybridMultilevel"/>
    <w:tmpl w:val="F21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5565F6"/>
    <w:multiLevelType w:val="hybridMultilevel"/>
    <w:tmpl w:val="CBA88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5A608A"/>
    <w:multiLevelType w:val="hybridMultilevel"/>
    <w:tmpl w:val="A8AEB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674E3B"/>
    <w:multiLevelType w:val="hybridMultilevel"/>
    <w:tmpl w:val="3E2806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E1699F"/>
    <w:multiLevelType w:val="hybridMultilevel"/>
    <w:tmpl w:val="82546F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372F0D"/>
    <w:multiLevelType w:val="hybridMultilevel"/>
    <w:tmpl w:val="9A94AD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BF63F5"/>
    <w:multiLevelType w:val="hybridMultilevel"/>
    <w:tmpl w:val="35626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944AC5"/>
    <w:multiLevelType w:val="hybridMultilevel"/>
    <w:tmpl w:val="5330C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DF42A6"/>
    <w:multiLevelType w:val="hybridMultilevel"/>
    <w:tmpl w:val="17742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5C24D3"/>
    <w:multiLevelType w:val="hybridMultilevel"/>
    <w:tmpl w:val="F7CC1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612AB"/>
    <w:multiLevelType w:val="hybridMultilevel"/>
    <w:tmpl w:val="9E4AE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8"/>
  </w:num>
  <w:num w:numId="15">
    <w:abstractNumId w:val="13"/>
  </w:num>
  <w:num w:numId="16">
    <w:abstractNumId w:val="10"/>
  </w:num>
  <w:num w:numId="17">
    <w:abstractNumId w:val="21"/>
  </w:num>
  <w:num w:numId="18">
    <w:abstractNumId w:val="16"/>
  </w:num>
  <w:num w:numId="19">
    <w:abstractNumId w:val="15"/>
  </w:num>
  <w:num w:numId="20">
    <w:abstractNumId w:val="14"/>
  </w:num>
  <w:num w:numId="21">
    <w:abstractNumId w:val="24"/>
  </w:num>
  <w:num w:numId="22">
    <w:abstractNumId w:val="22"/>
  </w:num>
  <w:num w:numId="23">
    <w:abstractNumId w:val="19"/>
  </w:num>
  <w:num w:numId="24">
    <w:abstractNumId w:val="11"/>
  </w:num>
  <w:num w:numId="25">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93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0E8E"/>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A2"/>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5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2EF"/>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CF4"/>
    <w:rsid w:val="00185F37"/>
    <w:rsid w:val="00186263"/>
    <w:rsid w:val="001862DC"/>
    <w:rsid w:val="00186580"/>
    <w:rsid w:val="00186914"/>
    <w:rsid w:val="00186A49"/>
    <w:rsid w:val="00186AEE"/>
    <w:rsid w:val="00186CC6"/>
    <w:rsid w:val="00186F8C"/>
    <w:rsid w:val="001871DE"/>
    <w:rsid w:val="001873D0"/>
    <w:rsid w:val="00187569"/>
    <w:rsid w:val="00187BCA"/>
    <w:rsid w:val="00187CCE"/>
    <w:rsid w:val="00187F57"/>
    <w:rsid w:val="00187FFE"/>
    <w:rsid w:val="0019048F"/>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C72"/>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1E09"/>
    <w:rsid w:val="001D1F2B"/>
    <w:rsid w:val="001D2016"/>
    <w:rsid w:val="001D22E9"/>
    <w:rsid w:val="001D23D9"/>
    <w:rsid w:val="001D253C"/>
    <w:rsid w:val="001D2754"/>
    <w:rsid w:val="001D28C5"/>
    <w:rsid w:val="001D2938"/>
    <w:rsid w:val="001D2BA2"/>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0D66"/>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917"/>
    <w:rsid w:val="00212BEA"/>
    <w:rsid w:val="00212DBF"/>
    <w:rsid w:val="00212E4C"/>
    <w:rsid w:val="0021343E"/>
    <w:rsid w:val="0021374E"/>
    <w:rsid w:val="002137BF"/>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29D"/>
    <w:rsid w:val="002373FA"/>
    <w:rsid w:val="0023774E"/>
    <w:rsid w:val="00237877"/>
    <w:rsid w:val="0023797C"/>
    <w:rsid w:val="00237EAA"/>
    <w:rsid w:val="002402AE"/>
    <w:rsid w:val="00240CFC"/>
    <w:rsid w:val="002410E4"/>
    <w:rsid w:val="002411AE"/>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5EBC"/>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083"/>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D3D"/>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ACC"/>
    <w:rsid w:val="00330C28"/>
    <w:rsid w:val="00330C86"/>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2B77"/>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6AE"/>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B6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228"/>
    <w:rsid w:val="003B44DE"/>
    <w:rsid w:val="003B45BF"/>
    <w:rsid w:val="003B468E"/>
    <w:rsid w:val="003B4A57"/>
    <w:rsid w:val="003B4F72"/>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772"/>
    <w:rsid w:val="00494862"/>
    <w:rsid w:val="004948E2"/>
    <w:rsid w:val="0049493B"/>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7E4"/>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3BD"/>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34"/>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3B6"/>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391"/>
    <w:rsid w:val="00672631"/>
    <w:rsid w:val="006726E6"/>
    <w:rsid w:val="00672982"/>
    <w:rsid w:val="006729D9"/>
    <w:rsid w:val="00672BB4"/>
    <w:rsid w:val="00672D42"/>
    <w:rsid w:val="00672D88"/>
    <w:rsid w:val="00673009"/>
    <w:rsid w:val="006734C4"/>
    <w:rsid w:val="00673657"/>
    <w:rsid w:val="006737B3"/>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613"/>
    <w:rsid w:val="007427AA"/>
    <w:rsid w:val="00742870"/>
    <w:rsid w:val="00742D5A"/>
    <w:rsid w:val="00742E35"/>
    <w:rsid w:val="0074315A"/>
    <w:rsid w:val="0074369F"/>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5E2"/>
    <w:rsid w:val="007B25E6"/>
    <w:rsid w:val="007B2647"/>
    <w:rsid w:val="007B268F"/>
    <w:rsid w:val="007B26D9"/>
    <w:rsid w:val="007B2830"/>
    <w:rsid w:val="007B2C9B"/>
    <w:rsid w:val="007B2F0C"/>
    <w:rsid w:val="007B3343"/>
    <w:rsid w:val="007B340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20AC"/>
    <w:rsid w:val="008021DF"/>
    <w:rsid w:val="00802AFE"/>
    <w:rsid w:val="00802C32"/>
    <w:rsid w:val="00802EF9"/>
    <w:rsid w:val="00803809"/>
    <w:rsid w:val="00803A1B"/>
    <w:rsid w:val="00803BF6"/>
    <w:rsid w:val="00803F35"/>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6C7"/>
    <w:rsid w:val="00831783"/>
    <w:rsid w:val="008317BF"/>
    <w:rsid w:val="008319AD"/>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F5"/>
    <w:rsid w:val="00846B61"/>
    <w:rsid w:val="00846BC5"/>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11A"/>
    <w:rsid w:val="008D4383"/>
    <w:rsid w:val="008D440E"/>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760"/>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1AA"/>
    <w:rsid w:val="00906456"/>
    <w:rsid w:val="0090654E"/>
    <w:rsid w:val="009065A5"/>
    <w:rsid w:val="009066FA"/>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4C"/>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2D"/>
    <w:rsid w:val="00983481"/>
    <w:rsid w:val="00983944"/>
    <w:rsid w:val="00984081"/>
    <w:rsid w:val="00984423"/>
    <w:rsid w:val="0098444C"/>
    <w:rsid w:val="00984B2D"/>
    <w:rsid w:val="00984B78"/>
    <w:rsid w:val="00984C6C"/>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DB1"/>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BD3"/>
    <w:rsid w:val="00A12DB6"/>
    <w:rsid w:val="00A12FE9"/>
    <w:rsid w:val="00A1307F"/>
    <w:rsid w:val="00A133FD"/>
    <w:rsid w:val="00A1372A"/>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6D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1E46"/>
    <w:rsid w:val="00A52144"/>
    <w:rsid w:val="00A5240C"/>
    <w:rsid w:val="00A524D9"/>
    <w:rsid w:val="00A525EC"/>
    <w:rsid w:val="00A5267C"/>
    <w:rsid w:val="00A52846"/>
    <w:rsid w:val="00A52AA7"/>
    <w:rsid w:val="00A52AE9"/>
    <w:rsid w:val="00A52C29"/>
    <w:rsid w:val="00A530F0"/>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58F1"/>
    <w:rsid w:val="00AF6052"/>
    <w:rsid w:val="00AF60A5"/>
    <w:rsid w:val="00AF6251"/>
    <w:rsid w:val="00AF63A5"/>
    <w:rsid w:val="00AF642B"/>
    <w:rsid w:val="00AF64B3"/>
    <w:rsid w:val="00AF6566"/>
    <w:rsid w:val="00AF6568"/>
    <w:rsid w:val="00AF66FA"/>
    <w:rsid w:val="00AF6712"/>
    <w:rsid w:val="00AF68A9"/>
    <w:rsid w:val="00AF700A"/>
    <w:rsid w:val="00AF7077"/>
    <w:rsid w:val="00AF7330"/>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6CF"/>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D4A"/>
    <w:rsid w:val="00B7670E"/>
    <w:rsid w:val="00B768A5"/>
    <w:rsid w:val="00B76BA1"/>
    <w:rsid w:val="00B7701D"/>
    <w:rsid w:val="00B77326"/>
    <w:rsid w:val="00B7747F"/>
    <w:rsid w:val="00B77579"/>
    <w:rsid w:val="00B7762D"/>
    <w:rsid w:val="00B777D0"/>
    <w:rsid w:val="00B778AF"/>
    <w:rsid w:val="00B77A54"/>
    <w:rsid w:val="00B77B98"/>
    <w:rsid w:val="00B77CAD"/>
    <w:rsid w:val="00B77E5D"/>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903"/>
    <w:rsid w:val="00BE0D5C"/>
    <w:rsid w:val="00BE0F6A"/>
    <w:rsid w:val="00BE1061"/>
    <w:rsid w:val="00BE19DD"/>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42A"/>
    <w:rsid w:val="00BE45DD"/>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A7EFB"/>
    <w:rsid w:val="00CB001F"/>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C2"/>
    <w:rsid w:val="00CD011D"/>
    <w:rsid w:val="00CD02F6"/>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174"/>
    <w:rsid w:val="00CE43A4"/>
    <w:rsid w:val="00CE4518"/>
    <w:rsid w:val="00CE4C64"/>
    <w:rsid w:val="00CE4F41"/>
    <w:rsid w:val="00CE52C5"/>
    <w:rsid w:val="00CE5501"/>
    <w:rsid w:val="00CE5547"/>
    <w:rsid w:val="00CE5B83"/>
    <w:rsid w:val="00CE5B99"/>
    <w:rsid w:val="00CE5CAE"/>
    <w:rsid w:val="00CE60E9"/>
    <w:rsid w:val="00CE61DE"/>
    <w:rsid w:val="00CE6250"/>
    <w:rsid w:val="00CE65C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B2E"/>
    <w:rsid w:val="00D06597"/>
    <w:rsid w:val="00D067CC"/>
    <w:rsid w:val="00D071EA"/>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400"/>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30D"/>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82C"/>
    <w:rsid w:val="00DE0C66"/>
    <w:rsid w:val="00DE0C8E"/>
    <w:rsid w:val="00DE0E6C"/>
    <w:rsid w:val="00DE0EF7"/>
    <w:rsid w:val="00DE0F38"/>
    <w:rsid w:val="00DE10EE"/>
    <w:rsid w:val="00DE1188"/>
    <w:rsid w:val="00DE1395"/>
    <w:rsid w:val="00DE1500"/>
    <w:rsid w:val="00DE174E"/>
    <w:rsid w:val="00DE1A97"/>
    <w:rsid w:val="00DE1B36"/>
    <w:rsid w:val="00DE25FF"/>
    <w:rsid w:val="00DE261D"/>
    <w:rsid w:val="00DE2A35"/>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4A0"/>
    <w:rsid w:val="00E14758"/>
    <w:rsid w:val="00E14C5A"/>
    <w:rsid w:val="00E14CAD"/>
    <w:rsid w:val="00E14D42"/>
    <w:rsid w:val="00E150D0"/>
    <w:rsid w:val="00E151AE"/>
    <w:rsid w:val="00E15653"/>
    <w:rsid w:val="00E158AE"/>
    <w:rsid w:val="00E15D5B"/>
    <w:rsid w:val="00E15E79"/>
    <w:rsid w:val="00E16364"/>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57"/>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526"/>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3B0"/>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E13"/>
    <w:rsid w:val="00F87030"/>
    <w:rsid w:val="00F87174"/>
    <w:rsid w:val="00F875BF"/>
    <w:rsid w:val="00F876EA"/>
    <w:rsid w:val="00F8774A"/>
    <w:rsid w:val="00F87778"/>
    <w:rsid w:val="00F8779F"/>
    <w:rsid w:val="00F87F78"/>
    <w:rsid w:val="00F90105"/>
    <w:rsid w:val="00F901D8"/>
    <w:rsid w:val="00F905D5"/>
    <w:rsid w:val="00F906C7"/>
    <w:rsid w:val="00F9078A"/>
    <w:rsid w:val="00F90931"/>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183"/>
    <w:rsid w:val="00F97235"/>
    <w:rsid w:val="00F976AD"/>
    <w:rsid w:val="00F97C5F"/>
    <w:rsid w:val="00F97D61"/>
    <w:rsid w:val="00F97D70"/>
    <w:rsid w:val="00FA0C54"/>
    <w:rsid w:val="00FA0CB1"/>
    <w:rsid w:val="00FA0D21"/>
    <w:rsid w:val="00FA0E88"/>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32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381"/>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3569"/>
    <o:shapelayout v:ext="edit">
      <o:idmap v:ext="edit" data="1"/>
    </o:shapelayout>
  </w:shapeDefaults>
  <w:decimalSymbol w:val="."/>
  <w:listSeparator w:val=","/>
  <w15:docId w15:val="{E0FF06A2-A96B-4038-99FB-71BC503D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248469544">
                  <w:marLeft w:val="0"/>
                  <w:marRight w:val="0"/>
                  <w:marTop w:val="0"/>
                  <w:marBottom w:val="0"/>
                  <w:divBdr>
                    <w:top w:val="none" w:sz="0" w:space="0" w:color="auto"/>
                    <w:left w:val="none" w:sz="0" w:space="0" w:color="auto"/>
                    <w:bottom w:val="none" w:sz="0" w:space="0" w:color="auto"/>
                    <w:right w:val="none" w:sz="0" w:space="0" w:color="auto"/>
                  </w:divBdr>
                </w:div>
                <w:div w:id="97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1474560435">
                  <w:marLeft w:val="0"/>
                  <w:marRight w:val="0"/>
                  <w:marTop w:val="0"/>
                  <w:marBottom w:val="0"/>
                  <w:divBdr>
                    <w:top w:val="none" w:sz="0" w:space="0" w:color="auto"/>
                    <w:left w:val="none" w:sz="0" w:space="0" w:color="auto"/>
                    <w:bottom w:val="none" w:sz="0" w:space="0" w:color="auto"/>
                    <w:right w:val="none" w:sz="0" w:space="0" w:color="auto"/>
                  </w:divBdr>
                </w:div>
                <w:div w:id="838620169">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974480611">
                  <w:marLeft w:val="0"/>
                  <w:marRight w:val="0"/>
                  <w:marTop w:val="0"/>
                  <w:marBottom w:val="0"/>
                  <w:divBdr>
                    <w:top w:val="none" w:sz="0" w:space="0" w:color="auto"/>
                    <w:left w:val="none" w:sz="0" w:space="0" w:color="auto"/>
                    <w:bottom w:val="none" w:sz="0" w:space="0" w:color="auto"/>
                    <w:right w:val="none" w:sz="0" w:space="0" w:color="auto"/>
                  </w:divBdr>
                </w:div>
                <w:div w:id="16399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378820010">
                  <w:marLeft w:val="0"/>
                  <w:marRight w:val="0"/>
                  <w:marTop w:val="0"/>
                  <w:marBottom w:val="0"/>
                  <w:divBdr>
                    <w:top w:val="none" w:sz="0" w:space="0" w:color="auto"/>
                    <w:left w:val="none" w:sz="0" w:space="0" w:color="auto"/>
                    <w:bottom w:val="none" w:sz="0" w:space="0" w:color="auto"/>
                    <w:right w:val="none" w:sz="0" w:space="0" w:color="auto"/>
                  </w:divBdr>
                </w:div>
                <w:div w:id="1659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860729366">
                  <w:marLeft w:val="0"/>
                  <w:marRight w:val="0"/>
                  <w:marTop w:val="0"/>
                  <w:marBottom w:val="0"/>
                  <w:divBdr>
                    <w:top w:val="none" w:sz="0" w:space="0" w:color="auto"/>
                    <w:left w:val="none" w:sz="0" w:space="0" w:color="auto"/>
                    <w:bottom w:val="none" w:sz="0" w:space="0" w:color="auto"/>
                    <w:right w:val="none" w:sz="0" w:space="0" w:color="auto"/>
                  </w:divBdr>
                </w:div>
                <w:div w:id="11577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1596012815">
                  <w:marLeft w:val="0"/>
                  <w:marRight w:val="0"/>
                  <w:marTop w:val="0"/>
                  <w:marBottom w:val="0"/>
                  <w:divBdr>
                    <w:top w:val="none" w:sz="0" w:space="0" w:color="auto"/>
                    <w:left w:val="none" w:sz="0" w:space="0" w:color="auto"/>
                    <w:bottom w:val="none" w:sz="0" w:space="0" w:color="auto"/>
                    <w:right w:val="none" w:sz="0" w:space="0" w:color="auto"/>
                  </w:divBdr>
                </w:div>
                <w:div w:id="5102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838540941">
                  <w:marLeft w:val="0"/>
                  <w:marRight w:val="0"/>
                  <w:marTop w:val="0"/>
                  <w:marBottom w:val="0"/>
                  <w:divBdr>
                    <w:top w:val="none" w:sz="0" w:space="0" w:color="auto"/>
                    <w:left w:val="none" w:sz="0" w:space="0" w:color="auto"/>
                    <w:bottom w:val="none" w:sz="0" w:space="0" w:color="auto"/>
                    <w:right w:val="none" w:sz="0" w:space="0" w:color="auto"/>
                  </w:divBdr>
                </w:div>
                <w:div w:id="3156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www.safetyandquality.gov.au/our-work/medication-safety/" TargetMode="External"/><Relationship Id="rId26" Type="http://schemas.openxmlformats.org/officeDocument/2006/relationships/hyperlink" Target="http://doi.org/10.1056/NEJMp1903078" TargetMode="External"/><Relationship Id="rId3" Type="http://schemas.openxmlformats.org/officeDocument/2006/relationships/styles" Target="styles.xml"/><Relationship Id="rId21" Type="http://schemas.openxmlformats.org/officeDocument/2006/relationships/hyperlink" Target="https://doi.org/10.1071/AH17201" TargetMode="External"/><Relationship Id="rId34" Type="http://schemas.openxmlformats.org/officeDocument/2006/relationships/hyperlink" Target="https://www.nice.org.uk/guidance/qs183"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1071/AH17119" TargetMode="External"/><Relationship Id="rId25" Type="http://schemas.openxmlformats.org/officeDocument/2006/relationships/hyperlink" Target="https://www.safetyandquality.gov.au/our-work/open-disclosure/" TargetMode="External"/><Relationship Id="rId33" Type="http://schemas.openxmlformats.org/officeDocument/2006/relationships/hyperlink" Target="https://www.nice.org.uk/guidanc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qsc.govt.nz/our-programmes/primary-care/publications-and-resources/publication/3740/" TargetMode="External"/><Relationship Id="rId20" Type="http://schemas.openxmlformats.org/officeDocument/2006/relationships/hyperlink" Target="https://www.safetyandquality.gov.au/our-work/end-of-life-care-in-acute-hospitals/" TargetMode="External"/><Relationship Id="rId29" Type="http://schemas.openxmlformats.org/officeDocument/2006/relationships/hyperlink" Target="https://www.publish.csiro.au/ah/issue/93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1071/AH17179" TargetMode="External"/><Relationship Id="rId32" Type="http://schemas.openxmlformats.org/officeDocument/2006/relationships/hyperlink" Target="https://www.aci.health.nsw.gov.au/networks/spinal-cord-injury/pi-toolki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qsc.govt.nz/our-programmes/primary-care/news-and-events/news/3739/" TargetMode="External"/><Relationship Id="rId23" Type="http://schemas.openxmlformats.org/officeDocument/2006/relationships/hyperlink" Target="https://www.safetyandquality.gov.au/our-work/information-strategy/clinical-quality-registries/" TargetMode="External"/><Relationship Id="rId28" Type="http://schemas.openxmlformats.org/officeDocument/2006/relationships/hyperlink" Target="https://doi.org/10.1001/jama.2019.4914" TargetMode="External"/><Relationship Id="rId36" Type="http://schemas.openxmlformats.org/officeDocument/2006/relationships/footer" Target="footer2.xml"/><Relationship Id="rId10" Type="http://schemas.openxmlformats.org/officeDocument/2006/relationships/hyperlink" Target="https://www.safetyandquality.gov.au/" TargetMode="External"/><Relationship Id="rId19" Type="http://schemas.openxmlformats.org/officeDocument/2006/relationships/hyperlink" Target="https://doi.org/10.1136/bmjoq-2019-000669" TargetMode="External"/><Relationship Id="rId31" Type="http://schemas.openxmlformats.org/officeDocument/2006/relationships/hyperlink" Target="https://qualitysafety.bmj.com/content/early/recent" TargetMode="External"/><Relationship Id="rId4" Type="http://schemas.openxmlformats.org/officeDocument/2006/relationships/settings" Target="settings.xml"/><Relationship Id="rId9" Type="http://schemas.openxmlformats.org/officeDocument/2006/relationships/hyperlink" Target="https://www.safetyandquality.gov.au/publications-resources/on-the-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consultations.health.gov.au/health-economics-and-research-division/national-cqr-strategy/" TargetMode="External"/><Relationship Id="rId27" Type="http://schemas.openxmlformats.org/officeDocument/2006/relationships/hyperlink" Target="https://www.safetyandquality.gov.au/our-work/patient-and-consumer-centred-care/" TargetMode="External"/><Relationship Id="rId30" Type="http://schemas.openxmlformats.org/officeDocument/2006/relationships/hyperlink" Target="https://www.healthaffairs.org/toc/hlthaff/38/6"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78609-9B4C-4AF3-83CD-C783EF4B6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7</Pages>
  <Words>3044</Words>
  <Characters>18938</Characters>
  <Application>Microsoft Office Word</Application>
  <DocSecurity>0</DocSecurity>
  <Lines>394</Lines>
  <Paragraphs>189</Paragraphs>
  <ScaleCrop>false</ScaleCrop>
  <HeadingPairs>
    <vt:vector size="2" baseType="variant">
      <vt:variant>
        <vt:lpstr>Title</vt:lpstr>
      </vt:variant>
      <vt:variant>
        <vt:i4>1</vt:i4>
      </vt:variant>
    </vt:vector>
  </HeadingPairs>
  <TitlesOfParts>
    <vt:vector size="1" baseType="lpstr">
      <vt:lpstr>On the Radar Issue 416</vt:lpstr>
    </vt:vector>
  </TitlesOfParts>
  <Company>DHA</Company>
  <LinksUpToDate>false</LinksUpToDate>
  <CharactersWithSpaces>21793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416</dc:title>
  <dc:creator>johnni;Dr Niall Johnson</dc:creator>
  <cp:lastModifiedBy>Johnson, Niall</cp:lastModifiedBy>
  <cp:revision>13</cp:revision>
  <cp:lastPrinted>2018-03-02T02:34:00Z</cp:lastPrinted>
  <dcterms:created xsi:type="dcterms:W3CDTF">2019-06-03T02:01:00Z</dcterms:created>
  <dcterms:modified xsi:type="dcterms:W3CDTF">2019-06-07T03:23:00Z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