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w:t>
      </w:r>
      <w:bookmarkStart w:id="0" w:name="_GoBack"/>
      <w:bookmarkEnd w:id="0"/>
      <w:r w:rsidR="00B160EF" w:rsidRPr="00DD7416">
        <w:rPr>
          <w:rFonts w:ascii="Bookman Old Style" w:hAnsi="Bookman Old Style"/>
          <w:sz w:val="48"/>
          <w:szCs w:val="48"/>
          <w:lang w:val="en-AU"/>
        </w:rPr>
        <w:t>adar</w:t>
      </w:r>
    </w:p>
    <w:p w:rsidR="006C06FF" w:rsidRDefault="00B06F6A" w:rsidP="00F738B5">
      <w:pPr>
        <w:rPr>
          <w:rFonts w:ascii="Garamond" w:hAnsi="Garamond"/>
          <w:lang w:val="en-AU"/>
        </w:rPr>
      </w:pPr>
      <w:r>
        <w:rPr>
          <w:rFonts w:ascii="Garamond" w:hAnsi="Garamond"/>
          <w:lang w:val="en-AU"/>
        </w:rPr>
        <w:t>Issue 4</w:t>
      </w:r>
      <w:r w:rsidR="007337CB">
        <w:rPr>
          <w:rFonts w:ascii="Garamond" w:hAnsi="Garamond"/>
          <w:lang w:val="en-AU"/>
        </w:rPr>
        <w:t>40</w:t>
      </w:r>
    </w:p>
    <w:p w:rsidR="00755242" w:rsidRDefault="007337CB" w:rsidP="00F738B5">
      <w:pPr>
        <w:rPr>
          <w:rFonts w:ascii="Garamond" w:hAnsi="Garamond"/>
          <w:lang w:val="en-AU"/>
        </w:rPr>
      </w:pPr>
      <w:r>
        <w:rPr>
          <w:rFonts w:ascii="Garamond" w:hAnsi="Garamond"/>
          <w:lang w:val="en-AU"/>
        </w:rPr>
        <w:t>11</w:t>
      </w:r>
      <w:r w:rsidR="00722F82">
        <w:rPr>
          <w:rFonts w:ascii="Garamond" w:hAnsi="Garamond"/>
          <w:lang w:val="en-AU"/>
        </w:rPr>
        <w:t xml:space="preserve"> Novemb</w:t>
      </w:r>
      <w:r w:rsidR="0004028D">
        <w:rPr>
          <w:rFonts w:ascii="Garamond" w:hAnsi="Garamond"/>
          <w:lang w:val="en-AU"/>
        </w:rPr>
        <w:t xml:space="preserve">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57149B">
        <w:rPr>
          <w:rFonts w:ascii="Garamond" w:hAnsi="Garamond"/>
          <w:bCs/>
          <w:lang w:val="en-AU"/>
        </w:rPr>
        <w:t>, Jennifer Caldwell</w:t>
      </w:r>
      <w:r w:rsidR="00B5717A">
        <w:rPr>
          <w:rFonts w:ascii="Garamond" w:hAnsi="Garamond"/>
          <w:bCs/>
          <w:lang w:val="en-AU"/>
        </w:rPr>
        <w:t>, Helen Dowling</w:t>
      </w:r>
    </w:p>
    <w:p w:rsidR="0055445F" w:rsidRDefault="0055445F">
      <w:pPr>
        <w:rPr>
          <w:rFonts w:ascii="Garamond" w:hAnsi="Garamond"/>
          <w:b/>
          <w:lang w:val="en-AU"/>
        </w:rPr>
      </w:pPr>
    </w:p>
    <w:p w:rsidR="00E349C7" w:rsidRDefault="00E349C7">
      <w:pPr>
        <w:rPr>
          <w:rFonts w:ascii="Garamond" w:hAnsi="Garamond"/>
          <w:b/>
          <w:lang w:val="en-AU"/>
        </w:rPr>
      </w:pPr>
    </w:p>
    <w:p w:rsidR="00E349C7" w:rsidRDefault="00E349C7">
      <w:pPr>
        <w:rPr>
          <w:rFonts w:ascii="Garamond" w:hAnsi="Garamond"/>
          <w:b/>
          <w:lang w:val="en-AU"/>
        </w:rPr>
      </w:pPr>
    </w:p>
    <w:p w:rsidR="001E5DCA" w:rsidRPr="001E5DCA" w:rsidRDefault="001E5DCA" w:rsidP="001E5DCA">
      <w:pPr>
        <w:rPr>
          <w:rFonts w:ascii="Garamond" w:hAnsi="Garamond"/>
          <w:b/>
          <w:lang w:val="en-AU"/>
        </w:rPr>
      </w:pPr>
      <w:r w:rsidRPr="001E5DCA">
        <w:rPr>
          <w:rFonts w:ascii="Garamond" w:hAnsi="Garamond"/>
          <w:b/>
          <w:i/>
          <w:lang w:val="en-AU"/>
        </w:rPr>
        <w:t xml:space="preserve">Clostridium difficile </w:t>
      </w:r>
      <w:r w:rsidRPr="001E5DCA">
        <w:rPr>
          <w:rFonts w:ascii="Garamond" w:hAnsi="Garamond"/>
          <w:b/>
          <w:lang w:val="en-AU"/>
        </w:rPr>
        <w:t>infection 2017 Data Snapshot</w:t>
      </w:r>
    </w:p>
    <w:p w:rsidR="001E5DCA" w:rsidRDefault="001E5DCA">
      <w:pPr>
        <w:rPr>
          <w:rFonts w:ascii="Garamond" w:hAnsi="Garamond"/>
          <w:lang w:val="en-AU"/>
        </w:rPr>
      </w:pPr>
      <w:r w:rsidRPr="001E5DCA">
        <w:rPr>
          <w:rFonts w:ascii="Garamond" w:hAnsi="Garamond"/>
          <w:lang w:val="en-AU"/>
        </w:rPr>
        <w:t>Australian Commission on Safety and Quality in Health Care</w:t>
      </w:r>
    </w:p>
    <w:p w:rsidR="001E5DCA" w:rsidRDefault="001E5DCA">
      <w:pPr>
        <w:rPr>
          <w:rFonts w:ascii="Garamond" w:hAnsi="Garamond"/>
          <w:lang w:val="en-AU"/>
        </w:rPr>
      </w:pPr>
      <w:r w:rsidRPr="001E5DCA">
        <w:rPr>
          <w:rFonts w:ascii="Garamond" w:hAnsi="Garamond"/>
          <w:lang w:val="en-AU"/>
        </w:rPr>
        <w:t>Sydney: ACSQHC; 2019. p. 10.</w:t>
      </w:r>
    </w:p>
    <w:p w:rsidR="001E5DCA" w:rsidRPr="001E5DCA" w:rsidRDefault="00865E67">
      <w:pPr>
        <w:rPr>
          <w:rFonts w:ascii="Garamond" w:hAnsi="Garamond"/>
          <w:lang w:val="en-AU"/>
        </w:rPr>
      </w:pPr>
      <w:hyperlink r:id="rId15" w:history="1">
        <w:r w:rsidR="001E5DCA" w:rsidRPr="001E5DCA">
          <w:rPr>
            <w:rStyle w:val="Hyperlink"/>
            <w:rFonts w:ascii="Garamond" w:hAnsi="Garamond"/>
            <w:lang w:val="en-AU"/>
          </w:rPr>
          <w:t>https://www.safetyandquality.gov.au/publications-and-resources/resource-library/clostridium-difficile-infection-2017-data-snapshot</w:t>
        </w:r>
      </w:hyperlink>
    </w:p>
    <w:p w:rsidR="001E5DCA" w:rsidRDefault="001E5DCA" w:rsidP="001E5DCA">
      <w:pPr>
        <w:rPr>
          <w:rFonts w:ascii="Garamond" w:hAnsi="Garamond"/>
          <w:lang w:val="en-AU"/>
        </w:rPr>
      </w:pPr>
      <w:r w:rsidRPr="001E5DCA">
        <w:rPr>
          <w:rFonts w:ascii="Garamond" w:hAnsi="Garamond"/>
          <w:i/>
          <w:lang w:val="en-AU"/>
        </w:rPr>
        <w:t>Clostridium difficile</w:t>
      </w:r>
      <w:r>
        <w:rPr>
          <w:rFonts w:ascii="Garamond" w:hAnsi="Garamond"/>
          <w:lang w:val="en-AU"/>
        </w:rPr>
        <w:t xml:space="preserve"> (also referred to as </w:t>
      </w:r>
      <w:r w:rsidRPr="001E5DCA">
        <w:rPr>
          <w:rFonts w:ascii="Garamond" w:hAnsi="Garamond"/>
          <w:i/>
          <w:lang w:val="en-AU"/>
        </w:rPr>
        <w:t>Clostridioides difficile</w:t>
      </w:r>
      <w:r>
        <w:rPr>
          <w:rFonts w:ascii="Garamond" w:hAnsi="Garamond"/>
          <w:lang w:val="en-AU"/>
        </w:rPr>
        <w:t>)</w:t>
      </w:r>
      <w:r w:rsidRPr="001E5DCA">
        <w:rPr>
          <w:rFonts w:ascii="Garamond" w:hAnsi="Garamond"/>
          <w:lang w:val="en-AU"/>
        </w:rPr>
        <w:t xml:space="preserve"> is an anaerobic, spore-forming, gram-positive bacillus typically associated with gastrointestinal disease. </w:t>
      </w:r>
      <w:r w:rsidR="00AC55E0">
        <w:rPr>
          <w:rFonts w:ascii="Garamond" w:hAnsi="Garamond"/>
          <w:lang w:val="en-AU"/>
        </w:rPr>
        <w:t>T</w:t>
      </w:r>
      <w:r w:rsidRPr="001E5DCA">
        <w:rPr>
          <w:rFonts w:ascii="Garamond" w:hAnsi="Garamond"/>
          <w:lang w:val="en-AU"/>
        </w:rPr>
        <w:t xml:space="preserve">he rate of healthcare-associated </w:t>
      </w:r>
      <w:r w:rsidRPr="001E5DCA">
        <w:rPr>
          <w:rFonts w:ascii="Garamond" w:hAnsi="Garamond"/>
          <w:i/>
          <w:lang w:val="en-AU"/>
        </w:rPr>
        <w:t>Clostridium difficile</w:t>
      </w:r>
      <w:r w:rsidRPr="001E5DCA">
        <w:rPr>
          <w:rFonts w:ascii="Garamond" w:hAnsi="Garamond"/>
          <w:lang w:val="en-AU"/>
        </w:rPr>
        <w:t xml:space="preserve"> infection (CDI) in a hospital is often considered as another measure of the effectiveness of the hospital’s infection prevention and control program, particular with regards to environmental cleaning and antimicrobial use. </w:t>
      </w:r>
      <w:r>
        <w:rPr>
          <w:rFonts w:ascii="Garamond" w:hAnsi="Garamond"/>
          <w:lang w:val="en-AU"/>
        </w:rPr>
        <w:t xml:space="preserve"> </w:t>
      </w:r>
      <w:r w:rsidRPr="001E5DCA">
        <w:rPr>
          <w:rFonts w:ascii="Garamond" w:hAnsi="Garamond"/>
          <w:lang w:val="en-AU"/>
        </w:rPr>
        <w:t>The Australian Commission on Safety and Quality in Health Care (the Commission) annually monitors the prevalence of CDI in Australian public hospitals. The 2017 Data Snapshot report is the second Data Snapshot report published by the Commission. Patient administrative data from the 2016-2017 and 2017-2018 Admitted Patient Care National Minimum Data Set (APC NMDS) has been utilised to generate this report.</w:t>
      </w:r>
    </w:p>
    <w:p w:rsidR="0057149B" w:rsidRDefault="0057149B">
      <w:pPr>
        <w:rPr>
          <w:rFonts w:ascii="Garamond" w:hAnsi="Garamond"/>
          <w:lang w:val="en-AU"/>
        </w:rPr>
      </w:pPr>
    </w:p>
    <w:p w:rsidR="0057149B" w:rsidRPr="001E5DCA" w:rsidRDefault="0057149B">
      <w:pPr>
        <w:rPr>
          <w:rFonts w:ascii="Garamond" w:hAnsi="Garamond"/>
          <w:lang w:val="en-AU"/>
        </w:rPr>
      </w:pPr>
      <w:r>
        <w:rPr>
          <w:rFonts w:ascii="Garamond" w:hAnsi="Garamond"/>
          <w:noProof/>
          <w:lang w:val="en-AU" w:eastAsia="en-AU"/>
        </w:rPr>
        <w:lastRenderedPageBreak/>
        <w:drawing>
          <wp:inline distT="0" distB="0" distL="0" distR="0">
            <wp:extent cx="6115050" cy="8648700"/>
            <wp:effectExtent l="38100" t="38100" r="95250" b="95250"/>
            <wp:docPr id="2" name="Picture 2" descr="\\central.health\DfsUserEnv\Users\User_07\JOHNNI\Downloads\Companion infographic -  Monitoring the national burden of CDI August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Companion infographic -  Monitoring the national burden of CDI August 201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0" cy="8648700"/>
                    </a:xfrm>
                    <a:prstGeom prst="rect">
                      <a:avLst/>
                    </a:prstGeom>
                    <a:noFill/>
                    <a:ln>
                      <a:noFill/>
                    </a:ln>
                    <a:effectLst>
                      <a:outerShdw blurRad="50800" dist="38100" dir="2700000" algn="tl" rotWithShape="0">
                        <a:schemeClr val="accent1">
                          <a:alpha val="40000"/>
                        </a:schemeClr>
                      </a:outerShdw>
                    </a:effectLst>
                  </pic:spPr>
                </pic:pic>
              </a:graphicData>
            </a:graphic>
          </wp:inline>
        </w:drawing>
      </w:r>
    </w:p>
    <w:p w:rsidR="00E349C7" w:rsidRDefault="00E349C7" w:rsidP="00E349C7">
      <w:pPr>
        <w:rPr>
          <w:rFonts w:ascii="Garamond" w:hAnsi="Garamond"/>
          <w:b/>
          <w:lang w:val="en-AU"/>
        </w:rPr>
      </w:pPr>
    </w:p>
    <w:p w:rsidR="00E349C7" w:rsidRDefault="00E349C7" w:rsidP="00E349C7">
      <w:pPr>
        <w:rPr>
          <w:rFonts w:ascii="Garamond" w:hAnsi="Garamond"/>
          <w:b/>
          <w:lang w:val="en-AU"/>
        </w:rPr>
      </w:pPr>
      <w:r>
        <w:rPr>
          <w:rFonts w:ascii="Garamond" w:hAnsi="Garamond"/>
          <w:b/>
          <w:lang w:val="en-AU"/>
        </w:rPr>
        <w:t>National Hand Hygiene Initiative update</w:t>
      </w:r>
    </w:p>
    <w:p w:rsidR="00E349C7" w:rsidRPr="00E349C7" w:rsidRDefault="00865E67" w:rsidP="00E349C7">
      <w:pPr>
        <w:rPr>
          <w:rFonts w:ascii="Garamond" w:hAnsi="Garamond"/>
          <w:lang w:val="en-AU"/>
        </w:rPr>
      </w:pPr>
      <w:hyperlink r:id="rId17" w:history="1">
        <w:r w:rsidR="00E349C7" w:rsidRPr="007871BC">
          <w:rPr>
            <w:rStyle w:val="Hyperlink"/>
            <w:rFonts w:ascii="Garamond" w:hAnsi="Garamond"/>
            <w:lang w:val="en-AU"/>
          </w:rPr>
          <w:t>https://www.safetyandquality.gov.au/nhhi</w:t>
        </w:r>
      </w:hyperlink>
    </w:p>
    <w:p w:rsidR="00E349C7" w:rsidRPr="00E349C7" w:rsidRDefault="00E349C7" w:rsidP="00E349C7">
      <w:pPr>
        <w:rPr>
          <w:rFonts w:ascii="Garamond" w:hAnsi="Garamond"/>
          <w:lang w:val="en-AU"/>
        </w:rPr>
      </w:pPr>
      <w:r w:rsidRPr="00E349C7">
        <w:rPr>
          <w:rFonts w:ascii="Garamond" w:hAnsi="Garamond"/>
          <w:lang w:val="en-AU"/>
        </w:rPr>
        <w:t xml:space="preserve">The National Hand Hygiene Initiative (NHHI) is one of a suite of initiatives to prevent and reduce healthcare-associated infections in Australia. Health service organisations have implemented and maintained hand hygiene programs that are consistent with the NHHI, in accordance with the National Safety and Quality Health Service (NSQHS) Standards. </w:t>
      </w:r>
    </w:p>
    <w:p w:rsidR="00E349C7" w:rsidRDefault="00E349C7" w:rsidP="00E349C7">
      <w:pPr>
        <w:rPr>
          <w:rFonts w:ascii="Garamond" w:hAnsi="Garamond"/>
          <w:lang w:val="en-AU"/>
        </w:rPr>
      </w:pPr>
    </w:p>
    <w:p w:rsidR="00E349C7" w:rsidRPr="00E349C7" w:rsidRDefault="00E349C7" w:rsidP="00E349C7">
      <w:pPr>
        <w:rPr>
          <w:rFonts w:ascii="Garamond" w:hAnsi="Garamond"/>
          <w:lang w:val="en-AU"/>
        </w:rPr>
      </w:pPr>
      <w:r w:rsidRPr="00E349C7">
        <w:rPr>
          <w:rFonts w:ascii="Garamond" w:hAnsi="Garamond"/>
          <w:lang w:val="en-AU"/>
        </w:rPr>
        <w:t xml:space="preserve">Since commencing the NHHI </w:t>
      </w:r>
      <w:r>
        <w:rPr>
          <w:rFonts w:ascii="Garamond" w:hAnsi="Garamond"/>
          <w:lang w:val="en-AU"/>
        </w:rPr>
        <w:t xml:space="preserve">in 2008, </w:t>
      </w:r>
      <w:r w:rsidRPr="00E349C7">
        <w:rPr>
          <w:rFonts w:ascii="Garamond" w:hAnsi="Garamond"/>
          <w:lang w:val="en-AU"/>
        </w:rPr>
        <w:t xml:space="preserve">the Commission has contracted Hand Hygiene Australia (HHA) to provide support resources to assist in the implementation and maintenance of local hand hygiene programs. </w:t>
      </w:r>
    </w:p>
    <w:p w:rsidR="00E349C7" w:rsidRDefault="00E349C7" w:rsidP="00E349C7">
      <w:pPr>
        <w:rPr>
          <w:rFonts w:ascii="Garamond" w:hAnsi="Garamond"/>
          <w:lang w:val="en-AU"/>
        </w:rPr>
      </w:pPr>
    </w:p>
    <w:p w:rsidR="00E349C7" w:rsidRDefault="00E349C7" w:rsidP="00E349C7">
      <w:pPr>
        <w:rPr>
          <w:rFonts w:ascii="Garamond" w:hAnsi="Garamond"/>
          <w:lang w:val="en-AU"/>
        </w:rPr>
      </w:pPr>
      <w:r w:rsidRPr="00E349C7">
        <w:rPr>
          <w:rFonts w:ascii="Garamond" w:hAnsi="Garamond"/>
          <w:lang w:val="en-AU"/>
        </w:rPr>
        <w:t xml:space="preserve">From 1 November 2019, the NHHI transitioned from HHA to the Commission. All resources to support the </w:t>
      </w:r>
      <w:r>
        <w:rPr>
          <w:rFonts w:ascii="Garamond" w:hAnsi="Garamond"/>
          <w:lang w:val="en-AU"/>
        </w:rPr>
        <w:t>Learning Management System (</w:t>
      </w:r>
      <w:r w:rsidRPr="00E349C7">
        <w:rPr>
          <w:rFonts w:ascii="Garamond" w:hAnsi="Garamond"/>
          <w:lang w:val="en-AU"/>
        </w:rPr>
        <w:t>LMS</w:t>
      </w:r>
      <w:r>
        <w:rPr>
          <w:rFonts w:ascii="Garamond" w:hAnsi="Garamond"/>
          <w:lang w:val="en-AU"/>
        </w:rPr>
        <w:t>)</w:t>
      </w:r>
      <w:r w:rsidRPr="00E349C7">
        <w:rPr>
          <w:rFonts w:ascii="Garamond" w:hAnsi="Garamond"/>
          <w:lang w:val="en-AU"/>
        </w:rPr>
        <w:t xml:space="preserve"> and the Hand Hygiene Compliance Application (HHCApp) have been published on the Commission’s w</w:t>
      </w:r>
      <w:r>
        <w:rPr>
          <w:rFonts w:ascii="Garamond" w:hAnsi="Garamond"/>
          <w:lang w:val="en-AU"/>
        </w:rPr>
        <w:t xml:space="preserve">ebsite, and are available from </w:t>
      </w:r>
      <w:r w:rsidRPr="00E349C7">
        <w:rPr>
          <w:rFonts w:ascii="Garamond" w:hAnsi="Garamond"/>
          <w:lang w:val="en-AU"/>
        </w:rPr>
        <w:t xml:space="preserve">NHHI webpage  </w:t>
      </w:r>
      <w:hyperlink r:id="rId18" w:history="1">
        <w:r w:rsidRPr="007871BC">
          <w:rPr>
            <w:rStyle w:val="Hyperlink"/>
            <w:rFonts w:ascii="Garamond" w:hAnsi="Garamond"/>
            <w:lang w:val="en-AU"/>
          </w:rPr>
          <w:t>www.safetyandquality.gov.au/nhhi</w:t>
        </w:r>
      </w:hyperlink>
    </w:p>
    <w:p w:rsidR="00E349C7" w:rsidRPr="00E349C7" w:rsidRDefault="00E349C7" w:rsidP="00E349C7">
      <w:pPr>
        <w:rPr>
          <w:rFonts w:ascii="Garamond" w:hAnsi="Garamond"/>
          <w:lang w:val="en-AU"/>
        </w:rPr>
      </w:pPr>
    </w:p>
    <w:p w:rsidR="00E349C7" w:rsidRPr="00E349C7" w:rsidRDefault="00E349C7" w:rsidP="00E349C7">
      <w:pPr>
        <w:rPr>
          <w:rFonts w:ascii="Garamond" w:hAnsi="Garamond"/>
          <w:lang w:val="en-AU"/>
        </w:rPr>
      </w:pPr>
      <w:r w:rsidRPr="00E349C7">
        <w:rPr>
          <w:rFonts w:ascii="Garamond" w:hAnsi="Garamond"/>
          <w:lang w:val="en-AU"/>
        </w:rPr>
        <w:t>Access to the HHCApp and the learning modules has not changed. Training resources to support the audits will be available on the Commission’s website and arrangements for future GSA training workshops are being finalised.  In the interim, local GSAs will still be able to train auditors.</w:t>
      </w:r>
    </w:p>
    <w:p w:rsidR="00E349C7" w:rsidRPr="00E349C7" w:rsidRDefault="00E349C7" w:rsidP="00E349C7">
      <w:pPr>
        <w:rPr>
          <w:rFonts w:ascii="Garamond" w:hAnsi="Garamond"/>
          <w:lang w:val="en-AU"/>
        </w:rPr>
      </w:pPr>
      <w:r w:rsidRPr="00E349C7">
        <w:rPr>
          <w:rFonts w:ascii="Garamond" w:hAnsi="Garamond"/>
          <w:lang w:val="en-AU"/>
        </w:rPr>
        <w:t xml:space="preserve">The Commission will continue to provide regular advice to states, territories and the private sector during the transition period whilst permanent arrangements are finalised.  </w:t>
      </w:r>
    </w:p>
    <w:p w:rsidR="00E349C7" w:rsidRPr="00E349C7" w:rsidRDefault="00E349C7" w:rsidP="00E349C7">
      <w:pPr>
        <w:rPr>
          <w:rFonts w:ascii="Garamond" w:hAnsi="Garamond"/>
          <w:lang w:val="en-AU"/>
        </w:rPr>
      </w:pPr>
    </w:p>
    <w:p w:rsidR="00E349C7" w:rsidRPr="00E349C7" w:rsidRDefault="00E349C7" w:rsidP="00E349C7">
      <w:pPr>
        <w:rPr>
          <w:rFonts w:ascii="Garamond" w:hAnsi="Garamond"/>
          <w:lang w:val="en-AU"/>
        </w:rPr>
      </w:pPr>
      <w:r w:rsidRPr="00E349C7">
        <w:rPr>
          <w:rFonts w:ascii="Garamond" w:hAnsi="Garamond"/>
          <w:lang w:val="en-AU"/>
        </w:rPr>
        <w:t>Information regarding contact points is now available on the Commission’s website, and there is a redirection on the HHA website.</w:t>
      </w:r>
    </w:p>
    <w:p w:rsidR="00E349C7" w:rsidRPr="00E349C7" w:rsidRDefault="00E349C7" w:rsidP="00E349C7">
      <w:pPr>
        <w:rPr>
          <w:rFonts w:ascii="Garamond" w:hAnsi="Garamond"/>
          <w:lang w:val="en-AU"/>
        </w:rPr>
      </w:pPr>
      <w:r w:rsidRPr="00E349C7">
        <w:rPr>
          <w:rFonts w:ascii="Garamond" w:hAnsi="Garamond"/>
          <w:lang w:val="en-AU"/>
        </w:rPr>
        <w:t>NHHI helpdesk:  Monday – Friday (Business days)</w:t>
      </w:r>
    </w:p>
    <w:p w:rsidR="00E349C7" w:rsidRPr="00E349C7" w:rsidRDefault="00E349C7" w:rsidP="00E349C7">
      <w:pPr>
        <w:rPr>
          <w:rFonts w:ascii="Garamond" w:hAnsi="Garamond"/>
          <w:lang w:val="en-AU"/>
        </w:rPr>
      </w:pPr>
      <w:r>
        <w:rPr>
          <w:rFonts w:ascii="Garamond" w:hAnsi="Garamond"/>
          <w:lang w:val="en-AU"/>
        </w:rPr>
        <w:t xml:space="preserve">Email: </w:t>
      </w:r>
      <w:hyperlink r:id="rId19" w:history="1">
        <w:r w:rsidRPr="007871BC">
          <w:rPr>
            <w:rStyle w:val="Hyperlink"/>
            <w:rFonts w:ascii="Garamond" w:hAnsi="Garamond"/>
            <w:lang w:val="en-AU"/>
          </w:rPr>
          <w:t>handhygiene@safetyandquality.gov.au</w:t>
        </w:r>
      </w:hyperlink>
    </w:p>
    <w:p w:rsidR="00E349C7" w:rsidRDefault="00E349C7" w:rsidP="00E349C7">
      <w:pPr>
        <w:rPr>
          <w:rFonts w:ascii="Garamond" w:hAnsi="Garamond"/>
          <w:lang w:val="en-AU"/>
        </w:rPr>
      </w:pPr>
      <w:r>
        <w:rPr>
          <w:rFonts w:ascii="Garamond" w:hAnsi="Garamond"/>
          <w:lang w:val="en-AU"/>
        </w:rPr>
        <w:t>Phone:</w:t>
      </w:r>
      <w:r w:rsidRPr="00E349C7">
        <w:rPr>
          <w:rFonts w:ascii="Garamond" w:hAnsi="Garamond"/>
          <w:lang w:val="en-AU"/>
        </w:rPr>
        <w:t xml:space="preserve"> (02) 9126 3511</w:t>
      </w:r>
    </w:p>
    <w:p w:rsidR="00E349C7" w:rsidRPr="00E349C7" w:rsidRDefault="00E349C7" w:rsidP="00E349C7">
      <w:pPr>
        <w:rPr>
          <w:rFonts w:ascii="Garamond" w:hAnsi="Garamond"/>
          <w:lang w:val="en-AU"/>
        </w:rPr>
      </w:pPr>
    </w:p>
    <w:p w:rsidR="007337CB" w:rsidRDefault="007337CB" w:rsidP="00754494">
      <w:pPr>
        <w:keepNext/>
        <w:ind w:left="720" w:hanging="720"/>
        <w:rPr>
          <w:rFonts w:ascii="Garamond" w:hAnsi="Garamond"/>
          <w:b/>
          <w:lang w:val="en-AU"/>
        </w:rPr>
      </w:pPr>
      <w:r>
        <w:rPr>
          <w:rFonts w:ascii="Garamond" w:hAnsi="Garamond"/>
          <w:b/>
          <w:lang w:val="en-AU"/>
        </w:rPr>
        <w:t>Reports</w:t>
      </w:r>
    </w:p>
    <w:p w:rsidR="007337CB" w:rsidRDefault="007337CB" w:rsidP="00754494">
      <w:pPr>
        <w:keepNext/>
        <w:ind w:left="720" w:hanging="720"/>
        <w:rPr>
          <w:rFonts w:ascii="Garamond" w:hAnsi="Garamond"/>
          <w:b/>
          <w:lang w:val="en-AU"/>
        </w:rPr>
      </w:pPr>
    </w:p>
    <w:p w:rsidR="007337CB" w:rsidRPr="00BA5CF1" w:rsidRDefault="00BA5CF1" w:rsidP="007337CB">
      <w:pPr>
        <w:keepNext/>
        <w:keepLines/>
        <w:autoSpaceDE w:val="0"/>
        <w:autoSpaceDN w:val="0"/>
        <w:adjustRightInd w:val="0"/>
        <w:rPr>
          <w:rFonts w:ascii="Garamond" w:hAnsi="Garamond"/>
          <w:i/>
          <w:lang w:val="en-AU"/>
        </w:rPr>
      </w:pPr>
      <w:r w:rsidRPr="00BA5CF1">
        <w:rPr>
          <w:rFonts w:ascii="Garamond" w:hAnsi="Garamond"/>
          <w:i/>
          <w:lang w:val="en-AU"/>
        </w:rPr>
        <w:t xml:space="preserve">Dying well: </w:t>
      </w:r>
      <w:r>
        <w:rPr>
          <w:rFonts w:ascii="Garamond" w:hAnsi="Garamond"/>
          <w:i/>
          <w:lang w:val="en-AU"/>
        </w:rPr>
        <w:t>I</w:t>
      </w:r>
      <w:r w:rsidRPr="00BA5CF1">
        <w:rPr>
          <w:rFonts w:ascii="Garamond" w:hAnsi="Garamond"/>
          <w:i/>
          <w:lang w:val="en-AU"/>
        </w:rPr>
        <w:t>mproving palliative and end of life care for people with dementia</w:t>
      </w:r>
    </w:p>
    <w:p w:rsidR="00D41126" w:rsidRDefault="00D41126" w:rsidP="007337CB">
      <w:pPr>
        <w:keepNext/>
        <w:keepLines/>
        <w:autoSpaceDE w:val="0"/>
        <w:autoSpaceDN w:val="0"/>
        <w:adjustRightInd w:val="0"/>
        <w:rPr>
          <w:rFonts w:ascii="Garamond" w:hAnsi="Garamond"/>
          <w:lang w:val="en-AU"/>
        </w:rPr>
      </w:pPr>
      <w:r w:rsidRPr="00D41126">
        <w:rPr>
          <w:rFonts w:ascii="Garamond" w:hAnsi="Garamond"/>
          <w:lang w:val="en-AU"/>
        </w:rPr>
        <w:t>Dementia Di</w:t>
      </w:r>
      <w:r>
        <w:rPr>
          <w:rFonts w:ascii="Garamond" w:hAnsi="Garamond"/>
          <w:lang w:val="en-AU"/>
        </w:rPr>
        <w:t>s</w:t>
      </w:r>
      <w:r w:rsidRPr="00D41126">
        <w:rPr>
          <w:rFonts w:ascii="Garamond" w:hAnsi="Garamond"/>
          <w:lang w:val="en-AU"/>
        </w:rPr>
        <w:t>cussion Paper 1</w:t>
      </w:r>
    </w:p>
    <w:p w:rsidR="00D41126" w:rsidRDefault="00D41126" w:rsidP="007337CB">
      <w:pPr>
        <w:keepNext/>
        <w:keepLines/>
        <w:autoSpaceDE w:val="0"/>
        <w:autoSpaceDN w:val="0"/>
        <w:adjustRightInd w:val="0"/>
        <w:rPr>
          <w:rFonts w:ascii="Garamond" w:hAnsi="Garamond"/>
          <w:lang w:val="en-AU"/>
        </w:rPr>
      </w:pPr>
      <w:r w:rsidRPr="00D41126">
        <w:rPr>
          <w:rFonts w:ascii="Garamond" w:hAnsi="Garamond"/>
          <w:lang w:val="en-AU"/>
        </w:rPr>
        <w:t>Dementia Australia</w:t>
      </w:r>
    </w:p>
    <w:p w:rsidR="00BA5CF1" w:rsidRDefault="00D41126" w:rsidP="007337CB">
      <w:pPr>
        <w:keepNext/>
        <w:keepLines/>
        <w:autoSpaceDE w:val="0"/>
        <w:autoSpaceDN w:val="0"/>
        <w:adjustRightInd w:val="0"/>
        <w:rPr>
          <w:rFonts w:ascii="Garamond" w:hAnsi="Garamond"/>
          <w:lang w:val="en-AU"/>
        </w:rPr>
      </w:pPr>
      <w:r w:rsidRPr="00D41126">
        <w:rPr>
          <w:rFonts w:ascii="Garamond" w:hAnsi="Garamond"/>
          <w:lang w:val="en-AU"/>
        </w:rPr>
        <w:t>Melbourne: Dementia Australia; 2019. p. 16.</w:t>
      </w:r>
    </w:p>
    <w:tbl>
      <w:tblPr>
        <w:tblStyle w:val="TableGrid"/>
        <w:tblW w:w="0" w:type="auto"/>
        <w:tblInd w:w="288" w:type="dxa"/>
        <w:tblLayout w:type="fixed"/>
        <w:tblLook w:val="01E0" w:firstRow="1" w:lastRow="1" w:firstColumn="1" w:lastColumn="1" w:noHBand="0" w:noVBand="0"/>
      </w:tblPr>
      <w:tblGrid>
        <w:gridCol w:w="1080"/>
        <w:gridCol w:w="8280"/>
      </w:tblGrid>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3439A1" w:rsidP="00307B2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Pr="000170DA" w:rsidRDefault="00865E67" w:rsidP="00307B2D">
            <w:pPr>
              <w:rPr>
                <w:rStyle w:val="Hyperlink"/>
                <w:rFonts w:ascii="Garamond" w:hAnsi="Garamond"/>
                <w:color w:val="auto"/>
                <w:u w:val="none"/>
                <w:lang w:val="en-AU"/>
              </w:rPr>
            </w:pPr>
            <w:hyperlink r:id="rId20" w:history="1">
              <w:r w:rsidR="003439A1" w:rsidRPr="000A4387">
                <w:rPr>
                  <w:rStyle w:val="Hyperlink"/>
                  <w:rFonts w:ascii="Garamond" w:hAnsi="Garamond"/>
                  <w:lang w:val="en-AU"/>
                </w:rPr>
                <w:t>https://www.dementia.org.au/files/documents/DA%20Dying%20Well%20Discussion%20Paper%20FINAL%20for%20online.pdf</w:t>
              </w:r>
            </w:hyperlink>
          </w:p>
        </w:tc>
      </w:tr>
      <w:tr w:rsidR="007337CB" w:rsidRPr="000170DA" w:rsidTr="00307B2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5CF1" w:rsidRPr="00652094" w:rsidRDefault="00BA5CF1" w:rsidP="00D41126">
            <w:pPr>
              <w:rPr>
                <w:rFonts w:ascii="Garamond" w:hAnsi="Garamond"/>
                <w:lang w:val="en-AU"/>
              </w:rPr>
            </w:pPr>
            <w:r>
              <w:rPr>
                <w:rFonts w:ascii="Garamond" w:hAnsi="Garamond"/>
                <w:lang w:val="en-AU"/>
              </w:rPr>
              <w:t xml:space="preserve">Dementia Australia (formerly </w:t>
            </w:r>
            <w:r w:rsidRPr="00BA5CF1">
              <w:rPr>
                <w:rFonts w:ascii="Garamond" w:hAnsi="Garamond"/>
                <w:lang w:val="en-AU"/>
              </w:rPr>
              <w:t>Alzheimer’s Australia</w:t>
            </w:r>
            <w:r>
              <w:rPr>
                <w:rFonts w:ascii="Garamond" w:hAnsi="Garamond"/>
                <w:lang w:val="en-AU"/>
              </w:rPr>
              <w:t xml:space="preserve">) has released this brief discussion paper </w:t>
            </w:r>
            <w:r w:rsidR="00D41126">
              <w:rPr>
                <w:rFonts w:ascii="Garamond" w:hAnsi="Garamond"/>
                <w:lang w:val="en-AU"/>
              </w:rPr>
              <w:t>calling for better palliative and end of life care for those living with dementia. The report argues that c</w:t>
            </w:r>
            <w:r w:rsidR="00D41126" w:rsidRPr="00D41126">
              <w:rPr>
                <w:rFonts w:ascii="Garamond" w:hAnsi="Garamond"/>
                <w:lang w:val="en-AU"/>
              </w:rPr>
              <w:t>omprehensive palliative care for people living with dementia should be available when and where it is needed, including community or home based care, residential aged care, hospice care, and acute care settings. The</w:t>
            </w:r>
            <w:r w:rsidR="00D41126">
              <w:rPr>
                <w:rFonts w:ascii="Garamond" w:hAnsi="Garamond"/>
                <w:lang w:val="en-AU"/>
              </w:rPr>
              <w:t xml:space="preserve"> authors argue that the</w:t>
            </w:r>
            <w:r w:rsidR="00D41126" w:rsidRPr="00D41126">
              <w:rPr>
                <w:rFonts w:ascii="Garamond" w:hAnsi="Garamond"/>
                <w:lang w:val="en-AU"/>
              </w:rPr>
              <w:t>re is a need to improve the provision of palliative care services for people living with dementia in each of these settings, and to increase the ability of health professionals, staff, families and the community to meet the specific palliative care needs of people living with dementia.</w:t>
            </w:r>
            <w:r w:rsidR="00D41126">
              <w:rPr>
                <w:rFonts w:ascii="Garamond" w:hAnsi="Garamond"/>
                <w:lang w:val="en-AU"/>
              </w:rPr>
              <w:t xml:space="preserve"> The report includes a number of recommendations and calls for action around workforce, advanced care planning, funding, access, coordination and awareness.</w:t>
            </w:r>
          </w:p>
        </w:tc>
      </w:tr>
    </w:tbl>
    <w:p w:rsidR="00786EB6" w:rsidRDefault="00786EB6" w:rsidP="00786EB6">
      <w:pPr>
        <w:ind w:left="720" w:hanging="720"/>
        <w:rPr>
          <w:rFonts w:ascii="Garamond" w:hAnsi="Garamond"/>
          <w:lang w:val="en-AU"/>
        </w:rPr>
      </w:pPr>
    </w:p>
    <w:p w:rsidR="00B5717A" w:rsidRPr="00B5717A" w:rsidRDefault="00B5717A" w:rsidP="00B5717A">
      <w:pPr>
        <w:keepNext/>
        <w:keepLines/>
        <w:autoSpaceDE w:val="0"/>
        <w:autoSpaceDN w:val="0"/>
        <w:adjustRightInd w:val="0"/>
        <w:rPr>
          <w:rFonts w:ascii="Garamond" w:hAnsi="Garamond"/>
          <w:i/>
          <w:lang w:val="en-AU"/>
        </w:rPr>
      </w:pPr>
      <w:r w:rsidRPr="00B5717A">
        <w:rPr>
          <w:rFonts w:ascii="Garamond" w:hAnsi="Garamond"/>
          <w:i/>
          <w:lang w:val="en-AU"/>
        </w:rPr>
        <w:t>A Guide to Medication Reviews for NSW Health Services</w:t>
      </w:r>
    </w:p>
    <w:p w:rsidR="00B5717A" w:rsidRDefault="00B5717A" w:rsidP="00B5717A">
      <w:pPr>
        <w:keepNext/>
        <w:keepLines/>
        <w:autoSpaceDE w:val="0"/>
        <w:autoSpaceDN w:val="0"/>
        <w:adjustRightInd w:val="0"/>
        <w:rPr>
          <w:rFonts w:ascii="Garamond" w:hAnsi="Garamond"/>
          <w:lang w:val="en-AU"/>
        </w:rPr>
      </w:pPr>
      <w:r>
        <w:rPr>
          <w:rFonts w:ascii="Garamond" w:hAnsi="Garamond"/>
          <w:lang w:val="en-AU"/>
        </w:rPr>
        <w:t>Clinical Excellence Commission</w:t>
      </w:r>
    </w:p>
    <w:p w:rsidR="00B5717A" w:rsidRDefault="00B5717A" w:rsidP="00B5717A">
      <w:pPr>
        <w:keepNext/>
        <w:keepLines/>
        <w:autoSpaceDE w:val="0"/>
        <w:autoSpaceDN w:val="0"/>
        <w:adjustRightInd w:val="0"/>
        <w:rPr>
          <w:rFonts w:ascii="Garamond" w:hAnsi="Garamond"/>
          <w:lang w:val="en-AU"/>
        </w:rPr>
      </w:pPr>
      <w:r>
        <w:rPr>
          <w:rFonts w:ascii="Garamond" w:hAnsi="Garamond"/>
          <w:lang w:val="en-AU"/>
        </w:rPr>
        <w:t>Sydney: CEC; 2019</w:t>
      </w:r>
    </w:p>
    <w:tbl>
      <w:tblPr>
        <w:tblStyle w:val="TableGrid"/>
        <w:tblW w:w="0" w:type="auto"/>
        <w:tblInd w:w="288" w:type="dxa"/>
        <w:tblLayout w:type="fixed"/>
        <w:tblLook w:val="01E0" w:firstRow="1" w:lastRow="1" w:firstColumn="1" w:lastColumn="1" w:noHBand="0" w:noVBand="0"/>
      </w:tblPr>
      <w:tblGrid>
        <w:gridCol w:w="1080"/>
        <w:gridCol w:w="8280"/>
      </w:tblGrid>
      <w:tr w:rsidR="00B5717A"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B5717A" w:rsidRPr="000170DA" w:rsidRDefault="00B5717A" w:rsidP="00FC27B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5717A" w:rsidRPr="000170DA" w:rsidRDefault="00865E67" w:rsidP="00FC27BD">
            <w:pPr>
              <w:rPr>
                <w:rStyle w:val="Hyperlink"/>
                <w:rFonts w:ascii="Garamond" w:hAnsi="Garamond"/>
                <w:color w:val="auto"/>
                <w:u w:val="none"/>
                <w:lang w:val="en-AU"/>
              </w:rPr>
            </w:pPr>
            <w:hyperlink r:id="rId21" w:history="1">
              <w:r w:rsidR="00B5717A" w:rsidRPr="007871BC">
                <w:rPr>
                  <w:rStyle w:val="Hyperlink"/>
                  <w:rFonts w:ascii="Garamond" w:hAnsi="Garamond"/>
                  <w:lang w:val="en-AU"/>
                </w:rPr>
                <w:t>http://www.cec.health.nsw.gov.au/patient-safety-programs/medication-safety/continuity-of-medication-management/medication-review</w:t>
              </w:r>
            </w:hyperlink>
          </w:p>
        </w:tc>
      </w:tr>
      <w:tr w:rsidR="00B5717A"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B5717A" w:rsidRPr="000170DA" w:rsidRDefault="00B5717A" w:rsidP="00FC27B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5717A" w:rsidRPr="00652094" w:rsidRDefault="00B5717A" w:rsidP="00BC43D6">
            <w:pPr>
              <w:rPr>
                <w:rFonts w:ascii="Garamond" w:hAnsi="Garamond"/>
                <w:lang w:val="en-AU"/>
              </w:rPr>
            </w:pPr>
            <w:r>
              <w:rPr>
                <w:rFonts w:ascii="Garamond" w:hAnsi="Garamond"/>
                <w:lang w:val="en-AU"/>
              </w:rPr>
              <w:t xml:space="preserve">The Clinical Excellence Commission in New South Wales has developed </w:t>
            </w:r>
            <w:r w:rsidRPr="00B5717A">
              <w:rPr>
                <w:rFonts w:ascii="Garamond" w:hAnsi="Garamond"/>
                <w:i/>
                <w:lang w:val="en-AU"/>
              </w:rPr>
              <w:t xml:space="preserve">A Guide </w:t>
            </w:r>
            <w:r w:rsidR="00BC43D6">
              <w:rPr>
                <w:rFonts w:ascii="Garamond" w:hAnsi="Garamond"/>
                <w:i/>
                <w:lang w:val="en-AU"/>
              </w:rPr>
              <w:t>to</w:t>
            </w:r>
            <w:r w:rsidRPr="00B5717A">
              <w:rPr>
                <w:rFonts w:ascii="Garamond" w:hAnsi="Garamond"/>
                <w:i/>
                <w:lang w:val="en-AU"/>
              </w:rPr>
              <w:t xml:space="preserve"> Medication Reviews </w:t>
            </w:r>
            <w:r w:rsidR="00BC43D6">
              <w:rPr>
                <w:rFonts w:ascii="Garamond" w:hAnsi="Garamond"/>
                <w:i/>
                <w:lang w:val="en-AU"/>
              </w:rPr>
              <w:t>for</w:t>
            </w:r>
            <w:r w:rsidRPr="00B5717A">
              <w:rPr>
                <w:rFonts w:ascii="Garamond" w:hAnsi="Garamond"/>
                <w:i/>
                <w:lang w:val="en-AU"/>
              </w:rPr>
              <w:t xml:space="preserve"> NSW Health Services</w:t>
            </w:r>
            <w:r w:rsidRPr="00B5717A">
              <w:rPr>
                <w:rFonts w:ascii="Garamond" w:hAnsi="Garamond"/>
                <w:lang w:val="en-AU"/>
              </w:rPr>
              <w:t xml:space="preserve"> </w:t>
            </w:r>
            <w:r>
              <w:rPr>
                <w:rFonts w:ascii="Garamond" w:hAnsi="Garamond"/>
                <w:lang w:val="en-AU"/>
              </w:rPr>
              <w:t xml:space="preserve">as </w:t>
            </w:r>
            <w:r w:rsidRPr="00B5717A">
              <w:rPr>
                <w:rFonts w:ascii="Garamond" w:hAnsi="Garamond"/>
                <w:lang w:val="en-AU"/>
              </w:rPr>
              <w:t>a resource to assist hospitals and clinicians to develop systems and processes for medication reviews for patients in line with the requirements of Action 4.10 of the National Safety and Quality Health Service (NSQHS) Medication Safety Standard.</w:t>
            </w:r>
          </w:p>
        </w:tc>
      </w:tr>
    </w:tbl>
    <w:p w:rsidR="00B5717A" w:rsidRDefault="00B5717A" w:rsidP="00B5717A">
      <w:pPr>
        <w:keepNext/>
        <w:rPr>
          <w:rFonts w:ascii="Garamond" w:hAnsi="Garamond"/>
          <w:lang w:val="en-AU"/>
        </w:rPr>
      </w:pPr>
    </w:p>
    <w:p w:rsidR="00B5717A" w:rsidRDefault="00B5717A" w:rsidP="00B5717A">
      <w:pPr>
        <w:keepNext/>
        <w:rPr>
          <w:rFonts w:ascii="Garamond" w:hAnsi="Garamond"/>
          <w:lang w:val="en-AU"/>
        </w:rPr>
      </w:pPr>
      <w:r>
        <w:rPr>
          <w:rFonts w:ascii="Garamond" w:hAnsi="Garamond"/>
          <w:lang w:val="en-AU"/>
        </w:rPr>
        <w:t xml:space="preserve">For information on the </w:t>
      </w:r>
      <w:r w:rsidRPr="00B5717A">
        <w:rPr>
          <w:rFonts w:ascii="Garamond" w:hAnsi="Garamond"/>
          <w:lang w:val="en-AU"/>
        </w:rPr>
        <w:t>National Safety and Quality Health Service (NSQHS)</w:t>
      </w:r>
      <w:r>
        <w:rPr>
          <w:rFonts w:ascii="Garamond" w:hAnsi="Garamond"/>
          <w:lang w:val="en-AU"/>
        </w:rPr>
        <w:t xml:space="preserve"> Standards, see </w:t>
      </w:r>
      <w:hyperlink r:id="rId22" w:history="1">
        <w:r w:rsidRPr="007871BC">
          <w:rPr>
            <w:rStyle w:val="Hyperlink"/>
            <w:rFonts w:ascii="Garamond" w:hAnsi="Garamond"/>
            <w:lang w:val="en-AU"/>
          </w:rPr>
          <w:t>https://www.safetyandquality.gov.au/standards/nsqhs-standards</w:t>
        </w:r>
      </w:hyperlink>
    </w:p>
    <w:p w:rsidR="00B5717A" w:rsidRDefault="00B5717A" w:rsidP="00786EB6">
      <w:pPr>
        <w:ind w:left="720" w:hanging="72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D465AC" w:rsidRDefault="00D465AC" w:rsidP="00D465AC">
      <w:pPr>
        <w:keepNext/>
        <w:rPr>
          <w:rFonts w:ascii="Garamond" w:hAnsi="Garamond"/>
          <w:lang w:val="en-AU"/>
        </w:rPr>
      </w:pPr>
    </w:p>
    <w:p w:rsidR="006C7743" w:rsidRPr="00FE4E6C" w:rsidRDefault="000B4CDC" w:rsidP="00786EB6">
      <w:pPr>
        <w:keepNext/>
        <w:keepLines/>
        <w:autoSpaceDE w:val="0"/>
        <w:autoSpaceDN w:val="0"/>
        <w:adjustRightInd w:val="0"/>
        <w:rPr>
          <w:rFonts w:ascii="Garamond" w:hAnsi="Garamond"/>
          <w:i/>
          <w:lang w:val="en-AU"/>
        </w:rPr>
      </w:pPr>
      <w:r w:rsidRPr="00FE4E6C">
        <w:rPr>
          <w:rFonts w:ascii="Garamond" w:hAnsi="Garamond"/>
          <w:i/>
          <w:lang w:val="en-AU"/>
        </w:rPr>
        <w:t>Patient and family engagement as a potential approach for improving patient safety: A systematic review</w:t>
      </w:r>
    </w:p>
    <w:p w:rsidR="00786EB6" w:rsidRDefault="00FE4E6C" w:rsidP="00786EB6">
      <w:pPr>
        <w:keepNext/>
        <w:keepLines/>
        <w:autoSpaceDE w:val="0"/>
        <w:autoSpaceDN w:val="0"/>
        <w:adjustRightInd w:val="0"/>
        <w:rPr>
          <w:rFonts w:ascii="Garamond" w:hAnsi="Garamond"/>
          <w:lang w:val="en-AU"/>
        </w:rPr>
      </w:pPr>
      <w:r w:rsidRPr="00FE4E6C">
        <w:rPr>
          <w:rFonts w:ascii="Garamond" w:hAnsi="Garamond"/>
          <w:lang w:val="en-AU"/>
        </w:rPr>
        <w:t>Park M, Giap T-T-T</w:t>
      </w:r>
    </w:p>
    <w:p w:rsidR="000B4CDC" w:rsidRDefault="00FE4E6C" w:rsidP="00786EB6">
      <w:pPr>
        <w:keepNext/>
        <w:keepLines/>
        <w:autoSpaceDE w:val="0"/>
        <w:autoSpaceDN w:val="0"/>
        <w:adjustRightInd w:val="0"/>
        <w:rPr>
          <w:rFonts w:ascii="Garamond" w:hAnsi="Garamond"/>
          <w:lang w:val="en-AU"/>
        </w:rPr>
      </w:pPr>
      <w:r w:rsidRPr="00FE4E6C">
        <w:rPr>
          <w:rFonts w:ascii="Garamond" w:hAnsi="Garamond"/>
          <w:lang w:val="en-AU"/>
        </w:rPr>
        <w:t>Journal of Advanced Nursing. 2019</w:t>
      </w:r>
      <w:r w:rsidR="00956DC9">
        <w:rPr>
          <w:rFonts w:ascii="Garamond" w:hAnsi="Garamond"/>
          <w:lang w:val="en-AU"/>
        </w:rPr>
        <w:t xml:space="preserve"> [epub]</w:t>
      </w:r>
      <w:r w:rsidRPr="00FE4E6C">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6C7743" w:rsidRPr="000170DA" w:rsidTr="007337CB">
        <w:tc>
          <w:tcPr>
            <w:tcW w:w="1080" w:type="dxa"/>
            <w:tcBorders>
              <w:top w:val="single" w:sz="4" w:space="0" w:color="auto"/>
              <w:left w:val="single" w:sz="4" w:space="0" w:color="auto"/>
              <w:bottom w:val="single" w:sz="4" w:space="0" w:color="auto"/>
              <w:right w:val="single" w:sz="4" w:space="0" w:color="auto"/>
            </w:tcBorders>
            <w:vAlign w:val="center"/>
          </w:tcPr>
          <w:p w:rsidR="006C7743" w:rsidRPr="000170DA" w:rsidRDefault="006C7743" w:rsidP="00786EB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C7743" w:rsidRPr="000170DA" w:rsidRDefault="00865E67" w:rsidP="00786EB6">
            <w:pPr>
              <w:keepNext/>
              <w:rPr>
                <w:rStyle w:val="Hyperlink"/>
                <w:rFonts w:ascii="Garamond" w:hAnsi="Garamond"/>
                <w:color w:val="auto"/>
                <w:u w:val="none"/>
                <w:lang w:val="en-AU"/>
              </w:rPr>
            </w:pPr>
            <w:hyperlink r:id="rId23" w:history="1">
              <w:r w:rsidR="00FE4E6C" w:rsidRPr="000A4387">
                <w:rPr>
                  <w:rStyle w:val="Hyperlink"/>
                  <w:rFonts w:ascii="Garamond" w:hAnsi="Garamond"/>
                  <w:lang w:val="en-AU"/>
                </w:rPr>
                <w:t>https://doi.org/10.1111/jan.14227</w:t>
              </w:r>
            </w:hyperlink>
          </w:p>
        </w:tc>
      </w:tr>
      <w:tr w:rsidR="006C7743" w:rsidRPr="000170DA" w:rsidTr="007337CB">
        <w:tc>
          <w:tcPr>
            <w:tcW w:w="1080" w:type="dxa"/>
            <w:tcBorders>
              <w:top w:val="single" w:sz="4" w:space="0" w:color="auto"/>
              <w:left w:val="single" w:sz="4" w:space="0" w:color="auto"/>
              <w:bottom w:val="single" w:sz="4" w:space="0" w:color="auto"/>
              <w:right w:val="single" w:sz="4" w:space="0" w:color="auto"/>
            </w:tcBorders>
            <w:vAlign w:val="center"/>
          </w:tcPr>
          <w:p w:rsidR="006C7743" w:rsidRPr="000170DA" w:rsidRDefault="006C7743" w:rsidP="00C42A1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76BB" w:rsidRPr="00956DC9" w:rsidRDefault="008376BB" w:rsidP="00C42A13">
            <w:pPr>
              <w:rPr>
                <w:rFonts w:ascii="Garamond" w:hAnsi="Garamond"/>
                <w:lang w:val="en-AU"/>
              </w:rPr>
            </w:pPr>
            <w:r w:rsidRPr="00956DC9">
              <w:rPr>
                <w:rFonts w:ascii="Garamond" w:hAnsi="Garamond"/>
                <w:lang w:val="en-AU"/>
              </w:rPr>
              <w:t xml:space="preserve">In recent years there has developed a sizeable literature on the (potential and/or real) contribution of patients, carers, families and consumers to patient safety. This has ranged from the use of complaints through to prolonged </w:t>
            </w:r>
            <w:r w:rsidR="005E78F2" w:rsidRPr="00956DC9">
              <w:rPr>
                <w:rFonts w:ascii="Garamond" w:hAnsi="Garamond"/>
                <w:lang w:val="en-AU"/>
              </w:rPr>
              <w:t>engagement, participation,</w:t>
            </w:r>
            <w:r w:rsidRPr="00956DC9">
              <w:rPr>
                <w:rFonts w:ascii="Garamond" w:hAnsi="Garamond"/>
                <w:lang w:val="en-AU"/>
              </w:rPr>
              <w:t xml:space="preserve"> and co-design of health service delivery. This paper reports on a systematic review that examined 42 studies that examined patient and family engagement. These studies covered a broad range of activities and levels of engagement and found ‘positive effects of the interventions on patient safety’, while recognising gaps and barriers. The authors suggests that ‘Policymakers should issue guidelines for implementing patient and family engagement in healthcare systems which would enable healthcare providers to implement patient and family engagement and improve patient safety appropriately and effectively.’</w:t>
            </w:r>
          </w:p>
          <w:p w:rsidR="000B4CDC" w:rsidRPr="00652094" w:rsidRDefault="000B4CDC" w:rsidP="008376BB">
            <w:pPr>
              <w:rPr>
                <w:rFonts w:ascii="Garamond" w:hAnsi="Garamond"/>
                <w:lang w:val="en-AU"/>
              </w:rPr>
            </w:pPr>
            <w:r>
              <w:rPr>
                <w:rFonts w:ascii="Garamond" w:hAnsi="Garamond"/>
                <w:lang w:val="en-AU"/>
              </w:rPr>
              <w:t>On a similar theme, a</w:t>
            </w:r>
            <w:r w:rsidR="008376BB">
              <w:rPr>
                <w:rFonts w:ascii="Garamond" w:hAnsi="Garamond"/>
                <w:lang w:val="en-AU"/>
              </w:rPr>
              <w:t xml:space="preserve">n Australian </w:t>
            </w:r>
            <w:r>
              <w:rPr>
                <w:rFonts w:ascii="Garamond" w:hAnsi="Garamond"/>
                <w:lang w:val="en-AU"/>
              </w:rPr>
              <w:t xml:space="preserve">research project is </w:t>
            </w:r>
            <w:r w:rsidRPr="000B4CDC">
              <w:rPr>
                <w:rFonts w:ascii="Garamond" w:hAnsi="Garamond"/>
                <w:lang w:val="en-AU"/>
              </w:rPr>
              <w:t xml:space="preserve">investigating how social media </w:t>
            </w:r>
            <w:r w:rsidR="003439A1">
              <w:rPr>
                <w:rFonts w:ascii="Garamond" w:hAnsi="Garamond"/>
                <w:lang w:val="en-AU"/>
              </w:rPr>
              <w:t xml:space="preserve">may </w:t>
            </w:r>
            <w:r w:rsidRPr="000B4CDC">
              <w:rPr>
                <w:rFonts w:ascii="Garamond" w:hAnsi="Garamond"/>
                <w:lang w:val="en-AU"/>
              </w:rPr>
              <w:t xml:space="preserve">be used by hospitals as a tool </w:t>
            </w:r>
            <w:r w:rsidR="003439A1">
              <w:rPr>
                <w:rFonts w:ascii="Garamond" w:hAnsi="Garamond"/>
                <w:lang w:val="en-AU"/>
              </w:rPr>
              <w:t>for facilitating</w:t>
            </w:r>
            <w:r w:rsidRPr="000B4CDC">
              <w:rPr>
                <w:rFonts w:ascii="Garamond" w:hAnsi="Garamond"/>
                <w:lang w:val="en-AU"/>
              </w:rPr>
              <w:t xml:space="preserve"> </w:t>
            </w:r>
            <w:r w:rsidR="00011B4C">
              <w:rPr>
                <w:rFonts w:ascii="Garamond" w:hAnsi="Garamond"/>
                <w:lang w:val="en-AU"/>
              </w:rPr>
              <w:t>patient/</w:t>
            </w:r>
            <w:r w:rsidRPr="000B4CDC">
              <w:rPr>
                <w:rFonts w:ascii="Garamond" w:hAnsi="Garamond"/>
                <w:lang w:val="en-AU"/>
              </w:rPr>
              <w:t xml:space="preserve">consumer engagement in health service design and quality improvement activities. </w:t>
            </w:r>
            <w:r>
              <w:rPr>
                <w:rFonts w:ascii="Garamond" w:hAnsi="Garamond"/>
                <w:lang w:val="en-AU"/>
              </w:rPr>
              <w:t xml:space="preserve">The </w:t>
            </w:r>
            <w:r w:rsidR="003439A1">
              <w:rPr>
                <w:rFonts w:ascii="Garamond" w:hAnsi="Garamond"/>
                <w:lang w:val="en-AU"/>
              </w:rPr>
              <w:t xml:space="preserve">research </w:t>
            </w:r>
            <w:r>
              <w:rPr>
                <w:rFonts w:ascii="Garamond" w:hAnsi="Garamond"/>
                <w:lang w:val="en-AU"/>
              </w:rPr>
              <w:t xml:space="preserve">project seeks to interview </w:t>
            </w:r>
            <w:r w:rsidRPr="000B4CDC">
              <w:rPr>
                <w:rFonts w:ascii="Garamond" w:hAnsi="Garamond"/>
                <w:lang w:val="en-AU"/>
              </w:rPr>
              <w:t xml:space="preserve">consumer representatives and public hospital employees who are in communications, quality improvement and/or consumer engagement roles </w:t>
            </w:r>
            <w:r>
              <w:rPr>
                <w:rFonts w:ascii="Garamond" w:hAnsi="Garamond"/>
                <w:lang w:val="en-AU"/>
              </w:rPr>
              <w:t xml:space="preserve">about </w:t>
            </w:r>
            <w:r w:rsidRPr="000B4CDC">
              <w:rPr>
                <w:rFonts w:ascii="Garamond" w:hAnsi="Garamond"/>
                <w:lang w:val="en-AU"/>
              </w:rPr>
              <w:t>people’s experiences of, and opinions about, using social media</w:t>
            </w:r>
            <w:r>
              <w:rPr>
                <w:rFonts w:ascii="Garamond" w:hAnsi="Garamond"/>
                <w:lang w:val="en-AU"/>
              </w:rPr>
              <w:t xml:space="preserve">. To participate or to get further information, see </w:t>
            </w:r>
            <w:r w:rsidR="003439A1">
              <w:rPr>
                <w:rFonts w:ascii="Garamond" w:hAnsi="Garamond"/>
                <w:lang w:val="en-AU"/>
              </w:rPr>
              <w:t xml:space="preserve">the </w:t>
            </w:r>
            <w:r>
              <w:rPr>
                <w:rFonts w:ascii="Garamond" w:hAnsi="Garamond"/>
                <w:lang w:val="en-AU"/>
              </w:rPr>
              <w:t xml:space="preserve">project page at </w:t>
            </w:r>
            <w:hyperlink r:id="rId24" w:history="1">
              <w:r w:rsidRPr="000A4387">
                <w:rPr>
                  <w:rStyle w:val="Hyperlink"/>
                  <w:rFonts w:ascii="Garamond" w:hAnsi="Garamond"/>
                  <w:lang w:val="en-AU"/>
                </w:rPr>
                <w:t>https://latrobe.edu.au/social-media-use-in-hospitals</w:t>
              </w:r>
            </w:hyperlink>
          </w:p>
        </w:tc>
      </w:tr>
    </w:tbl>
    <w:p w:rsidR="007337CB" w:rsidRDefault="007337CB" w:rsidP="007337CB">
      <w:pPr>
        <w:keepNext/>
        <w:keepLines/>
        <w:autoSpaceDE w:val="0"/>
        <w:autoSpaceDN w:val="0"/>
        <w:adjustRightInd w:val="0"/>
        <w:rPr>
          <w:rFonts w:ascii="Garamond" w:hAnsi="Garamond"/>
          <w:lang w:val="en-AU"/>
        </w:rPr>
      </w:pPr>
    </w:p>
    <w:p w:rsidR="00956DC9" w:rsidRDefault="00956DC9" w:rsidP="007337CB">
      <w:pPr>
        <w:keepNext/>
        <w:keepLines/>
        <w:autoSpaceDE w:val="0"/>
        <w:autoSpaceDN w:val="0"/>
        <w:adjustRightInd w:val="0"/>
        <w:rPr>
          <w:rFonts w:ascii="Garamond" w:hAnsi="Garamond"/>
          <w:lang w:val="en-AU"/>
        </w:rPr>
      </w:pPr>
      <w:r w:rsidRPr="006C5462">
        <w:rPr>
          <w:rFonts w:ascii="Garamond" w:hAnsi="Garamond"/>
          <w:lang w:val="en-AU"/>
        </w:rPr>
        <w:t>For information on the Commission’s work on</w:t>
      </w:r>
      <w:r>
        <w:rPr>
          <w:rFonts w:ascii="Garamond" w:hAnsi="Garamond"/>
          <w:lang w:val="en-AU"/>
        </w:rPr>
        <w:t xml:space="preserve"> partnering with consumers, </w:t>
      </w:r>
      <w:r w:rsidRPr="006C5462">
        <w:rPr>
          <w:rFonts w:ascii="Garamond" w:hAnsi="Garamond"/>
          <w:lang w:val="en-AU"/>
        </w:rPr>
        <w:t>see</w:t>
      </w:r>
      <w:r>
        <w:rPr>
          <w:rFonts w:ascii="Garamond" w:hAnsi="Garamond"/>
          <w:lang w:val="en-AU"/>
        </w:rPr>
        <w:t xml:space="preserve"> </w:t>
      </w:r>
      <w:hyperlink r:id="rId25" w:history="1">
        <w:r w:rsidRPr="00203162">
          <w:rPr>
            <w:rStyle w:val="Hyperlink"/>
            <w:rFonts w:ascii="Garamond" w:hAnsi="Garamond"/>
            <w:lang w:val="en-AU"/>
          </w:rPr>
          <w:t>https://www.safetyandquality.gov.au/our-work/partnering-consumers</w:t>
        </w:r>
      </w:hyperlink>
      <w:r>
        <w:rPr>
          <w:rFonts w:ascii="Garamond" w:hAnsi="Garamond"/>
          <w:lang w:val="en-AU"/>
        </w:rPr>
        <w:t xml:space="preserve"> </w:t>
      </w:r>
    </w:p>
    <w:p w:rsidR="00956DC9" w:rsidRDefault="00956DC9" w:rsidP="002D0D3A">
      <w:pPr>
        <w:keepLines/>
        <w:autoSpaceDE w:val="0"/>
        <w:autoSpaceDN w:val="0"/>
        <w:adjustRightInd w:val="0"/>
        <w:rPr>
          <w:rFonts w:ascii="Garamond" w:hAnsi="Garamond"/>
          <w:lang w:val="en-AU"/>
        </w:rPr>
      </w:pPr>
    </w:p>
    <w:p w:rsidR="00075F1C" w:rsidRPr="002C2ABD" w:rsidRDefault="00075F1C" w:rsidP="00075F1C">
      <w:pPr>
        <w:keepNext/>
        <w:keepLines/>
        <w:autoSpaceDE w:val="0"/>
        <w:autoSpaceDN w:val="0"/>
        <w:adjustRightInd w:val="0"/>
        <w:rPr>
          <w:rFonts w:ascii="Garamond" w:hAnsi="Garamond"/>
          <w:i/>
          <w:lang w:val="en-AU"/>
        </w:rPr>
      </w:pPr>
      <w:r w:rsidRPr="002C2ABD">
        <w:rPr>
          <w:rFonts w:ascii="Garamond" w:hAnsi="Garamond"/>
          <w:i/>
          <w:lang w:val="en-AU"/>
        </w:rPr>
        <w:t>Interventions for improving teamwork in intrapartem care: a systematic review of randomised controlled trials</w:t>
      </w:r>
    </w:p>
    <w:p w:rsidR="00075F1C" w:rsidRDefault="00075F1C" w:rsidP="00075F1C">
      <w:pPr>
        <w:keepNext/>
        <w:keepLines/>
        <w:autoSpaceDE w:val="0"/>
        <w:autoSpaceDN w:val="0"/>
        <w:adjustRightInd w:val="0"/>
        <w:rPr>
          <w:rFonts w:ascii="Garamond" w:hAnsi="Garamond"/>
          <w:lang w:val="en-AU"/>
        </w:rPr>
      </w:pPr>
      <w:r w:rsidRPr="00C170DB">
        <w:rPr>
          <w:rFonts w:ascii="Garamond" w:hAnsi="Garamond"/>
          <w:lang w:val="en-AU"/>
        </w:rPr>
        <w:t>Wu M, Tang J, Etherington N, Walker M, Boet S</w:t>
      </w:r>
    </w:p>
    <w:p w:rsidR="00075F1C" w:rsidRDefault="00075F1C" w:rsidP="00075F1C">
      <w:pPr>
        <w:keepNext/>
        <w:keepLines/>
        <w:autoSpaceDE w:val="0"/>
        <w:autoSpaceDN w:val="0"/>
        <w:adjustRightInd w:val="0"/>
        <w:rPr>
          <w:rFonts w:ascii="Garamond" w:hAnsi="Garamond"/>
          <w:lang w:val="en-AU"/>
        </w:rPr>
      </w:pPr>
      <w:r w:rsidRPr="00C170DB">
        <w:rPr>
          <w:rFonts w:ascii="Garamond" w:hAnsi="Garamond"/>
          <w:lang w:val="en-AU"/>
        </w:rPr>
        <w:t>BMJ Quality &amp; Safety. 2019</w:t>
      </w:r>
      <w:r>
        <w:rPr>
          <w:rFonts w:ascii="Garamond" w:hAnsi="Garamond"/>
          <w:lang w:val="en-AU"/>
        </w:rPr>
        <w:t xml:space="preserve"> [epub]</w:t>
      </w:r>
      <w:r w:rsidRPr="00C170D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75F1C"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075F1C" w:rsidRPr="000170DA" w:rsidRDefault="00075F1C" w:rsidP="00FC27B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5F1C" w:rsidRPr="000170DA" w:rsidRDefault="00865E67" w:rsidP="00FC27BD">
            <w:pPr>
              <w:rPr>
                <w:rStyle w:val="Hyperlink"/>
                <w:rFonts w:ascii="Garamond" w:hAnsi="Garamond"/>
                <w:color w:val="auto"/>
                <w:u w:val="none"/>
                <w:lang w:val="en-AU"/>
              </w:rPr>
            </w:pPr>
            <w:hyperlink r:id="rId26" w:history="1">
              <w:r w:rsidR="00075F1C" w:rsidRPr="007871BC">
                <w:rPr>
                  <w:rStyle w:val="Hyperlink"/>
                  <w:rFonts w:ascii="Garamond" w:hAnsi="Garamond"/>
                  <w:lang w:val="en-AU"/>
                </w:rPr>
                <w:t>https://doi.org/10.1136/bmjqs-2019-009689</w:t>
              </w:r>
            </w:hyperlink>
          </w:p>
        </w:tc>
      </w:tr>
      <w:tr w:rsidR="00075F1C"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075F1C" w:rsidRPr="000170DA" w:rsidRDefault="00075F1C" w:rsidP="00FC27B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5F1C" w:rsidRPr="00652094" w:rsidRDefault="00075F1C" w:rsidP="00FC27BD">
            <w:pPr>
              <w:rPr>
                <w:rFonts w:ascii="Garamond" w:hAnsi="Garamond"/>
                <w:lang w:val="en-AU"/>
              </w:rPr>
            </w:pPr>
            <w:r>
              <w:rPr>
                <w:rFonts w:ascii="Garamond" w:hAnsi="Garamond"/>
                <w:lang w:val="en-AU"/>
              </w:rPr>
              <w:t>Health care is seen a team sport with effective teamwork often being a significant factor in shaping the safety and quality of care. This review, covering nine randomised control trials, examined interventions designed to enhance teamwork in this setting and found that ‘</w:t>
            </w:r>
            <w:r w:rsidRPr="00C170DB">
              <w:rPr>
                <w:rFonts w:ascii="Garamond" w:hAnsi="Garamond"/>
                <w:b/>
                <w:lang w:val="en-AU"/>
              </w:rPr>
              <w:t>simulation-based teamwork interventions appear to improve team performance and patient morbidity in labour and delivery care</w:t>
            </w:r>
            <w:r>
              <w:rPr>
                <w:rFonts w:ascii="Garamond" w:hAnsi="Garamond"/>
                <w:lang w:val="en-AU"/>
              </w:rPr>
              <w:t>’</w:t>
            </w:r>
            <w:r w:rsidR="002B4651">
              <w:rPr>
                <w:rFonts w:ascii="Garamond" w:hAnsi="Garamond"/>
                <w:lang w:val="en-AU"/>
              </w:rPr>
              <w:t>.</w:t>
            </w:r>
          </w:p>
        </w:tc>
      </w:tr>
    </w:tbl>
    <w:p w:rsidR="00075F1C" w:rsidRPr="002C2ABD" w:rsidRDefault="00075F1C" w:rsidP="00075F1C">
      <w:pPr>
        <w:keepNext/>
        <w:keepLines/>
        <w:autoSpaceDE w:val="0"/>
        <w:autoSpaceDN w:val="0"/>
        <w:adjustRightInd w:val="0"/>
        <w:rPr>
          <w:rFonts w:ascii="Garamond" w:hAnsi="Garamond"/>
          <w:i/>
          <w:lang w:val="en-AU"/>
        </w:rPr>
      </w:pPr>
      <w:r w:rsidRPr="002C2ABD">
        <w:rPr>
          <w:rFonts w:ascii="Garamond" w:hAnsi="Garamond"/>
          <w:i/>
          <w:lang w:val="en-AU"/>
        </w:rPr>
        <w:t>Understanding the factors influencing doctors’ intentions to report patient safety concerns: a qualitative study</w:t>
      </w:r>
    </w:p>
    <w:p w:rsidR="00075F1C" w:rsidRDefault="00075F1C" w:rsidP="00075F1C">
      <w:pPr>
        <w:keepNext/>
        <w:keepLines/>
        <w:autoSpaceDE w:val="0"/>
        <w:autoSpaceDN w:val="0"/>
        <w:adjustRightInd w:val="0"/>
        <w:rPr>
          <w:rFonts w:ascii="Garamond" w:hAnsi="Garamond"/>
          <w:lang w:val="en-AU"/>
        </w:rPr>
      </w:pPr>
      <w:r w:rsidRPr="00075F1C">
        <w:rPr>
          <w:rFonts w:ascii="Garamond" w:hAnsi="Garamond"/>
          <w:lang w:val="en-AU"/>
        </w:rPr>
        <w:t>Rich A, Viney R, Griffin A</w:t>
      </w:r>
    </w:p>
    <w:p w:rsidR="00075F1C" w:rsidRDefault="00075F1C" w:rsidP="00075F1C">
      <w:pPr>
        <w:keepNext/>
        <w:keepLines/>
        <w:autoSpaceDE w:val="0"/>
        <w:autoSpaceDN w:val="0"/>
        <w:adjustRightInd w:val="0"/>
        <w:rPr>
          <w:rFonts w:ascii="Garamond" w:hAnsi="Garamond"/>
          <w:lang w:val="en-AU"/>
        </w:rPr>
      </w:pPr>
      <w:r w:rsidRPr="00075F1C">
        <w:rPr>
          <w:rFonts w:ascii="Garamond" w:hAnsi="Garamond"/>
          <w:lang w:val="en-AU"/>
        </w:rPr>
        <w:t>Journal of the Royal Society of Medicine. 2019;112(10):428-437.</w:t>
      </w:r>
    </w:p>
    <w:tbl>
      <w:tblPr>
        <w:tblStyle w:val="TableGrid"/>
        <w:tblW w:w="0" w:type="auto"/>
        <w:tblInd w:w="288" w:type="dxa"/>
        <w:tblLayout w:type="fixed"/>
        <w:tblLook w:val="01E0" w:firstRow="1" w:lastRow="1" w:firstColumn="1" w:lastColumn="1" w:noHBand="0" w:noVBand="0"/>
      </w:tblPr>
      <w:tblGrid>
        <w:gridCol w:w="1080"/>
        <w:gridCol w:w="8280"/>
      </w:tblGrid>
      <w:tr w:rsidR="00075F1C"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075F1C" w:rsidRPr="000170DA" w:rsidRDefault="00075F1C" w:rsidP="00FC27B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75F1C" w:rsidRPr="000170DA" w:rsidRDefault="00865E67" w:rsidP="00FC27BD">
            <w:pPr>
              <w:rPr>
                <w:rStyle w:val="Hyperlink"/>
                <w:rFonts w:ascii="Garamond" w:hAnsi="Garamond"/>
                <w:color w:val="auto"/>
                <w:u w:val="none"/>
                <w:lang w:val="en-AU"/>
              </w:rPr>
            </w:pPr>
            <w:hyperlink r:id="rId27" w:history="1">
              <w:r w:rsidR="00075F1C" w:rsidRPr="007871BC">
                <w:rPr>
                  <w:rStyle w:val="Hyperlink"/>
                  <w:rFonts w:ascii="Garamond" w:hAnsi="Garamond"/>
                  <w:lang w:val="en-AU"/>
                </w:rPr>
                <w:t>https://doi.org/10.1177/0141076819877542</w:t>
              </w:r>
            </w:hyperlink>
            <w:r w:rsidR="00075F1C">
              <w:rPr>
                <w:rStyle w:val="Hyperlink"/>
                <w:rFonts w:ascii="Garamond" w:hAnsi="Garamond"/>
                <w:color w:val="auto"/>
                <w:u w:val="none"/>
                <w:lang w:val="en-AU"/>
              </w:rPr>
              <w:t xml:space="preserve"> </w:t>
            </w:r>
          </w:p>
        </w:tc>
      </w:tr>
      <w:tr w:rsidR="00075F1C"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075F1C" w:rsidRPr="000170DA" w:rsidRDefault="00075F1C" w:rsidP="00FC27B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5F1C" w:rsidRPr="00652094" w:rsidRDefault="00075F1C" w:rsidP="00FC27BD">
            <w:pPr>
              <w:rPr>
                <w:rFonts w:ascii="Garamond" w:hAnsi="Garamond"/>
                <w:lang w:val="en-AU"/>
              </w:rPr>
            </w:pPr>
            <w:r>
              <w:rPr>
                <w:rFonts w:ascii="Garamond" w:hAnsi="Garamond"/>
                <w:lang w:val="en-AU"/>
              </w:rPr>
              <w:t>The ability to speak up is considered a key factor in ensuring an environment that is alert to safety and quality lapses and acting when they occur. This study examined factors that enable or constrain doctors’ intentions to raise a patient safety concern. Based on focus groups and interviews in various parts of England, the authors report that ‘</w:t>
            </w:r>
            <w:r w:rsidRPr="00C170DB">
              <w:rPr>
                <w:rFonts w:ascii="Garamond" w:hAnsi="Garamond"/>
                <w:lang w:val="en-AU"/>
              </w:rPr>
              <w:t xml:space="preserve">While </w:t>
            </w:r>
            <w:r w:rsidRPr="00C170DB">
              <w:rPr>
                <w:rFonts w:ascii="Garamond" w:hAnsi="Garamond"/>
                <w:b/>
                <w:lang w:val="en-AU"/>
              </w:rPr>
              <w:t>raising a concern</w:t>
            </w:r>
            <w:r w:rsidRPr="00C170DB">
              <w:rPr>
                <w:rFonts w:ascii="Garamond" w:hAnsi="Garamond"/>
                <w:lang w:val="en-AU"/>
              </w:rPr>
              <w:t xml:space="preserve"> was considered an </w:t>
            </w:r>
            <w:r w:rsidRPr="00C170DB">
              <w:rPr>
                <w:rFonts w:ascii="Garamond" w:hAnsi="Garamond"/>
                <w:b/>
                <w:lang w:val="en-AU"/>
              </w:rPr>
              <w:t>appropriate professional behaviour</w:t>
            </w:r>
            <w:r w:rsidRPr="00C170DB">
              <w:rPr>
                <w:rFonts w:ascii="Garamond" w:hAnsi="Garamond"/>
                <w:lang w:val="en-AU"/>
              </w:rPr>
              <w:t xml:space="preserve">, there were </w:t>
            </w:r>
            <w:r w:rsidRPr="00C170DB">
              <w:rPr>
                <w:rFonts w:ascii="Garamond" w:hAnsi="Garamond"/>
                <w:b/>
                <w:lang w:val="en-AU"/>
              </w:rPr>
              <w:t>multiple barriers</w:t>
            </w:r>
            <w:r w:rsidRPr="00C170DB">
              <w:rPr>
                <w:rFonts w:ascii="Garamond" w:hAnsi="Garamond"/>
                <w:lang w:val="en-AU"/>
              </w:rPr>
              <w:t xml:space="preserve"> to raising a concern</w:t>
            </w:r>
            <w:r>
              <w:rPr>
                <w:rFonts w:ascii="Garamond" w:hAnsi="Garamond"/>
                <w:lang w:val="en-AU"/>
              </w:rPr>
              <w:t>…</w:t>
            </w:r>
            <w:r w:rsidRPr="00C170DB">
              <w:rPr>
                <w:rFonts w:ascii="Garamond" w:hAnsi="Garamond"/>
                <w:lang w:val="en-AU"/>
              </w:rPr>
              <w:t xml:space="preserve">Negative attitudes operated due to a </w:t>
            </w:r>
            <w:r w:rsidRPr="00C170DB">
              <w:rPr>
                <w:rFonts w:ascii="Garamond" w:hAnsi="Garamond"/>
                <w:b/>
                <w:lang w:val="en-AU"/>
              </w:rPr>
              <w:t>fear of the consequences</w:t>
            </w:r>
            <w:r w:rsidRPr="00C170DB">
              <w:rPr>
                <w:rFonts w:ascii="Garamond" w:hAnsi="Garamond"/>
                <w:lang w:val="en-AU"/>
              </w:rPr>
              <w:t xml:space="preserve">, such as becoming professionally isolated. </w:t>
            </w:r>
            <w:r w:rsidRPr="00C170DB">
              <w:rPr>
                <w:rFonts w:ascii="Garamond" w:hAnsi="Garamond"/>
                <w:b/>
                <w:lang w:val="en-AU"/>
              </w:rPr>
              <w:t>Disapproval</w:t>
            </w:r>
            <w:r w:rsidRPr="00C170DB">
              <w:rPr>
                <w:rFonts w:ascii="Garamond" w:hAnsi="Garamond"/>
                <w:lang w:val="en-AU"/>
              </w:rPr>
              <w:t xml:space="preserve"> for raising a concern was encountered at an interpersonal and organisational level. Organisational constraints of </w:t>
            </w:r>
            <w:r w:rsidRPr="00C170DB">
              <w:rPr>
                <w:rFonts w:ascii="Garamond" w:hAnsi="Garamond"/>
                <w:b/>
                <w:lang w:val="en-AU"/>
              </w:rPr>
              <w:t>workload</w:t>
            </w:r>
            <w:r w:rsidRPr="00C170DB">
              <w:rPr>
                <w:rFonts w:ascii="Garamond" w:hAnsi="Garamond"/>
                <w:lang w:val="en-AU"/>
              </w:rPr>
              <w:t xml:space="preserve"> and </w:t>
            </w:r>
            <w:r w:rsidRPr="00C170DB">
              <w:rPr>
                <w:rFonts w:ascii="Garamond" w:hAnsi="Garamond"/>
                <w:b/>
                <w:lang w:val="en-AU"/>
              </w:rPr>
              <w:t>culture</w:t>
            </w:r>
            <w:r w:rsidRPr="00C170DB">
              <w:rPr>
                <w:rFonts w:ascii="Garamond" w:hAnsi="Garamond"/>
                <w:lang w:val="en-AU"/>
              </w:rPr>
              <w:t xml:space="preserve"> significantly undermined the raising of a concern. Responses about concerns were often side-lined or </w:t>
            </w:r>
            <w:r w:rsidRPr="00075F1C">
              <w:rPr>
                <w:rFonts w:ascii="Garamond" w:hAnsi="Garamond"/>
                <w:b/>
                <w:lang w:val="en-AU"/>
              </w:rPr>
              <w:t>not taken seriously</w:t>
            </w:r>
            <w:r w:rsidRPr="00C170DB">
              <w:rPr>
                <w:rFonts w:ascii="Garamond" w:hAnsi="Garamond"/>
                <w:lang w:val="en-AU"/>
              </w:rPr>
              <w:t>, leading to demotivation to report. This was reinforced by high-profile cases in the media and the negative treatment of whistle-blowers. While regulator guidance acted as an enabler to justify raising a concern, doctors felt disempowered to raise a concern about people in positions of greater power, and ceased to report concerns due to a perceived lack of action about concerns raised previously.</w:t>
            </w:r>
            <w:r>
              <w:rPr>
                <w:rFonts w:ascii="Garamond" w:hAnsi="Garamond"/>
                <w:lang w:val="en-AU"/>
              </w:rPr>
              <w:t>’ These results ‘</w:t>
            </w:r>
            <w:r w:rsidRPr="00075F1C">
              <w:rPr>
                <w:rFonts w:ascii="Garamond" w:hAnsi="Garamond"/>
                <w:lang w:val="en-AU"/>
              </w:rPr>
              <w:t xml:space="preserve">.point to implications for policymakers, including the need to </w:t>
            </w:r>
            <w:r w:rsidRPr="00075F1C">
              <w:rPr>
                <w:rFonts w:ascii="Garamond" w:hAnsi="Garamond"/>
                <w:b/>
                <w:lang w:val="en-AU"/>
              </w:rPr>
              <w:t>publicise positive stories</w:t>
            </w:r>
            <w:r w:rsidRPr="00075F1C">
              <w:rPr>
                <w:rFonts w:ascii="Garamond" w:hAnsi="Garamond"/>
                <w:lang w:val="en-AU"/>
              </w:rPr>
              <w:t xml:space="preserve"> of whistle-blowers and providing </w:t>
            </w:r>
            <w:r w:rsidRPr="00075F1C">
              <w:rPr>
                <w:rFonts w:ascii="Garamond" w:hAnsi="Garamond"/>
                <w:b/>
                <w:lang w:val="en-AU"/>
              </w:rPr>
              <w:t>greater support to doctors</w:t>
            </w:r>
            <w:r w:rsidRPr="00075F1C">
              <w:rPr>
                <w:rFonts w:ascii="Garamond" w:hAnsi="Garamond"/>
                <w:lang w:val="en-AU"/>
              </w:rPr>
              <w:t>.</w:t>
            </w:r>
            <w:r>
              <w:rPr>
                <w:rFonts w:ascii="Garamond" w:hAnsi="Garamond"/>
                <w:lang w:val="en-AU"/>
              </w:rPr>
              <w:t>’</w:t>
            </w:r>
          </w:p>
        </w:tc>
      </w:tr>
    </w:tbl>
    <w:p w:rsidR="00075F1C" w:rsidRDefault="00075F1C" w:rsidP="00075F1C">
      <w:pPr>
        <w:keepNext/>
        <w:rPr>
          <w:rFonts w:ascii="Garamond" w:hAnsi="Garamond"/>
          <w:lang w:val="en-AU"/>
        </w:rPr>
      </w:pPr>
    </w:p>
    <w:p w:rsidR="002C2ABD" w:rsidRPr="002C2ABD" w:rsidRDefault="002C2ABD" w:rsidP="007337CB">
      <w:pPr>
        <w:keepNext/>
        <w:keepLines/>
        <w:autoSpaceDE w:val="0"/>
        <w:autoSpaceDN w:val="0"/>
        <w:adjustRightInd w:val="0"/>
        <w:rPr>
          <w:rFonts w:ascii="Garamond" w:hAnsi="Garamond"/>
          <w:i/>
          <w:lang w:val="en-AU"/>
        </w:rPr>
      </w:pPr>
      <w:r w:rsidRPr="002C2ABD">
        <w:rPr>
          <w:rFonts w:ascii="Garamond" w:hAnsi="Garamond"/>
          <w:i/>
          <w:lang w:val="en-AU"/>
        </w:rPr>
        <w:t>Decreases in antimicrobial use associated with multihospital implementation of electronic antimicrobial stewardship tools</w:t>
      </w:r>
    </w:p>
    <w:p w:rsidR="002C2ABD" w:rsidRDefault="002C2ABD" w:rsidP="007337CB">
      <w:pPr>
        <w:keepNext/>
        <w:keepLines/>
        <w:autoSpaceDE w:val="0"/>
        <w:autoSpaceDN w:val="0"/>
        <w:adjustRightInd w:val="0"/>
        <w:rPr>
          <w:rFonts w:ascii="Garamond" w:hAnsi="Garamond"/>
          <w:lang w:val="en-AU"/>
        </w:rPr>
      </w:pPr>
      <w:r w:rsidRPr="002C2ABD">
        <w:rPr>
          <w:rFonts w:ascii="Garamond" w:hAnsi="Garamond"/>
          <w:lang w:val="en-AU"/>
        </w:rPr>
        <w:t>Graber CJ, Jones MM, Goetz MB, Madaras-Kelly K, Zhang Y, Butler JM, et al</w:t>
      </w:r>
    </w:p>
    <w:p w:rsidR="002C2ABD" w:rsidRDefault="002C2ABD" w:rsidP="007337CB">
      <w:pPr>
        <w:keepNext/>
        <w:keepLines/>
        <w:autoSpaceDE w:val="0"/>
        <w:autoSpaceDN w:val="0"/>
        <w:adjustRightInd w:val="0"/>
        <w:rPr>
          <w:rFonts w:ascii="Garamond" w:hAnsi="Garamond"/>
          <w:lang w:val="en-AU"/>
        </w:rPr>
      </w:pPr>
      <w:r w:rsidRPr="002C2ABD">
        <w:rPr>
          <w:rFonts w:ascii="Garamond" w:hAnsi="Garamond"/>
          <w:lang w:val="en-AU"/>
        </w:rPr>
        <w:t>Clinical Infectious Diseases. 2019</w:t>
      </w:r>
      <w:r>
        <w:rPr>
          <w:rFonts w:ascii="Garamond" w:hAnsi="Garamond"/>
          <w:lang w:val="en-AU"/>
        </w:rPr>
        <w:t xml:space="preserve"> [epub]</w:t>
      </w:r>
      <w:r w:rsidRPr="002C2ABD">
        <w:rPr>
          <w:rFonts w:ascii="Garamond" w:hAnsi="Garamond"/>
          <w:lang w:val="en-AU"/>
        </w:rPr>
        <w:t>.</w:t>
      </w:r>
    </w:p>
    <w:p w:rsidR="002C2ABD" w:rsidRDefault="002C2ABD" w:rsidP="007337CB">
      <w:pPr>
        <w:keepNext/>
        <w:keepLines/>
        <w:autoSpaceDE w:val="0"/>
        <w:autoSpaceDN w:val="0"/>
        <w:adjustRightInd w:val="0"/>
        <w:rPr>
          <w:rFonts w:ascii="Garamond" w:hAnsi="Garamond"/>
          <w:lang w:val="en-AU"/>
        </w:rPr>
      </w:pPr>
    </w:p>
    <w:p w:rsidR="002C2ABD" w:rsidRPr="002C2ABD" w:rsidRDefault="002C2ABD" w:rsidP="007337CB">
      <w:pPr>
        <w:keepNext/>
        <w:keepLines/>
        <w:autoSpaceDE w:val="0"/>
        <w:autoSpaceDN w:val="0"/>
        <w:adjustRightInd w:val="0"/>
        <w:rPr>
          <w:rFonts w:ascii="Garamond" w:hAnsi="Garamond"/>
          <w:i/>
          <w:lang w:val="en-AU"/>
        </w:rPr>
      </w:pPr>
      <w:r w:rsidRPr="002C2ABD">
        <w:rPr>
          <w:rFonts w:ascii="Garamond" w:hAnsi="Garamond"/>
          <w:i/>
          <w:lang w:val="en-AU"/>
        </w:rPr>
        <w:t>A Collaborative Multicenter QI Initiative To Improve Antibiotic Stewardship in Newborns</w:t>
      </w:r>
    </w:p>
    <w:p w:rsidR="002D0D3A" w:rsidRDefault="002D0D3A" w:rsidP="007337CB">
      <w:pPr>
        <w:keepNext/>
        <w:keepLines/>
        <w:autoSpaceDE w:val="0"/>
        <w:autoSpaceDN w:val="0"/>
        <w:adjustRightInd w:val="0"/>
        <w:rPr>
          <w:rFonts w:ascii="Garamond" w:hAnsi="Garamond"/>
          <w:lang w:val="en-AU"/>
        </w:rPr>
      </w:pPr>
      <w:r w:rsidRPr="002D0D3A">
        <w:rPr>
          <w:rFonts w:ascii="Garamond" w:hAnsi="Garamond"/>
          <w:lang w:val="en-AU"/>
        </w:rPr>
        <w:t>Dukhovny D, Buus-Frank ME, Edwards EM, Ho T, Morrow KA, Srinivasan A, et al</w:t>
      </w:r>
    </w:p>
    <w:p w:rsidR="002C2ABD" w:rsidRDefault="002D0D3A" w:rsidP="007337CB">
      <w:pPr>
        <w:keepNext/>
        <w:keepLines/>
        <w:autoSpaceDE w:val="0"/>
        <w:autoSpaceDN w:val="0"/>
        <w:adjustRightInd w:val="0"/>
        <w:rPr>
          <w:rFonts w:ascii="Garamond" w:hAnsi="Garamond"/>
          <w:lang w:val="en-AU"/>
        </w:rPr>
      </w:pPr>
      <w:r w:rsidRPr="002D0D3A">
        <w:rPr>
          <w:rFonts w:ascii="Garamond" w:hAnsi="Garamond"/>
          <w:lang w:val="en-AU"/>
        </w:rPr>
        <w:t>Pediatrics. 2019:e20190589.</w:t>
      </w:r>
    </w:p>
    <w:tbl>
      <w:tblPr>
        <w:tblStyle w:val="TableGrid"/>
        <w:tblW w:w="9360" w:type="dxa"/>
        <w:tblInd w:w="288" w:type="dxa"/>
        <w:tblLayout w:type="fixed"/>
        <w:tblLook w:val="01E0" w:firstRow="1" w:lastRow="1" w:firstColumn="1" w:lastColumn="1" w:noHBand="0" w:noVBand="0"/>
      </w:tblPr>
      <w:tblGrid>
        <w:gridCol w:w="1080"/>
        <w:gridCol w:w="8280"/>
      </w:tblGrid>
      <w:tr w:rsidR="007337CB" w:rsidRPr="000170DA" w:rsidTr="002C2AB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C2ABD" w:rsidRDefault="002C2ABD" w:rsidP="00307B2D">
            <w:pPr>
              <w:rPr>
                <w:rStyle w:val="Hyperlink"/>
                <w:rFonts w:ascii="Garamond" w:hAnsi="Garamond"/>
                <w:color w:val="auto"/>
                <w:u w:val="none"/>
                <w:lang w:val="en-AU"/>
              </w:rPr>
            </w:pPr>
            <w:r>
              <w:rPr>
                <w:rStyle w:val="Hyperlink"/>
                <w:rFonts w:ascii="Garamond" w:hAnsi="Garamond"/>
                <w:color w:val="auto"/>
                <w:u w:val="none"/>
                <w:lang w:val="en-AU"/>
              </w:rPr>
              <w:t xml:space="preserve">Graber et al </w:t>
            </w:r>
            <w:hyperlink r:id="rId28" w:history="1">
              <w:r w:rsidRPr="007871BC">
                <w:rPr>
                  <w:rStyle w:val="Hyperlink"/>
                  <w:rFonts w:ascii="Garamond" w:hAnsi="Garamond"/>
                  <w:lang w:val="en-AU"/>
                </w:rPr>
                <w:t>https://doi.org/10.1093/cid/ciz941</w:t>
              </w:r>
            </w:hyperlink>
            <w:r>
              <w:rPr>
                <w:rStyle w:val="Hyperlink"/>
                <w:rFonts w:ascii="Garamond" w:hAnsi="Garamond"/>
                <w:color w:val="auto"/>
                <w:u w:val="none"/>
                <w:lang w:val="en-AU"/>
              </w:rPr>
              <w:t xml:space="preserve"> </w:t>
            </w:r>
          </w:p>
          <w:p w:rsidR="007337CB" w:rsidRPr="000170DA" w:rsidRDefault="002C2ABD" w:rsidP="002C2ABD">
            <w:pPr>
              <w:rPr>
                <w:rStyle w:val="Hyperlink"/>
                <w:rFonts w:ascii="Garamond" w:hAnsi="Garamond"/>
                <w:color w:val="auto"/>
                <w:u w:val="none"/>
                <w:lang w:val="en-AU"/>
              </w:rPr>
            </w:pPr>
            <w:r>
              <w:rPr>
                <w:rStyle w:val="Hyperlink"/>
                <w:rFonts w:ascii="Garamond" w:hAnsi="Garamond"/>
                <w:color w:val="auto"/>
                <w:u w:val="none"/>
                <w:lang w:val="en-AU"/>
              </w:rPr>
              <w:t xml:space="preserve">Dukhovny et al </w:t>
            </w:r>
            <w:hyperlink r:id="rId29" w:history="1">
              <w:r w:rsidRPr="007871BC">
                <w:rPr>
                  <w:rStyle w:val="Hyperlink"/>
                  <w:rFonts w:ascii="Garamond" w:hAnsi="Garamond"/>
                  <w:lang w:val="en-AU"/>
                </w:rPr>
                <w:t>https://doi.org/10.1542/peds.2019-0589</w:t>
              </w:r>
            </w:hyperlink>
          </w:p>
        </w:tc>
      </w:tr>
      <w:tr w:rsidR="007337CB" w:rsidRPr="000170DA" w:rsidTr="002C2ABD">
        <w:tc>
          <w:tcPr>
            <w:tcW w:w="1080" w:type="dxa"/>
            <w:tcBorders>
              <w:top w:val="single" w:sz="4" w:space="0" w:color="auto"/>
              <w:left w:val="single" w:sz="4" w:space="0" w:color="auto"/>
              <w:bottom w:val="single" w:sz="4" w:space="0" w:color="auto"/>
              <w:right w:val="single" w:sz="4" w:space="0" w:color="auto"/>
            </w:tcBorders>
            <w:vAlign w:val="center"/>
          </w:tcPr>
          <w:p w:rsidR="007337CB" w:rsidRPr="000170DA" w:rsidRDefault="007337CB" w:rsidP="00307B2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37CB" w:rsidRDefault="002C2ABD" w:rsidP="00307B2D">
            <w:pPr>
              <w:rPr>
                <w:rFonts w:ascii="Garamond" w:hAnsi="Garamond"/>
                <w:lang w:val="en-AU"/>
              </w:rPr>
            </w:pPr>
            <w:r>
              <w:rPr>
                <w:rFonts w:ascii="Garamond" w:hAnsi="Garamond"/>
                <w:lang w:val="en-AU"/>
              </w:rPr>
              <w:t xml:space="preserve">A pair of items </w:t>
            </w:r>
            <w:r w:rsidR="002D0D3A">
              <w:rPr>
                <w:rFonts w:ascii="Garamond" w:hAnsi="Garamond"/>
                <w:lang w:val="en-AU"/>
              </w:rPr>
              <w:t>reporting on the implementation of antimicrobial stewardship programs.</w:t>
            </w:r>
          </w:p>
          <w:p w:rsidR="002D0D3A" w:rsidRDefault="002D0D3A" w:rsidP="00307B2D">
            <w:pPr>
              <w:rPr>
                <w:rFonts w:ascii="Garamond" w:hAnsi="Garamond"/>
                <w:lang w:val="en-AU"/>
              </w:rPr>
            </w:pPr>
            <w:r>
              <w:rPr>
                <w:rFonts w:ascii="Garamond" w:hAnsi="Garamond"/>
                <w:lang w:val="en-AU"/>
              </w:rPr>
              <w:t xml:space="preserve">Graber at el report on a program in eight US Veterans health facilities that used comparative data visualisation tools, including an </w:t>
            </w:r>
            <w:r w:rsidRPr="002D0D3A">
              <w:rPr>
                <w:rFonts w:ascii="Garamond" w:hAnsi="Garamond"/>
                <w:lang w:val="en-AU"/>
              </w:rPr>
              <w:t>interactive web-based antimicrobial dashboard and</w:t>
            </w:r>
            <w:r>
              <w:rPr>
                <w:rFonts w:ascii="Garamond" w:hAnsi="Garamond"/>
                <w:lang w:val="en-AU"/>
              </w:rPr>
              <w:t xml:space="preserve"> </w:t>
            </w:r>
            <w:r w:rsidRPr="002D0D3A">
              <w:rPr>
                <w:rFonts w:ascii="Garamond" w:hAnsi="Garamond"/>
                <w:lang w:val="en-AU"/>
              </w:rPr>
              <w:t>a standardi</w:t>
            </w:r>
            <w:r>
              <w:rPr>
                <w:rFonts w:ascii="Garamond" w:hAnsi="Garamond"/>
                <w:lang w:val="en-AU"/>
              </w:rPr>
              <w:t>s</w:t>
            </w:r>
            <w:r w:rsidRPr="002D0D3A">
              <w:rPr>
                <w:rFonts w:ascii="Garamond" w:hAnsi="Garamond"/>
                <w:lang w:val="en-AU"/>
              </w:rPr>
              <w:t>ed antimicrobial usage report updated at user-selected intervals</w:t>
            </w:r>
            <w:r>
              <w:rPr>
                <w:rFonts w:ascii="Garamond" w:hAnsi="Garamond"/>
                <w:lang w:val="en-AU"/>
              </w:rPr>
              <w:t xml:space="preserve">, to help inform antimicrobial use. Use of these tools ‘was </w:t>
            </w:r>
            <w:r w:rsidRPr="002D0D3A">
              <w:rPr>
                <w:rFonts w:ascii="Garamond" w:hAnsi="Garamond"/>
                <w:lang w:val="en-AU"/>
              </w:rPr>
              <w:t xml:space="preserve"> associated with significant reductions in overall antimicrobial and anti-pseudomonal use relative to uninvolved facilities.</w:t>
            </w:r>
            <w:r>
              <w:rPr>
                <w:rFonts w:ascii="Garamond" w:hAnsi="Garamond"/>
                <w:lang w:val="en-AU"/>
              </w:rPr>
              <w:t>’</w:t>
            </w:r>
          </w:p>
          <w:p w:rsidR="002D0D3A" w:rsidRPr="00652094" w:rsidRDefault="002D0D3A" w:rsidP="002D0D3A">
            <w:pPr>
              <w:rPr>
                <w:rFonts w:ascii="Garamond" w:hAnsi="Garamond"/>
                <w:lang w:val="en-AU"/>
              </w:rPr>
            </w:pPr>
            <w:r>
              <w:rPr>
                <w:rFonts w:ascii="Garamond" w:hAnsi="Garamond"/>
                <w:lang w:val="en-AU"/>
              </w:rPr>
              <w:t xml:space="preserve">Dukhovny et al report on a larger intervention, involving </w:t>
            </w:r>
            <w:r w:rsidRPr="002D0D3A">
              <w:rPr>
                <w:rFonts w:ascii="Garamond" w:hAnsi="Garamond"/>
                <w:lang w:val="en-AU"/>
              </w:rPr>
              <w:t xml:space="preserve">multidisciplinary teams from 146 NICUs </w:t>
            </w:r>
            <w:r>
              <w:rPr>
                <w:rFonts w:ascii="Garamond" w:hAnsi="Garamond"/>
                <w:lang w:val="en-AU"/>
              </w:rPr>
              <w:t xml:space="preserve">who </w:t>
            </w:r>
            <w:r w:rsidRPr="002D0D3A">
              <w:rPr>
                <w:rFonts w:ascii="Garamond" w:hAnsi="Garamond"/>
                <w:lang w:val="en-AU"/>
              </w:rPr>
              <w:t>participated in Choosing Antibiotics Wisely</w:t>
            </w:r>
            <w:r>
              <w:rPr>
                <w:rFonts w:ascii="Garamond" w:hAnsi="Garamond"/>
                <w:lang w:val="en-AU"/>
              </w:rPr>
              <w:t xml:space="preserve">. The study sought to </w:t>
            </w:r>
            <w:r w:rsidRPr="002D0D3A">
              <w:rPr>
                <w:rFonts w:ascii="Garamond" w:hAnsi="Garamond"/>
                <w:lang w:val="en-AU"/>
              </w:rPr>
              <w:t xml:space="preserve">determine if </w:t>
            </w:r>
            <w:r>
              <w:rPr>
                <w:rFonts w:ascii="Garamond" w:hAnsi="Garamond"/>
                <w:lang w:val="en-AU"/>
              </w:rPr>
              <w:t xml:space="preserve">those </w:t>
            </w:r>
            <w:r w:rsidRPr="002D0D3A">
              <w:rPr>
                <w:rFonts w:ascii="Garamond" w:hAnsi="Garamond"/>
                <w:lang w:val="en-AU"/>
              </w:rPr>
              <w:t xml:space="preserve">teams participating </w:t>
            </w:r>
            <w:r>
              <w:rPr>
                <w:rFonts w:ascii="Garamond" w:hAnsi="Garamond"/>
                <w:lang w:val="en-AU"/>
              </w:rPr>
              <w:t xml:space="preserve">had </w:t>
            </w:r>
            <w:r w:rsidRPr="002D0D3A">
              <w:rPr>
                <w:rFonts w:ascii="Garamond" w:hAnsi="Garamond"/>
                <w:lang w:val="en-AU"/>
              </w:rPr>
              <w:t>increased compliance with the Centers for Disease Control and Prevention (CDC) core elements for antibiotic stewardship and demonstrate</w:t>
            </w:r>
            <w:r>
              <w:rPr>
                <w:rFonts w:ascii="Garamond" w:hAnsi="Garamond"/>
                <w:lang w:val="en-AU"/>
              </w:rPr>
              <w:t>d</w:t>
            </w:r>
            <w:r w:rsidRPr="002D0D3A">
              <w:rPr>
                <w:rFonts w:ascii="Garamond" w:hAnsi="Garamond"/>
                <w:lang w:val="en-AU"/>
              </w:rPr>
              <w:t xml:space="preserve"> reductions in antibiotic use (AU) among newborns.</w:t>
            </w:r>
            <w:r>
              <w:rPr>
                <w:rFonts w:ascii="Garamond" w:hAnsi="Garamond"/>
                <w:lang w:val="en-AU"/>
              </w:rPr>
              <w:t xml:space="preserve"> From the January 2016 to December 2017 audit, the authors report that ‘t</w:t>
            </w:r>
            <w:r w:rsidRPr="002D0D3A">
              <w:rPr>
                <w:rFonts w:ascii="Garamond" w:hAnsi="Garamond"/>
                <w:lang w:val="en-AU"/>
              </w:rPr>
              <w:t xml:space="preserve">he percentage of </w:t>
            </w:r>
            <w:r w:rsidRPr="002D0D3A">
              <w:rPr>
                <w:rFonts w:ascii="Garamond" w:hAnsi="Garamond"/>
                <w:b/>
                <w:lang w:val="en-AU"/>
              </w:rPr>
              <w:t>NICUs implementing the CDC core elements increased in each of the 7 domains</w:t>
            </w:r>
            <w:r w:rsidRPr="002D0D3A">
              <w:rPr>
                <w:rFonts w:ascii="Garamond" w:hAnsi="Garamond"/>
                <w:lang w:val="en-AU"/>
              </w:rPr>
              <w:t xml:space="preserve"> (leadership: 15.4%–68.8%; accountability: 54.5%–95%; drug expertise: 61.5%–85.1%; actions: 21.7%–72.3%; tracking: 14.7%–78%; reporting: 6.3%–17.7%; education: 32.9%–87.2%; P &lt; .005 for all measures). The </w:t>
            </w:r>
            <w:r w:rsidRPr="002D0D3A">
              <w:rPr>
                <w:rFonts w:ascii="Garamond" w:hAnsi="Garamond"/>
                <w:b/>
                <w:lang w:val="en-AU"/>
              </w:rPr>
              <w:t>median AU rate decreased from 16.7% to 12.1%</w:t>
            </w:r>
            <w:r w:rsidRPr="002D0D3A">
              <w:rPr>
                <w:rFonts w:ascii="Garamond" w:hAnsi="Garamond"/>
                <w:lang w:val="en-AU"/>
              </w:rPr>
              <w:t xml:space="preserve"> (P for trend &lt; .0013), a 34% relative risk reduction.</w:t>
            </w:r>
            <w:r>
              <w:rPr>
                <w:rFonts w:ascii="Garamond" w:hAnsi="Garamond"/>
                <w:lang w:val="en-AU"/>
              </w:rPr>
              <w:t>’</w:t>
            </w:r>
          </w:p>
        </w:tc>
      </w:tr>
    </w:tbl>
    <w:p w:rsidR="007337CB" w:rsidRDefault="002C2ABD" w:rsidP="007337CB">
      <w:pPr>
        <w:keepNext/>
        <w:rPr>
          <w:rFonts w:ascii="Garamond" w:hAnsi="Garamond"/>
          <w:lang w:val="en-AU"/>
        </w:rPr>
      </w:pPr>
      <w:r w:rsidRPr="002C2ABD">
        <w:rPr>
          <w:rFonts w:ascii="Garamond" w:hAnsi="Garamond"/>
          <w:lang w:val="en-AU"/>
        </w:rPr>
        <w:t>For information on the Commission’s work on antimicrobial</w:t>
      </w:r>
      <w:r>
        <w:rPr>
          <w:rFonts w:ascii="Garamond" w:hAnsi="Garamond"/>
          <w:lang w:val="en-AU"/>
        </w:rPr>
        <w:t xml:space="preserve"> </w:t>
      </w:r>
      <w:r w:rsidRPr="002C2ABD">
        <w:rPr>
          <w:rFonts w:ascii="Garamond" w:hAnsi="Garamond"/>
          <w:lang w:val="en-AU"/>
        </w:rPr>
        <w:t>stewardship, see</w:t>
      </w:r>
      <w:r>
        <w:rPr>
          <w:rFonts w:ascii="Garamond" w:hAnsi="Garamond"/>
          <w:lang w:val="en-AU"/>
        </w:rPr>
        <w:t xml:space="preserve"> </w:t>
      </w:r>
      <w:hyperlink r:id="rId30" w:history="1">
        <w:r w:rsidRPr="007871BC">
          <w:rPr>
            <w:rStyle w:val="Hyperlink"/>
            <w:rFonts w:ascii="Garamond" w:hAnsi="Garamond"/>
            <w:lang w:val="en-AU"/>
          </w:rPr>
          <w:t>https://www.safetyandquality.gov.au/our-work/antimicrobial-stewardship</w:t>
        </w:r>
      </w:hyperlink>
      <w:r>
        <w:rPr>
          <w:rFonts w:ascii="Garamond" w:hAnsi="Garamond"/>
          <w:lang w:val="en-AU"/>
        </w:rPr>
        <w:t xml:space="preserve"> </w:t>
      </w:r>
    </w:p>
    <w:p w:rsidR="007337CB" w:rsidRDefault="007337CB" w:rsidP="007337CB">
      <w:pPr>
        <w:keepNext/>
        <w:keepLines/>
        <w:autoSpaceDE w:val="0"/>
        <w:autoSpaceDN w:val="0"/>
        <w:adjustRightInd w:val="0"/>
        <w:rPr>
          <w:rFonts w:ascii="Garamond" w:hAnsi="Garamond"/>
          <w:lang w:val="en-AU"/>
        </w:rPr>
      </w:pPr>
    </w:p>
    <w:p w:rsidR="00366DFA" w:rsidRDefault="00366DFA" w:rsidP="00366DFA">
      <w:pPr>
        <w:keepNext/>
        <w:rPr>
          <w:rFonts w:ascii="Garamond" w:hAnsi="Garamond"/>
          <w:i/>
          <w:lang w:val="en-AU"/>
        </w:rPr>
      </w:pPr>
      <w:r w:rsidRPr="00CE3EB6">
        <w:rPr>
          <w:rFonts w:ascii="Garamond" w:hAnsi="Garamond"/>
          <w:i/>
          <w:lang w:val="en-AU"/>
        </w:rPr>
        <w:t>Patient Experience Journal (PXJ</w:t>
      </w:r>
      <w:r>
        <w:rPr>
          <w:rFonts w:ascii="Garamond" w:hAnsi="Garamond"/>
          <w:i/>
          <w:lang w:val="en-AU"/>
        </w:rPr>
        <w:t>)</w:t>
      </w:r>
    </w:p>
    <w:p w:rsidR="00366DFA" w:rsidRPr="0093529C" w:rsidRDefault="00366DFA" w:rsidP="00366DFA">
      <w:pPr>
        <w:keepNext/>
        <w:rPr>
          <w:rFonts w:ascii="Garamond" w:hAnsi="Garamond"/>
          <w:lang w:val="en-AU"/>
        </w:rPr>
      </w:pPr>
      <w:r w:rsidRPr="00B90D97">
        <w:rPr>
          <w:rFonts w:ascii="Garamond" w:hAnsi="Garamond"/>
          <w:lang w:val="en-AU"/>
        </w:rPr>
        <w:t xml:space="preserve">Volume 6, Issue </w:t>
      </w:r>
      <w:r>
        <w:rPr>
          <w:rFonts w:ascii="Garamond" w:hAnsi="Garamond"/>
          <w:lang w:val="en-AU"/>
        </w:rPr>
        <w:t>3</w:t>
      </w:r>
      <w:r w:rsidRPr="00B90D97">
        <w:rPr>
          <w:rFonts w:ascii="Garamond" w:hAnsi="Garamond"/>
          <w:lang w:val="en-AU"/>
        </w:rPr>
        <w:t xml:space="preserve"> (2019)</w:t>
      </w:r>
    </w:p>
    <w:tbl>
      <w:tblPr>
        <w:tblStyle w:val="TableGrid"/>
        <w:tblW w:w="9360" w:type="dxa"/>
        <w:tblInd w:w="288" w:type="dxa"/>
        <w:tblLayout w:type="fixed"/>
        <w:tblLook w:val="01E0" w:firstRow="1" w:lastRow="1" w:firstColumn="1" w:lastColumn="1" w:noHBand="0" w:noVBand="0"/>
      </w:tblPr>
      <w:tblGrid>
        <w:gridCol w:w="1080"/>
        <w:gridCol w:w="8280"/>
      </w:tblGrid>
      <w:tr w:rsidR="00366DFA"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366DFA" w:rsidRPr="000170DA" w:rsidRDefault="00366DFA" w:rsidP="00FC27B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66DFA" w:rsidRPr="000170DA" w:rsidRDefault="00865E67" w:rsidP="00FC27BD">
            <w:pPr>
              <w:rPr>
                <w:rStyle w:val="Hyperlink"/>
                <w:rFonts w:ascii="Garamond" w:hAnsi="Garamond"/>
                <w:color w:val="auto"/>
                <w:u w:val="none"/>
                <w:lang w:val="en-AU"/>
              </w:rPr>
            </w:pPr>
            <w:hyperlink r:id="rId31" w:history="1">
              <w:r w:rsidR="00366DFA" w:rsidRPr="007871BC">
                <w:rPr>
                  <w:rStyle w:val="Hyperlink"/>
                  <w:rFonts w:ascii="Garamond" w:hAnsi="Garamond"/>
                  <w:lang w:val="en-AU"/>
                </w:rPr>
                <w:t>https://pxjournal.org/journal/vol6/iss3/</w:t>
              </w:r>
            </w:hyperlink>
          </w:p>
        </w:tc>
      </w:tr>
      <w:tr w:rsidR="00366DFA" w:rsidRPr="000170DA" w:rsidTr="00FC27BD">
        <w:tc>
          <w:tcPr>
            <w:tcW w:w="1080" w:type="dxa"/>
            <w:tcBorders>
              <w:top w:val="single" w:sz="4" w:space="0" w:color="auto"/>
              <w:left w:val="single" w:sz="4" w:space="0" w:color="auto"/>
              <w:bottom w:val="single" w:sz="4" w:space="0" w:color="auto"/>
              <w:right w:val="single" w:sz="4" w:space="0" w:color="auto"/>
            </w:tcBorders>
            <w:vAlign w:val="center"/>
          </w:tcPr>
          <w:p w:rsidR="00366DFA" w:rsidRPr="000170DA" w:rsidRDefault="00366DFA" w:rsidP="00FC27B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66DFA" w:rsidRPr="007C3778" w:rsidRDefault="00366DFA" w:rsidP="00FC27BD">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CE3EB6">
              <w:rPr>
                <w:rFonts w:ascii="Garamond" w:hAnsi="Garamond"/>
                <w:i/>
                <w:lang w:val="en-AU"/>
              </w:rPr>
              <w:t>Patient Experience Journal (PXJ</w:t>
            </w:r>
            <w:r>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CE3EB6">
              <w:rPr>
                <w:rFonts w:ascii="Garamond" w:hAnsi="Garamond"/>
                <w:i/>
                <w:lang w:val="en-AU"/>
              </w:rPr>
              <w:t>Patient Experience Journal (PXJ</w:t>
            </w:r>
            <w:r>
              <w:rPr>
                <w:rFonts w:ascii="Garamond" w:hAnsi="Garamond"/>
                <w:i/>
                <w:lang w:val="en-AU"/>
              </w:rPr>
              <w:t>)</w:t>
            </w:r>
            <w:r w:rsidRPr="00B440ED">
              <w:rPr>
                <w:rFonts w:ascii="Garamond" w:hAnsi="Garamond"/>
                <w:lang w:val="en-AU"/>
              </w:rPr>
              <w:t xml:space="preserve"> include:</w:t>
            </w:r>
          </w:p>
          <w:p w:rsidR="00366DFA" w:rsidRPr="00366DFA" w:rsidRDefault="00366DFA" w:rsidP="009F7CF2">
            <w:pPr>
              <w:pStyle w:val="ListParagraph"/>
              <w:numPr>
                <w:ilvl w:val="0"/>
                <w:numId w:val="15"/>
              </w:numPr>
              <w:rPr>
                <w:rFonts w:ascii="Garamond" w:hAnsi="Garamond"/>
                <w:lang w:val="en-AU"/>
              </w:rPr>
            </w:pPr>
            <w:r w:rsidRPr="00366DFA">
              <w:rPr>
                <w:rFonts w:ascii="Garamond" w:hAnsi="Garamond"/>
                <w:lang w:val="en-AU"/>
              </w:rPr>
              <w:t xml:space="preserve">Editorial: The </w:t>
            </w:r>
            <w:r w:rsidRPr="00366DFA">
              <w:rPr>
                <w:rFonts w:ascii="Garamond" w:hAnsi="Garamond"/>
                <w:b/>
                <w:lang w:val="en-AU"/>
              </w:rPr>
              <w:t>future of patient experience</w:t>
            </w:r>
            <w:r w:rsidRPr="00366DFA">
              <w:rPr>
                <w:rFonts w:ascii="Garamond" w:hAnsi="Garamond"/>
                <w:lang w:val="en-AU"/>
              </w:rPr>
              <w:t>: Five thoughts on where we must go from here (Jason A Wolf)</w:t>
            </w:r>
          </w:p>
          <w:p w:rsidR="00366DFA" w:rsidRPr="00366DFA" w:rsidRDefault="00366DFA" w:rsidP="0016460A">
            <w:pPr>
              <w:pStyle w:val="ListParagraph"/>
              <w:numPr>
                <w:ilvl w:val="0"/>
                <w:numId w:val="15"/>
              </w:numPr>
              <w:rPr>
                <w:rFonts w:ascii="Garamond" w:hAnsi="Garamond"/>
                <w:lang w:val="en-AU"/>
              </w:rPr>
            </w:pPr>
            <w:r w:rsidRPr="00366DFA">
              <w:rPr>
                <w:rFonts w:ascii="Garamond" w:hAnsi="Garamond"/>
                <w:lang w:val="en-AU"/>
              </w:rPr>
              <w:t xml:space="preserve">Awakening from a medical mystery: one patient’s </w:t>
            </w:r>
            <w:r w:rsidRPr="00366DFA">
              <w:rPr>
                <w:rFonts w:ascii="Garamond" w:hAnsi="Garamond"/>
                <w:b/>
                <w:lang w:val="en-AU"/>
              </w:rPr>
              <w:t>experience of being undiagnosed</w:t>
            </w:r>
            <w:r w:rsidRPr="00366DFA">
              <w:rPr>
                <w:rFonts w:ascii="Garamond" w:hAnsi="Garamond"/>
                <w:lang w:val="en-AU"/>
              </w:rPr>
              <w:t xml:space="preserve"> (Dwane UnRuh</w:t>
            </w:r>
            <w:r>
              <w:rPr>
                <w:rFonts w:ascii="Garamond" w:hAnsi="Garamond"/>
                <w:lang w:val="en-AU"/>
              </w:rPr>
              <w:t>)</w:t>
            </w:r>
          </w:p>
          <w:p w:rsidR="00366DFA" w:rsidRDefault="00366DFA" w:rsidP="00D64AF0">
            <w:pPr>
              <w:pStyle w:val="ListParagraph"/>
              <w:numPr>
                <w:ilvl w:val="0"/>
                <w:numId w:val="15"/>
              </w:numPr>
              <w:rPr>
                <w:rFonts w:ascii="Garamond" w:hAnsi="Garamond"/>
                <w:lang w:val="en-AU"/>
              </w:rPr>
            </w:pPr>
            <w:r w:rsidRPr="00366DFA">
              <w:rPr>
                <w:rFonts w:ascii="Garamond" w:hAnsi="Garamond"/>
                <w:b/>
                <w:lang w:val="en-AU"/>
              </w:rPr>
              <w:t>Is it fair to compare?</w:t>
            </w:r>
            <w:r w:rsidRPr="00366DFA">
              <w:rPr>
                <w:rFonts w:ascii="Garamond" w:hAnsi="Garamond"/>
                <w:lang w:val="en-AU"/>
              </w:rPr>
              <w:t xml:space="preserve"> A patient and family experience of two healthcare systems and neurosurgical teams within a two-week period (Laura Miller</w:t>
            </w:r>
            <w:r>
              <w:rPr>
                <w:rFonts w:ascii="Garamond" w:hAnsi="Garamond"/>
                <w:lang w:val="en-AU"/>
              </w:rPr>
              <w:t>)</w:t>
            </w:r>
          </w:p>
          <w:p w:rsidR="00366DFA" w:rsidRPr="00366DFA" w:rsidRDefault="00366DFA" w:rsidP="0093264E">
            <w:pPr>
              <w:pStyle w:val="ListParagraph"/>
              <w:numPr>
                <w:ilvl w:val="0"/>
                <w:numId w:val="15"/>
              </w:numPr>
              <w:rPr>
                <w:rFonts w:ascii="Garamond" w:hAnsi="Garamond"/>
                <w:lang w:val="en-AU"/>
              </w:rPr>
            </w:pPr>
            <w:r w:rsidRPr="00366DFA">
              <w:rPr>
                <w:rFonts w:ascii="Garamond" w:hAnsi="Garamond"/>
                <w:b/>
                <w:lang w:val="en-AU"/>
              </w:rPr>
              <w:t>Engaging under- and/or never-engaged populations in health services</w:t>
            </w:r>
            <w:r w:rsidRPr="00366DFA">
              <w:rPr>
                <w:rFonts w:ascii="Garamond" w:hAnsi="Garamond"/>
                <w:lang w:val="en-AU"/>
              </w:rPr>
              <w:t>: A systematic review (Lesley Moody, Erica Bridge, Vidhi Thakkar, Naomi Peek, Tanvi Patel, Suman Dhanju, and Simron Singh</w:t>
            </w:r>
            <w:r>
              <w:rPr>
                <w:rFonts w:ascii="Garamond" w:hAnsi="Garamond"/>
                <w:lang w:val="en-AU"/>
              </w:rPr>
              <w:t>)</w:t>
            </w:r>
          </w:p>
          <w:p w:rsidR="00366DFA" w:rsidRPr="00366DFA" w:rsidRDefault="00366DFA" w:rsidP="004026D0">
            <w:pPr>
              <w:pStyle w:val="ListParagraph"/>
              <w:numPr>
                <w:ilvl w:val="0"/>
                <w:numId w:val="15"/>
              </w:numPr>
              <w:rPr>
                <w:rFonts w:ascii="Garamond" w:hAnsi="Garamond"/>
                <w:lang w:val="en-AU"/>
              </w:rPr>
            </w:pPr>
            <w:r w:rsidRPr="00366DFA">
              <w:rPr>
                <w:rFonts w:ascii="Garamond" w:hAnsi="Garamond"/>
                <w:b/>
                <w:lang w:val="en-AU"/>
              </w:rPr>
              <w:t>Refugees' perceptions of primary care</w:t>
            </w:r>
            <w:r w:rsidRPr="00366DFA">
              <w:rPr>
                <w:rFonts w:ascii="Garamond" w:hAnsi="Garamond"/>
                <w:lang w:val="en-AU"/>
              </w:rPr>
              <w:t>: What makes a good doctor's visit? (Anne Mutitu, Bev -. Zabler, and Jeana M. Holt</w:t>
            </w:r>
          </w:p>
          <w:p w:rsidR="00366DFA" w:rsidRPr="00366DFA" w:rsidRDefault="00366DFA" w:rsidP="003C6329">
            <w:pPr>
              <w:pStyle w:val="ListParagraph"/>
              <w:numPr>
                <w:ilvl w:val="0"/>
                <w:numId w:val="15"/>
              </w:numPr>
              <w:rPr>
                <w:rFonts w:ascii="Garamond" w:hAnsi="Garamond"/>
                <w:lang w:val="en-AU"/>
              </w:rPr>
            </w:pPr>
            <w:r w:rsidRPr="00366DFA">
              <w:rPr>
                <w:rFonts w:ascii="Garamond" w:hAnsi="Garamond"/>
                <w:lang w:val="en-AU"/>
              </w:rPr>
              <w:t xml:space="preserve">From diagnosis to routine care in </w:t>
            </w:r>
            <w:r w:rsidRPr="00366DFA">
              <w:rPr>
                <w:rFonts w:ascii="Garamond" w:hAnsi="Garamond"/>
                <w:b/>
                <w:lang w:val="en-AU"/>
              </w:rPr>
              <w:t>type 1 diabetes in children</w:t>
            </w:r>
            <w:r w:rsidRPr="00366DFA">
              <w:rPr>
                <w:rFonts w:ascii="Garamond" w:hAnsi="Garamond"/>
                <w:lang w:val="en-AU"/>
              </w:rPr>
              <w:t>: Parents’ experiences (Géraldine Heilporn, Maude Laberge, André Côté, and M Rekik</w:t>
            </w:r>
            <w:r>
              <w:rPr>
                <w:rFonts w:ascii="Garamond" w:hAnsi="Garamond"/>
                <w:lang w:val="en-AU"/>
              </w:rPr>
              <w:t>)</w:t>
            </w:r>
          </w:p>
          <w:p w:rsidR="00366DFA" w:rsidRDefault="00366DFA" w:rsidP="00AB3B9C">
            <w:pPr>
              <w:pStyle w:val="ListParagraph"/>
              <w:numPr>
                <w:ilvl w:val="0"/>
                <w:numId w:val="15"/>
              </w:numPr>
              <w:rPr>
                <w:rFonts w:ascii="Garamond" w:hAnsi="Garamond"/>
                <w:lang w:val="en-AU"/>
              </w:rPr>
            </w:pPr>
            <w:r w:rsidRPr="00366DFA">
              <w:rPr>
                <w:rFonts w:ascii="Garamond" w:hAnsi="Garamond"/>
                <w:b/>
                <w:lang w:val="en-AU"/>
              </w:rPr>
              <w:t>Service user interview panels for recruitment</w:t>
            </w:r>
            <w:r w:rsidRPr="00366DFA">
              <w:rPr>
                <w:rFonts w:ascii="Garamond" w:hAnsi="Garamond"/>
                <w:lang w:val="en-AU"/>
              </w:rPr>
              <w:t xml:space="preserve"> to UK child and adolescent mental health services: A questionnaire study exploring the experiences of young people, staff and candidates (Sophie M Allan and Emma Travers-Hill</w:t>
            </w:r>
            <w:r>
              <w:rPr>
                <w:rFonts w:ascii="Garamond" w:hAnsi="Garamond"/>
                <w:lang w:val="en-AU"/>
              </w:rPr>
              <w:t>)</w:t>
            </w:r>
          </w:p>
          <w:p w:rsidR="00366DFA" w:rsidRPr="00366DFA" w:rsidRDefault="00366DFA" w:rsidP="00161806">
            <w:pPr>
              <w:pStyle w:val="ListParagraph"/>
              <w:numPr>
                <w:ilvl w:val="0"/>
                <w:numId w:val="15"/>
              </w:numPr>
              <w:rPr>
                <w:rFonts w:ascii="Garamond" w:hAnsi="Garamond"/>
                <w:lang w:val="en-AU"/>
              </w:rPr>
            </w:pPr>
            <w:r w:rsidRPr="00366DFA">
              <w:rPr>
                <w:rFonts w:ascii="Garamond" w:hAnsi="Garamond"/>
                <w:lang w:val="en-AU"/>
              </w:rPr>
              <w:t xml:space="preserve">Using patient experience in optimizing the </w:t>
            </w:r>
            <w:r w:rsidRPr="00366DFA">
              <w:rPr>
                <w:rFonts w:ascii="Garamond" w:hAnsi="Garamond"/>
                <w:b/>
                <w:lang w:val="en-AU"/>
              </w:rPr>
              <w:t>total knee arthroplasty patient journey</w:t>
            </w:r>
            <w:r w:rsidRPr="00366DFA">
              <w:rPr>
                <w:rFonts w:ascii="Garamond" w:hAnsi="Garamond"/>
                <w:lang w:val="en-AU"/>
              </w:rPr>
              <w:t xml:space="preserve"> (Nienke Wolterbeek, Dieuwertje J Hiemstra, Fiona A van der Hoeven, and Kiem G Auw Yang</w:t>
            </w:r>
            <w:r>
              <w:rPr>
                <w:rFonts w:ascii="Garamond" w:hAnsi="Garamond"/>
                <w:lang w:val="en-AU"/>
              </w:rPr>
              <w:t>)</w:t>
            </w:r>
          </w:p>
          <w:p w:rsidR="00366DFA" w:rsidRPr="00366DFA" w:rsidRDefault="00366DFA" w:rsidP="001734C4">
            <w:pPr>
              <w:pStyle w:val="ListParagraph"/>
              <w:numPr>
                <w:ilvl w:val="0"/>
                <w:numId w:val="15"/>
              </w:numPr>
              <w:rPr>
                <w:rFonts w:ascii="Garamond" w:hAnsi="Garamond"/>
                <w:lang w:val="en-AU"/>
              </w:rPr>
            </w:pPr>
            <w:r w:rsidRPr="00366DFA">
              <w:rPr>
                <w:rFonts w:ascii="Garamond" w:hAnsi="Garamond"/>
                <w:b/>
                <w:lang w:val="en-AU"/>
              </w:rPr>
              <w:t>Patient-initiated second opinions</w:t>
            </w:r>
            <w:r w:rsidRPr="00366DFA">
              <w:rPr>
                <w:rFonts w:ascii="Garamond" w:hAnsi="Garamond"/>
                <w:lang w:val="en-AU"/>
              </w:rPr>
              <w:t xml:space="preserve"> during acute hospital care (Roni Gagin, Neta HaGani, Esti Zigelboim, and Shiri Shinan-Altman</w:t>
            </w:r>
            <w:r>
              <w:rPr>
                <w:rFonts w:ascii="Garamond" w:hAnsi="Garamond"/>
                <w:lang w:val="en-AU"/>
              </w:rPr>
              <w:t>)</w:t>
            </w:r>
          </w:p>
          <w:p w:rsidR="00366DFA" w:rsidRPr="00366DFA" w:rsidRDefault="00366DFA" w:rsidP="00043311">
            <w:pPr>
              <w:pStyle w:val="ListParagraph"/>
              <w:numPr>
                <w:ilvl w:val="0"/>
                <w:numId w:val="15"/>
              </w:numPr>
              <w:rPr>
                <w:rFonts w:ascii="Garamond" w:hAnsi="Garamond"/>
                <w:lang w:val="en-AU"/>
              </w:rPr>
            </w:pPr>
            <w:r w:rsidRPr="00366DFA">
              <w:rPr>
                <w:rFonts w:ascii="Garamond" w:hAnsi="Garamond"/>
                <w:b/>
                <w:lang w:val="en-AU"/>
              </w:rPr>
              <w:t>Patient perspectives: Four pillars of professionalism</w:t>
            </w:r>
            <w:r w:rsidRPr="00366DFA">
              <w:rPr>
                <w:rFonts w:ascii="Garamond" w:hAnsi="Garamond"/>
                <w:lang w:val="en-AU"/>
              </w:rPr>
              <w:t xml:space="preserve"> (Laura Yvonne Bulk; Donna Drynan; Sue Murphy; Patricia Gerber; R Bezati; S Trivett; and T Jarus</w:t>
            </w:r>
            <w:r w:rsidR="00807F81">
              <w:rPr>
                <w:rFonts w:ascii="Garamond" w:hAnsi="Garamond"/>
                <w:lang w:val="en-AU"/>
              </w:rPr>
              <w:t>)</w:t>
            </w:r>
          </w:p>
          <w:p w:rsidR="00366DFA" w:rsidRPr="00807F81" w:rsidRDefault="00366DFA" w:rsidP="000440C4">
            <w:pPr>
              <w:pStyle w:val="ListParagraph"/>
              <w:numPr>
                <w:ilvl w:val="0"/>
                <w:numId w:val="15"/>
              </w:numPr>
              <w:rPr>
                <w:rFonts w:ascii="Garamond" w:hAnsi="Garamond"/>
                <w:lang w:val="en-AU"/>
              </w:rPr>
            </w:pPr>
            <w:r w:rsidRPr="00807F81">
              <w:rPr>
                <w:rFonts w:ascii="Garamond" w:hAnsi="Garamond"/>
                <w:lang w:val="en-AU"/>
              </w:rPr>
              <w:t xml:space="preserve">Conceptual frameworks and degrees of </w:t>
            </w:r>
            <w:r w:rsidRPr="00807F81">
              <w:rPr>
                <w:rFonts w:ascii="Garamond" w:hAnsi="Garamond"/>
                <w:b/>
                <w:lang w:val="en-AU"/>
              </w:rPr>
              <w:t>patient engagement in the planning and designing of health services</w:t>
            </w:r>
            <w:r w:rsidRPr="00807F81">
              <w:rPr>
                <w:rFonts w:ascii="Garamond" w:hAnsi="Garamond"/>
                <w:lang w:val="en-AU"/>
              </w:rPr>
              <w:t>: A scoping review of qualitative studies</w:t>
            </w:r>
            <w:r w:rsidR="00807F81" w:rsidRPr="00807F81">
              <w:rPr>
                <w:rFonts w:ascii="Garamond" w:hAnsi="Garamond"/>
                <w:lang w:val="en-AU"/>
              </w:rPr>
              <w:t xml:space="preserve"> (</w:t>
            </w:r>
            <w:r w:rsidRPr="00807F81">
              <w:rPr>
                <w:rFonts w:ascii="Garamond" w:hAnsi="Garamond"/>
                <w:lang w:val="en-AU"/>
              </w:rPr>
              <w:t>Umair Majid and Anna Gagliardi</w:t>
            </w:r>
            <w:r w:rsidR="00807F81">
              <w:rPr>
                <w:rFonts w:ascii="Garamond" w:hAnsi="Garamond"/>
                <w:lang w:val="en-AU"/>
              </w:rPr>
              <w:t>)</w:t>
            </w:r>
          </w:p>
          <w:p w:rsidR="00366DFA" w:rsidRPr="00807F81" w:rsidRDefault="00366DFA" w:rsidP="00590316">
            <w:pPr>
              <w:pStyle w:val="ListParagraph"/>
              <w:numPr>
                <w:ilvl w:val="0"/>
                <w:numId w:val="15"/>
              </w:numPr>
              <w:rPr>
                <w:rFonts w:ascii="Garamond" w:hAnsi="Garamond"/>
                <w:lang w:val="en-AU"/>
              </w:rPr>
            </w:pPr>
            <w:r w:rsidRPr="00807F81">
              <w:rPr>
                <w:rFonts w:ascii="Garamond" w:hAnsi="Garamond"/>
                <w:b/>
                <w:lang w:val="en-AU"/>
              </w:rPr>
              <w:t>Enhancing emergency care environments</w:t>
            </w:r>
            <w:r w:rsidRPr="00807F81">
              <w:rPr>
                <w:rFonts w:ascii="Garamond" w:hAnsi="Garamond"/>
                <w:lang w:val="en-AU"/>
              </w:rPr>
              <w:t>: Supporting suicidal distress and self-harm presentations through environmental safeguards and the built environment</w:t>
            </w:r>
            <w:r w:rsidR="00807F81" w:rsidRPr="00807F81">
              <w:rPr>
                <w:rFonts w:ascii="Garamond" w:hAnsi="Garamond"/>
                <w:lang w:val="en-AU"/>
              </w:rPr>
              <w:t xml:space="preserve"> (</w:t>
            </w:r>
            <w:r w:rsidRPr="00807F81">
              <w:rPr>
                <w:rFonts w:ascii="Garamond" w:hAnsi="Garamond"/>
                <w:lang w:val="en-AU"/>
              </w:rPr>
              <w:t>Stephanie Liddicoat</w:t>
            </w:r>
            <w:r w:rsidR="00807F81">
              <w:rPr>
                <w:rFonts w:ascii="Garamond" w:hAnsi="Garamond"/>
                <w:lang w:val="en-AU"/>
              </w:rPr>
              <w:t>)</w:t>
            </w:r>
          </w:p>
          <w:p w:rsidR="00366DFA" w:rsidRPr="00807F81" w:rsidRDefault="00366DFA" w:rsidP="00AD12B5">
            <w:pPr>
              <w:pStyle w:val="ListParagraph"/>
              <w:numPr>
                <w:ilvl w:val="0"/>
                <w:numId w:val="15"/>
              </w:numPr>
              <w:rPr>
                <w:rFonts w:ascii="Garamond" w:hAnsi="Garamond"/>
                <w:lang w:val="en-AU"/>
              </w:rPr>
            </w:pPr>
            <w:r w:rsidRPr="00807F81">
              <w:rPr>
                <w:rFonts w:ascii="Garamond" w:hAnsi="Garamond"/>
                <w:b/>
                <w:lang w:val="en-AU"/>
              </w:rPr>
              <w:t>Volunteer contributions in the emergency department</w:t>
            </w:r>
            <w:r w:rsidRPr="00807F81">
              <w:rPr>
                <w:rFonts w:ascii="Garamond" w:hAnsi="Garamond"/>
                <w:lang w:val="en-AU"/>
              </w:rPr>
              <w:t>: A scoping review</w:t>
            </w:r>
            <w:r w:rsidR="00807F81" w:rsidRPr="00807F81">
              <w:rPr>
                <w:rFonts w:ascii="Garamond" w:hAnsi="Garamond"/>
                <w:lang w:val="en-AU"/>
              </w:rPr>
              <w:t xml:space="preserve"> (</w:t>
            </w:r>
            <w:r w:rsidRPr="00807F81">
              <w:rPr>
                <w:rFonts w:ascii="Garamond" w:hAnsi="Garamond"/>
                <w:lang w:val="en-AU"/>
              </w:rPr>
              <w:t>Sophie Glanz, Brittany Ellis, Shelley L. McLeod, Cameron Thompson, Don Melady, and Michelle Nelson</w:t>
            </w:r>
            <w:r w:rsidR="00807F81">
              <w:rPr>
                <w:rFonts w:ascii="Garamond" w:hAnsi="Garamond"/>
                <w:lang w:val="en-AU"/>
              </w:rPr>
              <w:t>)</w:t>
            </w:r>
          </w:p>
          <w:p w:rsidR="00366DFA" w:rsidRPr="00807F81" w:rsidRDefault="00366DFA" w:rsidP="00492973">
            <w:pPr>
              <w:pStyle w:val="ListParagraph"/>
              <w:numPr>
                <w:ilvl w:val="0"/>
                <w:numId w:val="15"/>
              </w:numPr>
              <w:rPr>
                <w:rFonts w:ascii="Garamond" w:hAnsi="Garamond"/>
                <w:lang w:val="en-AU"/>
              </w:rPr>
            </w:pPr>
            <w:r w:rsidRPr="00807F81">
              <w:rPr>
                <w:rFonts w:ascii="Garamond" w:hAnsi="Garamond"/>
                <w:lang w:val="en-AU"/>
              </w:rPr>
              <w:t xml:space="preserve">Effect of change in the </w:t>
            </w:r>
            <w:r w:rsidRPr="00807F81">
              <w:rPr>
                <w:rFonts w:ascii="Garamond" w:hAnsi="Garamond"/>
                <w:b/>
                <w:lang w:val="en-AU"/>
              </w:rPr>
              <w:t>CG CAHPS survey</w:t>
            </w:r>
            <w:r w:rsidRPr="00807F81">
              <w:rPr>
                <w:rFonts w:ascii="Garamond" w:hAnsi="Garamond"/>
                <w:lang w:val="en-AU"/>
              </w:rPr>
              <w:t xml:space="preserve"> instrument recall period on patient experience scores on healthcare utilization</w:t>
            </w:r>
            <w:r w:rsidR="00807F81" w:rsidRPr="00807F81">
              <w:rPr>
                <w:rFonts w:ascii="Garamond" w:hAnsi="Garamond"/>
                <w:lang w:val="en-AU"/>
              </w:rPr>
              <w:t xml:space="preserve"> (</w:t>
            </w:r>
            <w:r w:rsidRPr="00807F81">
              <w:rPr>
                <w:rFonts w:ascii="Garamond" w:hAnsi="Garamond"/>
                <w:lang w:val="en-AU"/>
              </w:rPr>
              <w:t>Kimberley Marshall-Aiyelawo; Richard Bannick; Sharon Beamer; Melissa Gliner; Terry McDavid; Daniel Muraida; Janice Ellison; Beatrice Abiero; A Roshwalb; and M Andrews</w:t>
            </w:r>
            <w:r w:rsidR="00807F81">
              <w:rPr>
                <w:rFonts w:ascii="Garamond" w:hAnsi="Garamond"/>
                <w:lang w:val="en-AU"/>
              </w:rPr>
              <w:t>)</w:t>
            </w:r>
          </w:p>
          <w:p w:rsidR="00366DFA" w:rsidRPr="00807F81" w:rsidRDefault="00366DFA" w:rsidP="00770357">
            <w:pPr>
              <w:pStyle w:val="ListParagraph"/>
              <w:numPr>
                <w:ilvl w:val="0"/>
                <w:numId w:val="15"/>
              </w:numPr>
              <w:rPr>
                <w:rFonts w:ascii="Garamond" w:hAnsi="Garamond"/>
                <w:lang w:val="en-AU"/>
              </w:rPr>
            </w:pPr>
            <w:r w:rsidRPr="00807F81">
              <w:rPr>
                <w:rFonts w:ascii="Garamond" w:hAnsi="Garamond"/>
                <w:lang w:val="en-AU"/>
              </w:rPr>
              <w:t xml:space="preserve">Are you my doctor? Utilizing </w:t>
            </w:r>
            <w:r w:rsidRPr="00807F81">
              <w:rPr>
                <w:rFonts w:ascii="Garamond" w:hAnsi="Garamond"/>
                <w:b/>
                <w:lang w:val="en-AU"/>
              </w:rPr>
              <w:t>personalized provider cards to improve patient/doctor connections</w:t>
            </w:r>
            <w:r w:rsidR="00807F81" w:rsidRPr="00807F81">
              <w:rPr>
                <w:rFonts w:ascii="Garamond" w:hAnsi="Garamond"/>
                <w:lang w:val="en-AU"/>
              </w:rPr>
              <w:t xml:space="preserve"> (</w:t>
            </w:r>
            <w:r w:rsidRPr="00807F81">
              <w:rPr>
                <w:rFonts w:ascii="Garamond" w:hAnsi="Garamond"/>
                <w:lang w:val="en-AU"/>
              </w:rPr>
              <w:t>Jessica Colyer, Tina Halley, Melissa Winter, Jennifer Coldren, and Martha Parra</w:t>
            </w:r>
            <w:r w:rsidR="00807F81">
              <w:rPr>
                <w:rFonts w:ascii="Garamond" w:hAnsi="Garamond"/>
                <w:lang w:val="en-AU"/>
              </w:rPr>
              <w:t>)</w:t>
            </w:r>
          </w:p>
          <w:p w:rsidR="00366DFA" w:rsidRPr="007C3778" w:rsidRDefault="00366DFA" w:rsidP="00807F81">
            <w:pPr>
              <w:pStyle w:val="ListParagraph"/>
              <w:numPr>
                <w:ilvl w:val="0"/>
                <w:numId w:val="15"/>
              </w:numPr>
              <w:rPr>
                <w:rFonts w:ascii="Garamond" w:hAnsi="Garamond"/>
                <w:lang w:val="en-AU"/>
              </w:rPr>
            </w:pPr>
            <w:r w:rsidRPr="00366DFA">
              <w:rPr>
                <w:rFonts w:ascii="Garamond" w:hAnsi="Garamond"/>
                <w:lang w:val="en-AU"/>
              </w:rPr>
              <w:t xml:space="preserve">Seven steps to successful change: How a large academic medical center </w:t>
            </w:r>
            <w:r w:rsidRPr="00807F81">
              <w:rPr>
                <w:rFonts w:ascii="Garamond" w:hAnsi="Garamond"/>
                <w:b/>
                <w:lang w:val="en-AU"/>
              </w:rPr>
              <w:t>prepared patients for organizational change</w:t>
            </w:r>
            <w:r w:rsidR="00807F81">
              <w:rPr>
                <w:rFonts w:ascii="Garamond" w:hAnsi="Garamond"/>
                <w:lang w:val="en-AU"/>
              </w:rPr>
              <w:t xml:space="preserve"> (</w:t>
            </w:r>
            <w:r w:rsidRPr="00366DFA">
              <w:rPr>
                <w:rFonts w:ascii="Garamond" w:hAnsi="Garamond"/>
                <w:lang w:val="en-AU"/>
              </w:rPr>
              <w:t>Brian Carlson, Madison Agee, Terrell Smith, Paul Sternberg Jr, and Jason Morgan</w:t>
            </w:r>
            <w:r w:rsidR="00807F81">
              <w:rPr>
                <w:rFonts w:ascii="Garamond" w:hAnsi="Garamond"/>
                <w:lang w:val="en-AU"/>
              </w:rPr>
              <w:t>)</w:t>
            </w:r>
          </w:p>
        </w:tc>
      </w:tr>
    </w:tbl>
    <w:p w:rsidR="00D15940" w:rsidRDefault="002D437E" w:rsidP="00D15940">
      <w:pPr>
        <w:keepNext/>
        <w:rPr>
          <w:rFonts w:ascii="Garamond" w:hAnsi="Garamond"/>
          <w:i/>
          <w:lang w:val="en-AU"/>
        </w:rPr>
      </w:pPr>
      <w:r>
        <w:rPr>
          <w:rFonts w:ascii="Garamond" w:hAnsi="Garamond"/>
          <w:i/>
          <w:lang w:val="en-AU"/>
        </w:rPr>
        <w:t>Health Affairs</w:t>
      </w:r>
    </w:p>
    <w:p w:rsidR="002D437E" w:rsidRDefault="002D437E" w:rsidP="002D437E">
      <w:pPr>
        <w:keepNext/>
        <w:rPr>
          <w:rFonts w:ascii="Garamond" w:hAnsi="Garamond"/>
          <w:lang w:val="en-AU"/>
        </w:rPr>
      </w:pPr>
      <w:r>
        <w:rPr>
          <w:rFonts w:ascii="Garamond" w:hAnsi="Garamond"/>
          <w:lang w:val="en-AU"/>
        </w:rPr>
        <w:t>Volume 38, No. 11</w:t>
      </w:r>
    </w:p>
    <w:tbl>
      <w:tblPr>
        <w:tblStyle w:val="TableGrid"/>
        <w:tblW w:w="9360" w:type="dxa"/>
        <w:tblInd w:w="288" w:type="dxa"/>
        <w:tblLayout w:type="fixed"/>
        <w:tblLook w:val="01E0" w:firstRow="1" w:lastRow="1" w:firstColumn="1" w:lastColumn="1" w:noHBand="0" w:noVBand="0"/>
      </w:tblPr>
      <w:tblGrid>
        <w:gridCol w:w="1080"/>
        <w:gridCol w:w="8280"/>
      </w:tblGrid>
      <w:tr w:rsidR="002D437E" w:rsidRPr="000170DA" w:rsidTr="00EB5AC5">
        <w:tc>
          <w:tcPr>
            <w:tcW w:w="1080" w:type="dxa"/>
            <w:tcBorders>
              <w:top w:val="single" w:sz="4" w:space="0" w:color="auto"/>
              <w:left w:val="single" w:sz="4" w:space="0" w:color="auto"/>
              <w:bottom w:val="single" w:sz="4" w:space="0" w:color="auto"/>
              <w:right w:val="single" w:sz="4" w:space="0" w:color="auto"/>
            </w:tcBorders>
            <w:vAlign w:val="center"/>
          </w:tcPr>
          <w:p w:rsidR="002D437E" w:rsidRPr="000170DA" w:rsidRDefault="002D437E" w:rsidP="00EB5AC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D437E" w:rsidRPr="000170DA" w:rsidRDefault="00865E67" w:rsidP="00EB5AC5">
            <w:pPr>
              <w:rPr>
                <w:rStyle w:val="Hyperlink"/>
                <w:rFonts w:ascii="Garamond" w:hAnsi="Garamond"/>
                <w:color w:val="auto"/>
                <w:u w:val="none"/>
                <w:lang w:val="en-AU"/>
              </w:rPr>
            </w:pPr>
            <w:hyperlink r:id="rId32" w:history="1">
              <w:r w:rsidR="002D437E" w:rsidRPr="00203162">
                <w:rPr>
                  <w:rStyle w:val="Hyperlink"/>
                  <w:rFonts w:ascii="Garamond" w:hAnsi="Garamond"/>
                  <w:lang w:val="en-AU"/>
                </w:rPr>
                <w:t>https://www.healthaffairs.org/toc/hlthaff/38/11</w:t>
              </w:r>
            </w:hyperlink>
          </w:p>
        </w:tc>
      </w:tr>
      <w:tr w:rsidR="002D437E" w:rsidRPr="000170DA" w:rsidTr="00EB5AC5">
        <w:tc>
          <w:tcPr>
            <w:tcW w:w="1080" w:type="dxa"/>
            <w:tcBorders>
              <w:top w:val="single" w:sz="4" w:space="0" w:color="auto"/>
              <w:left w:val="single" w:sz="4" w:space="0" w:color="auto"/>
              <w:bottom w:val="single" w:sz="4" w:space="0" w:color="auto"/>
              <w:right w:val="single" w:sz="4" w:space="0" w:color="auto"/>
            </w:tcBorders>
            <w:vAlign w:val="center"/>
          </w:tcPr>
          <w:p w:rsidR="002D437E" w:rsidRPr="000170DA" w:rsidRDefault="002D437E" w:rsidP="00EB5AC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D437E" w:rsidRPr="007C3778" w:rsidRDefault="002D437E" w:rsidP="00EB5AC5">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themes </w:t>
            </w:r>
            <w:r w:rsidRPr="002D437E">
              <w:rPr>
                <w:rFonts w:ascii="Garamond" w:hAnsi="Garamond"/>
                <w:lang w:val="en-AU"/>
              </w:rPr>
              <w:t>“</w:t>
            </w:r>
            <w:r>
              <w:rPr>
                <w:rFonts w:ascii="Garamond" w:hAnsi="Garamond"/>
                <w:b/>
                <w:lang w:val="en-AU"/>
              </w:rPr>
              <w:t>Household Costs, Food &amp; More</w:t>
            </w:r>
            <w:r w:rsidRPr="002D437E">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 Affairs</w:t>
            </w:r>
            <w:r w:rsidRPr="00B440ED">
              <w:rPr>
                <w:rFonts w:ascii="Garamond" w:hAnsi="Garamond"/>
                <w:lang w:val="en-AU"/>
              </w:rPr>
              <w:t xml:space="preserve"> include:</w:t>
            </w:r>
          </w:p>
          <w:p w:rsidR="002D437E" w:rsidRPr="002D437E" w:rsidRDefault="002D437E" w:rsidP="00166C91">
            <w:pPr>
              <w:pStyle w:val="ListParagraph"/>
              <w:numPr>
                <w:ilvl w:val="0"/>
                <w:numId w:val="15"/>
              </w:numPr>
              <w:rPr>
                <w:rFonts w:ascii="Garamond" w:hAnsi="Garamond"/>
                <w:lang w:val="en-AU"/>
              </w:rPr>
            </w:pPr>
            <w:r w:rsidRPr="002D437E">
              <w:rPr>
                <w:rFonts w:ascii="Garamond" w:hAnsi="Garamond"/>
                <w:b/>
                <w:lang w:val="en-AU"/>
              </w:rPr>
              <w:t>Age-Friendly Care</w:t>
            </w:r>
            <w:r w:rsidRPr="002D437E">
              <w:rPr>
                <w:rFonts w:ascii="Garamond" w:hAnsi="Garamond"/>
                <w:lang w:val="en-AU"/>
              </w:rPr>
              <w:t xml:space="preserve"> At The Emergency Department (Michele Cohen Marill</w:t>
            </w:r>
            <w:r>
              <w:rPr>
                <w:rFonts w:ascii="Garamond" w:hAnsi="Garamond"/>
                <w:lang w:val="en-AU"/>
              </w:rPr>
              <w:t>)</w:t>
            </w:r>
          </w:p>
          <w:p w:rsidR="002D437E" w:rsidRPr="002D437E" w:rsidRDefault="002D437E" w:rsidP="002F2241">
            <w:pPr>
              <w:pStyle w:val="ListParagraph"/>
              <w:numPr>
                <w:ilvl w:val="0"/>
                <w:numId w:val="15"/>
              </w:numPr>
              <w:rPr>
                <w:rFonts w:ascii="Garamond" w:hAnsi="Garamond"/>
                <w:lang w:val="en-AU"/>
              </w:rPr>
            </w:pPr>
            <w:r w:rsidRPr="002D437E">
              <w:rPr>
                <w:rFonts w:ascii="Garamond" w:hAnsi="Garamond"/>
                <w:b/>
                <w:lang w:val="en-AU"/>
              </w:rPr>
              <w:t>Integrating Pediatric Care</w:t>
            </w:r>
            <w:r w:rsidRPr="002D437E">
              <w:rPr>
                <w:rFonts w:ascii="Garamond" w:hAnsi="Garamond"/>
                <w:lang w:val="en-AU"/>
              </w:rPr>
              <w:t xml:space="preserve"> And Taking On Risk To Improve Health (Rebecca Gale</w:t>
            </w:r>
            <w:r>
              <w:rPr>
                <w:rFonts w:ascii="Garamond" w:hAnsi="Garamond"/>
                <w:lang w:val="en-AU"/>
              </w:rPr>
              <w:t>)</w:t>
            </w:r>
          </w:p>
          <w:p w:rsidR="002D437E" w:rsidRPr="002D437E" w:rsidRDefault="002D437E" w:rsidP="00BF26E8">
            <w:pPr>
              <w:pStyle w:val="ListParagraph"/>
              <w:numPr>
                <w:ilvl w:val="0"/>
                <w:numId w:val="15"/>
              </w:numPr>
              <w:rPr>
                <w:rFonts w:ascii="Garamond" w:hAnsi="Garamond"/>
                <w:lang w:val="en-AU"/>
              </w:rPr>
            </w:pPr>
            <w:r w:rsidRPr="002D437E">
              <w:rPr>
                <w:rFonts w:ascii="Garamond" w:hAnsi="Garamond"/>
                <w:lang w:val="en-AU"/>
              </w:rPr>
              <w:t xml:space="preserve">Changes In The </w:t>
            </w:r>
            <w:r w:rsidRPr="002D437E">
              <w:rPr>
                <w:rFonts w:ascii="Garamond" w:hAnsi="Garamond"/>
                <w:b/>
                <w:lang w:val="en-AU"/>
              </w:rPr>
              <w:t>Equity Of US Health Care Financing</w:t>
            </w:r>
            <w:r w:rsidRPr="002D437E">
              <w:rPr>
                <w:rFonts w:ascii="Garamond" w:hAnsi="Garamond"/>
                <w:lang w:val="en-AU"/>
              </w:rPr>
              <w:t xml:space="preserve"> In The Period 2005–16 (Paul D Jacobs, and Thomas M Selden</w:t>
            </w:r>
            <w:r>
              <w:rPr>
                <w:rFonts w:ascii="Garamond" w:hAnsi="Garamond"/>
                <w:lang w:val="en-AU"/>
              </w:rPr>
              <w:t>)</w:t>
            </w:r>
          </w:p>
          <w:p w:rsidR="002D437E" w:rsidRPr="002D437E" w:rsidRDefault="002D437E" w:rsidP="005D1CB0">
            <w:pPr>
              <w:pStyle w:val="ListParagraph"/>
              <w:numPr>
                <w:ilvl w:val="0"/>
                <w:numId w:val="15"/>
              </w:numPr>
              <w:rPr>
                <w:rFonts w:ascii="Garamond" w:hAnsi="Garamond"/>
                <w:lang w:val="en-AU"/>
              </w:rPr>
            </w:pPr>
            <w:r w:rsidRPr="002D437E">
              <w:rPr>
                <w:rFonts w:ascii="Garamond" w:hAnsi="Garamond"/>
                <w:b/>
                <w:lang w:val="en-AU"/>
              </w:rPr>
              <w:t>Financial Hardships Of Medicare Beneficiaries</w:t>
            </w:r>
            <w:r w:rsidRPr="002D437E">
              <w:rPr>
                <w:rFonts w:ascii="Garamond" w:hAnsi="Garamond"/>
                <w:lang w:val="en-AU"/>
              </w:rPr>
              <w:t xml:space="preserve"> With Serious Illness (Michael A Kyle, R J Blendon, J M Benson, M K Abrams, and E C Schneider</w:t>
            </w:r>
            <w:r>
              <w:rPr>
                <w:rFonts w:ascii="Garamond" w:hAnsi="Garamond"/>
                <w:lang w:val="en-AU"/>
              </w:rPr>
              <w:t>)</w:t>
            </w:r>
          </w:p>
          <w:p w:rsidR="002D437E" w:rsidRPr="002D437E" w:rsidRDefault="002D437E" w:rsidP="006566C8">
            <w:pPr>
              <w:pStyle w:val="ListParagraph"/>
              <w:numPr>
                <w:ilvl w:val="0"/>
                <w:numId w:val="15"/>
              </w:numPr>
              <w:rPr>
                <w:rFonts w:ascii="Garamond" w:hAnsi="Garamond"/>
                <w:lang w:val="en-AU"/>
              </w:rPr>
            </w:pPr>
            <w:r w:rsidRPr="002D437E">
              <w:rPr>
                <w:rFonts w:ascii="Garamond" w:hAnsi="Garamond"/>
                <w:lang w:val="en-AU"/>
              </w:rPr>
              <w:t xml:space="preserve">The Effect Of The </w:t>
            </w:r>
            <w:r w:rsidRPr="002D437E">
              <w:rPr>
                <w:rFonts w:ascii="Garamond" w:hAnsi="Garamond"/>
                <w:b/>
                <w:lang w:val="en-AU"/>
              </w:rPr>
              <w:t>Supplemental Nutrition Assistance Program</w:t>
            </w:r>
            <w:r w:rsidRPr="002D437E">
              <w:rPr>
                <w:rFonts w:ascii="Garamond" w:hAnsi="Garamond"/>
                <w:lang w:val="en-AU"/>
              </w:rPr>
              <w:t xml:space="preserve"> On Mortality (Colleen M Heflin, Samuel J Ingram, and James P Ziliak</w:t>
            </w:r>
            <w:r>
              <w:rPr>
                <w:rFonts w:ascii="Garamond" w:hAnsi="Garamond"/>
                <w:lang w:val="en-AU"/>
              </w:rPr>
              <w:t>)</w:t>
            </w:r>
          </w:p>
          <w:p w:rsidR="002D437E" w:rsidRPr="002D437E" w:rsidRDefault="002D437E" w:rsidP="002C5EC5">
            <w:pPr>
              <w:pStyle w:val="ListParagraph"/>
              <w:numPr>
                <w:ilvl w:val="0"/>
                <w:numId w:val="15"/>
              </w:numPr>
              <w:rPr>
                <w:rFonts w:ascii="Garamond" w:hAnsi="Garamond"/>
                <w:lang w:val="en-AU"/>
              </w:rPr>
            </w:pPr>
            <w:r w:rsidRPr="002D437E">
              <w:rPr>
                <w:rFonts w:ascii="Garamond" w:hAnsi="Garamond"/>
                <w:lang w:val="en-AU"/>
              </w:rPr>
              <w:t xml:space="preserve">Evaluating A USDA Program That Gives SNAP Participants Financial Incentives To </w:t>
            </w:r>
            <w:r w:rsidRPr="002D437E">
              <w:rPr>
                <w:rFonts w:ascii="Garamond" w:hAnsi="Garamond"/>
                <w:b/>
                <w:lang w:val="en-AU"/>
              </w:rPr>
              <w:t>Buy Fresh Produce</w:t>
            </w:r>
            <w:r w:rsidRPr="002D437E">
              <w:rPr>
                <w:rFonts w:ascii="Garamond" w:hAnsi="Garamond"/>
                <w:lang w:val="en-AU"/>
              </w:rPr>
              <w:t xml:space="preserve"> In Supermarkets (Pasquale E Rummo, Danton Noriega, Alex Parret, Matthew Harding, O Hesterman, and B E Elbel</w:t>
            </w:r>
            <w:r>
              <w:rPr>
                <w:rFonts w:ascii="Garamond" w:hAnsi="Garamond"/>
                <w:lang w:val="en-AU"/>
              </w:rPr>
              <w:t>)</w:t>
            </w:r>
          </w:p>
          <w:p w:rsidR="002D437E" w:rsidRPr="002D437E" w:rsidRDefault="002D437E" w:rsidP="00FA62C0">
            <w:pPr>
              <w:pStyle w:val="ListParagraph"/>
              <w:numPr>
                <w:ilvl w:val="0"/>
                <w:numId w:val="15"/>
              </w:numPr>
              <w:rPr>
                <w:rFonts w:ascii="Garamond" w:hAnsi="Garamond"/>
                <w:lang w:val="en-AU"/>
              </w:rPr>
            </w:pPr>
            <w:r w:rsidRPr="002D437E">
              <w:rPr>
                <w:rFonts w:ascii="Garamond" w:hAnsi="Garamond"/>
                <w:lang w:val="en-AU"/>
              </w:rPr>
              <w:t xml:space="preserve">Cost-Effectiveness Of The </w:t>
            </w:r>
            <w:r w:rsidRPr="002D437E">
              <w:rPr>
                <w:rFonts w:ascii="Garamond" w:hAnsi="Garamond"/>
                <w:b/>
                <w:lang w:val="en-AU"/>
              </w:rPr>
              <w:t>Sugar-Sweetened Beverage Excise Tax</w:t>
            </w:r>
            <w:r w:rsidRPr="002D437E">
              <w:rPr>
                <w:rFonts w:ascii="Garamond" w:hAnsi="Garamond"/>
                <w:lang w:val="en-AU"/>
              </w:rPr>
              <w:t xml:space="preserve"> In Mexico </w:t>
            </w:r>
            <w:r>
              <w:rPr>
                <w:rFonts w:ascii="Garamond" w:hAnsi="Garamond"/>
                <w:lang w:val="en-AU"/>
              </w:rPr>
              <w:t>(</w:t>
            </w:r>
            <w:r w:rsidRPr="002D437E">
              <w:rPr>
                <w:rFonts w:ascii="Garamond" w:hAnsi="Garamond"/>
                <w:lang w:val="en-AU"/>
              </w:rPr>
              <w:t>Ana Basto-Abreu, Tonatiuh Barrientos-Gutiérrez, Dèsirée Vidaña-Pérez, M Arantxa Colchero, Mauricio Hernández-F., Mauricio Hernández-Ávila, Zachary J Ward, Michael W Long, and Steven L Gortmaker</w:t>
            </w:r>
            <w:r>
              <w:rPr>
                <w:rFonts w:ascii="Garamond" w:hAnsi="Garamond"/>
                <w:lang w:val="en-AU"/>
              </w:rPr>
              <w:t>)</w:t>
            </w:r>
          </w:p>
          <w:p w:rsidR="002D437E" w:rsidRPr="002D437E" w:rsidRDefault="002D437E" w:rsidP="00673725">
            <w:pPr>
              <w:pStyle w:val="ListParagraph"/>
              <w:numPr>
                <w:ilvl w:val="0"/>
                <w:numId w:val="15"/>
              </w:numPr>
              <w:rPr>
                <w:rFonts w:ascii="Garamond" w:hAnsi="Garamond"/>
                <w:lang w:val="en-AU"/>
              </w:rPr>
            </w:pPr>
            <w:r w:rsidRPr="00820187">
              <w:rPr>
                <w:rFonts w:ascii="Garamond" w:hAnsi="Garamond"/>
                <w:b/>
                <w:lang w:val="en-AU"/>
              </w:rPr>
              <w:t>Noncommunicable Diseases Attributable To Tobacco Use</w:t>
            </w:r>
            <w:r w:rsidRPr="002D437E">
              <w:rPr>
                <w:rFonts w:ascii="Garamond" w:hAnsi="Garamond"/>
                <w:lang w:val="en-AU"/>
              </w:rPr>
              <w:t xml:space="preserve"> In China: Macroeconomic Burden And Tobacco Control Policies (Simiao Chen, Michael Kuhn, Klaus Prettner, and David E Bloom</w:t>
            </w:r>
            <w:r>
              <w:rPr>
                <w:rFonts w:ascii="Garamond" w:hAnsi="Garamond"/>
                <w:lang w:val="en-AU"/>
              </w:rPr>
              <w:t>)</w:t>
            </w:r>
          </w:p>
          <w:p w:rsidR="002D437E" w:rsidRPr="00820187" w:rsidRDefault="002D437E" w:rsidP="001313F5">
            <w:pPr>
              <w:pStyle w:val="ListParagraph"/>
              <w:numPr>
                <w:ilvl w:val="0"/>
                <w:numId w:val="15"/>
              </w:numPr>
              <w:rPr>
                <w:rFonts w:ascii="Garamond" w:hAnsi="Garamond"/>
                <w:lang w:val="en-AU"/>
              </w:rPr>
            </w:pPr>
            <w:r w:rsidRPr="00820187">
              <w:rPr>
                <w:rFonts w:ascii="Garamond" w:hAnsi="Garamond"/>
                <w:lang w:val="en-AU"/>
              </w:rPr>
              <w:t xml:space="preserve">Did </w:t>
            </w:r>
            <w:r w:rsidRPr="00820187">
              <w:rPr>
                <w:rFonts w:ascii="Garamond" w:hAnsi="Garamond"/>
                <w:b/>
                <w:lang w:val="en-AU"/>
              </w:rPr>
              <w:t>Hospital Readmissions</w:t>
            </w:r>
            <w:r w:rsidRPr="00820187">
              <w:rPr>
                <w:rFonts w:ascii="Garamond" w:hAnsi="Garamond"/>
                <w:lang w:val="en-AU"/>
              </w:rPr>
              <w:t xml:space="preserve"> Fall Because Per Capita Admission Rates Fell?</w:t>
            </w:r>
            <w:r w:rsidR="00820187" w:rsidRPr="00820187">
              <w:rPr>
                <w:rFonts w:ascii="Garamond" w:hAnsi="Garamond"/>
                <w:lang w:val="en-AU"/>
              </w:rPr>
              <w:t xml:space="preserve"> (</w:t>
            </w:r>
            <w:r w:rsidRPr="00820187">
              <w:rPr>
                <w:rFonts w:ascii="Garamond" w:hAnsi="Garamond"/>
                <w:lang w:val="en-AU"/>
              </w:rPr>
              <w:t>J Michael McWilliams, M L Barnett, E T Roberts, P Hamed, and A Mehrotra</w:t>
            </w:r>
            <w:r w:rsidR="00820187">
              <w:rPr>
                <w:rFonts w:ascii="Garamond" w:hAnsi="Garamond"/>
                <w:lang w:val="en-AU"/>
              </w:rPr>
              <w:t>)</w:t>
            </w:r>
          </w:p>
          <w:p w:rsidR="002D437E" w:rsidRPr="00820187" w:rsidRDefault="002D437E" w:rsidP="00CE2690">
            <w:pPr>
              <w:pStyle w:val="ListParagraph"/>
              <w:numPr>
                <w:ilvl w:val="0"/>
                <w:numId w:val="15"/>
              </w:numPr>
              <w:rPr>
                <w:rFonts w:ascii="Garamond" w:hAnsi="Garamond"/>
                <w:lang w:val="en-AU"/>
              </w:rPr>
            </w:pPr>
            <w:r w:rsidRPr="00820187">
              <w:rPr>
                <w:rFonts w:ascii="Garamond" w:hAnsi="Garamond"/>
                <w:lang w:val="en-AU"/>
              </w:rPr>
              <w:t xml:space="preserve">Medicaid Expansion Associated With Reductions In </w:t>
            </w:r>
            <w:r w:rsidRPr="00820187">
              <w:rPr>
                <w:rFonts w:ascii="Garamond" w:hAnsi="Garamond"/>
                <w:b/>
                <w:lang w:val="en-AU"/>
              </w:rPr>
              <w:t>Preventable Hospitalizations</w:t>
            </w:r>
            <w:r w:rsidR="00820187" w:rsidRPr="00820187">
              <w:rPr>
                <w:rFonts w:ascii="Garamond" w:hAnsi="Garamond"/>
                <w:lang w:val="en-AU"/>
              </w:rPr>
              <w:t xml:space="preserve"> (</w:t>
            </w:r>
            <w:r w:rsidRPr="00820187">
              <w:rPr>
                <w:rFonts w:ascii="Garamond" w:hAnsi="Garamond"/>
                <w:lang w:val="en-AU"/>
              </w:rPr>
              <w:t>Hefei Wen, Kenton J Johnston, L Allen, and T M Waters</w:t>
            </w:r>
            <w:r w:rsidR="00820187">
              <w:rPr>
                <w:rFonts w:ascii="Garamond" w:hAnsi="Garamond"/>
                <w:lang w:val="en-AU"/>
              </w:rPr>
              <w:t>)</w:t>
            </w:r>
          </w:p>
          <w:p w:rsidR="002D437E" w:rsidRPr="00820187" w:rsidRDefault="002D437E" w:rsidP="006F7BEE">
            <w:pPr>
              <w:pStyle w:val="ListParagraph"/>
              <w:numPr>
                <w:ilvl w:val="0"/>
                <w:numId w:val="15"/>
              </w:numPr>
              <w:rPr>
                <w:rFonts w:ascii="Garamond" w:hAnsi="Garamond"/>
                <w:lang w:val="en-AU"/>
              </w:rPr>
            </w:pPr>
            <w:r w:rsidRPr="00820187">
              <w:rPr>
                <w:rFonts w:ascii="Garamond" w:hAnsi="Garamond"/>
                <w:lang w:val="en-AU"/>
              </w:rPr>
              <w:t xml:space="preserve">Are </w:t>
            </w:r>
            <w:r w:rsidRPr="00820187">
              <w:rPr>
                <w:rFonts w:ascii="Garamond" w:hAnsi="Garamond"/>
                <w:b/>
                <w:lang w:val="en-AU"/>
              </w:rPr>
              <w:t>Patients Electronically Accessing Their Medical Records</w:t>
            </w:r>
            <w:r w:rsidRPr="00820187">
              <w:rPr>
                <w:rFonts w:ascii="Garamond" w:hAnsi="Garamond"/>
                <w:lang w:val="en-AU"/>
              </w:rPr>
              <w:t>? Evidence From National Hospital Data</w:t>
            </w:r>
            <w:r w:rsidR="00820187" w:rsidRPr="00820187">
              <w:rPr>
                <w:rFonts w:ascii="Garamond" w:hAnsi="Garamond"/>
                <w:lang w:val="en-AU"/>
              </w:rPr>
              <w:t xml:space="preserve"> (</w:t>
            </w:r>
            <w:r w:rsidRPr="00820187">
              <w:rPr>
                <w:rFonts w:ascii="Garamond" w:hAnsi="Garamond"/>
                <w:lang w:val="en-AU"/>
              </w:rPr>
              <w:t>Sunny C Lin, Courtney R Lyles, Urmimala Sarkar, and Julia Adler-Milstein</w:t>
            </w:r>
            <w:r w:rsidR="00820187">
              <w:rPr>
                <w:rFonts w:ascii="Garamond" w:hAnsi="Garamond"/>
                <w:lang w:val="en-AU"/>
              </w:rPr>
              <w:t>)</w:t>
            </w:r>
          </w:p>
          <w:p w:rsidR="002D437E" w:rsidRPr="00820187" w:rsidRDefault="002D437E" w:rsidP="00113DC1">
            <w:pPr>
              <w:pStyle w:val="ListParagraph"/>
              <w:numPr>
                <w:ilvl w:val="0"/>
                <w:numId w:val="15"/>
              </w:numPr>
              <w:rPr>
                <w:rFonts w:ascii="Garamond" w:hAnsi="Garamond"/>
                <w:lang w:val="en-AU"/>
              </w:rPr>
            </w:pPr>
            <w:r w:rsidRPr="00820187">
              <w:rPr>
                <w:rFonts w:ascii="Garamond" w:hAnsi="Garamond"/>
                <w:b/>
                <w:lang w:val="en-AU"/>
              </w:rPr>
              <w:t>Hospital-Acquired Condition Reduction Program</w:t>
            </w:r>
            <w:r w:rsidRPr="00820187">
              <w:rPr>
                <w:rFonts w:ascii="Garamond" w:hAnsi="Garamond"/>
                <w:lang w:val="en-AU"/>
              </w:rPr>
              <w:t xml:space="preserve"> Is Not Associated With Additional Patient Safety Improvement</w:t>
            </w:r>
            <w:r w:rsidR="00820187" w:rsidRPr="00820187">
              <w:rPr>
                <w:rFonts w:ascii="Garamond" w:hAnsi="Garamond"/>
                <w:lang w:val="en-AU"/>
              </w:rPr>
              <w:t xml:space="preserve"> (</w:t>
            </w:r>
            <w:r w:rsidRPr="00820187">
              <w:rPr>
                <w:rFonts w:ascii="Garamond" w:hAnsi="Garamond"/>
                <w:lang w:val="en-AU"/>
              </w:rPr>
              <w:t>Kyle H Sheetz , Justin B Dimick , Michael J Englesbe , and Andrew M Ryan</w:t>
            </w:r>
            <w:r w:rsidR="00820187">
              <w:rPr>
                <w:rFonts w:ascii="Garamond" w:hAnsi="Garamond"/>
                <w:lang w:val="en-AU"/>
              </w:rPr>
              <w:t>)</w:t>
            </w:r>
          </w:p>
          <w:p w:rsidR="002D437E" w:rsidRPr="00820187" w:rsidRDefault="002D437E" w:rsidP="00E244D2">
            <w:pPr>
              <w:pStyle w:val="ListParagraph"/>
              <w:numPr>
                <w:ilvl w:val="0"/>
                <w:numId w:val="15"/>
              </w:numPr>
              <w:rPr>
                <w:rFonts w:ascii="Garamond" w:hAnsi="Garamond"/>
                <w:lang w:val="en-AU"/>
              </w:rPr>
            </w:pPr>
            <w:r w:rsidRPr="00820187">
              <w:rPr>
                <w:rFonts w:ascii="Garamond" w:hAnsi="Garamond"/>
                <w:b/>
                <w:lang w:val="en-AU"/>
              </w:rPr>
              <w:t>Frequent Emergency Department Users</w:t>
            </w:r>
            <w:r w:rsidRPr="00820187">
              <w:rPr>
                <w:rFonts w:ascii="Garamond" w:hAnsi="Garamond"/>
                <w:lang w:val="en-AU"/>
              </w:rPr>
              <w:t>: Focusing Solely On Medical Utilization Misses The Whole Person</w:t>
            </w:r>
            <w:r w:rsidR="00820187" w:rsidRPr="00820187">
              <w:rPr>
                <w:rFonts w:ascii="Garamond" w:hAnsi="Garamond"/>
                <w:lang w:val="en-AU"/>
              </w:rPr>
              <w:t xml:space="preserve"> (</w:t>
            </w:r>
            <w:r w:rsidRPr="00820187">
              <w:rPr>
                <w:rFonts w:ascii="Garamond" w:hAnsi="Garamond"/>
                <w:lang w:val="en-AU"/>
              </w:rPr>
              <w:t>Hemal K Kanzaria, Matthew Niedzwiecki, Caroline L Cawley, Carol Chapman, Sarah H Sabbagh, Emily Riggs, Alice Hm Chen, Maria X Martinez, and Maria C Raven</w:t>
            </w:r>
            <w:r w:rsidR="00820187">
              <w:rPr>
                <w:rFonts w:ascii="Garamond" w:hAnsi="Garamond"/>
                <w:lang w:val="en-AU"/>
              </w:rPr>
              <w:t>)</w:t>
            </w:r>
          </w:p>
          <w:p w:rsidR="002D437E" w:rsidRPr="00820187" w:rsidRDefault="002D437E" w:rsidP="0048609C">
            <w:pPr>
              <w:pStyle w:val="ListParagraph"/>
              <w:numPr>
                <w:ilvl w:val="0"/>
                <w:numId w:val="15"/>
              </w:numPr>
              <w:rPr>
                <w:rFonts w:ascii="Garamond" w:hAnsi="Garamond"/>
                <w:lang w:val="en-AU"/>
              </w:rPr>
            </w:pPr>
            <w:r w:rsidRPr="00820187">
              <w:rPr>
                <w:rFonts w:ascii="Garamond" w:hAnsi="Garamond"/>
                <w:lang w:val="en-AU"/>
              </w:rPr>
              <w:t xml:space="preserve">Potential Unintended Consequences Of Recent </w:t>
            </w:r>
            <w:r w:rsidRPr="00820187">
              <w:rPr>
                <w:rFonts w:ascii="Garamond" w:hAnsi="Garamond"/>
                <w:b/>
                <w:lang w:val="en-AU"/>
              </w:rPr>
              <w:t xml:space="preserve">Shared Decision Making </w:t>
            </w:r>
            <w:r w:rsidRPr="00820187">
              <w:rPr>
                <w:rFonts w:ascii="Garamond" w:hAnsi="Garamond"/>
                <w:lang w:val="en-AU"/>
              </w:rPr>
              <w:t>Policy Initiatives</w:t>
            </w:r>
            <w:r w:rsidR="00820187" w:rsidRPr="00820187">
              <w:rPr>
                <w:rFonts w:ascii="Garamond" w:hAnsi="Garamond"/>
                <w:lang w:val="en-AU"/>
              </w:rPr>
              <w:t xml:space="preserve"> (</w:t>
            </w:r>
            <w:r w:rsidRPr="00820187">
              <w:rPr>
                <w:rFonts w:ascii="Garamond" w:hAnsi="Garamond"/>
                <w:lang w:val="en-AU"/>
              </w:rPr>
              <w:t>Jennifer Blumenthal-Barby, Douglas J Opel, Neal W Dickert, Daniel B Kramer, Brownsyne Tucker Edmonds, Keren Ladin, Monica E Peek, Jeff Peppercorn, and Jon Tilburt</w:t>
            </w:r>
            <w:r w:rsidR="00820187">
              <w:rPr>
                <w:rFonts w:ascii="Garamond" w:hAnsi="Garamond"/>
                <w:lang w:val="en-AU"/>
              </w:rPr>
              <w:t>)</w:t>
            </w:r>
          </w:p>
          <w:p w:rsidR="002D437E" w:rsidRPr="00820187" w:rsidRDefault="002D437E" w:rsidP="00CC5364">
            <w:pPr>
              <w:pStyle w:val="ListParagraph"/>
              <w:numPr>
                <w:ilvl w:val="0"/>
                <w:numId w:val="15"/>
              </w:numPr>
              <w:rPr>
                <w:rFonts w:ascii="Garamond" w:hAnsi="Garamond"/>
                <w:lang w:val="en-AU"/>
              </w:rPr>
            </w:pPr>
            <w:r w:rsidRPr="00820187">
              <w:rPr>
                <w:rFonts w:ascii="Garamond" w:hAnsi="Garamond"/>
                <w:b/>
                <w:lang w:val="en-AU"/>
              </w:rPr>
              <w:t>Biosimilar Filgrastim</w:t>
            </w:r>
            <w:r w:rsidRPr="00820187">
              <w:rPr>
                <w:rFonts w:ascii="Garamond" w:hAnsi="Garamond"/>
                <w:lang w:val="en-AU"/>
              </w:rPr>
              <w:t xml:space="preserve"> Uptake And Costs Among Commercially Insured, Medicare Advantage</w:t>
            </w:r>
            <w:r w:rsidR="00820187" w:rsidRPr="00820187">
              <w:rPr>
                <w:rFonts w:ascii="Garamond" w:hAnsi="Garamond"/>
                <w:lang w:val="en-AU"/>
              </w:rPr>
              <w:t xml:space="preserve"> (</w:t>
            </w:r>
            <w:r w:rsidRPr="00820187">
              <w:rPr>
                <w:rFonts w:ascii="Garamond" w:hAnsi="Garamond"/>
                <w:lang w:val="en-AU"/>
              </w:rPr>
              <w:t>Pinar Karaca-Mandic, Jessica Chang, Ronald Go, Stephen Schondelmeyer, Daniel Weisdorf, and Molly Moore Jeffery</w:t>
            </w:r>
            <w:r w:rsidR="00820187">
              <w:rPr>
                <w:rFonts w:ascii="Garamond" w:hAnsi="Garamond"/>
                <w:lang w:val="en-AU"/>
              </w:rPr>
              <w:t>)</w:t>
            </w:r>
          </w:p>
          <w:p w:rsidR="002D437E" w:rsidRPr="00820187" w:rsidRDefault="002D437E" w:rsidP="006C2C13">
            <w:pPr>
              <w:pStyle w:val="ListParagraph"/>
              <w:numPr>
                <w:ilvl w:val="0"/>
                <w:numId w:val="15"/>
              </w:numPr>
              <w:rPr>
                <w:rFonts w:ascii="Garamond" w:hAnsi="Garamond"/>
                <w:lang w:val="en-AU"/>
              </w:rPr>
            </w:pPr>
            <w:r w:rsidRPr="00820187">
              <w:rPr>
                <w:rFonts w:ascii="Garamond" w:hAnsi="Garamond"/>
                <w:lang w:val="en-AU"/>
              </w:rPr>
              <w:t xml:space="preserve">California’s New Gold Rush: Marketplace Enrollees Switch To </w:t>
            </w:r>
            <w:r w:rsidRPr="00820187">
              <w:rPr>
                <w:rFonts w:ascii="Garamond" w:hAnsi="Garamond"/>
                <w:b/>
                <w:lang w:val="en-AU"/>
              </w:rPr>
              <w:t>Gold-Tier Plans</w:t>
            </w:r>
            <w:r w:rsidRPr="00820187">
              <w:rPr>
                <w:rFonts w:ascii="Garamond" w:hAnsi="Garamond"/>
                <w:lang w:val="en-AU"/>
              </w:rPr>
              <w:t xml:space="preserve"> In Response To Insurance Premium Changes</w:t>
            </w:r>
            <w:r w:rsidR="00820187" w:rsidRPr="00820187">
              <w:rPr>
                <w:rFonts w:ascii="Garamond" w:hAnsi="Garamond"/>
                <w:lang w:val="en-AU"/>
              </w:rPr>
              <w:t xml:space="preserve"> (</w:t>
            </w:r>
            <w:r w:rsidRPr="00820187">
              <w:rPr>
                <w:rFonts w:ascii="Garamond" w:hAnsi="Garamond"/>
                <w:lang w:val="en-AU"/>
              </w:rPr>
              <w:t>Petra W Rasmussen, Thomas Rice, and Gerald F Kominski</w:t>
            </w:r>
            <w:r w:rsidR="00820187">
              <w:rPr>
                <w:rFonts w:ascii="Garamond" w:hAnsi="Garamond"/>
                <w:lang w:val="en-AU"/>
              </w:rPr>
              <w:t>)</w:t>
            </w:r>
          </w:p>
          <w:p w:rsidR="002D437E" w:rsidRPr="007C3778" w:rsidRDefault="002D437E" w:rsidP="00820187">
            <w:pPr>
              <w:pStyle w:val="ListParagraph"/>
              <w:numPr>
                <w:ilvl w:val="0"/>
                <w:numId w:val="15"/>
              </w:numPr>
              <w:rPr>
                <w:rFonts w:ascii="Garamond" w:hAnsi="Garamond"/>
                <w:lang w:val="en-AU"/>
              </w:rPr>
            </w:pPr>
            <w:r w:rsidRPr="00820187">
              <w:rPr>
                <w:rFonts w:ascii="Garamond" w:hAnsi="Garamond"/>
                <w:b/>
                <w:lang w:val="en-AU"/>
              </w:rPr>
              <w:t>Measles, Mumps, And Communion</w:t>
            </w:r>
            <w:r w:rsidRPr="002D437E">
              <w:rPr>
                <w:rFonts w:ascii="Garamond" w:hAnsi="Garamond"/>
                <w:lang w:val="en-AU"/>
              </w:rPr>
              <w:t>: A Vision For Vaccine Policy</w:t>
            </w:r>
            <w:r w:rsidR="00820187">
              <w:rPr>
                <w:rFonts w:ascii="Garamond" w:hAnsi="Garamond"/>
                <w:lang w:val="en-AU"/>
              </w:rPr>
              <w:t xml:space="preserve"> (</w:t>
            </w:r>
            <w:r w:rsidRPr="002D437E">
              <w:rPr>
                <w:rFonts w:ascii="Garamond" w:hAnsi="Garamond"/>
                <w:lang w:val="en-AU"/>
              </w:rPr>
              <w:t>Joshua T B Williams</w:t>
            </w:r>
            <w:r w:rsidR="00820187">
              <w:rPr>
                <w:rFonts w:ascii="Garamond" w:hAnsi="Garamond"/>
                <w:lang w:val="en-AU"/>
              </w:rPr>
              <w:t>)</w:t>
            </w:r>
          </w:p>
        </w:tc>
      </w:tr>
    </w:tbl>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865E67" w:rsidP="007A474A">
            <w:pPr>
              <w:keepNext/>
              <w:rPr>
                <w:rFonts w:ascii="Garamond" w:hAnsi="Garamond"/>
                <w:lang w:val="en-AU"/>
              </w:rPr>
            </w:pPr>
            <w:hyperlink r:id="rId33"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0C5EFA" w:rsidRDefault="00801FC4" w:rsidP="00801FC4">
            <w:pPr>
              <w:pStyle w:val="ListParagraph"/>
              <w:numPr>
                <w:ilvl w:val="0"/>
                <w:numId w:val="14"/>
              </w:numPr>
              <w:rPr>
                <w:rFonts w:ascii="Garamond" w:hAnsi="Garamond"/>
                <w:lang w:val="en-AU"/>
              </w:rPr>
            </w:pPr>
            <w:r w:rsidRPr="00801FC4">
              <w:rPr>
                <w:rFonts w:ascii="Garamond" w:hAnsi="Garamond"/>
                <w:b/>
                <w:lang w:val="en-AU"/>
              </w:rPr>
              <w:t>Obstetric care navigation</w:t>
            </w:r>
            <w:r w:rsidRPr="00801FC4">
              <w:rPr>
                <w:rFonts w:ascii="Garamond" w:hAnsi="Garamond"/>
                <w:lang w:val="en-AU"/>
              </w:rPr>
              <w:t xml:space="preserve">: results of a quality improvement project to provide accompaniment to women for facility-based maternity care in rural Guatemala </w:t>
            </w:r>
            <w:r>
              <w:rPr>
                <w:rFonts w:ascii="Garamond" w:hAnsi="Garamond"/>
                <w:lang w:val="en-AU"/>
              </w:rPr>
              <w:t>(</w:t>
            </w:r>
            <w:r w:rsidRPr="00801FC4">
              <w:rPr>
                <w:rFonts w:ascii="Garamond" w:hAnsi="Garamond"/>
                <w:lang w:val="en-AU"/>
              </w:rPr>
              <w:t>Kirsten Austad, Michel Juarez, Hannah Shryer, Cristina Moratoya, Peter Rohloff</w:t>
            </w:r>
            <w:r>
              <w:rPr>
                <w:rFonts w:ascii="Garamond" w:hAnsi="Garamond"/>
                <w:lang w:val="en-AU"/>
              </w:rPr>
              <w:t>)</w:t>
            </w:r>
          </w:p>
          <w:p w:rsidR="00807F81" w:rsidRPr="00807F81" w:rsidRDefault="00807F81" w:rsidP="00E421B0">
            <w:pPr>
              <w:pStyle w:val="ListParagraph"/>
              <w:numPr>
                <w:ilvl w:val="0"/>
                <w:numId w:val="14"/>
              </w:numPr>
              <w:rPr>
                <w:rFonts w:ascii="Garamond" w:hAnsi="Garamond"/>
                <w:lang w:val="en-AU"/>
              </w:rPr>
            </w:pPr>
            <w:r w:rsidRPr="00807F81">
              <w:rPr>
                <w:rFonts w:ascii="Garamond" w:hAnsi="Garamond"/>
                <w:b/>
                <w:lang w:val="en-AU"/>
              </w:rPr>
              <w:t>Do bedside whiteboards enhance communication</w:t>
            </w:r>
            <w:r w:rsidRPr="00807F81">
              <w:rPr>
                <w:rFonts w:ascii="Garamond" w:hAnsi="Garamond"/>
                <w:lang w:val="en-AU"/>
              </w:rPr>
              <w:t xml:space="preserve"> in hospitals? An exploratory multimethod study of patient and nurse perspectives (Anupama Goyal, Hanna Glanzman, Martha Quinn, Komalpreet Tur, Sweta Singh, Suzanne Winter, Ashley Snyder, Vineet Chopra</w:t>
            </w:r>
            <w:r>
              <w:rPr>
                <w:rFonts w:ascii="Garamond" w:hAnsi="Garamond"/>
                <w:lang w:val="en-AU"/>
              </w:rPr>
              <w:t>)</w:t>
            </w:r>
          </w:p>
          <w:p w:rsidR="00807F81" w:rsidRPr="00807F81" w:rsidRDefault="00807F81" w:rsidP="00414F8E">
            <w:pPr>
              <w:pStyle w:val="ListParagraph"/>
              <w:numPr>
                <w:ilvl w:val="0"/>
                <w:numId w:val="14"/>
              </w:numPr>
              <w:rPr>
                <w:rFonts w:ascii="Garamond" w:hAnsi="Garamond"/>
                <w:lang w:val="en-AU"/>
              </w:rPr>
            </w:pPr>
            <w:r w:rsidRPr="00807F81">
              <w:rPr>
                <w:rFonts w:ascii="Garamond" w:hAnsi="Garamond"/>
                <w:lang w:val="en-AU"/>
              </w:rPr>
              <w:t xml:space="preserve">Editorial: </w:t>
            </w:r>
            <w:r w:rsidRPr="00807F81">
              <w:rPr>
                <w:rFonts w:ascii="Garamond" w:hAnsi="Garamond"/>
                <w:b/>
                <w:lang w:val="en-AU"/>
              </w:rPr>
              <w:t>Inappropriate ED visits</w:t>
            </w:r>
            <w:r w:rsidRPr="00807F81">
              <w:rPr>
                <w:rFonts w:ascii="Garamond" w:hAnsi="Garamond"/>
                <w:lang w:val="en-AU"/>
              </w:rPr>
              <w:t>: patient responsibility or an attribution bias? (Krisda Chaiyachati, Shreya Kangovi</w:t>
            </w:r>
            <w:r>
              <w:rPr>
                <w:rFonts w:ascii="Garamond" w:hAnsi="Garamond"/>
                <w:lang w:val="en-AU"/>
              </w:rPr>
              <w:t>)</w:t>
            </w:r>
          </w:p>
          <w:p w:rsidR="00807F81" w:rsidRPr="00D84575" w:rsidRDefault="00807F81" w:rsidP="00807F81">
            <w:pPr>
              <w:pStyle w:val="ListParagraph"/>
              <w:numPr>
                <w:ilvl w:val="0"/>
                <w:numId w:val="14"/>
              </w:numPr>
              <w:rPr>
                <w:rFonts w:ascii="Garamond" w:hAnsi="Garamond"/>
                <w:lang w:val="en-AU"/>
              </w:rPr>
            </w:pPr>
            <w:r w:rsidRPr="00807F81">
              <w:rPr>
                <w:rFonts w:ascii="Garamond" w:hAnsi="Garamond"/>
                <w:lang w:val="en-AU"/>
              </w:rPr>
              <w:t xml:space="preserve">Improving </w:t>
            </w:r>
            <w:r w:rsidRPr="00807F81">
              <w:rPr>
                <w:rFonts w:ascii="Garamond" w:hAnsi="Garamond"/>
                <w:b/>
                <w:lang w:val="en-AU"/>
              </w:rPr>
              <w:t>end-of-rotation transitions of care among ICU patients</w:t>
            </w:r>
            <w:r>
              <w:rPr>
                <w:rFonts w:ascii="Garamond" w:hAnsi="Garamond"/>
                <w:lang w:val="en-AU"/>
              </w:rPr>
              <w:t xml:space="preserve"> (</w:t>
            </w:r>
            <w:r w:rsidRPr="00807F81">
              <w:rPr>
                <w:rFonts w:ascii="Garamond" w:hAnsi="Garamond"/>
                <w:lang w:val="en-AU"/>
              </w:rPr>
              <w:t>Joshua Lee Denson, Julie Knoeckel, Sara Kjerengtroen, Rachel Johnson, Bryan McNair, Olivia Thornton, Ivor S Douglas, M E Wechsler, R E Burke</w:t>
            </w:r>
            <w:r>
              <w:rPr>
                <w:rFonts w:ascii="Garamond" w:hAnsi="Garamond"/>
                <w:lang w:val="en-AU"/>
              </w:rPr>
              <w:t>)</w:t>
            </w:r>
          </w:p>
        </w:tc>
      </w:tr>
    </w:tbl>
    <w:p w:rsidR="005A00FB" w:rsidRDefault="005A00FB" w:rsidP="005A00FB">
      <w:pPr>
        <w:keepNext/>
        <w:rPr>
          <w:rFonts w:ascii="Garamond" w:hAnsi="Garamond"/>
          <w:i/>
          <w:lang w:val="en-AU"/>
        </w:rPr>
      </w:pPr>
    </w:p>
    <w:p w:rsidR="00A32932" w:rsidRDefault="00A32932" w:rsidP="005A00FB">
      <w:pPr>
        <w:keepNext/>
        <w:rPr>
          <w:rFonts w:ascii="Garamond" w:hAnsi="Garamond"/>
          <w:i/>
          <w:lang w:val="en-AU"/>
        </w:rPr>
      </w:pPr>
    </w:p>
    <w:p w:rsidR="00964A4F" w:rsidRDefault="00964A4F">
      <w:pPr>
        <w:rPr>
          <w:rFonts w:ascii="Garamond" w:hAnsi="Garamond"/>
          <w:i/>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B5717A" w:rsidRDefault="00B5717A" w:rsidP="002F7EE4">
      <w:pPr>
        <w:rPr>
          <w:rFonts w:ascii="Garamond" w:hAnsi="Garamond"/>
          <w:lang w:val="en-AU"/>
        </w:rPr>
      </w:pPr>
    </w:p>
    <w:p w:rsidR="00FE4E6C" w:rsidRPr="00FE4E6C" w:rsidRDefault="00FE4E6C" w:rsidP="002F7EE4">
      <w:pPr>
        <w:rPr>
          <w:rFonts w:ascii="Garamond" w:hAnsi="Garamond"/>
          <w:i/>
          <w:lang w:val="en-AU"/>
        </w:rPr>
      </w:pPr>
      <w:r w:rsidRPr="00FE4E6C">
        <w:rPr>
          <w:rFonts w:ascii="Garamond" w:hAnsi="Garamond"/>
          <w:i/>
          <w:lang w:val="en-AU"/>
        </w:rPr>
        <w:t>Guidance on use of bed rails</w:t>
      </w:r>
    </w:p>
    <w:p w:rsidR="00FE4E6C" w:rsidRPr="00FE4E6C" w:rsidRDefault="00865E67" w:rsidP="002F7EE4">
      <w:pPr>
        <w:rPr>
          <w:rFonts w:ascii="Garamond" w:hAnsi="Garamond"/>
          <w:sz w:val="22"/>
          <w:szCs w:val="22"/>
          <w:lang w:val="en-AU"/>
        </w:rPr>
      </w:pPr>
      <w:hyperlink r:id="rId34" w:history="1">
        <w:r w:rsidR="00FE4E6C" w:rsidRPr="00FE4E6C">
          <w:rPr>
            <w:rStyle w:val="Hyperlink"/>
            <w:rFonts w:ascii="Garamond" w:hAnsi="Garamond"/>
            <w:sz w:val="22"/>
            <w:szCs w:val="22"/>
            <w:lang w:val="en-AU"/>
          </w:rPr>
          <w:t>https://www.bettersafercare.vic.gov.au/resources/clinical-guidance/older-people/guidance-on-use-of-bed-rails</w:t>
        </w:r>
      </w:hyperlink>
    </w:p>
    <w:p w:rsidR="00FE4E6C" w:rsidRDefault="00FE4E6C" w:rsidP="002F7EE4">
      <w:pPr>
        <w:rPr>
          <w:rFonts w:ascii="Garamond" w:hAnsi="Garamond"/>
          <w:lang w:val="en-AU"/>
        </w:rPr>
      </w:pPr>
      <w:r>
        <w:rPr>
          <w:rFonts w:ascii="Garamond" w:hAnsi="Garamond"/>
          <w:lang w:val="en-AU"/>
        </w:rPr>
        <w:t xml:space="preserve">Safer Care Victoria has released this guidance (and </w:t>
      </w:r>
      <w:r w:rsidRPr="00FE4E6C">
        <w:rPr>
          <w:rFonts w:ascii="Garamond" w:hAnsi="Garamond"/>
          <w:lang w:val="en-AU"/>
        </w:rPr>
        <w:t>a flowchart and a consumer information sheet</w:t>
      </w:r>
      <w:r>
        <w:rPr>
          <w:rFonts w:ascii="Garamond" w:hAnsi="Garamond"/>
          <w:lang w:val="en-AU"/>
        </w:rPr>
        <w:t>) to aid in the safe use of bed rails in the care of older patients.</w:t>
      </w:r>
    </w:p>
    <w:p w:rsidR="00FE4E6C" w:rsidRDefault="00FE4E6C" w:rsidP="002F7EE4">
      <w:pPr>
        <w:rPr>
          <w:rFonts w:ascii="Garamond" w:hAnsi="Garamond"/>
          <w:lang w:val="en-AU"/>
        </w:rPr>
      </w:pPr>
      <w:r>
        <w:rPr>
          <w:rFonts w:ascii="Garamond" w:hAnsi="Garamond"/>
          <w:noProof/>
          <w:lang w:val="en-AU" w:eastAsia="en-AU"/>
        </w:rPr>
        <w:drawing>
          <wp:inline distT="0" distB="0" distL="0" distR="0">
            <wp:extent cx="6115050" cy="3648075"/>
            <wp:effectExtent l="0" t="0" r="0" b="9525"/>
            <wp:docPr id="1" name="Picture 1" descr="\\central.health\DfsUserEnv\Users\User_07\JOHNNI\Pictures\bed r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bed rail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15050" cy="3648075"/>
                    </a:xfrm>
                    <a:prstGeom prst="rect">
                      <a:avLst/>
                    </a:prstGeom>
                    <a:noFill/>
                    <a:ln>
                      <a:noFill/>
                    </a:ln>
                  </pic:spPr>
                </pic:pic>
              </a:graphicData>
            </a:graphic>
          </wp:inline>
        </w:drawing>
      </w:r>
    </w:p>
    <w:p w:rsidR="00B811C2" w:rsidRPr="00781AA4" w:rsidRDefault="00B811C2" w:rsidP="002F7EE4">
      <w:pPr>
        <w:rPr>
          <w:rFonts w:ascii="Garamond" w:hAnsi="Garamond"/>
          <w:lang w:val="en-AU"/>
        </w:rPr>
      </w:pPr>
    </w:p>
    <w:p w:rsidR="0060144A" w:rsidRDefault="002738FF" w:rsidP="005A00FB">
      <w:pPr>
        <w:keepNext/>
        <w:keepLines/>
        <w:rPr>
          <w:rFonts w:ascii="Garamond" w:hAnsi="Garamond"/>
          <w:i/>
          <w:lang w:val="en-AU"/>
        </w:rPr>
      </w:pPr>
      <w:r>
        <w:rPr>
          <w:rFonts w:ascii="Garamond" w:hAnsi="Garamond"/>
          <w:i/>
          <w:lang w:val="en-AU"/>
        </w:rPr>
        <w:t xml:space="preserve">[NZ] </w:t>
      </w:r>
      <w:r w:rsidR="0060144A" w:rsidRPr="0060144A">
        <w:rPr>
          <w:rFonts w:ascii="Garamond" w:hAnsi="Garamond"/>
          <w:i/>
          <w:lang w:val="en-AU"/>
        </w:rPr>
        <w:t>Who me – biased? He ngākau haukume tōku?</w:t>
      </w:r>
    </w:p>
    <w:p w:rsidR="0060144A" w:rsidRDefault="00865E67" w:rsidP="005A00FB">
      <w:pPr>
        <w:keepNext/>
        <w:keepLines/>
        <w:rPr>
          <w:rFonts w:ascii="Garamond" w:hAnsi="Garamond"/>
          <w:lang w:val="en-AU"/>
        </w:rPr>
      </w:pPr>
      <w:hyperlink r:id="rId36" w:history="1">
        <w:r w:rsidR="0060144A" w:rsidRPr="000A4387">
          <w:rPr>
            <w:rStyle w:val="Hyperlink"/>
            <w:rFonts w:ascii="Garamond" w:hAnsi="Garamond"/>
            <w:lang w:val="en-AU"/>
          </w:rPr>
          <w:t>https://www.hqsc.govt.nz/our-programmes/patient-safety-week/news-and-events/news/3867/</w:t>
        </w:r>
      </w:hyperlink>
    </w:p>
    <w:p w:rsidR="0060144A" w:rsidRDefault="0060144A" w:rsidP="005A00FB">
      <w:pPr>
        <w:keepNext/>
        <w:keepLines/>
        <w:rPr>
          <w:rFonts w:ascii="Garamond" w:hAnsi="Garamond"/>
          <w:lang w:val="en-AU"/>
        </w:rPr>
      </w:pPr>
      <w:r>
        <w:rPr>
          <w:rFonts w:ascii="Garamond" w:hAnsi="Garamond"/>
          <w:lang w:val="en-AU"/>
        </w:rPr>
        <w:t>The Health Quality &amp; Safety Commission New Zealand included a focus on bias in its Patient Safety Week 2019 (</w:t>
      </w:r>
      <w:hyperlink r:id="rId37" w:history="1">
        <w:r w:rsidRPr="000A4387">
          <w:rPr>
            <w:rStyle w:val="Hyperlink"/>
            <w:rFonts w:ascii="Garamond" w:hAnsi="Garamond"/>
            <w:lang w:val="en-AU"/>
          </w:rPr>
          <w:t>https://www.hqsc.govt.nz/our-programmes/patient-safety-week/psw-2019/</w:t>
        </w:r>
      </w:hyperlink>
      <w:r>
        <w:rPr>
          <w:rFonts w:ascii="Garamond" w:hAnsi="Garamond"/>
          <w:lang w:val="en-AU"/>
        </w:rPr>
        <w:t xml:space="preserve">). The Commission has developed learning modules on </w:t>
      </w:r>
      <w:r w:rsidRPr="0060144A">
        <w:rPr>
          <w:rFonts w:ascii="Garamond" w:hAnsi="Garamond"/>
          <w:b/>
          <w:lang w:val="en-AU"/>
        </w:rPr>
        <w:t>Understanding bias in health care</w:t>
      </w:r>
      <w:r>
        <w:rPr>
          <w:rFonts w:ascii="Garamond" w:hAnsi="Garamond"/>
          <w:lang w:val="en-AU"/>
        </w:rPr>
        <w:t xml:space="preserve">. The modules </w:t>
      </w:r>
      <w:r w:rsidRPr="0060144A">
        <w:rPr>
          <w:rFonts w:ascii="Garamond" w:hAnsi="Garamond"/>
          <w:lang w:val="en-AU"/>
        </w:rPr>
        <w:t xml:space="preserve">are available at </w:t>
      </w:r>
      <w:hyperlink r:id="rId38" w:history="1">
        <w:r w:rsidRPr="000A4387">
          <w:rPr>
            <w:rStyle w:val="Hyperlink"/>
            <w:rFonts w:ascii="Garamond" w:hAnsi="Garamond"/>
            <w:lang w:val="en-AU"/>
          </w:rPr>
          <w:t>www.hqsc.govt.nz/understanding-bias</w:t>
        </w:r>
      </w:hyperlink>
    </w:p>
    <w:p w:rsidR="0060144A" w:rsidRPr="0060144A" w:rsidRDefault="0060144A" w:rsidP="005A00FB">
      <w:pPr>
        <w:keepNext/>
        <w:keepLines/>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865E67" w:rsidP="005A00FB">
      <w:pPr>
        <w:keepNext/>
        <w:keepLines/>
        <w:rPr>
          <w:rFonts w:ascii="Garamond" w:hAnsi="Garamond"/>
          <w:u w:val="single"/>
          <w:lang w:val="en-AU"/>
        </w:rPr>
      </w:pPr>
      <w:hyperlink r:id="rId39"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172EA1" w:rsidRPr="00172EA1" w:rsidRDefault="00172EA1" w:rsidP="00807F81">
      <w:pPr>
        <w:pStyle w:val="ListParagraph"/>
        <w:keepNext/>
        <w:keepLines/>
        <w:numPr>
          <w:ilvl w:val="0"/>
          <w:numId w:val="14"/>
        </w:numPr>
        <w:rPr>
          <w:rFonts w:ascii="Garamond" w:hAnsi="Garamond"/>
          <w:lang w:val="en-AU"/>
        </w:rPr>
      </w:pPr>
      <w:r w:rsidRPr="00172EA1">
        <w:rPr>
          <w:rFonts w:ascii="Garamond" w:hAnsi="Garamond"/>
          <w:lang w:val="en-AU"/>
        </w:rPr>
        <w:t>NICE Guideline NG</w:t>
      </w:r>
      <w:r w:rsidR="00807F81">
        <w:rPr>
          <w:rFonts w:ascii="Garamond" w:hAnsi="Garamond"/>
          <w:lang w:val="en-AU"/>
        </w:rPr>
        <w:t xml:space="preserve">143 </w:t>
      </w:r>
      <w:r w:rsidR="00807F81" w:rsidRPr="00807F81">
        <w:rPr>
          <w:rFonts w:ascii="Garamond" w:hAnsi="Garamond"/>
          <w:b/>
          <w:i/>
          <w:lang w:val="en-AU"/>
        </w:rPr>
        <w:t>Fever in under 5s</w:t>
      </w:r>
      <w:r w:rsidR="00807F81" w:rsidRPr="00807F81">
        <w:rPr>
          <w:rFonts w:ascii="Garamond" w:hAnsi="Garamond"/>
          <w:i/>
          <w:lang w:val="en-AU"/>
        </w:rPr>
        <w:t xml:space="preserve">: assessment and initial management </w:t>
      </w:r>
      <w:hyperlink r:id="rId40" w:history="1">
        <w:r w:rsidR="00807F81" w:rsidRPr="007871BC">
          <w:rPr>
            <w:rStyle w:val="Hyperlink"/>
            <w:rFonts w:ascii="Garamond" w:hAnsi="Garamond"/>
            <w:lang w:val="en-AU"/>
          </w:rPr>
          <w:t>https://www.nice.org.uk/guidance/ng143</w:t>
        </w:r>
      </w:hyperlink>
    </w:p>
    <w:p w:rsidR="00A32932" w:rsidRDefault="00A32932" w:rsidP="00FA11D5">
      <w:pPr>
        <w:keepLines/>
        <w:jc w:val="both"/>
        <w:rPr>
          <w:rFonts w:ascii="Garamond" w:hAnsi="Garamond"/>
          <w:lang w:val="en-AU"/>
        </w:rPr>
      </w:pPr>
    </w:p>
    <w:p w:rsidR="00C5077F" w:rsidRPr="00807F81" w:rsidRDefault="00807F81" w:rsidP="00FA11D5">
      <w:pPr>
        <w:keepLines/>
        <w:jc w:val="both"/>
        <w:rPr>
          <w:rFonts w:ascii="Garamond" w:hAnsi="Garamond"/>
          <w:i/>
          <w:lang w:val="en-AU"/>
        </w:rPr>
      </w:pPr>
      <w:r w:rsidRPr="00807F81">
        <w:rPr>
          <w:rFonts w:ascii="Garamond" w:hAnsi="Garamond"/>
          <w:i/>
          <w:lang w:val="en-AU"/>
        </w:rPr>
        <w:t xml:space="preserve">[USA] </w:t>
      </w:r>
      <w:r w:rsidR="007628D6" w:rsidRPr="007628D6">
        <w:rPr>
          <w:rFonts w:ascii="Garamond" w:hAnsi="Garamond"/>
          <w:i/>
          <w:lang w:val="en-AU"/>
        </w:rPr>
        <w:t xml:space="preserve">Antimicrobial Resistance </w:t>
      </w:r>
      <w:r w:rsidRPr="00807F81">
        <w:rPr>
          <w:rFonts w:ascii="Garamond" w:hAnsi="Garamond"/>
          <w:i/>
          <w:lang w:val="en-AU"/>
        </w:rPr>
        <w:t>Surveillance</w:t>
      </w:r>
    </w:p>
    <w:p w:rsidR="00807F81" w:rsidRDefault="00865E67" w:rsidP="00FA11D5">
      <w:pPr>
        <w:keepLines/>
        <w:jc w:val="both"/>
        <w:rPr>
          <w:rFonts w:ascii="Garamond" w:hAnsi="Garamond"/>
          <w:lang w:val="en-AU"/>
        </w:rPr>
      </w:pPr>
      <w:hyperlink r:id="rId41" w:history="1">
        <w:r w:rsidR="00807F81" w:rsidRPr="007871BC">
          <w:rPr>
            <w:rStyle w:val="Hyperlink"/>
            <w:rFonts w:ascii="Garamond" w:hAnsi="Garamond"/>
            <w:lang w:val="en-AU"/>
          </w:rPr>
          <w:t>http://www.cidrap.umn.edu/asp/surveillance</w:t>
        </w:r>
      </w:hyperlink>
    </w:p>
    <w:p w:rsidR="00807F81" w:rsidRDefault="00807F81" w:rsidP="00FA11D5">
      <w:pPr>
        <w:keepLines/>
        <w:jc w:val="both"/>
        <w:rPr>
          <w:rFonts w:ascii="Garamond" w:hAnsi="Garamond"/>
          <w:lang w:val="en-AU"/>
        </w:rPr>
      </w:pPr>
      <w:r>
        <w:rPr>
          <w:rFonts w:ascii="Garamond" w:hAnsi="Garamond"/>
          <w:lang w:val="en-AU"/>
        </w:rPr>
        <w:t>The Center for Infectious Disease Research and Policy (CI</w:t>
      </w:r>
      <w:r w:rsidR="007628D6">
        <w:rPr>
          <w:rFonts w:ascii="Garamond" w:hAnsi="Garamond"/>
          <w:lang w:val="en-AU"/>
        </w:rPr>
        <w:t>D</w:t>
      </w:r>
      <w:r>
        <w:rPr>
          <w:rFonts w:ascii="Garamond" w:hAnsi="Garamond"/>
          <w:lang w:val="en-AU"/>
        </w:rPr>
        <w:t>RAP) at the University of Minnesota</w:t>
      </w:r>
      <w:r w:rsidR="007628D6">
        <w:rPr>
          <w:rFonts w:ascii="Garamond" w:hAnsi="Garamond"/>
          <w:lang w:val="en-AU"/>
        </w:rPr>
        <w:t xml:space="preserve"> has added this page to their resources. The page covers </w:t>
      </w:r>
      <w:r w:rsidR="007628D6" w:rsidRPr="007628D6">
        <w:rPr>
          <w:rFonts w:ascii="Garamond" w:hAnsi="Garamond"/>
          <w:lang w:val="en-AU"/>
        </w:rPr>
        <w:t>surveillance-related resources from around the world that monitor trends in antimicrobial resistance and antimicrobial use from human, animal, and environmental sources.</w:t>
      </w:r>
    </w:p>
    <w:p w:rsidR="00807F81" w:rsidRDefault="00807F81" w:rsidP="00FA11D5">
      <w:pPr>
        <w:keepLines/>
        <w:jc w:val="both"/>
        <w:rPr>
          <w:rFonts w:ascii="Garamond" w:hAnsi="Garamond"/>
          <w:lang w:val="en-AU"/>
        </w:rPr>
      </w:pPr>
    </w:p>
    <w:p w:rsidR="00807F81" w:rsidRDefault="00807F81"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A" w:rsidRDefault="007A474A">
      <w:r>
        <w:separator/>
      </w:r>
    </w:p>
  </w:endnote>
  <w:endnote w:type="continuationSeparator" w:id="0">
    <w:p w:rsidR="007A474A" w:rsidRDefault="007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Default="007A474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65E67">
      <w:rPr>
        <w:rStyle w:val="PageNumber"/>
        <w:noProof/>
      </w:rPr>
      <w:t>2</w:t>
    </w:r>
    <w:r>
      <w:rPr>
        <w:rStyle w:val="PageNumber"/>
      </w:rPr>
      <w:fldChar w:fldCharType="end"/>
    </w:r>
  </w:p>
  <w:p w:rsidR="007A474A" w:rsidRPr="001E78F0" w:rsidRDefault="007A474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337CB">
      <w:rPr>
        <w:rFonts w:ascii="Garamond" w:hAnsi="Garamond"/>
      </w:rPr>
      <w:t xml:space="preserve"> Issue 440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Pr="001E78F0" w:rsidRDefault="007A474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865E67">
      <w:rPr>
        <w:rStyle w:val="PageNumber"/>
        <w:rFonts w:ascii="Garamond" w:hAnsi="Garamond"/>
        <w:noProof/>
      </w:rPr>
      <w:t>1</w:t>
    </w:r>
    <w:r w:rsidRPr="001E78F0">
      <w:rPr>
        <w:rStyle w:val="PageNumber"/>
        <w:rFonts w:ascii="Garamond" w:hAnsi="Garamond"/>
      </w:rPr>
      <w:fldChar w:fldCharType="end"/>
    </w:r>
  </w:p>
  <w:p w:rsidR="007A474A" w:rsidRPr="001E78F0" w:rsidRDefault="007A474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337CB">
      <w:rPr>
        <w:rFonts w:ascii="Garamond" w:hAnsi="Garamond"/>
      </w:rPr>
      <w:t xml:space="preserve"> Issue 440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A" w:rsidRDefault="007A474A">
      <w:r>
        <w:separator/>
      </w:r>
    </w:p>
  </w:footnote>
  <w:footnote w:type="continuationSeparator" w:id="0">
    <w:p w:rsidR="007A474A" w:rsidRDefault="007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1D4BB9"/>
    <w:multiLevelType w:val="hybridMultilevel"/>
    <w:tmpl w:val="736EC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8F25A9"/>
    <w:multiLevelType w:val="hybridMultilevel"/>
    <w:tmpl w:val="F6C0AA4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num w:numId="1">
    <w:abstractNumId w:val="15"/>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2"/>
  </w:num>
  <w:num w:numId="16">
    <w:abstractNumId w:val="14"/>
  </w:num>
  <w:num w:numId="17">
    <w:abstractNumId w:val="11"/>
  </w:num>
  <w:num w:numId="18">
    <w:abstractNumId w:val="17"/>
  </w:num>
  <w:num w:numId="19">
    <w:abstractNumId w:val="13"/>
  </w:num>
  <w:num w:numId="20">
    <w:abstractNumId w:val="20"/>
  </w:num>
  <w:num w:numId="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355"/>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DFB"/>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1C"/>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2EA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5DCA"/>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8FF"/>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651"/>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2ABD"/>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0D3A"/>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37E"/>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6DFA"/>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9B"/>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0E97"/>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8F2"/>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44A"/>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743"/>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8D6"/>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81"/>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87"/>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4D8"/>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BB"/>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67"/>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B01"/>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DC9"/>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5E0"/>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17A"/>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5CF1"/>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3D6"/>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0DB"/>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946"/>
    <w:rsid w:val="00E239D3"/>
    <w:rsid w:val="00E244CA"/>
    <w:rsid w:val="00E244DB"/>
    <w:rsid w:val="00E2451D"/>
    <w:rsid w:val="00E245C8"/>
    <w:rsid w:val="00E24843"/>
    <w:rsid w:val="00E24AED"/>
    <w:rsid w:val="00E24E76"/>
    <w:rsid w:val="00E24EDB"/>
    <w:rsid w:val="00E250AD"/>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C7"/>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6C5"/>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A7C"/>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81F"/>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0529"/>
    <o:shapelayout v:ext="edit">
      <o:idmap v:ext="edit" data="1"/>
    </o:shapelayout>
  </w:shapeDefaults>
  <w:decimalSymbol w:val="."/>
  <w:listSeparator w:val=","/>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www.safetyandquality.gov.au/nhhi" TargetMode="External"/><Relationship Id="rId26" Type="http://schemas.openxmlformats.org/officeDocument/2006/relationships/hyperlink" Target="https://doi.org/10.1136/bmjqs-2019-009689" TargetMode="External"/><Relationship Id="rId39" Type="http://schemas.openxmlformats.org/officeDocument/2006/relationships/hyperlink" Target="https://www.nice.org.uk/guidance" TargetMode="External"/><Relationship Id="rId3" Type="http://schemas.openxmlformats.org/officeDocument/2006/relationships/styles" Target="styles.xml"/><Relationship Id="rId21" Type="http://schemas.openxmlformats.org/officeDocument/2006/relationships/hyperlink" Target="http://www.cec.health.nsw.gov.au/patient-safety-programs/medication-safety/continuity-of-medication-management/medication-review" TargetMode="External"/><Relationship Id="rId34" Type="http://schemas.openxmlformats.org/officeDocument/2006/relationships/hyperlink" Target="https://www.bettersafercare.vic.gov.au/resources/clinical-guidance/older-people/guidance-on-use-of-bed-rail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nhhi" TargetMode="External"/><Relationship Id="rId25" Type="http://schemas.openxmlformats.org/officeDocument/2006/relationships/hyperlink" Target="https://www.safetyandquality.gov.au/our-work/partnering-consumers"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www.hqsc.govt.nz/understanding-bia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dementia.org.au/files/documents/DA%20Dying%20Well%20Discussion%20Paper%20FINAL%20for%20online.pdf" TargetMode="External"/><Relationship Id="rId29" Type="http://schemas.openxmlformats.org/officeDocument/2006/relationships/hyperlink" Target="https://doi.org/10.1542/peds.2019-0589" TargetMode="External"/><Relationship Id="rId41" Type="http://schemas.openxmlformats.org/officeDocument/2006/relationships/hyperlink" Target="http://www.cidrap.umn.edu/asp/surveill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latrobe.edu.au/social-media-use-in-hospitals" TargetMode="External"/><Relationship Id="rId32" Type="http://schemas.openxmlformats.org/officeDocument/2006/relationships/hyperlink" Target="https://www.healthaffairs.org/toc/hlthaff/38/11" TargetMode="External"/><Relationship Id="rId37" Type="http://schemas.openxmlformats.org/officeDocument/2006/relationships/hyperlink" Target="https://www.hqsc.govt.nz/our-programmes/patient-safety-week/psw-2019/" TargetMode="External"/><Relationship Id="rId40" Type="http://schemas.openxmlformats.org/officeDocument/2006/relationships/hyperlink" Target="https://www.nice.org.uk/guidance/ng14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clostridium-difficile-infection-2017-data-snapshot" TargetMode="External"/><Relationship Id="rId23" Type="http://schemas.openxmlformats.org/officeDocument/2006/relationships/hyperlink" Target="https://doi.org/10.1111/jan.14227" TargetMode="External"/><Relationship Id="rId28" Type="http://schemas.openxmlformats.org/officeDocument/2006/relationships/hyperlink" Target="https://doi.org/10.1093/cid/ciz941" TargetMode="External"/><Relationship Id="rId36" Type="http://schemas.openxmlformats.org/officeDocument/2006/relationships/hyperlink" Target="https://www.hqsc.govt.nz/our-programmes/patient-safety-week/news-and-events/news/3867/"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mailto:handhygiene@safetyandquality.gov.au" TargetMode="External"/><Relationship Id="rId31" Type="http://schemas.openxmlformats.org/officeDocument/2006/relationships/hyperlink" Target="https://pxjournal.org/journal/vol6/iss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standards/nsqhs-standards" TargetMode="External"/><Relationship Id="rId27" Type="http://schemas.openxmlformats.org/officeDocument/2006/relationships/hyperlink" Target="https://doi.org/10.1177/0141076819877542" TargetMode="External"/><Relationship Id="rId30" Type="http://schemas.openxmlformats.org/officeDocument/2006/relationships/hyperlink" Target="https://www.safetyandquality.gov.au/our-work/antimicrobial-stewardship" TargetMode="External"/><Relationship Id="rId35" Type="http://schemas.openxmlformats.org/officeDocument/2006/relationships/image" Target="media/image3.jpe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FADB7-501B-4EF5-9DBD-98DD21DB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9</Pages>
  <Words>3208</Words>
  <Characters>20435</Characters>
  <Application>Microsoft Office Word</Application>
  <DocSecurity>0</DocSecurity>
  <Lines>417</Lines>
  <Paragraphs>193</Paragraphs>
  <ScaleCrop>false</ScaleCrop>
  <HeadingPairs>
    <vt:vector size="2" baseType="variant">
      <vt:variant>
        <vt:lpstr>Title</vt:lpstr>
      </vt:variant>
      <vt:variant>
        <vt:i4>1</vt:i4>
      </vt:variant>
    </vt:vector>
  </HeadingPairs>
  <TitlesOfParts>
    <vt:vector size="1" baseType="lpstr">
      <vt:lpstr>On the Radar Issue 439</vt:lpstr>
    </vt:vector>
  </TitlesOfParts>
  <Company>ACSQHC</Company>
  <LinksUpToDate>false</LinksUpToDate>
  <CharactersWithSpaces>23450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440</dc:title>
  <dc:subject/>
  <dc:creator>Dr Niall Johnson</dc:creator>
  <cp:keywords/>
  <dc:description/>
  <cp:lastModifiedBy>Johnson, Niall</cp:lastModifiedBy>
  <cp:revision>12</cp:revision>
  <cp:lastPrinted>2018-03-02T02:34:00Z</cp:lastPrinted>
  <dcterms:created xsi:type="dcterms:W3CDTF">2019-11-03T20:32:00Z</dcterms:created>
  <dcterms:modified xsi:type="dcterms:W3CDTF">2019-11-08T01:31:00Z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