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D9C6E" w14:textId="77777777" w:rsidR="00B93CD5" w:rsidRPr="00B93CD5" w:rsidRDefault="00B93CD5" w:rsidP="00E04621">
      <w:pPr>
        <w:pStyle w:val="Subheading"/>
        <w:spacing w:after="0"/>
        <w:jc w:val="right"/>
        <w:rPr>
          <w:color w:val="000000" w:themeColor="text1"/>
          <w:sz w:val="24"/>
          <w:lang w:val="en-US"/>
        </w:rPr>
      </w:pPr>
      <w:bookmarkStart w:id="0" w:name="_Toc476822632"/>
      <w:bookmarkStart w:id="1" w:name="_Toc476822653"/>
      <w:r w:rsidRPr="00B93CD5">
        <w:rPr>
          <w:color w:val="000000" w:themeColor="text1"/>
          <w:sz w:val="24"/>
          <w:lang w:val="en-US"/>
        </w:rPr>
        <w:t xml:space="preserve">CLASSIFICATION TOOL </w:t>
      </w:r>
    </w:p>
    <w:p w14:paraId="5686FAE8" w14:textId="77777777" w:rsidR="00195458" w:rsidRPr="00F44A09" w:rsidRDefault="00B93CD5" w:rsidP="00E04621">
      <w:pPr>
        <w:pStyle w:val="Subheading"/>
        <w:spacing w:before="0" w:after="240"/>
        <w:jc w:val="right"/>
        <w:rPr>
          <w:color w:val="000000" w:themeColor="text1"/>
          <w:sz w:val="24"/>
        </w:rPr>
      </w:pPr>
      <w:proofErr w:type="gramStart"/>
      <w:r w:rsidRPr="00B93CD5">
        <w:rPr>
          <w:color w:val="000000" w:themeColor="text1"/>
          <w:sz w:val="24"/>
          <w:lang w:val="en-US"/>
        </w:rPr>
        <w:t>for</w:t>
      </w:r>
      <w:proofErr w:type="gramEnd"/>
      <w:r w:rsidRPr="00B93CD5">
        <w:rPr>
          <w:color w:val="000000" w:themeColor="text1"/>
          <w:sz w:val="24"/>
          <w:lang w:val="en-US"/>
        </w:rPr>
        <w:t xml:space="preserve"> health service </w:t>
      </w:r>
      <w:proofErr w:type="spellStart"/>
      <w:r w:rsidRPr="00B93CD5">
        <w:rPr>
          <w:color w:val="000000" w:themeColor="text1"/>
          <w:sz w:val="24"/>
          <w:lang w:val="en-US"/>
        </w:rPr>
        <w:t>organisations</w:t>
      </w:r>
      <w:proofErr w:type="spellEnd"/>
    </w:p>
    <w:p w14:paraId="1354730C" w14:textId="77777777" w:rsidR="002E7082" w:rsidRDefault="000943BC" w:rsidP="002E7082">
      <w:pPr>
        <w:pStyle w:val="Title"/>
      </w:pPr>
      <w:r>
        <w:t>A medicine incident classification system</w:t>
      </w:r>
      <w:r>
        <w:rPr>
          <w:rStyle w:val="H1Asterisk"/>
        </w:rPr>
        <w:t>*</w:t>
      </w:r>
    </w:p>
    <w:bookmarkEnd w:id="0"/>
    <w:bookmarkEnd w:id="1"/>
    <w:p w14:paraId="29CE41E4" w14:textId="77777777" w:rsidR="000943BC" w:rsidRDefault="000943BC" w:rsidP="000943BC">
      <w:r>
        <w:t>The Australian Commission on Safety and Quality in Health Care (the Commission) is an Australian Government agency that leads and coordinates national improvements in the safety and quality of health care based on the best available evidence. By working in partnership with patients, carers, clinicians, the Australian, state and territory health systems, the private sector, managers and healthcare organisations, the Commission aims to ensure that the health system is better informed, supported and organised to deliver safe and high-quality care.</w:t>
      </w:r>
    </w:p>
    <w:p w14:paraId="68C299F3" w14:textId="77777777" w:rsidR="000943BC" w:rsidRDefault="000943BC" w:rsidP="000943BC">
      <w:r>
        <w:t xml:space="preserve">The development of standardised taxonomies to describe clinical incidents related to EMM systems continues to be a challenge in Australia and internationally with a multitude of classifications available for implementation. </w:t>
      </w:r>
    </w:p>
    <w:p w14:paraId="0C98DC1E" w14:textId="77777777" w:rsidR="000943BC" w:rsidRDefault="000943BC" w:rsidP="000943BC">
      <w:r>
        <w:t xml:space="preserve">Australia required a standardised health IT-related </w:t>
      </w:r>
      <w:r>
        <w:rPr>
          <w:spacing w:val="-1"/>
        </w:rPr>
        <w:t xml:space="preserve">incident classification system that provides a unified and </w:t>
      </w:r>
      <w:r>
        <w:t xml:space="preserve">consensus-based approach that can be readily applied during the EMM implementation process. This led to the development of </w:t>
      </w:r>
      <w:hyperlink r:id="rId8" w:anchor="guidance-for-hospitals:-emm-incident-classification" w:history="1">
        <w:r w:rsidRPr="000A4B51">
          <w:rPr>
            <w:rStyle w:val="Hyperlink"/>
          </w:rPr>
          <w:t>Guidance for hospitals: Classifying EMM-related adverse events and incidents</w:t>
        </w:r>
      </w:hyperlink>
      <w:r>
        <w:t xml:space="preserve"> (the Guidance).</w:t>
      </w:r>
    </w:p>
    <w:p w14:paraId="5F412065" w14:textId="77777777" w:rsidR="000943BC" w:rsidRDefault="000943BC" w:rsidP="000943BC">
      <w:pPr>
        <w:pStyle w:val="Heading2"/>
      </w:pPr>
      <w:r>
        <w:t>Classification of prescribing and medicine administration adverse events and incidents</w:t>
      </w:r>
    </w:p>
    <w:p w14:paraId="6084B70E" w14:textId="77777777" w:rsidR="000943BC" w:rsidRDefault="000943BC" w:rsidP="000943BC">
      <w:r>
        <w:t>This is a classification system that describes adverse events and incidents in both prescribing and administration of medicines. The classification is based on a system developed by Westbrook and colleagues.</w:t>
      </w:r>
      <w:r>
        <w:rPr>
          <w:rStyle w:val="Superscript"/>
        </w:rPr>
        <w:t>1</w:t>
      </w:r>
      <w:proofErr w:type="gramStart"/>
      <w:r>
        <w:rPr>
          <w:rStyle w:val="Superscript"/>
        </w:rPr>
        <w:t>,2</w:t>
      </w:r>
      <w:proofErr w:type="gramEnd"/>
    </w:p>
    <w:p w14:paraId="5E6F714C" w14:textId="77777777" w:rsidR="000943BC" w:rsidRDefault="000943BC" w:rsidP="000943BC">
      <w:r>
        <w:t>The classification is grouped into categories of error or incident type (clinical and procedural). These are defined in Tables 1 and 2 and have been adapted and consolidated within Table 3. Table 3 covers the two stages of the classification system:</w:t>
      </w:r>
    </w:p>
    <w:p w14:paraId="745A48F2" w14:textId="77777777" w:rsidR="000943BC" w:rsidRPr="000943BC" w:rsidRDefault="000943BC" w:rsidP="000943BC">
      <w:pPr>
        <w:pStyle w:val="ListParagraph"/>
        <w:numPr>
          <w:ilvl w:val="0"/>
          <w:numId w:val="87"/>
        </w:numPr>
      </w:pPr>
      <w:r w:rsidRPr="000943BC">
        <w:t>Prescribing</w:t>
      </w:r>
    </w:p>
    <w:p w14:paraId="46AD7209" w14:textId="77777777" w:rsidR="000943BC" w:rsidRDefault="000943BC" w:rsidP="000943BC">
      <w:pPr>
        <w:pStyle w:val="ListParagraph"/>
        <w:numPr>
          <w:ilvl w:val="0"/>
          <w:numId w:val="87"/>
        </w:numPr>
      </w:pPr>
      <w:r w:rsidRPr="000943BC">
        <w:t>Medicine administration</w:t>
      </w:r>
      <w:r>
        <w:t>.</w:t>
      </w:r>
    </w:p>
    <w:p w14:paraId="06FCA282" w14:textId="77777777" w:rsidR="000943BC" w:rsidRDefault="000943BC" w:rsidP="000943BC">
      <w:r>
        <w:t xml:space="preserve">The classification includes </w:t>
      </w:r>
      <w:r>
        <w:rPr>
          <w:rStyle w:val="Italic"/>
        </w:rPr>
        <w:t>procedural incident/failure</w:t>
      </w:r>
      <w:r>
        <w:t xml:space="preserve"> categories designed to be customised to reflect the procedures to be followed, underpinning local policies and protocols, and the potential focus for incident investigation.</w:t>
      </w:r>
    </w:p>
    <w:p w14:paraId="24F30389" w14:textId="77777777" w:rsidR="000943BC" w:rsidRDefault="000943BC" w:rsidP="000943BC">
      <w:r>
        <w:t>The classification also includes some additional categories to facilitate incident classification (in contrast to error identification from chart review).</w:t>
      </w:r>
      <w:r>
        <w:rPr>
          <w:rStyle w:val="Superscript"/>
        </w:rPr>
        <w:t>3</w:t>
      </w:r>
    </w:p>
    <w:p w14:paraId="19DB5BFD" w14:textId="77777777" w:rsidR="000943BC" w:rsidRDefault="000943BC" w:rsidP="000943BC">
      <w:r>
        <w:t xml:space="preserve">Definitions for prescribing and medicine administration are included in a glossary contained within the Fact sheet: </w:t>
      </w:r>
      <w:bookmarkStart w:id="2" w:name="_GoBack"/>
      <w:r w:rsidR="00B1174A" w:rsidRPr="00B1174A">
        <w:rPr>
          <w:i/>
        </w:rPr>
        <w:fldChar w:fldCharType="begin"/>
      </w:r>
      <w:r w:rsidR="00B1174A" w:rsidRPr="00B1174A">
        <w:rPr>
          <w:i/>
        </w:rPr>
        <w:instrText xml:space="preserve"> HYPERLINK "https://www.safetyandquality.gov.au/publications-and</w:instrText>
      </w:r>
      <w:r w:rsidR="00B1174A" w:rsidRPr="00B1174A">
        <w:rPr>
          <w:i/>
        </w:rPr>
        <w:instrText xml:space="preserve">-resources/resource-library/guidance-hospitals-classifying-emm-related-adverse-events-and-incidents-fact-sheet" </w:instrText>
      </w:r>
      <w:r w:rsidR="00B1174A" w:rsidRPr="00B1174A">
        <w:rPr>
          <w:i/>
        </w:rPr>
        <w:fldChar w:fldCharType="separate"/>
      </w:r>
      <w:r w:rsidRPr="00B1174A">
        <w:rPr>
          <w:rStyle w:val="Hyperlink"/>
          <w:i/>
        </w:rPr>
        <w:t>Guidance for hospitals: Classifying EMM-related adverse events and incidents</w:t>
      </w:r>
      <w:r w:rsidR="00B1174A" w:rsidRPr="00B1174A">
        <w:rPr>
          <w:rStyle w:val="Hyperlink"/>
          <w:i/>
        </w:rPr>
        <w:fldChar w:fldCharType="end"/>
      </w:r>
      <w:bookmarkEnd w:id="2"/>
      <w:r>
        <w:t>.</w:t>
      </w:r>
    </w:p>
    <w:p w14:paraId="0F64BBC0" w14:textId="77777777" w:rsidR="000943BC" w:rsidRDefault="000943BC" w:rsidP="000943BC">
      <w:r>
        <w:rPr>
          <w:rStyle w:val="Strong"/>
        </w:rPr>
        <w:t>Background</w:t>
      </w:r>
      <w:r>
        <w:t>: Two major teaching hospitals have used this classification system to determine the impact of EMM system introduction on the number and type of prescribing errors that occurred, and whether interruptions during medicine administration increased the likelihood of errors.</w:t>
      </w:r>
      <w:r>
        <w:rPr>
          <w:rStyle w:val="Superscript"/>
        </w:rPr>
        <w:t>1, 2</w:t>
      </w:r>
    </w:p>
    <w:p w14:paraId="26836920" w14:textId="77777777" w:rsidR="000943BC" w:rsidRDefault="000943BC" w:rsidP="000943BC">
      <w:r>
        <w:rPr>
          <w:sz w:val="16"/>
          <w:szCs w:val="16"/>
        </w:rPr>
        <w:t>*based on Westbrook et al.</w:t>
      </w:r>
    </w:p>
    <w:p w14:paraId="1A64C931" w14:textId="77777777" w:rsidR="000943BC" w:rsidRDefault="000943BC" w:rsidP="000943BC">
      <w:pPr>
        <w:pStyle w:val="TableTitle"/>
      </w:pPr>
      <w:r>
        <w:lastRenderedPageBreak/>
        <w:t>Table 1: Prescribing errors or incidents and definitions</w:t>
      </w:r>
    </w:p>
    <w:tbl>
      <w:tblPr>
        <w:tblStyle w:val="TableGrid"/>
        <w:tblW w:w="5000" w:type="pct"/>
        <w:tblLook w:val="0620" w:firstRow="1" w:lastRow="0" w:firstColumn="0" w:lastColumn="0" w:noHBand="1" w:noVBand="1"/>
        <w:tblDescription w:val="Table 1: Prescribing errors or incidents and definitions.&#10;"/>
      </w:tblPr>
      <w:tblGrid>
        <w:gridCol w:w="1766"/>
        <w:gridCol w:w="7862"/>
      </w:tblGrid>
      <w:tr w:rsidR="000943BC" w14:paraId="5455D47A" w14:textId="77777777" w:rsidTr="00E04621">
        <w:trPr>
          <w:cnfStyle w:val="100000000000" w:firstRow="1" w:lastRow="0" w:firstColumn="0" w:lastColumn="0" w:oddVBand="0" w:evenVBand="0" w:oddHBand="0" w:evenHBand="0" w:firstRowFirstColumn="0" w:firstRowLastColumn="0" w:lastRowFirstColumn="0" w:lastRowLastColumn="0"/>
          <w:trHeight w:val="60"/>
          <w:tblHeader/>
        </w:trPr>
        <w:tc>
          <w:tcPr>
            <w:tcW w:w="917" w:type="pct"/>
          </w:tcPr>
          <w:p w14:paraId="27872B1A" w14:textId="77777777" w:rsidR="000943BC" w:rsidRDefault="000943BC" w:rsidP="00E777B2">
            <w:r>
              <w:t xml:space="preserve">Clinical </w:t>
            </w:r>
          </w:p>
        </w:tc>
        <w:tc>
          <w:tcPr>
            <w:tcW w:w="4083" w:type="pct"/>
          </w:tcPr>
          <w:p w14:paraId="078D572B" w14:textId="77777777" w:rsidR="000943BC" w:rsidRDefault="000943BC" w:rsidP="00E777B2">
            <w:r>
              <w:t>Definition (including some examples)</w:t>
            </w:r>
          </w:p>
        </w:tc>
      </w:tr>
      <w:tr w:rsidR="000943BC" w14:paraId="6D27E658" w14:textId="77777777" w:rsidTr="000943BC">
        <w:trPr>
          <w:trHeight w:val="60"/>
        </w:trPr>
        <w:tc>
          <w:tcPr>
            <w:tcW w:w="917" w:type="pct"/>
          </w:tcPr>
          <w:p w14:paraId="7BC52D93" w14:textId="77777777" w:rsidR="000943BC" w:rsidRDefault="000943BC" w:rsidP="00E777B2">
            <w:r>
              <w:t>Duplicated therapy</w:t>
            </w:r>
          </w:p>
        </w:tc>
        <w:tc>
          <w:tcPr>
            <w:tcW w:w="4083" w:type="pct"/>
          </w:tcPr>
          <w:p w14:paraId="567257C3" w14:textId="77777777" w:rsidR="000943BC" w:rsidRDefault="000943BC" w:rsidP="00E777B2">
            <w:r>
              <w:t>Occurs when two orders have been prescribed for one medicine and both orders are active; there are two active orders for the same medicine on two different charts; or the same medicine is prescribed twice, as a single agent and as a combination product</w:t>
            </w:r>
          </w:p>
          <w:p w14:paraId="7B9DBB50" w14:textId="77777777" w:rsidR="000943BC" w:rsidRDefault="000943BC" w:rsidP="00E777B2">
            <w:r>
              <w:t>May also occur when two medicines are prescribed for the same indication when only one is necessary</w:t>
            </w:r>
          </w:p>
        </w:tc>
      </w:tr>
      <w:tr w:rsidR="000943BC" w14:paraId="100C18C9" w14:textId="77777777" w:rsidTr="000943BC">
        <w:trPr>
          <w:trHeight w:val="60"/>
        </w:trPr>
        <w:tc>
          <w:tcPr>
            <w:tcW w:w="917" w:type="pct"/>
          </w:tcPr>
          <w:p w14:paraId="2EBCA898" w14:textId="77777777" w:rsidR="000943BC" w:rsidRDefault="000943BC" w:rsidP="00E777B2">
            <w:r>
              <w:t>Wrong strength</w:t>
            </w:r>
          </w:p>
        </w:tc>
        <w:tc>
          <w:tcPr>
            <w:tcW w:w="4083" w:type="pct"/>
          </w:tcPr>
          <w:p w14:paraId="169C94FB" w14:textId="77777777" w:rsidR="000943BC" w:rsidRDefault="000943BC" w:rsidP="00E777B2">
            <w:r>
              <w:t>Occurs when the prescribed strength is incorrect; the concentration of an intravenous (IV) infusion is prescribed incorrectly; or a dose is prescribed that does not exist or would not be able to be obtained easily from the current dose forms</w:t>
            </w:r>
          </w:p>
        </w:tc>
      </w:tr>
      <w:tr w:rsidR="000943BC" w14:paraId="44AF70F7" w14:textId="77777777" w:rsidTr="000943BC">
        <w:trPr>
          <w:trHeight w:val="60"/>
        </w:trPr>
        <w:tc>
          <w:tcPr>
            <w:tcW w:w="917" w:type="pct"/>
          </w:tcPr>
          <w:p w14:paraId="3B1F81F4" w14:textId="77777777" w:rsidR="000943BC" w:rsidRDefault="000943BC" w:rsidP="00E777B2">
            <w:r>
              <w:t>Wrong dose, volume or concentration</w:t>
            </w:r>
          </w:p>
        </w:tc>
        <w:tc>
          <w:tcPr>
            <w:tcW w:w="4083" w:type="pct"/>
          </w:tcPr>
          <w:p w14:paraId="42C94A8D" w14:textId="77777777" w:rsidR="000943BC" w:rsidRDefault="000943BC" w:rsidP="00E777B2">
            <w:r>
              <w:t>Occurs when the prescribed dose or fluid volume is higher or lower (including an incorrect infusion concentration) than that recommended for the condition, taking into account the patient’s age, weight, renal and liver function</w:t>
            </w:r>
          </w:p>
          <w:p w14:paraId="3F3DE60E" w14:textId="77777777" w:rsidR="000943BC" w:rsidRDefault="000943BC" w:rsidP="00E777B2">
            <w:r>
              <w:t>May also occur when a dose is not altered in response to abnormal drug serum levels or laboratory tests</w:t>
            </w:r>
          </w:p>
        </w:tc>
      </w:tr>
      <w:tr w:rsidR="000943BC" w14:paraId="6B2C2D0A" w14:textId="77777777" w:rsidTr="000943BC">
        <w:trPr>
          <w:trHeight w:val="60"/>
        </w:trPr>
        <w:tc>
          <w:tcPr>
            <w:tcW w:w="917" w:type="pct"/>
          </w:tcPr>
          <w:p w14:paraId="198D9152" w14:textId="43165C63" w:rsidR="000943BC" w:rsidRDefault="000943BC" w:rsidP="00E777B2">
            <w:r>
              <w:t>Wrong rate</w:t>
            </w:r>
            <w:r w:rsidR="002B5042">
              <w:t>/</w:t>
            </w:r>
            <w:r>
              <w:t>frequency</w:t>
            </w:r>
          </w:p>
        </w:tc>
        <w:tc>
          <w:tcPr>
            <w:tcW w:w="4083" w:type="pct"/>
          </w:tcPr>
          <w:p w14:paraId="670CA53E" w14:textId="77777777" w:rsidR="000943BC" w:rsidRDefault="000943BC" w:rsidP="00E777B2">
            <w:r>
              <w:t>Occurs when the prescribed frequency of administration of a drug or an IV rate falls outside the recommended range</w:t>
            </w:r>
          </w:p>
        </w:tc>
      </w:tr>
      <w:tr w:rsidR="000943BC" w14:paraId="7920D701" w14:textId="77777777" w:rsidTr="000943BC">
        <w:trPr>
          <w:trHeight w:val="60"/>
        </w:trPr>
        <w:tc>
          <w:tcPr>
            <w:tcW w:w="917" w:type="pct"/>
          </w:tcPr>
          <w:p w14:paraId="18C8B998" w14:textId="304FBB25" w:rsidR="000943BC" w:rsidRDefault="000943BC" w:rsidP="00E777B2">
            <w:r>
              <w:t>Wrong route</w:t>
            </w:r>
            <w:r w:rsidR="002B5042">
              <w:t>/</w:t>
            </w:r>
            <w:r>
              <w:t>site</w:t>
            </w:r>
          </w:p>
        </w:tc>
        <w:tc>
          <w:tcPr>
            <w:tcW w:w="4083" w:type="pct"/>
          </w:tcPr>
          <w:p w14:paraId="6784B17E" w14:textId="77777777" w:rsidR="000943BC" w:rsidRDefault="000943BC" w:rsidP="00E777B2">
            <w:r>
              <w:t>Occurs when a medicine is prescribed via an incorrect route or site of administration</w:t>
            </w:r>
          </w:p>
          <w:p w14:paraId="689A0E3B" w14:textId="77777777" w:rsidR="000943BC" w:rsidRDefault="000943BC" w:rsidP="00E777B2">
            <w:r>
              <w:t>E.g. the medicine is prescribed intrathecal (IT) rather than IV</w:t>
            </w:r>
          </w:p>
        </w:tc>
      </w:tr>
      <w:tr w:rsidR="000943BC" w14:paraId="1CC9250E" w14:textId="77777777" w:rsidTr="000943BC">
        <w:trPr>
          <w:trHeight w:val="60"/>
        </w:trPr>
        <w:tc>
          <w:tcPr>
            <w:tcW w:w="917" w:type="pct"/>
          </w:tcPr>
          <w:p w14:paraId="7BE53EF1" w14:textId="7DCB39D4" w:rsidR="000943BC" w:rsidRDefault="000943BC" w:rsidP="00E777B2">
            <w:r>
              <w:t>Wrong medicine</w:t>
            </w:r>
            <w:r w:rsidR="002B5042">
              <w:t>/</w:t>
            </w:r>
            <w:r>
              <w:t>fluid</w:t>
            </w:r>
          </w:p>
        </w:tc>
        <w:tc>
          <w:tcPr>
            <w:tcW w:w="4083" w:type="pct"/>
          </w:tcPr>
          <w:p w14:paraId="24AC8DE0" w14:textId="77777777" w:rsidR="000943BC" w:rsidRDefault="000943BC" w:rsidP="00E777B2">
            <w:r>
              <w:t>Occurs when an inappropriate medicine or parenteral fluid is prescribed</w:t>
            </w:r>
          </w:p>
          <w:p w14:paraId="0ACB9AA0" w14:textId="77777777" w:rsidR="000943BC" w:rsidRDefault="000943BC" w:rsidP="00E777B2">
            <w:r>
              <w:t>E.g. the medicine prescribed is not indicated (or contraindicated) for the patient’s condition; the patient is prescribed a medicine ‘off label’; the medicine or parenteral fluid is contraindicated for a coexisting condition; or an IV medicine is prescribed with an incompatible diluent</w:t>
            </w:r>
          </w:p>
          <w:p w14:paraId="3FF7B435" w14:textId="77777777" w:rsidR="000943BC" w:rsidRDefault="000943BC" w:rsidP="00E777B2">
            <w:r>
              <w:t>Note: Excludes generic substitution</w:t>
            </w:r>
          </w:p>
        </w:tc>
      </w:tr>
      <w:tr w:rsidR="000943BC" w14:paraId="49BBEBF9" w14:textId="77777777" w:rsidTr="000943BC">
        <w:trPr>
          <w:trHeight w:val="60"/>
        </w:trPr>
        <w:tc>
          <w:tcPr>
            <w:tcW w:w="917" w:type="pct"/>
          </w:tcPr>
          <w:p w14:paraId="6B9F4EB8" w14:textId="77777777" w:rsidR="000943BC" w:rsidRDefault="000943BC" w:rsidP="00E777B2">
            <w:r>
              <w:t>Medicine not prescribed</w:t>
            </w:r>
          </w:p>
        </w:tc>
        <w:tc>
          <w:tcPr>
            <w:tcW w:w="4083" w:type="pct"/>
          </w:tcPr>
          <w:p w14:paraId="599BD15E" w14:textId="77777777" w:rsidR="000943BC" w:rsidRDefault="000943BC" w:rsidP="00E777B2">
            <w:r>
              <w:t xml:space="preserve">Occurs when a medicine which is clinically indicated for the patient, is not prescribed; or the medicine is omitted when a patient is initially admitted; or the medicine is not reordered when the patient’s medicines are recharted </w:t>
            </w:r>
          </w:p>
        </w:tc>
      </w:tr>
      <w:tr w:rsidR="000943BC" w14:paraId="1FA3DD19" w14:textId="77777777" w:rsidTr="000943BC">
        <w:trPr>
          <w:trHeight w:val="60"/>
        </w:trPr>
        <w:tc>
          <w:tcPr>
            <w:tcW w:w="917" w:type="pct"/>
          </w:tcPr>
          <w:p w14:paraId="49588DB7" w14:textId="77777777" w:rsidR="000943BC" w:rsidRDefault="000943BC" w:rsidP="00E777B2">
            <w:r>
              <w:t>Drug–drug interaction</w:t>
            </w:r>
          </w:p>
        </w:tc>
        <w:tc>
          <w:tcPr>
            <w:tcW w:w="4083" w:type="pct"/>
          </w:tcPr>
          <w:p w14:paraId="654192A6" w14:textId="77777777" w:rsidR="000943BC" w:rsidRDefault="000943BC" w:rsidP="00E777B2">
            <w:r>
              <w:t>Occurs if two of the medicines prescribed for a patient are known to have a clinically significant interaction and this interaction is not acknowledged and monitored</w:t>
            </w:r>
          </w:p>
        </w:tc>
      </w:tr>
      <w:tr w:rsidR="000943BC" w14:paraId="07503987" w14:textId="77777777" w:rsidTr="000943BC">
        <w:trPr>
          <w:trHeight w:val="60"/>
        </w:trPr>
        <w:tc>
          <w:tcPr>
            <w:tcW w:w="917" w:type="pct"/>
          </w:tcPr>
          <w:p w14:paraId="6C65C60C" w14:textId="77777777" w:rsidR="000943BC" w:rsidRDefault="000943BC" w:rsidP="00E777B2">
            <w:r>
              <w:t>Not indicated</w:t>
            </w:r>
          </w:p>
        </w:tc>
        <w:tc>
          <w:tcPr>
            <w:tcW w:w="4083" w:type="pct"/>
          </w:tcPr>
          <w:p w14:paraId="176B9C85" w14:textId="77777777" w:rsidR="000943BC" w:rsidRDefault="000943BC" w:rsidP="00E777B2">
            <w:r>
              <w:t xml:space="preserve">Occurs when a medicine which is not indicated is prescribed for the patient; a medicine is continued following a clinically significant allergy or adverse drug reaction (ADR); a medicine which is no longer indicated is reordered; or a medicine which should have been discontinued has not been ceased (and has not been assigned as a ‘wrong duration’) </w:t>
            </w:r>
          </w:p>
          <w:p w14:paraId="16604BFF" w14:textId="77777777" w:rsidR="000943BC" w:rsidRDefault="000943BC" w:rsidP="00E777B2">
            <w:r>
              <w:t>May also occur when a prescriber fails to cease/withhold a medicine in response to abnormal drug serum levels or laboratory tests</w:t>
            </w:r>
          </w:p>
        </w:tc>
      </w:tr>
      <w:tr w:rsidR="000943BC" w14:paraId="6F08C82E" w14:textId="77777777" w:rsidTr="000943BC">
        <w:trPr>
          <w:trHeight w:val="60"/>
        </w:trPr>
        <w:tc>
          <w:tcPr>
            <w:tcW w:w="917" w:type="pct"/>
          </w:tcPr>
          <w:p w14:paraId="2BBB92E3" w14:textId="77777777" w:rsidR="000943BC" w:rsidRDefault="000943BC" w:rsidP="00E777B2">
            <w:r>
              <w:t>Wrong duration</w:t>
            </w:r>
          </w:p>
        </w:tc>
        <w:tc>
          <w:tcPr>
            <w:tcW w:w="4083" w:type="pct"/>
          </w:tcPr>
          <w:p w14:paraId="55FED3B3" w14:textId="77777777" w:rsidR="000943BC" w:rsidRDefault="000943BC" w:rsidP="00E777B2">
            <w:r>
              <w:t>Occurs when a medication order is not assigned a ‘stop order’ or the medicine is prescribed to continue for a length of time that is not in accordance with hospital guidelines</w:t>
            </w:r>
          </w:p>
          <w:p w14:paraId="2C0C4D93" w14:textId="77777777" w:rsidR="000943BC" w:rsidRDefault="000943BC" w:rsidP="00E777B2">
            <w:r>
              <w:t>E.g. antibiotics prescribed beyond 48 hours</w:t>
            </w:r>
          </w:p>
        </w:tc>
      </w:tr>
      <w:tr w:rsidR="000943BC" w14:paraId="1A1F4DD1" w14:textId="77777777" w:rsidTr="000943BC">
        <w:trPr>
          <w:trHeight w:val="60"/>
        </w:trPr>
        <w:tc>
          <w:tcPr>
            <w:tcW w:w="917" w:type="pct"/>
          </w:tcPr>
          <w:p w14:paraId="3EF48D5D" w14:textId="77777777" w:rsidR="000943BC" w:rsidRDefault="000943BC" w:rsidP="00E777B2">
            <w:r>
              <w:lastRenderedPageBreak/>
              <w:t>Wrong timing</w:t>
            </w:r>
          </w:p>
        </w:tc>
        <w:tc>
          <w:tcPr>
            <w:tcW w:w="4083" w:type="pct"/>
          </w:tcPr>
          <w:p w14:paraId="46DFFDFB" w14:textId="77777777" w:rsidR="000943BC" w:rsidRDefault="000943BC" w:rsidP="00E777B2">
            <w:r>
              <w:t>Occurs when a medicine is prescribed at the wrong time of day</w:t>
            </w:r>
          </w:p>
        </w:tc>
      </w:tr>
      <w:tr w:rsidR="000943BC" w14:paraId="2750AA72" w14:textId="77777777" w:rsidTr="000943BC">
        <w:trPr>
          <w:trHeight w:val="60"/>
        </w:trPr>
        <w:tc>
          <w:tcPr>
            <w:tcW w:w="917" w:type="pct"/>
          </w:tcPr>
          <w:p w14:paraId="3DF91747" w14:textId="77777777" w:rsidR="000943BC" w:rsidRDefault="000943BC" w:rsidP="00E777B2">
            <w:r>
              <w:t>Wrong formulation</w:t>
            </w:r>
          </w:p>
        </w:tc>
        <w:tc>
          <w:tcPr>
            <w:tcW w:w="4083" w:type="pct"/>
          </w:tcPr>
          <w:p w14:paraId="17FEDC28" w14:textId="77777777" w:rsidR="000943BC" w:rsidRDefault="000943BC" w:rsidP="00E777B2">
            <w:r>
              <w:t>Occurs when the wrong dosage form of a medicine is ordered</w:t>
            </w:r>
          </w:p>
        </w:tc>
      </w:tr>
      <w:tr w:rsidR="000943BC" w14:paraId="6643C395" w14:textId="77777777" w:rsidTr="000943BC">
        <w:trPr>
          <w:trHeight w:val="60"/>
        </w:trPr>
        <w:tc>
          <w:tcPr>
            <w:tcW w:w="917" w:type="pct"/>
          </w:tcPr>
          <w:p w14:paraId="5CA7AEEE" w14:textId="77777777" w:rsidR="000943BC" w:rsidRDefault="000943BC" w:rsidP="00E777B2">
            <w:r>
              <w:t xml:space="preserve">Inadequate monitoring </w:t>
            </w:r>
          </w:p>
        </w:tc>
        <w:tc>
          <w:tcPr>
            <w:tcW w:w="4083" w:type="pct"/>
          </w:tcPr>
          <w:p w14:paraId="27EEC04C" w14:textId="77777777" w:rsidR="000943BC" w:rsidRDefault="000943BC" w:rsidP="00E777B2">
            <w:r>
              <w:t>Occurs when the prescriber fails to order appropriate and timely clinical or laboratory tests to assess the patient’s response to prescribed therapy</w:t>
            </w:r>
          </w:p>
          <w:p w14:paraId="0D53E34D" w14:textId="77777777" w:rsidR="000943BC" w:rsidRDefault="000943BC" w:rsidP="00E777B2">
            <w:r>
              <w:t>Note: if adequate lab tests are ordered, but the results are not acted upon accordingly, resulting in potential or actual compromised patient care, this may be classed as wrong dose/volume error</w:t>
            </w:r>
          </w:p>
        </w:tc>
      </w:tr>
      <w:tr w:rsidR="000943BC" w14:paraId="7379E2CD" w14:textId="77777777" w:rsidTr="000943BC">
        <w:trPr>
          <w:trHeight w:val="60"/>
        </w:trPr>
        <w:tc>
          <w:tcPr>
            <w:tcW w:w="917" w:type="pct"/>
          </w:tcPr>
          <w:p w14:paraId="50B31753" w14:textId="78766D7A" w:rsidR="000943BC" w:rsidRDefault="000943BC" w:rsidP="00E777B2">
            <w:r>
              <w:t>Allergy</w:t>
            </w:r>
            <w:r w:rsidR="002B5042">
              <w:t>/</w:t>
            </w:r>
            <w:r>
              <w:t>ADR</w:t>
            </w:r>
          </w:p>
        </w:tc>
        <w:tc>
          <w:tcPr>
            <w:tcW w:w="4083" w:type="pct"/>
          </w:tcPr>
          <w:p w14:paraId="0192B016" w14:textId="77777777" w:rsidR="000943BC" w:rsidRDefault="000943BC" w:rsidP="00E777B2">
            <w:r>
              <w:t>Occurs when a medicine is prescribed for a patient with a known and documented clinically significant allergy (or ADR) to that medicine or class of medicines</w:t>
            </w:r>
          </w:p>
        </w:tc>
      </w:tr>
      <w:tr w:rsidR="000943BC" w14:paraId="45AE075C" w14:textId="77777777" w:rsidTr="000943BC">
        <w:trPr>
          <w:trHeight w:val="60"/>
        </w:trPr>
        <w:tc>
          <w:tcPr>
            <w:tcW w:w="917" w:type="pct"/>
          </w:tcPr>
          <w:p w14:paraId="25FED620" w14:textId="77777777" w:rsidR="000943BC" w:rsidRDefault="000943BC" w:rsidP="00E777B2">
            <w:r>
              <w:t>Wrong patient</w:t>
            </w:r>
          </w:p>
        </w:tc>
        <w:tc>
          <w:tcPr>
            <w:tcW w:w="4083" w:type="pct"/>
          </w:tcPr>
          <w:p w14:paraId="3C694E2F" w14:textId="7252DE13" w:rsidR="000943BC" w:rsidRDefault="000943BC" w:rsidP="00E777B2">
            <w:r>
              <w:t xml:space="preserve">Occurs when a medicine is prescribed for the wrong patient </w:t>
            </w:r>
          </w:p>
          <w:p w14:paraId="2EE942A2" w14:textId="77777777" w:rsidR="000943BC" w:rsidRDefault="000943BC" w:rsidP="00E777B2">
            <w:r>
              <w:t>E.g. the prescriber writes a medication order intended for patient A on the medication chart belonging to patient B</w:t>
            </w:r>
          </w:p>
        </w:tc>
      </w:tr>
      <w:tr w:rsidR="000943BC" w14:paraId="5154770E" w14:textId="77777777" w:rsidTr="000943BC">
        <w:trPr>
          <w:trHeight w:val="60"/>
        </w:trPr>
        <w:tc>
          <w:tcPr>
            <w:tcW w:w="5000" w:type="pct"/>
            <w:gridSpan w:val="2"/>
          </w:tcPr>
          <w:p w14:paraId="405D2B57" w14:textId="77777777" w:rsidR="000943BC" w:rsidRPr="000943BC" w:rsidRDefault="000943BC" w:rsidP="000943BC">
            <w:pPr>
              <w:rPr>
                <w:b/>
              </w:rPr>
            </w:pPr>
            <w:r w:rsidRPr="000943BC">
              <w:rPr>
                <w:b/>
              </w:rPr>
              <w:t xml:space="preserve">Procedural </w:t>
            </w:r>
          </w:p>
        </w:tc>
      </w:tr>
      <w:tr w:rsidR="000943BC" w14:paraId="4E8ECBAE" w14:textId="77777777" w:rsidTr="000943BC">
        <w:trPr>
          <w:trHeight w:val="60"/>
        </w:trPr>
        <w:tc>
          <w:tcPr>
            <w:tcW w:w="917" w:type="pct"/>
          </w:tcPr>
          <w:p w14:paraId="306834BF" w14:textId="701E695F" w:rsidR="000943BC" w:rsidRDefault="000943BC" w:rsidP="00E777B2">
            <w:r>
              <w:t>Legal</w:t>
            </w:r>
            <w:r w:rsidR="002B5042">
              <w:t>/</w:t>
            </w:r>
            <w:r>
              <w:t>procedural</w:t>
            </w:r>
          </w:p>
        </w:tc>
        <w:tc>
          <w:tcPr>
            <w:tcW w:w="4083" w:type="pct"/>
          </w:tcPr>
          <w:p w14:paraId="28BC4301" w14:textId="59BD660F" w:rsidR="000943BC" w:rsidRDefault="000943BC" w:rsidP="00E777B2">
            <w:r>
              <w:t>Occurs when an aspect related to the prescription does not comply with the law, state or territory regulations</w:t>
            </w:r>
            <w:r w:rsidR="002B5042">
              <w:t>/</w:t>
            </w:r>
            <w:r>
              <w:t xml:space="preserve">policy, or hospital policy (and has not been assigned as an ‘unclear order’) </w:t>
            </w:r>
          </w:p>
          <w:p w14:paraId="59633901" w14:textId="520133BA" w:rsidR="000943BC" w:rsidRDefault="000943BC" w:rsidP="00E777B2">
            <w:r>
              <w:t>E.g. the allergy</w:t>
            </w:r>
            <w:r w:rsidR="002B5042">
              <w:t>/</w:t>
            </w:r>
            <w:r>
              <w:t>ADR information has not been completed; or the strength, dose, route or frequency of an existing handwritten medication order has been altered (such a change legally requires the entire order to be recharted); medicine ordered on wrong section of the medication chart</w:t>
            </w:r>
          </w:p>
        </w:tc>
      </w:tr>
      <w:tr w:rsidR="000943BC" w14:paraId="03D16273" w14:textId="77777777" w:rsidTr="000943BC">
        <w:trPr>
          <w:trHeight w:val="60"/>
        </w:trPr>
        <w:tc>
          <w:tcPr>
            <w:tcW w:w="917" w:type="pct"/>
          </w:tcPr>
          <w:p w14:paraId="5728B6C3" w14:textId="77777777" w:rsidR="000943BC" w:rsidRDefault="000943BC" w:rsidP="00E777B2">
            <w:r>
              <w:t>Incomplete order</w:t>
            </w:r>
          </w:p>
        </w:tc>
        <w:tc>
          <w:tcPr>
            <w:tcW w:w="4083" w:type="pct"/>
          </w:tcPr>
          <w:p w14:paraId="4FF84DE6" w14:textId="77777777" w:rsidR="000943BC" w:rsidRDefault="000943BC" w:rsidP="00E777B2">
            <w:r>
              <w:t>Occurs when the prescription or medication order does not include all the necessary information i.e. name; strength (if appropriate); formulation (if appropriate); dose; site or route of administration; frequency; the diluent for injectable; duration of time and/or rate of infusion (IV infusions); duration of time (IV fluids)</w:t>
            </w:r>
          </w:p>
        </w:tc>
      </w:tr>
      <w:tr w:rsidR="000943BC" w14:paraId="39EEBB9A" w14:textId="77777777" w:rsidTr="000943BC">
        <w:trPr>
          <w:trHeight w:val="60"/>
        </w:trPr>
        <w:tc>
          <w:tcPr>
            <w:tcW w:w="917" w:type="pct"/>
          </w:tcPr>
          <w:p w14:paraId="12BA8CDA" w14:textId="77777777" w:rsidR="000943BC" w:rsidRDefault="000943BC" w:rsidP="00E777B2">
            <w:r>
              <w:t>Unclear order</w:t>
            </w:r>
          </w:p>
        </w:tc>
        <w:tc>
          <w:tcPr>
            <w:tcW w:w="4083" w:type="pct"/>
          </w:tcPr>
          <w:p w14:paraId="19BA4E15" w14:textId="77777777" w:rsidR="000943BC" w:rsidRDefault="000943BC" w:rsidP="00E777B2">
            <w:r>
              <w:t>Occurs when the prescription or medication order is unclear or ambiguous</w:t>
            </w:r>
          </w:p>
          <w:p w14:paraId="1B5228AA" w14:textId="77777777" w:rsidR="000943BC" w:rsidRDefault="000943BC" w:rsidP="00E777B2">
            <w:r>
              <w:t>E.g. the writing is illegible; or the order contains additional comments which appear to contradict or conflict with the medication order</w:t>
            </w:r>
          </w:p>
        </w:tc>
      </w:tr>
    </w:tbl>
    <w:p w14:paraId="169FE57B" w14:textId="77777777" w:rsidR="000943BC" w:rsidRDefault="000943BC" w:rsidP="000943BC">
      <w:pPr>
        <w:pStyle w:val="TableTitle"/>
      </w:pPr>
      <w:r>
        <w:t>Table 2</w:t>
      </w:r>
      <w:r w:rsidR="00E04621">
        <w:t>:</w:t>
      </w:r>
      <w:r>
        <w:t xml:space="preserve"> Medicine administration errors or incidents and definitions</w:t>
      </w:r>
    </w:p>
    <w:tbl>
      <w:tblPr>
        <w:tblStyle w:val="TableGrid"/>
        <w:tblW w:w="0" w:type="auto"/>
        <w:tblLayout w:type="fixed"/>
        <w:tblLook w:val="0620" w:firstRow="1" w:lastRow="0" w:firstColumn="0" w:lastColumn="0" w:noHBand="1" w:noVBand="1"/>
        <w:tblDescription w:val="Table 2: Medicine administration errors or incidents and definitions&#10;"/>
      </w:tblPr>
      <w:tblGrid>
        <w:gridCol w:w="1871"/>
        <w:gridCol w:w="8334"/>
      </w:tblGrid>
      <w:tr w:rsidR="000943BC" w14:paraId="1008EB0D" w14:textId="77777777" w:rsidTr="00E04621">
        <w:trPr>
          <w:cnfStyle w:val="100000000000" w:firstRow="1" w:lastRow="0" w:firstColumn="0" w:lastColumn="0" w:oddVBand="0" w:evenVBand="0" w:oddHBand="0" w:evenHBand="0" w:firstRowFirstColumn="0" w:firstRowLastColumn="0" w:lastRowFirstColumn="0" w:lastRowLastColumn="0"/>
          <w:trHeight w:val="60"/>
          <w:tblHeader/>
        </w:trPr>
        <w:tc>
          <w:tcPr>
            <w:tcW w:w="1871" w:type="dxa"/>
          </w:tcPr>
          <w:p w14:paraId="0F334DB1" w14:textId="77777777" w:rsidR="000943BC" w:rsidRDefault="000943BC" w:rsidP="00E777B2">
            <w:r>
              <w:t xml:space="preserve">Clinical </w:t>
            </w:r>
          </w:p>
        </w:tc>
        <w:tc>
          <w:tcPr>
            <w:tcW w:w="8334" w:type="dxa"/>
          </w:tcPr>
          <w:p w14:paraId="3E384702" w14:textId="77777777" w:rsidR="000943BC" w:rsidRDefault="000943BC" w:rsidP="00E777B2">
            <w:r>
              <w:t>Definition (including some examples)</w:t>
            </w:r>
          </w:p>
        </w:tc>
      </w:tr>
      <w:tr w:rsidR="000943BC" w14:paraId="2DD75762" w14:textId="77777777" w:rsidTr="000943BC">
        <w:trPr>
          <w:trHeight w:val="60"/>
        </w:trPr>
        <w:tc>
          <w:tcPr>
            <w:tcW w:w="1871" w:type="dxa"/>
          </w:tcPr>
          <w:p w14:paraId="412E0499" w14:textId="77777777" w:rsidR="000943BC" w:rsidRDefault="000943BC" w:rsidP="00E777B2">
            <w:r>
              <w:t xml:space="preserve">Wrong timing </w:t>
            </w:r>
          </w:p>
        </w:tc>
        <w:tc>
          <w:tcPr>
            <w:tcW w:w="8334" w:type="dxa"/>
          </w:tcPr>
          <w:p w14:paraId="1D73483C" w14:textId="77777777" w:rsidR="000943BC" w:rsidRDefault="000943BC" w:rsidP="00E777B2">
            <w:r>
              <w:t>Time of administration occurs more than 60 minutes after or before documented time on the medication chart</w:t>
            </w:r>
          </w:p>
          <w:p w14:paraId="6AA6F9CA" w14:textId="77777777" w:rsidR="000943BC" w:rsidRDefault="000943BC" w:rsidP="00E777B2">
            <w:r>
              <w:t>If the medicine is ordered with meals:</w:t>
            </w:r>
          </w:p>
          <w:p w14:paraId="22C9ABFA" w14:textId="77777777" w:rsidR="000943BC" w:rsidRPr="000943BC" w:rsidRDefault="000943BC" w:rsidP="000943BC">
            <w:pPr>
              <w:pStyle w:val="ListParagraph"/>
              <w:numPr>
                <w:ilvl w:val="0"/>
                <w:numId w:val="88"/>
              </w:numPr>
            </w:pPr>
            <w:r w:rsidRPr="000943BC">
              <w:t>Time of administration occurs more than 30 minutes after or before documented time on the medication chart</w:t>
            </w:r>
          </w:p>
        </w:tc>
      </w:tr>
      <w:tr w:rsidR="000943BC" w14:paraId="5253F034" w14:textId="77777777" w:rsidTr="000943BC">
        <w:trPr>
          <w:trHeight w:val="60"/>
        </w:trPr>
        <w:tc>
          <w:tcPr>
            <w:tcW w:w="1871" w:type="dxa"/>
          </w:tcPr>
          <w:p w14:paraId="394021F8" w14:textId="77777777" w:rsidR="000943BC" w:rsidRDefault="000943BC" w:rsidP="00E777B2">
            <w:r>
              <w:t>Wrong IV administration rate</w:t>
            </w:r>
          </w:p>
        </w:tc>
        <w:tc>
          <w:tcPr>
            <w:tcW w:w="8334" w:type="dxa"/>
          </w:tcPr>
          <w:p w14:paraId="6C63F8FD" w14:textId="77777777" w:rsidR="000943BC" w:rsidRDefault="000943BC" w:rsidP="00E777B2">
            <w:r>
              <w:t>Administration of the IV medicine at a faster rate than that recommended in hospital guidelines or manufacturers’ instruction</w:t>
            </w:r>
          </w:p>
        </w:tc>
      </w:tr>
      <w:tr w:rsidR="000943BC" w14:paraId="19200DDC" w14:textId="77777777" w:rsidTr="000943BC">
        <w:trPr>
          <w:trHeight w:val="60"/>
        </w:trPr>
        <w:tc>
          <w:tcPr>
            <w:tcW w:w="1871" w:type="dxa"/>
          </w:tcPr>
          <w:p w14:paraId="7932E31D" w14:textId="77777777" w:rsidR="000943BC" w:rsidRDefault="000943BC" w:rsidP="00E777B2">
            <w:r>
              <w:t>Wrong dose</w:t>
            </w:r>
          </w:p>
        </w:tc>
        <w:tc>
          <w:tcPr>
            <w:tcW w:w="8334" w:type="dxa"/>
          </w:tcPr>
          <w:p w14:paraId="303FC2C7" w14:textId="77777777" w:rsidR="000943BC" w:rsidRDefault="000943BC" w:rsidP="00E777B2">
            <w:r>
              <w:t>The medicine dose prepared or administered is different from that prescribed</w:t>
            </w:r>
          </w:p>
        </w:tc>
      </w:tr>
      <w:tr w:rsidR="000943BC" w14:paraId="4B0908A4" w14:textId="77777777" w:rsidTr="000943BC">
        <w:trPr>
          <w:trHeight w:val="60"/>
        </w:trPr>
        <w:tc>
          <w:tcPr>
            <w:tcW w:w="1871" w:type="dxa"/>
          </w:tcPr>
          <w:p w14:paraId="7DC061EC" w14:textId="77777777" w:rsidR="000943BC" w:rsidRDefault="000943BC" w:rsidP="00E777B2">
            <w:r>
              <w:t>Wrong formulation</w:t>
            </w:r>
          </w:p>
        </w:tc>
        <w:tc>
          <w:tcPr>
            <w:tcW w:w="8334" w:type="dxa"/>
          </w:tcPr>
          <w:p w14:paraId="587992FE" w14:textId="77777777" w:rsidR="000943BC" w:rsidRDefault="000943BC" w:rsidP="00E777B2">
            <w:r>
              <w:t>Administration of the correct medicine but in a different formulation from that prescribed</w:t>
            </w:r>
          </w:p>
        </w:tc>
      </w:tr>
      <w:tr w:rsidR="000943BC" w14:paraId="63A57FB9" w14:textId="77777777" w:rsidTr="000943BC">
        <w:trPr>
          <w:trHeight w:val="60"/>
        </w:trPr>
        <w:tc>
          <w:tcPr>
            <w:tcW w:w="1871" w:type="dxa"/>
          </w:tcPr>
          <w:p w14:paraId="349D6AC6" w14:textId="77777777" w:rsidR="000943BC" w:rsidRDefault="000943BC" w:rsidP="00E777B2">
            <w:r>
              <w:t>Wrong additive, solvent or diluent</w:t>
            </w:r>
          </w:p>
        </w:tc>
        <w:tc>
          <w:tcPr>
            <w:tcW w:w="8334" w:type="dxa"/>
          </w:tcPr>
          <w:p w14:paraId="1615F6B0" w14:textId="77777777" w:rsidR="000943BC" w:rsidRDefault="000943BC" w:rsidP="00E777B2">
            <w:r>
              <w:t>Use of an additive, solvent or diluent that was not ordered or correct according to hospital guidelines or manufacturers’ instruction</w:t>
            </w:r>
          </w:p>
        </w:tc>
      </w:tr>
      <w:tr w:rsidR="000943BC" w14:paraId="71511965" w14:textId="77777777" w:rsidTr="000943BC">
        <w:trPr>
          <w:trHeight w:val="60"/>
        </w:trPr>
        <w:tc>
          <w:tcPr>
            <w:tcW w:w="1871" w:type="dxa"/>
          </w:tcPr>
          <w:p w14:paraId="5F21C87A" w14:textId="77777777" w:rsidR="000943BC" w:rsidRDefault="000943BC" w:rsidP="00E777B2">
            <w:r>
              <w:t>Wrong volume of additive, solvent or diluent</w:t>
            </w:r>
          </w:p>
        </w:tc>
        <w:tc>
          <w:tcPr>
            <w:tcW w:w="8334" w:type="dxa"/>
          </w:tcPr>
          <w:p w14:paraId="2E14DC38" w14:textId="77777777" w:rsidR="000943BC" w:rsidRDefault="000943BC" w:rsidP="00E777B2">
            <w:r>
              <w:t>Using a volume of additive, solvent or diluent to prepare an injectable medicine that differs from hospital guidelines or manufacturers’ instructions</w:t>
            </w:r>
          </w:p>
        </w:tc>
      </w:tr>
      <w:tr w:rsidR="000943BC" w14:paraId="20C10933" w14:textId="77777777" w:rsidTr="000943BC">
        <w:trPr>
          <w:trHeight w:val="60"/>
        </w:trPr>
        <w:tc>
          <w:tcPr>
            <w:tcW w:w="1871" w:type="dxa"/>
          </w:tcPr>
          <w:p w14:paraId="4F483BB7" w14:textId="132A3E17" w:rsidR="000943BC" w:rsidRDefault="000943BC" w:rsidP="00E777B2">
            <w:r>
              <w:t>Wrong route</w:t>
            </w:r>
            <w:r w:rsidR="002B5042">
              <w:t>/</w:t>
            </w:r>
            <w:r>
              <w:t>site</w:t>
            </w:r>
          </w:p>
        </w:tc>
        <w:tc>
          <w:tcPr>
            <w:tcW w:w="8334" w:type="dxa"/>
          </w:tcPr>
          <w:p w14:paraId="2127B76B" w14:textId="77777777" w:rsidR="000943BC" w:rsidRDefault="000943BC" w:rsidP="00E777B2">
            <w:r>
              <w:t>The route or site of administration differs from the prescribed route or site of administration</w:t>
            </w:r>
          </w:p>
          <w:p w14:paraId="0BB458D8" w14:textId="77777777" w:rsidR="000943BC" w:rsidRDefault="000943BC" w:rsidP="00E777B2">
            <w:r>
              <w:t xml:space="preserve">E.g. the medicine is administered intrathecal rather than IV </w:t>
            </w:r>
          </w:p>
        </w:tc>
      </w:tr>
      <w:tr w:rsidR="000943BC" w14:paraId="53DD44FA" w14:textId="77777777" w:rsidTr="000943BC">
        <w:trPr>
          <w:trHeight w:val="60"/>
        </w:trPr>
        <w:tc>
          <w:tcPr>
            <w:tcW w:w="1871" w:type="dxa"/>
          </w:tcPr>
          <w:p w14:paraId="288A9BE2" w14:textId="77777777" w:rsidR="000943BC" w:rsidRDefault="000943BC" w:rsidP="00E777B2">
            <w:r>
              <w:t>Wrong medicine</w:t>
            </w:r>
          </w:p>
        </w:tc>
        <w:tc>
          <w:tcPr>
            <w:tcW w:w="8334" w:type="dxa"/>
          </w:tcPr>
          <w:p w14:paraId="688AE2F9" w14:textId="77777777" w:rsidR="000943BC" w:rsidRDefault="000943BC" w:rsidP="00E777B2">
            <w:r>
              <w:t>Administration of a medicine, which was not prescribed for that patient but is similar to the ordered medicine</w:t>
            </w:r>
          </w:p>
          <w:p w14:paraId="33325B4D" w14:textId="77777777" w:rsidR="000943BC" w:rsidRDefault="000943BC" w:rsidP="00E777B2">
            <w:r>
              <w:t>E.g. a medicine is incorrectly selected or mistaken for the ordered medicine</w:t>
            </w:r>
          </w:p>
          <w:p w14:paraId="2DE56194" w14:textId="77777777" w:rsidR="000943BC" w:rsidRDefault="000943BC" w:rsidP="00E777B2">
            <w:r>
              <w:t>Note: If a medicine is given that is not ordered for a patient it is an ‘unordered medicine’</w:t>
            </w:r>
          </w:p>
        </w:tc>
      </w:tr>
      <w:tr w:rsidR="000943BC" w14:paraId="37573BA4" w14:textId="77777777" w:rsidTr="000943BC">
        <w:trPr>
          <w:trHeight w:val="60"/>
        </w:trPr>
        <w:tc>
          <w:tcPr>
            <w:tcW w:w="1871" w:type="dxa"/>
          </w:tcPr>
          <w:p w14:paraId="6AAC1F55" w14:textId="77777777" w:rsidR="000943BC" w:rsidRDefault="000943BC" w:rsidP="00E777B2">
            <w:r>
              <w:t>Wrong strength</w:t>
            </w:r>
          </w:p>
        </w:tc>
        <w:tc>
          <w:tcPr>
            <w:tcW w:w="8334" w:type="dxa"/>
          </w:tcPr>
          <w:p w14:paraId="683AEB06" w14:textId="77777777" w:rsidR="000943BC" w:rsidRDefault="000943BC" w:rsidP="00E777B2">
            <w:r>
              <w:t>The strength administered is not equivalent to the strength specified in the medication order or in any instructions documented by a pharmacist</w:t>
            </w:r>
          </w:p>
        </w:tc>
      </w:tr>
      <w:tr w:rsidR="000943BC" w14:paraId="1B1103BD" w14:textId="77777777" w:rsidTr="000943BC">
        <w:trPr>
          <w:trHeight w:val="60"/>
        </w:trPr>
        <w:tc>
          <w:tcPr>
            <w:tcW w:w="1871" w:type="dxa"/>
          </w:tcPr>
          <w:p w14:paraId="2897E316" w14:textId="77777777" w:rsidR="000943BC" w:rsidRDefault="000943BC" w:rsidP="00E777B2">
            <w:r>
              <w:t>Wrong patient</w:t>
            </w:r>
          </w:p>
        </w:tc>
        <w:tc>
          <w:tcPr>
            <w:tcW w:w="8334" w:type="dxa"/>
          </w:tcPr>
          <w:p w14:paraId="65EF9B08" w14:textId="77777777" w:rsidR="000943BC" w:rsidRDefault="000943BC" w:rsidP="00E777B2">
            <w:r>
              <w:t xml:space="preserve">Occurs when a medicine is prescribed for one patient and given to another patient </w:t>
            </w:r>
          </w:p>
          <w:p w14:paraId="341B6C28" w14:textId="77777777" w:rsidR="000943BC" w:rsidRDefault="000943BC" w:rsidP="00E777B2">
            <w:r>
              <w:t>E.g. a medicine intended for patient A is administered to patient B (procedurally a ‘failure to check patient identification’)</w:t>
            </w:r>
          </w:p>
        </w:tc>
      </w:tr>
      <w:tr w:rsidR="000943BC" w14:paraId="178C4C85" w14:textId="77777777" w:rsidTr="000943BC">
        <w:trPr>
          <w:trHeight w:val="60"/>
        </w:trPr>
        <w:tc>
          <w:tcPr>
            <w:tcW w:w="1871" w:type="dxa"/>
          </w:tcPr>
          <w:p w14:paraId="76C92EE4" w14:textId="77777777" w:rsidR="000943BC" w:rsidRDefault="000943BC" w:rsidP="00E777B2">
            <w:r>
              <w:t>Omitted dose</w:t>
            </w:r>
          </w:p>
        </w:tc>
        <w:tc>
          <w:tcPr>
            <w:tcW w:w="8334" w:type="dxa"/>
          </w:tcPr>
          <w:p w14:paraId="1F18DABD" w14:textId="77777777" w:rsidR="000943BC" w:rsidRDefault="000943BC" w:rsidP="00E777B2">
            <w:r>
              <w:t>A dose of a prescribed medicine is not administered</w:t>
            </w:r>
          </w:p>
        </w:tc>
      </w:tr>
      <w:tr w:rsidR="000943BC" w14:paraId="41B3E383" w14:textId="77777777" w:rsidTr="000943BC">
        <w:trPr>
          <w:trHeight w:val="60"/>
        </w:trPr>
        <w:tc>
          <w:tcPr>
            <w:tcW w:w="1871" w:type="dxa"/>
          </w:tcPr>
          <w:p w14:paraId="7C604535" w14:textId="77777777" w:rsidR="000943BC" w:rsidRDefault="000943BC" w:rsidP="00E777B2">
            <w:r>
              <w:t>Extra dose given</w:t>
            </w:r>
          </w:p>
        </w:tc>
        <w:tc>
          <w:tcPr>
            <w:tcW w:w="8334" w:type="dxa"/>
          </w:tcPr>
          <w:p w14:paraId="144BF99E" w14:textId="77777777" w:rsidR="000943BC" w:rsidRDefault="000943BC" w:rsidP="00E777B2">
            <w:r>
              <w:t>The administration of an additional dose of a prescribed medicine</w:t>
            </w:r>
          </w:p>
        </w:tc>
      </w:tr>
      <w:tr w:rsidR="000943BC" w14:paraId="3DA86DE1" w14:textId="77777777" w:rsidTr="000943BC">
        <w:trPr>
          <w:trHeight w:val="60"/>
        </w:trPr>
        <w:tc>
          <w:tcPr>
            <w:tcW w:w="1871" w:type="dxa"/>
          </w:tcPr>
          <w:p w14:paraId="2D2BEC83" w14:textId="569CB1D3" w:rsidR="000943BC" w:rsidRDefault="000943BC" w:rsidP="00E777B2">
            <w:r>
              <w:t>Allergy</w:t>
            </w:r>
            <w:r w:rsidR="002B5042">
              <w:t>/</w:t>
            </w:r>
            <w:r>
              <w:t>ADR</w:t>
            </w:r>
          </w:p>
        </w:tc>
        <w:tc>
          <w:tcPr>
            <w:tcW w:w="8334" w:type="dxa"/>
          </w:tcPr>
          <w:p w14:paraId="091D21DA" w14:textId="77777777" w:rsidR="000943BC" w:rsidRDefault="000943BC" w:rsidP="00E777B2">
            <w:r>
              <w:t>Occurs when a medicine is administered to a patient with a known and documented clinically significant allergy (or ADR) to that medicine or class of medicines</w:t>
            </w:r>
          </w:p>
        </w:tc>
      </w:tr>
      <w:tr w:rsidR="000943BC" w14:paraId="5249873B" w14:textId="77777777" w:rsidTr="000943BC">
        <w:trPr>
          <w:trHeight w:val="60"/>
        </w:trPr>
        <w:tc>
          <w:tcPr>
            <w:tcW w:w="1871" w:type="dxa"/>
          </w:tcPr>
          <w:p w14:paraId="018C27BC" w14:textId="77777777" w:rsidR="000943BC" w:rsidRDefault="000943BC" w:rsidP="00E777B2">
            <w:r>
              <w:t>Unordered medicine</w:t>
            </w:r>
          </w:p>
        </w:tc>
        <w:tc>
          <w:tcPr>
            <w:tcW w:w="8334" w:type="dxa"/>
          </w:tcPr>
          <w:p w14:paraId="78DD0659" w14:textId="77777777" w:rsidR="000943BC" w:rsidRDefault="000943BC" w:rsidP="00E777B2">
            <w:r>
              <w:t>Medicine is given but not prescribed on the patient’s medication chart (paper-based or electronic)</w:t>
            </w:r>
          </w:p>
        </w:tc>
      </w:tr>
      <w:tr w:rsidR="000943BC" w14:paraId="45703EA1" w14:textId="77777777" w:rsidTr="000943BC">
        <w:trPr>
          <w:trHeight w:val="60"/>
        </w:trPr>
        <w:tc>
          <w:tcPr>
            <w:tcW w:w="1871" w:type="dxa"/>
          </w:tcPr>
          <w:p w14:paraId="69D5D466" w14:textId="77777777" w:rsidR="000943BC" w:rsidRDefault="000943BC" w:rsidP="00E777B2">
            <w:r>
              <w:t>Incompatible additive, solvent or diluent</w:t>
            </w:r>
          </w:p>
        </w:tc>
        <w:tc>
          <w:tcPr>
            <w:tcW w:w="8334" w:type="dxa"/>
          </w:tcPr>
          <w:p w14:paraId="4B423175" w14:textId="77777777" w:rsidR="000943BC" w:rsidRDefault="000943BC" w:rsidP="00E777B2">
            <w:r>
              <w:t>One medicine administered or mixed with another medicine or solution via the same IV, or same infusion bag, which is not documented to be compatible</w:t>
            </w:r>
          </w:p>
        </w:tc>
      </w:tr>
    </w:tbl>
    <w:p w14:paraId="7E1F7A41" w14:textId="77777777" w:rsidR="000943BC" w:rsidRDefault="000943BC" w:rsidP="000943BC">
      <w:pPr>
        <w:pStyle w:val="TableTitle"/>
      </w:pPr>
    </w:p>
    <w:p w14:paraId="18A212AA" w14:textId="77777777" w:rsidR="000943BC" w:rsidRDefault="000943BC">
      <w:pPr>
        <w:spacing w:before="0" w:after="80"/>
        <w:rPr>
          <w:b/>
          <w:lang w:eastAsia="en-US"/>
        </w:rPr>
      </w:pPr>
      <w:r>
        <w:br w:type="page"/>
      </w:r>
    </w:p>
    <w:p w14:paraId="1CB2D1C3" w14:textId="77777777" w:rsidR="000943BC" w:rsidRDefault="000943BC" w:rsidP="000943BC">
      <w:pPr>
        <w:pStyle w:val="TableTitle"/>
      </w:pPr>
      <w:r>
        <w:t xml:space="preserve">Table 3. Revised Westbrook et </w:t>
      </w:r>
      <w:proofErr w:type="spellStart"/>
      <w:r>
        <w:t>al’s</w:t>
      </w:r>
      <w:proofErr w:type="spellEnd"/>
      <w:r>
        <w:t xml:space="preserve"> classification of medicine adverse events and incidents </w:t>
      </w:r>
    </w:p>
    <w:tbl>
      <w:tblPr>
        <w:tblStyle w:val="TableGrid"/>
        <w:tblW w:w="10205" w:type="dxa"/>
        <w:tblLayout w:type="fixed"/>
        <w:tblLook w:val="0620" w:firstRow="1" w:lastRow="0" w:firstColumn="0" w:lastColumn="0" w:noHBand="1" w:noVBand="1"/>
        <w:tblDescription w:val="Table 3. Revised Westbrook et al’s classification of medicine adverse events and incidents.&#10;"/>
      </w:tblPr>
      <w:tblGrid>
        <w:gridCol w:w="1871"/>
        <w:gridCol w:w="3515"/>
        <w:gridCol w:w="4819"/>
      </w:tblGrid>
      <w:tr w:rsidR="000943BC" w14:paraId="6ACC978D" w14:textId="77777777" w:rsidTr="00E04621">
        <w:trPr>
          <w:cnfStyle w:val="100000000000" w:firstRow="1" w:lastRow="0" w:firstColumn="0" w:lastColumn="0" w:oddVBand="0" w:evenVBand="0" w:oddHBand="0" w:evenHBand="0" w:firstRowFirstColumn="0" w:firstRowLastColumn="0" w:lastRowFirstColumn="0" w:lastRowLastColumn="0"/>
          <w:trHeight w:val="60"/>
          <w:tblHeader/>
        </w:trPr>
        <w:tc>
          <w:tcPr>
            <w:tcW w:w="1871" w:type="dxa"/>
            <w:vMerge w:val="restart"/>
          </w:tcPr>
          <w:p w14:paraId="1325DCB1" w14:textId="77777777" w:rsidR="000943BC" w:rsidRDefault="000943BC" w:rsidP="00E777B2">
            <w:r>
              <w:t>Stage</w:t>
            </w:r>
          </w:p>
        </w:tc>
        <w:tc>
          <w:tcPr>
            <w:tcW w:w="8334" w:type="dxa"/>
            <w:gridSpan w:val="2"/>
          </w:tcPr>
          <w:p w14:paraId="2E902448" w14:textId="77777777" w:rsidR="000943BC" w:rsidRDefault="000943BC" w:rsidP="00E777B2">
            <w:r>
              <w:t>Error or incident type</w:t>
            </w:r>
          </w:p>
        </w:tc>
      </w:tr>
      <w:tr w:rsidR="000943BC" w14:paraId="4F1841FF" w14:textId="77777777" w:rsidTr="00E04621">
        <w:trPr>
          <w:cnfStyle w:val="100000000000" w:firstRow="1" w:lastRow="0" w:firstColumn="0" w:lastColumn="0" w:oddVBand="0" w:evenVBand="0" w:oddHBand="0" w:evenHBand="0" w:firstRowFirstColumn="0" w:firstRowLastColumn="0" w:lastRowFirstColumn="0" w:lastRowLastColumn="0"/>
          <w:trHeight w:val="425"/>
          <w:tblHeader/>
        </w:trPr>
        <w:tc>
          <w:tcPr>
            <w:tcW w:w="1871" w:type="dxa"/>
            <w:vMerge/>
          </w:tcPr>
          <w:p w14:paraId="45DEDB4E"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shd w:val="clear" w:color="auto" w:fill="86D3F2" w:themeFill="accent1" w:themeFillTint="66"/>
          </w:tcPr>
          <w:p w14:paraId="11902C82" w14:textId="77777777" w:rsidR="000943BC" w:rsidRPr="000943BC" w:rsidRDefault="000943BC" w:rsidP="000943BC">
            <w:pPr>
              <w:rPr>
                <w:rFonts w:cs="Arial"/>
                <w:b w:val="0"/>
              </w:rPr>
            </w:pPr>
            <w:r w:rsidRPr="000943BC">
              <w:rPr>
                <w:rFonts w:cs="Arial"/>
              </w:rPr>
              <w:t>Clinical</w:t>
            </w:r>
          </w:p>
        </w:tc>
        <w:tc>
          <w:tcPr>
            <w:tcW w:w="4819" w:type="dxa"/>
            <w:shd w:val="clear" w:color="auto" w:fill="86D3F2" w:themeFill="accent1" w:themeFillTint="66"/>
          </w:tcPr>
          <w:p w14:paraId="630843A7" w14:textId="77777777" w:rsidR="000943BC" w:rsidRPr="000943BC" w:rsidRDefault="000943BC" w:rsidP="000943BC">
            <w:pPr>
              <w:rPr>
                <w:rFonts w:cs="Arial"/>
                <w:b w:val="0"/>
              </w:rPr>
            </w:pPr>
            <w:r w:rsidRPr="000943BC">
              <w:rPr>
                <w:rFonts w:cs="Arial"/>
              </w:rPr>
              <w:t>Procedural</w:t>
            </w:r>
          </w:p>
        </w:tc>
      </w:tr>
      <w:tr w:rsidR="000943BC" w14:paraId="72A7955C" w14:textId="77777777" w:rsidTr="000943BC">
        <w:trPr>
          <w:trHeight w:val="60"/>
        </w:trPr>
        <w:tc>
          <w:tcPr>
            <w:tcW w:w="1871" w:type="dxa"/>
            <w:vMerge w:val="restart"/>
          </w:tcPr>
          <w:p w14:paraId="70A8B5CA" w14:textId="77777777" w:rsidR="000943BC" w:rsidRDefault="000943BC" w:rsidP="00E777B2">
            <w:r>
              <w:t>Prescribing</w:t>
            </w:r>
          </w:p>
        </w:tc>
        <w:tc>
          <w:tcPr>
            <w:tcW w:w="3515" w:type="dxa"/>
          </w:tcPr>
          <w:p w14:paraId="135304A4" w14:textId="77777777" w:rsidR="000943BC" w:rsidRDefault="000943BC" w:rsidP="00E777B2">
            <w:r>
              <w:t>Duplicated therapy</w:t>
            </w:r>
          </w:p>
        </w:tc>
        <w:tc>
          <w:tcPr>
            <w:tcW w:w="4819" w:type="dxa"/>
          </w:tcPr>
          <w:p w14:paraId="72E5BD99" w14:textId="77777777" w:rsidR="000943BC" w:rsidRDefault="000943BC" w:rsidP="00E777B2">
            <w:r>
              <w:t>Legal/procedural</w:t>
            </w:r>
          </w:p>
        </w:tc>
      </w:tr>
      <w:tr w:rsidR="000943BC" w14:paraId="2EC7B5AD" w14:textId="77777777" w:rsidTr="000943BC">
        <w:trPr>
          <w:trHeight w:val="60"/>
        </w:trPr>
        <w:tc>
          <w:tcPr>
            <w:tcW w:w="1871" w:type="dxa"/>
            <w:vMerge/>
          </w:tcPr>
          <w:p w14:paraId="2219D127"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537979D7" w14:textId="77777777" w:rsidR="000943BC" w:rsidRDefault="000943BC" w:rsidP="00E777B2">
            <w:r>
              <w:t>Wrong strength</w:t>
            </w:r>
          </w:p>
        </w:tc>
        <w:tc>
          <w:tcPr>
            <w:tcW w:w="4819" w:type="dxa"/>
          </w:tcPr>
          <w:p w14:paraId="7644218B" w14:textId="77777777" w:rsidR="000943BC" w:rsidRDefault="000943BC" w:rsidP="00E777B2">
            <w:r>
              <w:t>Incomplete order</w:t>
            </w:r>
          </w:p>
        </w:tc>
      </w:tr>
      <w:tr w:rsidR="000943BC" w14:paraId="6307331B" w14:textId="77777777" w:rsidTr="000943BC">
        <w:trPr>
          <w:trHeight w:val="60"/>
        </w:trPr>
        <w:tc>
          <w:tcPr>
            <w:tcW w:w="1871" w:type="dxa"/>
            <w:vMerge/>
          </w:tcPr>
          <w:p w14:paraId="3E918224"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6F3A862D" w14:textId="77777777" w:rsidR="000943BC" w:rsidRDefault="000943BC" w:rsidP="00E777B2">
            <w:r>
              <w:t>Wrong dose, volume or concentration</w:t>
            </w:r>
          </w:p>
        </w:tc>
        <w:tc>
          <w:tcPr>
            <w:tcW w:w="4819" w:type="dxa"/>
          </w:tcPr>
          <w:p w14:paraId="333A6A27" w14:textId="77777777" w:rsidR="000943BC" w:rsidRDefault="000943BC" w:rsidP="00E777B2">
            <w:r>
              <w:t>Unclear order</w:t>
            </w:r>
          </w:p>
        </w:tc>
      </w:tr>
      <w:tr w:rsidR="000943BC" w14:paraId="40D879E7" w14:textId="77777777" w:rsidTr="000943BC">
        <w:trPr>
          <w:trHeight w:val="60"/>
        </w:trPr>
        <w:tc>
          <w:tcPr>
            <w:tcW w:w="1871" w:type="dxa"/>
            <w:vMerge/>
          </w:tcPr>
          <w:p w14:paraId="264083F4"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1412E5C2" w14:textId="11E30EFC" w:rsidR="000943BC" w:rsidRDefault="000943BC" w:rsidP="00E777B2">
            <w:r>
              <w:t>Wrong rate</w:t>
            </w:r>
            <w:r w:rsidR="002B5042">
              <w:t>/</w:t>
            </w:r>
            <w:r>
              <w:t>frequency</w:t>
            </w:r>
          </w:p>
        </w:tc>
        <w:tc>
          <w:tcPr>
            <w:tcW w:w="4819" w:type="dxa"/>
          </w:tcPr>
          <w:p w14:paraId="34050D35"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77CB641B" w14:textId="77777777" w:rsidTr="000943BC">
        <w:trPr>
          <w:trHeight w:val="60"/>
        </w:trPr>
        <w:tc>
          <w:tcPr>
            <w:tcW w:w="1871" w:type="dxa"/>
            <w:vMerge/>
          </w:tcPr>
          <w:p w14:paraId="4BC96FFA"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09D9BA97" w14:textId="64E1EC67" w:rsidR="000943BC" w:rsidRDefault="000943BC" w:rsidP="00E777B2">
            <w:r>
              <w:t>Wrong route</w:t>
            </w:r>
            <w:r w:rsidR="002B5042">
              <w:t>/</w:t>
            </w:r>
            <w:r>
              <w:t>site</w:t>
            </w:r>
          </w:p>
        </w:tc>
        <w:tc>
          <w:tcPr>
            <w:tcW w:w="4819" w:type="dxa"/>
          </w:tcPr>
          <w:p w14:paraId="00D7F47F"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1F03B62E" w14:textId="77777777" w:rsidTr="000943BC">
        <w:trPr>
          <w:trHeight w:val="60"/>
        </w:trPr>
        <w:tc>
          <w:tcPr>
            <w:tcW w:w="1871" w:type="dxa"/>
            <w:vMerge/>
          </w:tcPr>
          <w:p w14:paraId="50CC53F3"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49BD651F" w14:textId="4A370ABA" w:rsidR="000943BC" w:rsidRDefault="000943BC" w:rsidP="00E777B2">
            <w:r>
              <w:t>Wrong medicine</w:t>
            </w:r>
            <w:r w:rsidR="002B5042">
              <w:t>/</w:t>
            </w:r>
            <w:r>
              <w:t>fluid</w:t>
            </w:r>
          </w:p>
        </w:tc>
        <w:tc>
          <w:tcPr>
            <w:tcW w:w="4819" w:type="dxa"/>
          </w:tcPr>
          <w:p w14:paraId="01DD39EC"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1CEB8DFF" w14:textId="77777777" w:rsidTr="000943BC">
        <w:trPr>
          <w:trHeight w:val="60"/>
        </w:trPr>
        <w:tc>
          <w:tcPr>
            <w:tcW w:w="1871" w:type="dxa"/>
            <w:vMerge/>
          </w:tcPr>
          <w:p w14:paraId="6C70B2F7"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3A8E9DAD" w14:textId="77777777" w:rsidR="000943BC" w:rsidRDefault="000943BC" w:rsidP="00E777B2">
            <w:r>
              <w:t>Medicine not prescribed</w:t>
            </w:r>
          </w:p>
        </w:tc>
        <w:tc>
          <w:tcPr>
            <w:tcW w:w="4819" w:type="dxa"/>
          </w:tcPr>
          <w:p w14:paraId="0C43B7B7"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5E74D8E1" w14:textId="77777777" w:rsidTr="000943BC">
        <w:trPr>
          <w:trHeight w:val="60"/>
        </w:trPr>
        <w:tc>
          <w:tcPr>
            <w:tcW w:w="1871" w:type="dxa"/>
            <w:vMerge/>
          </w:tcPr>
          <w:p w14:paraId="13B3310D"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5C6D8927" w14:textId="77777777" w:rsidR="000943BC" w:rsidRDefault="000943BC" w:rsidP="00E777B2">
            <w:r>
              <w:t>Medicine interaction</w:t>
            </w:r>
          </w:p>
        </w:tc>
        <w:tc>
          <w:tcPr>
            <w:tcW w:w="4819" w:type="dxa"/>
          </w:tcPr>
          <w:p w14:paraId="7133774E"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02F445F7" w14:textId="77777777" w:rsidTr="000943BC">
        <w:trPr>
          <w:trHeight w:val="60"/>
        </w:trPr>
        <w:tc>
          <w:tcPr>
            <w:tcW w:w="1871" w:type="dxa"/>
            <w:vMerge/>
          </w:tcPr>
          <w:p w14:paraId="43B11F28"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7D051F30" w14:textId="77777777" w:rsidR="000943BC" w:rsidRDefault="000943BC" w:rsidP="00E777B2">
            <w:r>
              <w:t>Not indicated</w:t>
            </w:r>
          </w:p>
        </w:tc>
        <w:tc>
          <w:tcPr>
            <w:tcW w:w="4819" w:type="dxa"/>
          </w:tcPr>
          <w:p w14:paraId="488A7696"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03207C13" w14:textId="77777777" w:rsidTr="000943BC">
        <w:trPr>
          <w:trHeight w:val="60"/>
        </w:trPr>
        <w:tc>
          <w:tcPr>
            <w:tcW w:w="1871" w:type="dxa"/>
            <w:vMerge/>
          </w:tcPr>
          <w:p w14:paraId="702CD6AA"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033431F9" w14:textId="77777777" w:rsidR="000943BC" w:rsidRDefault="000943BC" w:rsidP="00E777B2">
            <w:r>
              <w:t>Wrong duration</w:t>
            </w:r>
          </w:p>
        </w:tc>
        <w:tc>
          <w:tcPr>
            <w:tcW w:w="4819" w:type="dxa"/>
          </w:tcPr>
          <w:p w14:paraId="046DCB64"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07E54FC0" w14:textId="77777777" w:rsidTr="000943BC">
        <w:trPr>
          <w:trHeight w:val="60"/>
        </w:trPr>
        <w:tc>
          <w:tcPr>
            <w:tcW w:w="1871" w:type="dxa"/>
            <w:vMerge/>
          </w:tcPr>
          <w:p w14:paraId="1044869D"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2FECF595" w14:textId="77777777" w:rsidR="000943BC" w:rsidRDefault="000943BC" w:rsidP="00E777B2">
            <w:r>
              <w:t>Wrong timing</w:t>
            </w:r>
          </w:p>
        </w:tc>
        <w:tc>
          <w:tcPr>
            <w:tcW w:w="4819" w:type="dxa"/>
          </w:tcPr>
          <w:p w14:paraId="30960FB5"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086F50BC" w14:textId="77777777" w:rsidTr="000943BC">
        <w:trPr>
          <w:trHeight w:val="60"/>
        </w:trPr>
        <w:tc>
          <w:tcPr>
            <w:tcW w:w="1871" w:type="dxa"/>
            <w:vMerge/>
          </w:tcPr>
          <w:p w14:paraId="033126AF"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0FA5C851" w14:textId="77777777" w:rsidR="000943BC" w:rsidRDefault="000943BC" w:rsidP="00E777B2">
            <w:r>
              <w:t>Wrong formulation</w:t>
            </w:r>
          </w:p>
        </w:tc>
        <w:tc>
          <w:tcPr>
            <w:tcW w:w="4819" w:type="dxa"/>
          </w:tcPr>
          <w:p w14:paraId="66027C81"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70F8FE22" w14:textId="77777777" w:rsidTr="000943BC">
        <w:trPr>
          <w:trHeight w:val="60"/>
        </w:trPr>
        <w:tc>
          <w:tcPr>
            <w:tcW w:w="1871" w:type="dxa"/>
            <w:vMerge/>
          </w:tcPr>
          <w:p w14:paraId="3178F70B"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08AA2410" w14:textId="77777777" w:rsidR="000943BC" w:rsidRDefault="000943BC" w:rsidP="00E777B2">
            <w:r>
              <w:t xml:space="preserve">Inadequate monitoring </w:t>
            </w:r>
          </w:p>
        </w:tc>
        <w:tc>
          <w:tcPr>
            <w:tcW w:w="4819" w:type="dxa"/>
          </w:tcPr>
          <w:p w14:paraId="02361CBC"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7181DE83" w14:textId="77777777" w:rsidTr="000943BC">
        <w:trPr>
          <w:trHeight w:val="60"/>
        </w:trPr>
        <w:tc>
          <w:tcPr>
            <w:tcW w:w="1871" w:type="dxa"/>
            <w:vMerge/>
          </w:tcPr>
          <w:p w14:paraId="1B3A5425"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27BAC850" w14:textId="3CA35D35" w:rsidR="000943BC" w:rsidRDefault="000943BC" w:rsidP="00E777B2">
            <w:r>
              <w:t>Allergy</w:t>
            </w:r>
            <w:r w:rsidR="002B5042">
              <w:t>/</w:t>
            </w:r>
            <w:r>
              <w:t>ADR</w:t>
            </w:r>
          </w:p>
        </w:tc>
        <w:tc>
          <w:tcPr>
            <w:tcW w:w="4819" w:type="dxa"/>
          </w:tcPr>
          <w:p w14:paraId="43A379BB"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715C0C76" w14:textId="77777777" w:rsidTr="000943BC">
        <w:trPr>
          <w:trHeight w:val="60"/>
        </w:trPr>
        <w:tc>
          <w:tcPr>
            <w:tcW w:w="1871" w:type="dxa"/>
            <w:vMerge/>
          </w:tcPr>
          <w:p w14:paraId="1E4230CB"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6C56901E" w14:textId="77777777" w:rsidR="000943BC" w:rsidRDefault="000943BC" w:rsidP="00E777B2">
            <w:r>
              <w:t>Wrong patient</w:t>
            </w:r>
          </w:p>
        </w:tc>
        <w:tc>
          <w:tcPr>
            <w:tcW w:w="4819" w:type="dxa"/>
          </w:tcPr>
          <w:p w14:paraId="4FE3CDD4"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180CB922" w14:textId="77777777" w:rsidTr="000943BC">
        <w:trPr>
          <w:trHeight w:val="60"/>
        </w:trPr>
        <w:tc>
          <w:tcPr>
            <w:tcW w:w="1871" w:type="dxa"/>
            <w:vMerge w:val="restart"/>
          </w:tcPr>
          <w:p w14:paraId="735711E3" w14:textId="77777777" w:rsidR="000943BC" w:rsidRDefault="000943BC" w:rsidP="00E777B2">
            <w:r>
              <w:t>Administration</w:t>
            </w:r>
          </w:p>
        </w:tc>
        <w:tc>
          <w:tcPr>
            <w:tcW w:w="3515" w:type="dxa"/>
          </w:tcPr>
          <w:p w14:paraId="6E561797" w14:textId="77777777" w:rsidR="000943BC" w:rsidRDefault="000943BC" w:rsidP="00E777B2">
            <w:r>
              <w:t xml:space="preserve">Wrong timing </w:t>
            </w:r>
          </w:p>
        </w:tc>
        <w:tc>
          <w:tcPr>
            <w:tcW w:w="4819" w:type="dxa"/>
          </w:tcPr>
          <w:p w14:paraId="77D3EBDF" w14:textId="77777777" w:rsidR="000943BC" w:rsidRDefault="000943BC" w:rsidP="00E777B2">
            <w:r>
              <w:t>Failure to read medication label</w:t>
            </w:r>
          </w:p>
        </w:tc>
      </w:tr>
      <w:tr w:rsidR="000943BC" w14:paraId="0E8E06AD" w14:textId="77777777" w:rsidTr="000943BC">
        <w:trPr>
          <w:trHeight w:val="60"/>
        </w:trPr>
        <w:tc>
          <w:tcPr>
            <w:tcW w:w="1871" w:type="dxa"/>
            <w:vMerge/>
          </w:tcPr>
          <w:p w14:paraId="3B270F37" w14:textId="77777777" w:rsidR="000943BC" w:rsidRDefault="000943BC" w:rsidP="00E777B2">
            <w:pPr>
              <w:rPr>
                <w:rFonts w:ascii="Arial-BoldMT" w:hAnsi="Arial-BoldMT"/>
                <w:color w:val="auto"/>
                <w:lang w:val="en-US"/>
              </w:rPr>
            </w:pPr>
          </w:p>
        </w:tc>
        <w:tc>
          <w:tcPr>
            <w:tcW w:w="3515" w:type="dxa"/>
          </w:tcPr>
          <w:p w14:paraId="647F7DDB" w14:textId="77777777" w:rsidR="000943BC" w:rsidRDefault="000943BC" w:rsidP="00E777B2">
            <w:r>
              <w:t>Wrong IV administration rate</w:t>
            </w:r>
          </w:p>
        </w:tc>
        <w:tc>
          <w:tcPr>
            <w:tcW w:w="4819" w:type="dxa"/>
          </w:tcPr>
          <w:p w14:paraId="0A0C2257" w14:textId="77777777" w:rsidR="000943BC" w:rsidRDefault="000943BC" w:rsidP="00E777B2">
            <w:r>
              <w:t>Failure to check patient identification</w:t>
            </w:r>
          </w:p>
        </w:tc>
      </w:tr>
      <w:tr w:rsidR="000943BC" w14:paraId="672C1BD9" w14:textId="77777777" w:rsidTr="000943BC">
        <w:trPr>
          <w:trHeight w:val="60"/>
        </w:trPr>
        <w:tc>
          <w:tcPr>
            <w:tcW w:w="1871" w:type="dxa"/>
            <w:vMerge/>
          </w:tcPr>
          <w:p w14:paraId="79A2CE9F" w14:textId="77777777" w:rsidR="000943BC" w:rsidRDefault="000943BC" w:rsidP="00E777B2">
            <w:pPr>
              <w:rPr>
                <w:rFonts w:ascii="Arial-BoldMT" w:hAnsi="Arial-BoldMT"/>
                <w:color w:val="auto"/>
                <w:lang w:val="en-US"/>
              </w:rPr>
            </w:pPr>
          </w:p>
        </w:tc>
        <w:tc>
          <w:tcPr>
            <w:tcW w:w="3515" w:type="dxa"/>
          </w:tcPr>
          <w:p w14:paraId="75DD974E" w14:textId="77777777" w:rsidR="000943BC" w:rsidRDefault="000943BC" w:rsidP="00E777B2">
            <w:r>
              <w:t>Wrong dose</w:t>
            </w:r>
          </w:p>
        </w:tc>
        <w:tc>
          <w:tcPr>
            <w:tcW w:w="4819" w:type="dxa"/>
          </w:tcPr>
          <w:p w14:paraId="51027AC1" w14:textId="77777777" w:rsidR="000943BC" w:rsidRDefault="000943BC" w:rsidP="00E777B2">
            <w:r>
              <w:t>Failure to store a medicine in a secure environment at all times</w:t>
            </w:r>
          </w:p>
        </w:tc>
      </w:tr>
      <w:tr w:rsidR="000943BC" w14:paraId="4A22C817" w14:textId="77777777" w:rsidTr="000943BC">
        <w:trPr>
          <w:trHeight w:val="60"/>
        </w:trPr>
        <w:tc>
          <w:tcPr>
            <w:tcW w:w="1871" w:type="dxa"/>
            <w:vMerge/>
          </w:tcPr>
          <w:p w14:paraId="22353697" w14:textId="77777777" w:rsidR="000943BC" w:rsidRDefault="000943BC" w:rsidP="00E777B2">
            <w:pPr>
              <w:rPr>
                <w:rFonts w:ascii="Arial-BoldMT" w:hAnsi="Arial-BoldMT"/>
                <w:color w:val="auto"/>
                <w:lang w:val="en-US"/>
              </w:rPr>
            </w:pPr>
          </w:p>
        </w:tc>
        <w:tc>
          <w:tcPr>
            <w:tcW w:w="3515" w:type="dxa"/>
          </w:tcPr>
          <w:p w14:paraId="6E7C01C4" w14:textId="77777777" w:rsidR="000943BC" w:rsidRDefault="000943BC" w:rsidP="00E777B2">
            <w:r>
              <w:t>Wrong formulation</w:t>
            </w:r>
          </w:p>
        </w:tc>
        <w:tc>
          <w:tcPr>
            <w:tcW w:w="4819" w:type="dxa"/>
          </w:tcPr>
          <w:p w14:paraId="265C9DE9" w14:textId="77777777" w:rsidR="000943BC" w:rsidRDefault="000943BC" w:rsidP="00E777B2">
            <w:r>
              <w:t>Failure to record medicine administration on medication chart</w:t>
            </w:r>
          </w:p>
        </w:tc>
      </w:tr>
      <w:tr w:rsidR="000943BC" w14:paraId="57AE625D" w14:textId="77777777" w:rsidTr="000943BC">
        <w:trPr>
          <w:trHeight w:val="60"/>
        </w:trPr>
        <w:tc>
          <w:tcPr>
            <w:tcW w:w="1871" w:type="dxa"/>
            <w:vMerge/>
          </w:tcPr>
          <w:p w14:paraId="3362E908" w14:textId="77777777" w:rsidR="000943BC" w:rsidRDefault="000943BC" w:rsidP="00E777B2">
            <w:pPr>
              <w:rPr>
                <w:rFonts w:ascii="Arial-BoldMT" w:hAnsi="Arial-BoldMT"/>
                <w:color w:val="auto"/>
                <w:lang w:val="en-US"/>
              </w:rPr>
            </w:pPr>
          </w:p>
        </w:tc>
        <w:tc>
          <w:tcPr>
            <w:tcW w:w="3515" w:type="dxa"/>
          </w:tcPr>
          <w:p w14:paraId="7492A71A" w14:textId="77777777" w:rsidR="000943BC" w:rsidRDefault="000943BC" w:rsidP="00E777B2">
            <w:r>
              <w:t>Wrong additive, solvent or diluent</w:t>
            </w:r>
          </w:p>
        </w:tc>
        <w:tc>
          <w:tcPr>
            <w:tcW w:w="4819" w:type="dxa"/>
          </w:tcPr>
          <w:p w14:paraId="3921906C" w14:textId="77777777" w:rsidR="000943BC" w:rsidRDefault="000943BC" w:rsidP="00E777B2">
            <w:r>
              <w:t>Failure to use aseptic technique</w:t>
            </w:r>
          </w:p>
        </w:tc>
      </w:tr>
      <w:tr w:rsidR="000943BC" w14:paraId="0549FDF8" w14:textId="77777777" w:rsidTr="000943BC">
        <w:trPr>
          <w:trHeight w:val="60"/>
        </w:trPr>
        <w:tc>
          <w:tcPr>
            <w:tcW w:w="1871" w:type="dxa"/>
            <w:vMerge/>
          </w:tcPr>
          <w:p w14:paraId="58006F89" w14:textId="77777777" w:rsidR="000943BC" w:rsidRDefault="000943BC" w:rsidP="00E777B2">
            <w:pPr>
              <w:rPr>
                <w:rFonts w:ascii="Arial-BoldMT" w:hAnsi="Arial-BoldMT"/>
                <w:color w:val="auto"/>
                <w:lang w:val="en-US"/>
              </w:rPr>
            </w:pPr>
          </w:p>
        </w:tc>
        <w:tc>
          <w:tcPr>
            <w:tcW w:w="3515" w:type="dxa"/>
          </w:tcPr>
          <w:p w14:paraId="23C3CE3C" w14:textId="77777777" w:rsidR="000943BC" w:rsidRDefault="000943BC" w:rsidP="00E777B2">
            <w:r>
              <w:t>Wrong volume of additive, solvent or diluent</w:t>
            </w:r>
          </w:p>
        </w:tc>
        <w:tc>
          <w:tcPr>
            <w:tcW w:w="4819" w:type="dxa"/>
          </w:tcPr>
          <w:p w14:paraId="29CBAA1E" w14:textId="77777777" w:rsidR="000943BC" w:rsidRDefault="000943BC" w:rsidP="00E777B2">
            <w:r>
              <w:t>Failure to check pulse/blood pressure before administration (when applicable)</w:t>
            </w:r>
          </w:p>
        </w:tc>
      </w:tr>
      <w:tr w:rsidR="000943BC" w14:paraId="3F733762" w14:textId="77777777" w:rsidTr="000943BC">
        <w:trPr>
          <w:trHeight w:val="60"/>
        </w:trPr>
        <w:tc>
          <w:tcPr>
            <w:tcW w:w="1871" w:type="dxa"/>
            <w:vMerge/>
          </w:tcPr>
          <w:p w14:paraId="02A0C7FF" w14:textId="77777777" w:rsidR="000943BC" w:rsidRDefault="000943BC" w:rsidP="00E777B2">
            <w:pPr>
              <w:rPr>
                <w:rFonts w:ascii="Arial-BoldMT" w:hAnsi="Arial-BoldMT"/>
                <w:color w:val="auto"/>
                <w:lang w:val="en-US"/>
              </w:rPr>
            </w:pPr>
          </w:p>
        </w:tc>
        <w:tc>
          <w:tcPr>
            <w:tcW w:w="3515" w:type="dxa"/>
          </w:tcPr>
          <w:p w14:paraId="6D253E40" w14:textId="623B99B6" w:rsidR="000943BC" w:rsidRDefault="000943BC" w:rsidP="00E777B2">
            <w:r>
              <w:t>Wrong route</w:t>
            </w:r>
            <w:r w:rsidR="002B5042">
              <w:t>/</w:t>
            </w:r>
            <w:r>
              <w:t>site</w:t>
            </w:r>
          </w:p>
        </w:tc>
        <w:tc>
          <w:tcPr>
            <w:tcW w:w="4819" w:type="dxa"/>
          </w:tcPr>
          <w:p w14:paraId="48D21B6E" w14:textId="77777777" w:rsidR="000943BC" w:rsidRDefault="000943BC" w:rsidP="00E777B2">
            <w:r>
              <w:t>Failure to check blood glucose level prior to administering insulin</w:t>
            </w:r>
          </w:p>
        </w:tc>
      </w:tr>
      <w:tr w:rsidR="000943BC" w14:paraId="65147892" w14:textId="77777777" w:rsidTr="000943BC">
        <w:trPr>
          <w:trHeight w:val="60"/>
        </w:trPr>
        <w:tc>
          <w:tcPr>
            <w:tcW w:w="1871" w:type="dxa"/>
            <w:vMerge/>
          </w:tcPr>
          <w:p w14:paraId="42207E12" w14:textId="77777777" w:rsidR="000943BC" w:rsidRDefault="000943BC" w:rsidP="00E777B2"/>
        </w:tc>
        <w:tc>
          <w:tcPr>
            <w:tcW w:w="3515" w:type="dxa"/>
          </w:tcPr>
          <w:p w14:paraId="73915FB6" w14:textId="77777777" w:rsidR="000943BC" w:rsidRDefault="000943BC" w:rsidP="00E777B2">
            <w:r>
              <w:t>Wrong medicine</w:t>
            </w:r>
          </w:p>
        </w:tc>
        <w:tc>
          <w:tcPr>
            <w:tcW w:w="4819" w:type="dxa"/>
          </w:tcPr>
          <w:p w14:paraId="2B11CDE4" w14:textId="2384C4B1" w:rsidR="000943BC" w:rsidRDefault="000943BC" w:rsidP="00E777B2">
            <w:r>
              <w:t>Failure to follow procedures for IV administration and ‘accountable</w:t>
            </w:r>
            <w:r w:rsidR="002B5042">
              <w:t>/</w:t>
            </w:r>
            <w:r>
              <w:t>recordable drugs’ (Failure of 2 nurses to check preparation, witness administration, check infusion pump settings, sign accountable/recordable drug register or sign medication chart)</w:t>
            </w:r>
          </w:p>
        </w:tc>
      </w:tr>
      <w:tr w:rsidR="000943BC" w14:paraId="34C57F36" w14:textId="77777777" w:rsidTr="000943BC">
        <w:trPr>
          <w:trHeight w:val="60"/>
        </w:trPr>
        <w:tc>
          <w:tcPr>
            <w:tcW w:w="1871" w:type="dxa"/>
            <w:vMerge/>
          </w:tcPr>
          <w:p w14:paraId="5D626396"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22935693" w14:textId="77777777" w:rsidR="000943BC" w:rsidRDefault="000943BC" w:rsidP="00E777B2">
            <w:r>
              <w:t>Wrong strength</w:t>
            </w:r>
          </w:p>
        </w:tc>
        <w:tc>
          <w:tcPr>
            <w:tcW w:w="4819" w:type="dxa"/>
          </w:tcPr>
          <w:p w14:paraId="096CFA28" w14:textId="77777777" w:rsidR="000943BC" w:rsidRDefault="000943BC" w:rsidP="00E777B2">
            <w:r>
              <w:t>Failure to apply appropriate techniques for administration of a medicine (administering an IV medicine too quickly and not according to hospital guidelines or manufacturers’ instructions causing extravasation at injection site; modified release tablet is crushed and administered)</w:t>
            </w:r>
          </w:p>
        </w:tc>
      </w:tr>
      <w:tr w:rsidR="000943BC" w14:paraId="36BC0AB7" w14:textId="77777777" w:rsidTr="000943BC">
        <w:trPr>
          <w:trHeight w:val="60"/>
        </w:trPr>
        <w:tc>
          <w:tcPr>
            <w:tcW w:w="1871" w:type="dxa"/>
            <w:vMerge/>
          </w:tcPr>
          <w:p w14:paraId="17AE1AAE"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0D423372" w14:textId="77777777" w:rsidR="000943BC" w:rsidRDefault="000943BC" w:rsidP="00E777B2">
            <w:r>
              <w:t>Wrong patient</w:t>
            </w:r>
          </w:p>
        </w:tc>
        <w:tc>
          <w:tcPr>
            <w:tcW w:w="4819" w:type="dxa"/>
          </w:tcPr>
          <w:p w14:paraId="3FBC52AA" w14:textId="77777777" w:rsidR="000943BC" w:rsidRDefault="000943BC" w:rsidP="00E777B2">
            <w:r>
              <w:t>Failure to check if a medicine is expired before administration</w:t>
            </w:r>
          </w:p>
        </w:tc>
      </w:tr>
      <w:tr w:rsidR="000943BC" w14:paraId="6193DB39" w14:textId="77777777" w:rsidTr="000943BC">
        <w:trPr>
          <w:trHeight w:val="60"/>
        </w:trPr>
        <w:tc>
          <w:tcPr>
            <w:tcW w:w="1871" w:type="dxa"/>
            <w:vMerge/>
          </w:tcPr>
          <w:p w14:paraId="66F3E8D8"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3638828E" w14:textId="77777777" w:rsidR="000943BC" w:rsidRDefault="000943BC" w:rsidP="00E777B2">
            <w:r>
              <w:t>Omitted dose</w:t>
            </w:r>
          </w:p>
        </w:tc>
        <w:tc>
          <w:tcPr>
            <w:tcW w:w="4819" w:type="dxa"/>
          </w:tcPr>
          <w:p w14:paraId="30F5647E" w14:textId="77777777" w:rsidR="000943BC" w:rsidRDefault="000943BC" w:rsidP="00E777B2">
            <w:r>
              <w:t xml:space="preserve">Failure to apply labelling according to national, local or hospital procedures </w:t>
            </w:r>
          </w:p>
          <w:p w14:paraId="511D069F" w14:textId="377A9185" w:rsidR="000943BC" w:rsidRDefault="000943BC" w:rsidP="00E777B2">
            <w:r>
              <w:t>E.g. subcutaneous label affixed to medicine</w:t>
            </w:r>
            <w:r w:rsidR="002B5042">
              <w:t>/</w:t>
            </w:r>
            <w:r>
              <w:t>fluid</w:t>
            </w:r>
          </w:p>
        </w:tc>
      </w:tr>
      <w:tr w:rsidR="000943BC" w14:paraId="568166F7" w14:textId="77777777" w:rsidTr="000943BC">
        <w:trPr>
          <w:trHeight w:val="60"/>
        </w:trPr>
        <w:tc>
          <w:tcPr>
            <w:tcW w:w="1871" w:type="dxa"/>
            <w:vMerge/>
          </w:tcPr>
          <w:p w14:paraId="004E1545"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4E929956" w14:textId="77777777" w:rsidR="000943BC" w:rsidRDefault="000943BC" w:rsidP="00E777B2">
            <w:r>
              <w:t>Extra dose given</w:t>
            </w:r>
          </w:p>
        </w:tc>
        <w:tc>
          <w:tcPr>
            <w:tcW w:w="4819" w:type="dxa"/>
          </w:tcPr>
          <w:p w14:paraId="69114498"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0AACDA36" w14:textId="77777777" w:rsidTr="000943BC">
        <w:trPr>
          <w:trHeight w:val="60"/>
        </w:trPr>
        <w:tc>
          <w:tcPr>
            <w:tcW w:w="1871" w:type="dxa"/>
            <w:vMerge/>
          </w:tcPr>
          <w:p w14:paraId="3D57F336"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721A4484" w14:textId="77777777" w:rsidR="000943BC" w:rsidRDefault="000943BC" w:rsidP="00E777B2">
            <w:r>
              <w:t>Unordered medicine</w:t>
            </w:r>
          </w:p>
        </w:tc>
        <w:tc>
          <w:tcPr>
            <w:tcW w:w="4819" w:type="dxa"/>
          </w:tcPr>
          <w:p w14:paraId="74C37D5A"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21049C1D" w14:textId="77777777" w:rsidTr="000943BC">
        <w:trPr>
          <w:trHeight w:val="60"/>
        </w:trPr>
        <w:tc>
          <w:tcPr>
            <w:tcW w:w="1871" w:type="dxa"/>
            <w:vMerge/>
          </w:tcPr>
          <w:p w14:paraId="243C0E7A"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2F043563" w14:textId="742D5F46" w:rsidR="000943BC" w:rsidRDefault="000943BC" w:rsidP="00E777B2">
            <w:r>
              <w:t>Allergy</w:t>
            </w:r>
            <w:r w:rsidR="002B5042">
              <w:t>/</w:t>
            </w:r>
            <w:r>
              <w:t>ADR</w:t>
            </w:r>
          </w:p>
        </w:tc>
        <w:tc>
          <w:tcPr>
            <w:tcW w:w="4819" w:type="dxa"/>
          </w:tcPr>
          <w:p w14:paraId="4F80F35A"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r w:rsidR="000943BC" w14:paraId="402B0E89" w14:textId="77777777" w:rsidTr="000943BC">
        <w:trPr>
          <w:trHeight w:val="60"/>
        </w:trPr>
        <w:tc>
          <w:tcPr>
            <w:tcW w:w="1871" w:type="dxa"/>
            <w:vMerge/>
          </w:tcPr>
          <w:p w14:paraId="48E5C4E6" w14:textId="77777777" w:rsidR="000943BC" w:rsidRDefault="000943BC" w:rsidP="00E777B2">
            <w:pPr>
              <w:pStyle w:val="NoParagraphStyle"/>
              <w:spacing w:line="240" w:lineRule="auto"/>
              <w:textAlignment w:val="auto"/>
              <w:rPr>
                <w:rFonts w:ascii="Arial-BoldMT" w:hAnsi="Arial-BoldMT" w:cs="Times New Roman"/>
                <w:color w:val="auto"/>
                <w:lang w:val="en-US"/>
              </w:rPr>
            </w:pPr>
          </w:p>
        </w:tc>
        <w:tc>
          <w:tcPr>
            <w:tcW w:w="3515" w:type="dxa"/>
          </w:tcPr>
          <w:p w14:paraId="31BF8685" w14:textId="77777777" w:rsidR="000943BC" w:rsidRDefault="000943BC" w:rsidP="00E777B2">
            <w:r>
              <w:t>Incompatible additive, solvent or diluent</w:t>
            </w:r>
          </w:p>
        </w:tc>
        <w:tc>
          <w:tcPr>
            <w:tcW w:w="4819" w:type="dxa"/>
          </w:tcPr>
          <w:p w14:paraId="1B98636D" w14:textId="77777777" w:rsidR="000943BC" w:rsidRDefault="000943BC" w:rsidP="00E777B2">
            <w:pPr>
              <w:pStyle w:val="NoParagraphStyle"/>
              <w:spacing w:line="240" w:lineRule="auto"/>
              <w:textAlignment w:val="auto"/>
              <w:rPr>
                <w:rFonts w:ascii="Arial-BoldMT" w:hAnsi="Arial-BoldMT" w:cs="Times New Roman"/>
                <w:color w:val="auto"/>
                <w:lang w:val="en-US"/>
              </w:rPr>
            </w:pPr>
          </w:p>
        </w:tc>
      </w:tr>
    </w:tbl>
    <w:p w14:paraId="4ED9719D" w14:textId="77777777" w:rsidR="000943BC" w:rsidRDefault="000943BC" w:rsidP="000943BC">
      <w:pPr>
        <w:pStyle w:val="Heading2"/>
      </w:pPr>
      <w:r>
        <w:t xml:space="preserve">References </w:t>
      </w:r>
    </w:p>
    <w:p w14:paraId="06E877B2" w14:textId="77777777" w:rsidR="000943BC" w:rsidRDefault="000943BC" w:rsidP="000943BC">
      <w:pPr>
        <w:pStyle w:val="ListParagraph"/>
        <w:numPr>
          <w:ilvl w:val="0"/>
          <w:numId w:val="89"/>
        </w:numPr>
      </w:pPr>
      <w:r>
        <w:t xml:space="preserve">Westbrook JI, </w:t>
      </w:r>
      <w:proofErr w:type="spellStart"/>
      <w:r>
        <w:t>Reckmann</w:t>
      </w:r>
      <w:proofErr w:type="spellEnd"/>
      <w:r>
        <w:t xml:space="preserve"> M, Li L, </w:t>
      </w:r>
      <w:proofErr w:type="spellStart"/>
      <w:r>
        <w:t>Runciman</w:t>
      </w:r>
      <w:proofErr w:type="spellEnd"/>
      <w:r>
        <w:t xml:space="preserve"> WB, Burke R, Lo C, </w:t>
      </w:r>
      <w:proofErr w:type="spellStart"/>
      <w:r>
        <w:t>Baysari</w:t>
      </w:r>
      <w:proofErr w:type="spellEnd"/>
      <w:r>
        <w:t xml:space="preserve"> MT, Braithwaite J, Day RO. Effects of two commercial electronic prescribing systems on prescribing error rates in hospital in-patients: a before and after study. </w:t>
      </w:r>
      <w:proofErr w:type="spellStart"/>
      <w:r>
        <w:t>PLoS</w:t>
      </w:r>
      <w:proofErr w:type="spellEnd"/>
      <w:r>
        <w:t xml:space="preserve"> Med 2012</w:t>
      </w:r>
      <w:proofErr w:type="gramStart"/>
      <w:r>
        <w:t>;9</w:t>
      </w:r>
      <w:proofErr w:type="gramEnd"/>
      <w:r>
        <w:t>(1):e1001164.</w:t>
      </w:r>
    </w:p>
    <w:p w14:paraId="1F448B1C" w14:textId="77777777" w:rsidR="000943BC" w:rsidRDefault="000943BC" w:rsidP="000943BC">
      <w:pPr>
        <w:pStyle w:val="ListParagraph"/>
        <w:numPr>
          <w:ilvl w:val="0"/>
          <w:numId w:val="89"/>
        </w:numPr>
      </w:pPr>
      <w:r>
        <w:t xml:space="preserve">Westbrook JI, Woods </w:t>
      </w:r>
      <w:proofErr w:type="gramStart"/>
      <w:r>
        <w:t>A</w:t>
      </w:r>
      <w:proofErr w:type="gramEnd"/>
      <w:r>
        <w:t>, Rob MI, Dunsmuir WT, Day RO. Association of interruptions with an increased risk and severity of medication administration errors. Arch Intern Med 2010</w:t>
      </w:r>
      <w:proofErr w:type="gramStart"/>
      <w:r>
        <w:t>;170</w:t>
      </w:r>
      <w:proofErr w:type="gramEnd"/>
      <w:r>
        <w:t>(8):683–90.</w:t>
      </w:r>
    </w:p>
    <w:p w14:paraId="2399616E" w14:textId="77777777" w:rsidR="000943BC" w:rsidRDefault="000943BC" w:rsidP="000943BC">
      <w:pPr>
        <w:pStyle w:val="ListParagraph"/>
        <w:numPr>
          <w:ilvl w:val="0"/>
          <w:numId w:val="89"/>
        </w:numPr>
      </w:pPr>
      <w:r>
        <w:t>Victorian Therapeutics Advisory Group. Victorian Medication Incident Taxonomy. Melbourne. 2018.</w:t>
      </w:r>
    </w:p>
    <w:p w14:paraId="4E3B6B89" w14:textId="77777777" w:rsidR="0099343F" w:rsidRDefault="0099343F" w:rsidP="000943BC">
      <w:r>
        <w:t xml:space="preserve"> </w:t>
      </w:r>
    </w:p>
    <w:p w14:paraId="589957E9" w14:textId="77777777" w:rsidR="005C613A" w:rsidRDefault="005C613A" w:rsidP="005C613A">
      <w:pPr>
        <w:pStyle w:val="Heading2"/>
      </w:pPr>
      <w:r>
        <w:t>Questions?</w:t>
      </w:r>
    </w:p>
    <w:p w14:paraId="0DCE6A20" w14:textId="77777777" w:rsidR="005C613A" w:rsidRPr="00195458" w:rsidRDefault="005C613A" w:rsidP="005C613A">
      <w:r w:rsidRPr="00195458">
        <w:t xml:space="preserve">For more information, please visit: </w:t>
      </w:r>
      <w:hyperlink r:id="rId9" w:history="1">
        <w:r w:rsidRPr="00195458">
          <w:rPr>
            <w:rStyle w:val="Hyperlink"/>
          </w:rPr>
          <w:t>safetyandquality.gov.au/</w:t>
        </w:r>
        <w:r>
          <w:rPr>
            <w:rStyle w:val="Hyperlink"/>
          </w:rPr>
          <w:t>electronic-medication-management</w:t>
        </w:r>
      </w:hyperlink>
    </w:p>
    <w:p w14:paraId="42CA175B" w14:textId="1607E942" w:rsidR="005C613A" w:rsidRPr="0099343F" w:rsidRDefault="005C613A" w:rsidP="005C613A">
      <w:pPr>
        <w:rPr>
          <w:rStyle w:val="Roman"/>
        </w:rPr>
      </w:pPr>
      <w:r>
        <w:t>You can also contact the eHealth and Medication Safety team at</w:t>
      </w:r>
      <w:r w:rsidRPr="00195458">
        <w:t xml:space="preserve">: </w:t>
      </w:r>
      <w:hyperlink r:id="rId10" w:history="1">
        <w:r w:rsidR="006C763C" w:rsidRPr="00893928">
          <w:rPr>
            <w:rStyle w:val="Hyperlink"/>
          </w:rPr>
          <w:t>mail@safetyandquality.gov.au</w:t>
        </w:r>
      </w:hyperlink>
    </w:p>
    <w:p w14:paraId="5DEECDB5" w14:textId="77777777" w:rsidR="00195458" w:rsidRPr="00195458" w:rsidRDefault="00195458" w:rsidP="00A02BFF">
      <w:pPr>
        <w:ind w:right="-204"/>
        <w:jc w:val="right"/>
        <w:rPr>
          <w:rFonts w:eastAsiaTheme="majorEastAsia"/>
        </w:rPr>
      </w:pPr>
    </w:p>
    <w:p w14:paraId="2D5675D1" w14:textId="77777777" w:rsidR="00195458" w:rsidRDefault="00B1174A" w:rsidP="00195458">
      <w:hyperlink r:id="rId11" w:history="1">
        <w:r w:rsidR="00195458" w:rsidRPr="00195458">
          <w:rPr>
            <w:rStyle w:val="Hyperlink"/>
          </w:rPr>
          <w:t>safetyandquality.gov.au</w:t>
        </w:r>
      </w:hyperlink>
    </w:p>
    <w:p w14:paraId="68F29D54" w14:textId="77777777" w:rsidR="00F560D5" w:rsidRDefault="001918F7" w:rsidP="00F82829">
      <w:pPr>
        <w:pStyle w:val="FootnoteText"/>
        <w:spacing w:before="240"/>
      </w:pPr>
      <w:r w:rsidRPr="00F82829">
        <w:rPr>
          <w:noProof/>
        </w:rPr>
        <w:drawing>
          <wp:anchor distT="0" distB="0" distL="114300" distR="114300" simplePos="0" relativeHeight="251663360" behindDoc="0" locked="0" layoutInCell="1" allowOverlap="1" wp14:anchorId="3E8A8784" wp14:editId="637DB149">
            <wp:simplePos x="0" y="0"/>
            <wp:positionH relativeFrom="column">
              <wp:posOffset>0</wp:posOffset>
            </wp:positionH>
            <wp:positionV relativeFrom="paragraph">
              <wp:posOffset>81280</wp:posOffset>
            </wp:positionV>
            <wp:extent cx="840105" cy="297815"/>
            <wp:effectExtent l="0" t="0" r="0" b="698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2019</w:t>
      </w:r>
      <w:r w:rsidR="007B5D1E" w:rsidRPr="007B5D1E">
        <w:t xml:space="preserve"> </w:t>
      </w:r>
      <w:r w:rsidR="007B5D1E" w:rsidRPr="007B5D1E" w:rsidDel="00174535">
        <w:rPr>
          <w:rStyle w:val="Roman"/>
          <w:rFonts w:eastAsiaTheme="majorEastAsia"/>
        </w:rPr>
        <w:t xml:space="preserve"> </w:t>
      </w:r>
    </w:p>
    <w:sectPr w:rsidR="00F560D5" w:rsidSect="00B93CD5">
      <w:headerReference w:type="default" r:id="rId13"/>
      <w:footerReference w:type="default" r:id="rId14"/>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FDFC" w14:textId="77777777" w:rsidR="006E6398" w:rsidRDefault="006E6398" w:rsidP="000B0274">
      <w:r>
        <w:separator/>
      </w:r>
    </w:p>
  </w:endnote>
  <w:endnote w:type="continuationSeparator" w:id="0">
    <w:p w14:paraId="4B473370" w14:textId="77777777" w:rsidR="006E6398" w:rsidRDefault="006E6398"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Calluna"/>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Proxima Nov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8411" w14:textId="5ECFAB12" w:rsidR="0099343F" w:rsidRPr="00B93CD5" w:rsidRDefault="00FD7C7D" w:rsidP="00FD7C7D">
    <w:pPr>
      <w:pStyle w:val="Footer"/>
      <w:tabs>
        <w:tab w:val="clear" w:pos="9026"/>
        <w:tab w:val="right" w:pos="9639"/>
      </w:tabs>
    </w:pPr>
    <w:r w:rsidRPr="00FD7C7D">
      <w:t>A medicine incident classification system</w:t>
    </w:r>
    <w:r w:rsidRPr="00FD7C7D">
      <w:rPr>
        <w:lang w:val="en-US"/>
      </w:rPr>
      <w:t xml:space="preserve"> </w:t>
    </w:r>
    <w:r w:rsidR="00B93CD5" w:rsidRPr="00B93CD5">
      <w:tab/>
    </w:r>
    <w:r w:rsidR="00B93CD5" w:rsidRPr="00B93CD5">
      <w:tab/>
    </w:r>
    <w:r w:rsidR="00B93CD5" w:rsidRPr="00B93CD5">
      <w:fldChar w:fldCharType="begin"/>
    </w:r>
    <w:r w:rsidR="00B93CD5" w:rsidRPr="00B93CD5">
      <w:instrText xml:space="preserve"> PAGE   \* MERGEFORMAT </w:instrText>
    </w:r>
    <w:r w:rsidR="00B93CD5" w:rsidRPr="00B93CD5">
      <w:fldChar w:fldCharType="separate"/>
    </w:r>
    <w:r w:rsidR="00B1174A">
      <w:rPr>
        <w:noProof/>
      </w:rPr>
      <w:t>7</w:t>
    </w:r>
    <w:r w:rsidR="00B93CD5" w:rsidRPr="00B93C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1773F" w14:textId="77777777" w:rsidR="006E6398" w:rsidRDefault="006E6398" w:rsidP="000B0274">
      <w:r>
        <w:separator/>
      </w:r>
    </w:p>
  </w:footnote>
  <w:footnote w:type="continuationSeparator" w:id="0">
    <w:p w14:paraId="011CC603" w14:textId="77777777" w:rsidR="006E6398" w:rsidRDefault="006E6398"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D86FC" w14:textId="77777777" w:rsidR="00B93CD5" w:rsidRDefault="00B93CD5" w:rsidP="004128FC">
    <w:pPr>
      <w:pStyle w:val="Header"/>
      <w:tabs>
        <w:tab w:val="clear" w:pos="9026"/>
        <w:tab w:val="left" w:pos="7858"/>
      </w:tabs>
      <w:jc w:val="right"/>
    </w:pPr>
    <w:r w:rsidRPr="00F82829">
      <w:rPr>
        <w:rFonts w:eastAsiaTheme="majorEastAsia"/>
        <w:noProof/>
      </w:rPr>
      <w:drawing>
        <wp:anchor distT="0" distB="0" distL="114300" distR="114300" simplePos="0" relativeHeight="251658240" behindDoc="0" locked="0" layoutInCell="1" allowOverlap="1" wp14:anchorId="7737133F" wp14:editId="16EA4F1A">
          <wp:simplePos x="0" y="0"/>
          <wp:positionH relativeFrom="column">
            <wp:posOffset>2399</wp:posOffset>
          </wp:positionH>
          <wp:positionV relativeFrom="paragraph">
            <wp:posOffset>80363</wp:posOffset>
          </wp:positionV>
          <wp:extent cx="4335880" cy="612000"/>
          <wp:effectExtent l="0" t="0" r="0" b="0"/>
          <wp:wrapSquare wrapText="bothSides"/>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14:sizeRelH relativeFrom="page">
            <wp14:pctWidth>0</wp14:pctWidth>
          </wp14:sizeRelH>
          <wp14:sizeRelV relativeFrom="page">
            <wp14:pctHeight>0</wp14:pctHeight>
          </wp14:sizeRelV>
        </wp:anchor>
      </w:drawing>
    </w:r>
    <w:r w:rsidR="00C40A32" w:rsidRPr="00C40A32">
      <w:rPr>
        <w:sz w:val="16"/>
        <w:szCs w:val="16"/>
      </w:rPr>
      <w:t xml:space="preserve">TRIM: </w:t>
    </w:r>
    <w:r w:rsidR="0034007F" w:rsidRPr="00C40A32">
      <w:rPr>
        <w:sz w:val="16"/>
        <w:szCs w:val="16"/>
      </w:rPr>
      <w:t>D19-19991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68CD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16723"/>
    <w:multiLevelType w:val="hybridMultilevel"/>
    <w:tmpl w:val="E23E2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361F36"/>
    <w:multiLevelType w:val="hybridMultilevel"/>
    <w:tmpl w:val="2B105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E0257A"/>
    <w:multiLevelType w:val="hybridMultilevel"/>
    <w:tmpl w:val="E9B6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02FC245E"/>
    <w:multiLevelType w:val="hybridMultilevel"/>
    <w:tmpl w:val="256CE328"/>
    <w:lvl w:ilvl="0" w:tplc="0C09000F">
      <w:start w:val="1"/>
      <w:numFmt w:val="decimal"/>
      <w:lvlText w:val="%1."/>
      <w:lvlJc w:val="left"/>
      <w:pPr>
        <w:ind w:left="720" w:hanging="360"/>
      </w:pPr>
      <w:rPr>
        <w:rFonts w:hint="default"/>
      </w:rPr>
    </w:lvl>
    <w:lvl w:ilvl="1" w:tplc="CBFE80CC">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955F00"/>
    <w:multiLevelType w:val="hybridMultilevel"/>
    <w:tmpl w:val="7ABA9F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17DF6"/>
    <w:multiLevelType w:val="hybridMultilevel"/>
    <w:tmpl w:val="12A6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7C74BB"/>
    <w:multiLevelType w:val="hybridMultilevel"/>
    <w:tmpl w:val="0D10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EE46A65"/>
    <w:multiLevelType w:val="hybridMultilevel"/>
    <w:tmpl w:val="06042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69310B"/>
    <w:multiLevelType w:val="hybridMultilevel"/>
    <w:tmpl w:val="4FA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1076229A"/>
    <w:multiLevelType w:val="hybridMultilevel"/>
    <w:tmpl w:val="6E66B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15" w15:restartNumberingAfterBreak="0">
    <w:nsid w:val="13642483"/>
    <w:multiLevelType w:val="hybridMultilevel"/>
    <w:tmpl w:val="00A29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C60ED"/>
    <w:multiLevelType w:val="hybridMultilevel"/>
    <w:tmpl w:val="6A52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7C4386"/>
    <w:multiLevelType w:val="hybridMultilevel"/>
    <w:tmpl w:val="81F8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6A53E9"/>
    <w:multiLevelType w:val="hybridMultilevel"/>
    <w:tmpl w:val="C26E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987816"/>
    <w:multiLevelType w:val="hybridMultilevel"/>
    <w:tmpl w:val="4D7C0D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773129"/>
    <w:multiLevelType w:val="hybridMultilevel"/>
    <w:tmpl w:val="6BD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20922974"/>
    <w:multiLevelType w:val="hybridMultilevel"/>
    <w:tmpl w:val="24AC327A"/>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B60C9F"/>
    <w:multiLevelType w:val="hybridMultilevel"/>
    <w:tmpl w:val="C04A7F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E03A66"/>
    <w:multiLevelType w:val="hybridMultilevel"/>
    <w:tmpl w:val="4D6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A713C7"/>
    <w:multiLevelType w:val="hybridMultilevel"/>
    <w:tmpl w:val="FB4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238D2409"/>
    <w:multiLevelType w:val="hybridMultilevel"/>
    <w:tmpl w:val="2710DA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DA16B1"/>
    <w:multiLevelType w:val="hybridMultilevel"/>
    <w:tmpl w:val="51685A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256722D1"/>
    <w:multiLevelType w:val="hybridMultilevel"/>
    <w:tmpl w:val="A704C536"/>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0" w15:restartNumberingAfterBreak="0">
    <w:nsid w:val="25FC5D0A"/>
    <w:multiLevelType w:val="hybridMultilevel"/>
    <w:tmpl w:val="4A4E0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31" w15:restartNumberingAfterBreak="0">
    <w:nsid w:val="26F37D83"/>
    <w:multiLevelType w:val="hybridMultilevel"/>
    <w:tmpl w:val="A408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2700565E"/>
    <w:multiLevelType w:val="hybridMultilevel"/>
    <w:tmpl w:val="331A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5B0483"/>
    <w:multiLevelType w:val="hybridMultilevel"/>
    <w:tmpl w:val="9B3E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2BC73B46"/>
    <w:multiLevelType w:val="hybridMultilevel"/>
    <w:tmpl w:val="4A561B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14489A"/>
    <w:multiLevelType w:val="hybridMultilevel"/>
    <w:tmpl w:val="0C7EC08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F97B97"/>
    <w:multiLevelType w:val="hybridMultilevel"/>
    <w:tmpl w:val="5922F4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326F11A4"/>
    <w:multiLevelType w:val="hybridMultilevel"/>
    <w:tmpl w:val="C560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BE5C74"/>
    <w:multiLevelType w:val="hybridMultilevel"/>
    <w:tmpl w:val="18A4AF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E70573"/>
    <w:multiLevelType w:val="hybridMultilevel"/>
    <w:tmpl w:val="08B8EA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3F91CA5"/>
    <w:multiLevelType w:val="hybridMultilevel"/>
    <w:tmpl w:val="5C3A8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4503BF"/>
    <w:multiLevelType w:val="hybridMultilevel"/>
    <w:tmpl w:val="D3888E70"/>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42" w15:restartNumberingAfterBreak="0">
    <w:nsid w:val="365C2307"/>
    <w:multiLevelType w:val="hybridMultilevel"/>
    <w:tmpl w:val="E2AA4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7126219"/>
    <w:multiLevelType w:val="multilevel"/>
    <w:tmpl w:val="3E8C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2D4C07"/>
    <w:multiLevelType w:val="hybridMultilevel"/>
    <w:tmpl w:val="E9BEC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8BD695D"/>
    <w:multiLevelType w:val="hybridMultilevel"/>
    <w:tmpl w:val="DA824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B0734DB"/>
    <w:multiLevelType w:val="hybridMultilevel"/>
    <w:tmpl w:val="E1121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47" w15:restartNumberingAfterBreak="0">
    <w:nsid w:val="3E8C4477"/>
    <w:multiLevelType w:val="hybridMultilevel"/>
    <w:tmpl w:val="884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8" w15:restartNumberingAfterBreak="0">
    <w:nsid w:val="40680575"/>
    <w:multiLevelType w:val="hybridMultilevel"/>
    <w:tmpl w:val="1396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9" w15:restartNumberingAfterBreak="0">
    <w:nsid w:val="440D63ED"/>
    <w:multiLevelType w:val="hybridMultilevel"/>
    <w:tmpl w:val="AB8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1E7B8D"/>
    <w:multiLevelType w:val="hybridMultilevel"/>
    <w:tmpl w:val="357EA2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76D570C"/>
    <w:multiLevelType w:val="hybridMultilevel"/>
    <w:tmpl w:val="551E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3" w15:restartNumberingAfterBreak="0">
    <w:nsid w:val="478907D5"/>
    <w:multiLevelType w:val="hybridMultilevel"/>
    <w:tmpl w:val="64F463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8565EBF"/>
    <w:multiLevelType w:val="hybridMultilevel"/>
    <w:tmpl w:val="02D63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515045"/>
    <w:multiLevelType w:val="hybridMultilevel"/>
    <w:tmpl w:val="AFB649CA"/>
    <w:lvl w:ilvl="0" w:tplc="0C090003">
      <w:start w:val="1"/>
      <w:numFmt w:val="bullet"/>
      <w:lvlText w:val="o"/>
      <w:lvlJc w:val="left"/>
      <w:pPr>
        <w:ind w:left="1080" w:hanging="360"/>
      </w:pPr>
      <w:rPr>
        <w:rFonts w:ascii="Courier New" w:hAnsi="Courier New" w:cs="Courier New" w:hint="default"/>
      </w:rPr>
    </w:lvl>
    <w:lvl w:ilvl="1" w:tplc="30C2F158">
      <w:start w:val="5"/>
      <w:numFmt w:val="bullet"/>
      <w:lvlText w:val="•"/>
      <w:lvlJc w:val="left"/>
      <w:pPr>
        <w:ind w:left="2160" w:hanging="72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F5777FE"/>
    <w:multiLevelType w:val="hybridMultilevel"/>
    <w:tmpl w:val="2E20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0D95949"/>
    <w:multiLevelType w:val="hybridMultilevel"/>
    <w:tmpl w:val="1BE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9" w15:restartNumberingAfterBreak="0">
    <w:nsid w:val="517D6936"/>
    <w:multiLevelType w:val="hybridMultilevel"/>
    <w:tmpl w:val="F0A0E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950009"/>
    <w:multiLevelType w:val="hybridMultilevel"/>
    <w:tmpl w:val="162E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61" w15:restartNumberingAfterBreak="0">
    <w:nsid w:val="51C403C2"/>
    <w:multiLevelType w:val="hybridMultilevel"/>
    <w:tmpl w:val="B9EE8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AE4E07"/>
    <w:multiLevelType w:val="multilevel"/>
    <w:tmpl w:val="5BA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66E0F41"/>
    <w:multiLevelType w:val="hybridMultilevel"/>
    <w:tmpl w:val="E73A60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6874BED"/>
    <w:multiLevelType w:val="hybridMultilevel"/>
    <w:tmpl w:val="F80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5" w15:restartNumberingAfterBreak="0">
    <w:nsid w:val="56DE4BFF"/>
    <w:multiLevelType w:val="hybridMultilevel"/>
    <w:tmpl w:val="8886D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66" w15:restartNumberingAfterBreak="0">
    <w:nsid w:val="57DA0206"/>
    <w:multiLevelType w:val="hybridMultilevel"/>
    <w:tmpl w:val="960E0C82"/>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9AC75F3"/>
    <w:multiLevelType w:val="hybridMultilevel"/>
    <w:tmpl w:val="5C52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A040859"/>
    <w:multiLevelType w:val="hybridMultilevel"/>
    <w:tmpl w:val="BEB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9" w15:restartNumberingAfterBreak="0">
    <w:nsid w:val="5C1D1291"/>
    <w:multiLevelType w:val="hybridMultilevel"/>
    <w:tmpl w:val="E56E464E"/>
    <w:lvl w:ilvl="0" w:tplc="4E707E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26754AC"/>
    <w:multiLevelType w:val="hybridMultilevel"/>
    <w:tmpl w:val="24588936"/>
    <w:lvl w:ilvl="0" w:tplc="0C090001">
      <w:start w:val="1"/>
      <w:numFmt w:val="bullet"/>
      <w:lvlText w:val=""/>
      <w:lvlJc w:val="left"/>
      <w:pPr>
        <w:ind w:left="720" w:hanging="360"/>
      </w:pPr>
      <w:rPr>
        <w:rFonts w:ascii="Symbol" w:hAnsi="Symbol" w:hint="default"/>
      </w:rPr>
    </w:lvl>
    <w:lvl w:ilvl="1" w:tplc="CBFE80C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34D5826"/>
    <w:multiLevelType w:val="hybridMultilevel"/>
    <w:tmpl w:val="C326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72" w15:restartNumberingAfterBreak="0">
    <w:nsid w:val="64F14830"/>
    <w:multiLevelType w:val="hybridMultilevel"/>
    <w:tmpl w:val="5046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180FFE"/>
    <w:multiLevelType w:val="hybridMultilevel"/>
    <w:tmpl w:val="350C8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9F81AEA"/>
    <w:multiLevelType w:val="hybridMultilevel"/>
    <w:tmpl w:val="66E0201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B561408"/>
    <w:multiLevelType w:val="hybridMultilevel"/>
    <w:tmpl w:val="E190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C7A48FE"/>
    <w:multiLevelType w:val="hybridMultilevel"/>
    <w:tmpl w:val="E1343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CBB0487"/>
    <w:multiLevelType w:val="hybridMultilevel"/>
    <w:tmpl w:val="E1E83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FA00DC8"/>
    <w:multiLevelType w:val="hybridMultilevel"/>
    <w:tmpl w:val="A3BC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DC03F8"/>
    <w:multiLevelType w:val="hybridMultilevel"/>
    <w:tmpl w:val="BF467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B375ED"/>
    <w:multiLevelType w:val="hybridMultilevel"/>
    <w:tmpl w:val="BD002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81" w15:restartNumberingAfterBreak="0">
    <w:nsid w:val="75591D0B"/>
    <w:multiLevelType w:val="hybridMultilevel"/>
    <w:tmpl w:val="A64E7F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658654A"/>
    <w:multiLevelType w:val="hybridMultilevel"/>
    <w:tmpl w:val="7ABAB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769596">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727712E"/>
    <w:multiLevelType w:val="hybridMultilevel"/>
    <w:tmpl w:val="A47EE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7CE6E64"/>
    <w:multiLevelType w:val="hybridMultilevel"/>
    <w:tmpl w:val="74C0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8C02B48"/>
    <w:multiLevelType w:val="multilevel"/>
    <w:tmpl w:val="3B36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B997B01"/>
    <w:multiLevelType w:val="hybridMultilevel"/>
    <w:tmpl w:val="6B20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D7556A2"/>
    <w:multiLevelType w:val="hybridMultilevel"/>
    <w:tmpl w:val="8A7C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CC1BE3"/>
    <w:multiLevelType w:val="hybridMultilevel"/>
    <w:tmpl w:val="EECC8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num w:numId="1">
    <w:abstractNumId w:val="5"/>
  </w:num>
  <w:num w:numId="2">
    <w:abstractNumId w:val="10"/>
  </w:num>
  <w:num w:numId="3">
    <w:abstractNumId w:val="28"/>
  </w:num>
  <w:num w:numId="4">
    <w:abstractNumId w:val="56"/>
  </w:num>
  <w:num w:numId="5">
    <w:abstractNumId w:val="51"/>
  </w:num>
  <w:num w:numId="6">
    <w:abstractNumId w:val="11"/>
  </w:num>
  <w:num w:numId="7">
    <w:abstractNumId w:val="0"/>
  </w:num>
  <w:num w:numId="8">
    <w:abstractNumId w:val="16"/>
  </w:num>
  <w:num w:numId="9">
    <w:abstractNumId w:val="7"/>
  </w:num>
  <w:num w:numId="10">
    <w:abstractNumId w:val="67"/>
  </w:num>
  <w:num w:numId="11">
    <w:abstractNumId w:val="8"/>
  </w:num>
  <w:num w:numId="12">
    <w:abstractNumId w:val="84"/>
  </w:num>
  <w:num w:numId="13">
    <w:abstractNumId w:val="57"/>
  </w:num>
  <w:num w:numId="14">
    <w:abstractNumId w:val="44"/>
  </w:num>
  <w:num w:numId="15">
    <w:abstractNumId w:val="4"/>
  </w:num>
  <w:num w:numId="16">
    <w:abstractNumId w:val="15"/>
  </w:num>
  <w:num w:numId="17">
    <w:abstractNumId w:val="66"/>
  </w:num>
  <w:num w:numId="18">
    <w:abstractNumId w:val="22"/>
  </w:num>
  <w:num w:numId="19">
    <w:abstractNumId w:val="45"/>
  </w:num>
  <w:num w:numId="20">
    <w:abstractNumId w:val="74"/>
  </w:num>
  <w:num w:numId="21">
    <w:abstractNumId w:val="55"/>
  </w:num>
  <w:num w:numId="22">
    <w:abstractNumId w:val="2"/>
  </w:num>
  <w:num w:numId="23">
    <w:abstractNumId w:val="18"/>
  </w:num>
  <w:num w:numId="24">
    <w:abstractNumId w:val="77"/>
  </w:num>
  <w:num w:numId="25">
    <w:abstractNumId w:val="19"/>
  </w:num>
  <w:num w:numId="26">
    <w:abstractNumId w:val="86"/>
  </w:num>
  <w:num w:numId="27">
    <w:abstractNumId w:val="82"/>
  </w:num>
  <w:num w:numId="28">
    <w:abstractNumId w:val="70"/>
  </w:num>
  <w:num w:numId="29">
    <w:abstractNumId w:val="76"/>
  </w:num>
  <w:num w:numId="30">
    <w:abstractNumId w:val="73"/>
  </w:num>
  <w:num w:numId="31">
    <w:abstractNumId w:val="1"/>
  </w:num>
  <w:num w:numId="32">
    <w:abstractNumId w:val="12"/>
  </w:num>
  <w:num w:numId="33">
    <w:abstractNumId w:val="37"/>
  </w:num>
  <w:num w:numId="34">
    <w:abstractNumId w:val="61"/>
  </w:num>
  <w:num w:numId="35">
    <w:abstractNumId w:val="78"/>
  </w:num>
  <w:num w:numId="36">
    <w:abstractNumId w:val="40"/>
  </w:num>
  <w:num w:numId="37">
    <w:abstractNumId w:val="63"/>
  </w:num>
  <w:num w:numId="38">
    <w:abstractNumId w:val="24"/>
  </w:num>
  <w:num w:numId="39">
    <w:abstractNumId w:val="38"/>
  </w:num>
  <w:num w:numId="40">
    <w:abstractNumId w:val="23"/>
  </w:num>
  <w:num w:numId="41">
    <w:abstractNumId w:val="53"/>
  </w:num>
  <w:num w:numId="42">
    <w:abstractNumId w:val="6"/>
  </w:num>
  <w:num w:numId="43">
    <w:abstractNumId w:val="54"/>
  </w:num>
  <w:num w:numId="44">
    <w:abstractNumId w:val="27"/>
  </w:num>
  <w:num w:numId="45">
    <w:abstractNumId w:val="39"/>
  </w:num>
  <w:num w:numId="46">
    <w:abstractNumId w:val="81"/>
  </w:num>
  <w:num w:numId="47">
    <w:abstractNumId w:val="34"/>
  </w:num>
  <w:num w:numId="48">
    <w:abstractNumId w:val="26"/>
  </w:num>
  <w:num w:numId="49">
    <w:abstractNumId w:val="29"/>
  </w:num>
  <w:num w:numId="50">
    <w:abstractNumId w:val="41"/>
  </w:num>
  <w:num w:numId="51">
    <w:abstractNumId w:val="17"/>
  </w:num>
  <w:num w:numId="52">
    <w:abstractNumId w:val="85"/>
  </w:num>
  <w:num w:numId="53">
    <w:abstractNumId w:val="62"/>
  </w:num>
  <w:num w:numId="54">
    <w:abstractNumId w:val="75"/>
  </w:num>
  <w:num w:numId="55">
    <w:abstractNumId w:val="32"/>
  </w:num>
  <w:num w:numId="56">
    <w:abstractNumId w:val="69"/>
  </w:num>
  <w:num w:numId="57">
    <w:abstractNumId w:val="43"/>
  </w:num>
  <w:num w:numId="58">
    <w:abstractNumId w:val="36"/>
  </w:num>
  <w:num w:numId="59">
    <w:abstractNumId w:val="50"/>
  </w:num>
  <w:num w:numId="60">
    <w:abstractNumId w:val="35"/>
  </w:num>
  <w:num w:numId="61">
    <w:abstractNumId w:val="65"/>
  </w:num>
  <w:num w:numId="62">
    <w:abstractNumId w:val="68"/>
  </w:num>
  <w:num w:numId="63">
    <w:abstractNumId w:val="87"/>
  </w:num>
  <w:num w:numId="64">
    <w:abstractNumId w:val="20"/>
  </w:num>
  <w:num w:numId="65">
    <w:abstractNumId w:val="71"/>
  </w:num>
  <w:num w:numId="66">
    <w:abstractNumId w:val="14"/>
  </w:num>
  <w:num w:numId="67">
    <w:abstractNumId w:val="88"/>
  </w:num>
  <w:num w:numId="68">
    <w:abstractNumId w:val="33"/>
  </w:num>
  <w:num w:numId="69">
    <w:abstractNumId w:val="30"/>
  </w:num>
  <w:num w:numId="70">
    <w:abstractNumId w:val="21"/>
  </w:num>
  <w:num w:numId="71">
    <w:abstractNumId w:val="58"/>
  </w:num>
  <w:num w:numId="72">
    <w:abstractNumId w:val="13"/>
  </w:num>
  <w:num w:numId="73">
    <w:abstractNumId w:val="3"/>
  </w:num>
  <w:num w:numId="74">
    <w:abstractNumId w:val="48"/>
  </w:num>
  <w:num w:numId="75">
    <w:abstractNumId w:val="52"/>
  </w:num>
  <w:num w:numId="76">
    <w:abstractNumId w:val="47"/>
  </w:num>
  <w:num w:numId="77">
    <w:abstractNumId w:val="79"/>
  </w:num>
  <w:num w:numId="78">
    <w:abstractNumId w:val="9"/>
  </w:num>
  <w:num w:numId="79">
    <w:abstractNumId w:val="60"/>
  </w:num>
  <w:num w:numId="80">
    <w:abstractNumId w:val="80"/>
  </w:num>
  <w:num w:numId="81">
    <w:abstractNumId w:val="31"/>
  </w:num>
  <w:num w:numId="82">
    <w:abstractNumId w:val="25"/>
  </w:num>
  <w:num w:numId="83">
    <w:abstractNumId w:val="46"/>
  </w:num>
  <w:num w:numId="84">
    <w:abstractNumId w:val="64"/>
  </w:num>
  <w:num w:numId="85">
    <w:abstractNumId w:val="72"/>
  </w:num>
  <w:num w:numId="86">
    <w:abstractNumId w:val="83"/>
  </w:num>
  <w:num w:numId="87">
    <w:abstractNumId w:val="59"/>
  </w:num>
  <w:num w:numId="88">
    <w:abstractNumId w:val="49"/>
  </w:num>
  <w:num w:numId="89">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1053B"/>
    <w:rsid w:val="00012782"/>
    <w:rsid w:val="00020DBD"/>
    <w:rsid w:val="00025A92"/>
    <w:rsid w:val="0003162D"/>
    <w:rsid w:val="000337F6"/>
    <w:rsid w:val="00036F5E"/>
    <w:rsid w:val="000406F8"/>
    <w:rsid w:val="00043671"/>
    <w:rsid w:val="00050775"/>
    <w:rsid w:val="00054B74"/>
    <w:rsid w:val="00067456"/>
    <w:rsid w:val="0008065C"/>
    <w:rsid w:val="000943BC"/>
    <w:rsid w:val="00095DA6"/>
    <w:rsid w:val="000A3F0D"/>
    <w:rsid w:val="000A4B51"/>
    <w:rsid w:val="000A4C01"/>
    <w:rsid w:val="000B0274"/>
    <w:rsid w:val="000B0BFE"/>
    <w:rsid w:val="000B79D3"/>
    <w:rsid w:val="000C1722"/>
    <w:rsid w:val="000C1DD4"/>
    <w:rsid w:val="000D017D"/>
    <w:rsid w:val="000D6405"/>
    <w:rsid w:val="000E2F2E"/>
    <w:rsid w:val="000F0D77"/>
    <w:rsid w:val="0010673D"/>
    <w:rsid w:val="00106CF5"/>
    <w:rsid w:val="00120FCB"/>
    <w:rsid w:val="00131E52"/>
    <w:rsid w:val="00143A76"/>
    <w:rsid w:val="00145BE3"/>
    <w:rsid w:val="00146A66"/>
    <w:rsid w:val="001507C6"/>
    <w:rsid w:val="00157B31"/>
    <w:rsid w:val="00160453"/>
    <w:rsid w:val="00174535"/>
    <w:rsid w:val="0017675C"/>
    <w:rsid w:val="00183675"/>
    <w:rsid w:val="001852DE"/>
    <w:rsid w:val="001860B2"/>
    <w:rsid w:val="001918F7"/>
    <w:rsid w:val="001921ED"/>
    <w:rsid w:val="00195458"/>
    <w:rsid w:val="00196AC8"/>
    <w:rsid w:val="001B15D1"/>
    <w:rsid w:val="001B3443"/>
    <w:rsid w:val="001E1042"/>
    <w:rsid w:val="001E38B8"/>
    <w:rsid w:val="001E57E0"/>
    <w:rsid w:val="001E77C4"/>
    <w:rsid w:val="001F6D10"/>
    <w:rsid w:val="0023231A"/>
    <w:rsid w:val="00237ADF"/>
    <w:rsid w:val="00245D81"/>
    <w:rsid w:val="0024767D"/>
    <w:rsid w:val="002503C3"/>
    <w:rsid w:val="00251167"/>
    <w:rsid w:val="00255596"/>
    <w:rsid w:val="00255DCB"/>
    <w:rsid w:val="00261F43"/>
    <w:rsid w:val="00263A63"/>
    <w:rsid w:val="00264A5A"/>
    <w:rsid w:val="002662B4"/>
    <w:rsid w:val="00267635"/>
    <w:rsid w:val="00281FD4"/>
    <w:rsid w:val="00291EBD"/>
    <w:rsid w:val="002B5042"/>
    <w:rsid w:val="002C6AF0"/>
    <w:rsid w:val="002D0EB0"/>
    <w:rsid w:val="002E195D"/>
    <w:rsid w:val="002E2DBA"/>
    <w:rsid w:val="002E3986"/>
    <w:rsid w:val="002E6A48"/>
    <w:rsid w:val="002E7082"/>
    <w:rsid w:val="002F3AE3"/>
    <w:rsid w:val="002F7E6F"/>
    <w:rsid w:val="0030786C"/>
    <w:rsid w:val="00312A62"/>
    <w:rsid w:val="00316683"/>
    <w:rsid w:val="0034007F"/>
    <w:rsid w:val="00341BEE"/>
    <w:rsid w:val="00343286"/>
    <w:rsid w:val="00350BE1"/>
    <w:rsid w:val="00354296"/>
    <w:rsid w:val="003657DB"/>
    <w:rsid w:val="00386683"/>
    <w:rsid w:val="003873C6"/>
    <w:rsid w:val="00392002"/>
    <w:rsid w:val="00392A85"/>
    <w:rsid w:val="00396AFB"/>
    <w:rsid w:val="003C297A"/>
    <w:rsid w:val="003C540E"/>
    <w:rsid w:val="003D17F9"/>
    <w:rsid w:val="003D27A0"/>
    <w:rsid w:val="003D437B"/>
    <w:rsid w:val="003D4829"/>
    <w:rsid w:val="003E6E73"/>
    <w:rsid w:val="003E76C8"/>
    <w:rsid w:val="003F3F0B"/>
    <w:rsid w:val="0040152C"/>
    <w:rsid w:val="00402CBA"/>
    <w:rsid w:val="004128FC"/>
    <w:rsid w:val="00412E9D"/>
    <w:rsid w:val="00414952"/>
    <w:rsid w:val="00425504"/>
    <w:rsid w:val="0042727E"/>
    <w:rsid w:val="004305D6"/>
    <w:rsid w:val="00440CC0"/>
    <w:rsid w:val="00447D31"/>
    <w:rsid w:val="00455560"/>
    <w:rsid w:val="00470AB8"/>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8C1"/>
    <w:rsid w:val="0051563D"/>
    <w:rsid w:val="0052107C"/>
    <w:rsid w:val="005221B7"/>
    <w:rsid w:val="00530100"/>
    <w:rsid w:val="00536E0C"/>
    <w:rsid w:val="005408C7"/>
    <w:rsid w:val="005422E7"/>
    <w:rsid w:val="00544A4E"/>
    <w:rsid w:val="00553E33"/>
    <w:rsid w:val="00560D98"/>
    <w:rsid w:val="00562F72"/>
    <w:rsid w:val="00566B97"/>
    <w:rsid w:val="00570C6C"/>
    <w:rsid w:val="00584334"/>
    <w:rsid w:val="0059724C"/>
    <w:rsid w:val="005A1AA7"/>
    <w:rsid w:val="005A4D0B"/>
    <w:rsid w:val="005A735B"/>
    <w:rsid w:val="005B04D8"/>
    <w:rsid w:val="005C1496"/>
    <w:rsid w:val="005C5EF4"/>
    <w:rsid w:val="005C613A"/>
    <w:rsid w:val="005C6AAE"/>
    <w:rsid w:val="005D1073"/>
    <w:rsid w:val="005E2614"/>
    <w:rsid w:val="00607B0B"/>
    <w:rsid w:val="00614E29"/>
    <w:rsid w:val="0062216A"/>
    <w:rsid w:val="00625634"/>
    <w:rsid w:val="00630199"/>
    <w:rsid w:val="006317C9"/>
    <w:rsid w:val="00632475"/>
    <w:rsid w:val="00632C35"/>
    <w:rsid w:val="00641CB0"/>
    <w:rsid w:val="0064239F"/>
    <w:rsid w:val="00656A90"/>
    <w:rsid w:val="00664F67"/>
    <w:rsid w:val="00670F54"/>
    <w:rsid w:val="006728F9"/>
    <w:rsid w:val="006767BC"/>
    <w:rsid w:val="006803BA"/>
    <w:rsid w:val="006922F5"/>
    <w:rsid w:val="006947D9"/>
    <w:rsid w:val="006A16DD"/>
    <w:rsid w:val="006B3CFC"/>
    <w:rsid w:val="006C0CD8"/>
    <w:rsid w:val="006C5AEE"/>
    <w:rsid w:val="006C679A"/>
    <w:rsid w:val="006C763C"/>
    <w:rsid w:val="006D732F"/>
    <w:rsid w:val="006E6398"/>
    <w:rsid w:val="006E688D"/>
    <w:rsid w:val="006F1432"/>
    <w:rsid w:val="006F7964"/>
    <w:rsid w:val="007028EC"/>
    <w:rsid w:val="007035D8"/>
    <w:rsid w:val="0070703E"/>
    <w:rsid w:val="00711E21"/>
    <w:rsid w:val="0071637F"/>
    <w:rsid w:val="00722691"/>
    <w:rsid w:val="007238E8"/>
    <w:rsid w:val="007360BF"/>
    <w:rsid w:val="00747CE1"/>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B5D1E"/>
    <w:rsid w:val="007C2217"/>
    <w:rsid w:val="007C471C"/>
    <w:rsid w:val="007C52D3"/>
    <w:rsid w:val="007E000D"/>
    <w:rsid w:val="007F3645"/>
    <w:rsid w:val="007F6791"/>
    <w:rsid w:val="00811C26"/>
    <w:rsid w:val="008264EB"/>
    <w:rsid w:val="00827924"/>
    <w:rsid w:val="00830756"/>
    <w:rsid w:val="00857E76"/>
    <w:rsid w:val="00865932"/>
    <w:rsid w:val="00872059"/>
    <w:rsid w:val="00873673"/>
    <w:rsid w:val="008803A1"/>
    <w:rsid w:val="008839CD"/>
    <w:rsid w:val="00892AC8"/>
    <w:rsid w:val="008A07AF"/>
    <w:rsid w:val="008A4AC8"/>
    <w:rsid w:val="008A58F9"/>
    <w:rsid w:val="008D09DE"/>
    <w:rsid w:val="008E5D6A"/>
    <w:rsid w:val="0091137C"/>
    <w:rsid w:val="0092204C"/>
    <w:rsid w:val="00922DEE"/>
    <w:rsid w:val="009244B8"/>
    <w:rsid w:val="00933B21"/>
    <w:rsid w:val="00941048"/>
    <w:rsid w:val="009424A5"/>
    <w:rsid w:val="00950089"/>
    <w:rsid w:val="0095539D"/>
    <w:rsid w:val="00957E88"/>
    <w:rsid w:val="00961B39"/>
    <w:rsid w:val="00961FBE"/>
    <w:rsid w:val="00964277"/>
    <w:rsid w:val="00977D26"/>
    <w:rsid w:val="00984227"/>
    <w:rsid w:val="00991AF5"/>
    <w:rsid w:val="0099343F"/>
    <w:rsid w:val="00995094"/>
    <w:rsid w:val="009A007B"/>
    <w:rsid w:val="009A263C"/>
    <w:rsid w:val="009B053D"/>
    <w:rsid w:val="009B64E3"/>
    <w:rsid w:val="009C5964"/>
    <w:rsid w:val="009D0B90"/>
    <w:rsid w:val="009D6852"/>
    <w:rsid w:val="009E0725"/>
    <w:rsid w:val="009E1F38"/>
    <w:rsid w:val="009E6B78"/>
    <w:rsid w:val="009E6D37"/>
    <w:rsid w:val="009F4ACF"/>
    <w:rsid w:val="009F5557"/>
    <w:rsid w:val="00A02BFF"/>
    <w:rsid w:val="00A0554C"/>
    <w:rsid w:val="00A1015B"/>
    <w:rsid w:val="00A15082"/>
    <w:rsid w:val="00A16AEE"/>
    <w:rsid w:val="00A369E8"/>
    <w:rsid w:val="00A4199A"/>
    <w:rsid w:val="00A4512D"/>
    <w:rsid w:val="00A54775"/>
    <w:rsid w:val="00A5502C"/>
    <w:rsid w:val="00A6672E"/>
    <w:rsid w:val="00A705AF"/>
    <w:rsid w:val="00A75B58"/>
    <w:rsid w:val="00A77349"/>
    <w:rsid w:val="00A931E2"/>
    <w:rsid w:val="00A93A18"/>
    <w:rsid w:val="00A964DB"/>
    <w:rsid w:val="00A96DED"/>
    <w:rsid w:val="00AA0A90"/>
    <w:rsid w:val="00AA3A3E"/>
    <w:rsid w:val="00AA6DC2"/>
    <w:rsid w:val="00AA7B58"/>
    <w:rsid w:val="00AB40AB"/>
    <w:rsid w:val="00AB6ED9"/>
    <w:rsid w:val="00AD01B4"/>
    <w:rsid w:val="00AD52A0"/>
    <w:rsid w:val="00AD5717"/>
    <w:rsid w:val="00AF6154"/>
    <w:rsid w:val="00B07615"/>
    <w:rsid w:val="00B1174A"/>
    <w:rsid w:val="00B163F6"/>
    <w:rsid w:val="00B24DF4"/>
    <w:rsid w:val="00B2665E"/>
    <w:rsid w:val="00B30753"/>
    <w:rsid w:val="00B328AF"/>
    <w:rsid w:val="00B32DD1"/>
    <w:rsid w:val="00B3720C"/>
    <w:rsid w:val="00B37974"/>
    <w:rsid w:val="00B41409"/>
    <w:rsid w:val="00B42851"/>
    <w:rsid w:val="00B456E0"/>
    <w:rsid w:val="00B459E9"/>
    <w:rsid w:val="00B47076"/>
    <w:rsid w:val="00B56B37"/>
    <w:rsid w:val="00B57759"/>
    <w:rsid w:val="00B904EC"/>
    <w:rsid w:val="00B91269"/>
    <w:rsid w:val="00B91454"/>
    <w:rsid w:val="00B93CD5"/>
    <w:rsid w:val="00B9432A"/>
    <w:rsid w:val="00B95A67"/>
    <w:rsid w:val="00BA0015"/>
    <w:rsid w:val="00BA2A5D"/>
    <w:rsid w:val="00BA2DE8"/>
    <w:rsid w:val="00BA4AEE"/>
    <w:rsid w:val="00BC07E4"/>
    <w:rsid w:val="00BD0B57"/>
    <w:rsid w:val="00BD649D"/>
    <w:rsid w:val="00BE6832"/>
    <w:rsid w:val="00BF5905"/>
    <w:rsid w:val="00BF6152"/>
    <w:rsid w:val="00C04078"/>
    <w:rsid w:val="00C06314"/>
    <w:rsid w:val="00C23604"/>
    <w:rsid w:val="00C308FA"/>
    <w:rsid w:val="00C31839"/>
    <w:rsid w:val="00C31A7F"/>
    <w:rsid w:val="00C32280"/>
    <w:rsid w:val="00C35287"/>
    <w:rsid w:val="00C35DEC"/>
    <w:rsid w:val="00C40A32"/>
    <w:rsid w:val="00C436EE"/>
    <w:rsid w:val="00C51BE7"/>
    <w:rsid w:val="00C565EF"/>
    <w:rsid w:val="00C64BBB"/>
    <w:rsid w:val="00C7543A"/>
    <w:rsid w:val="00C911AD"/>
    <w:rsid w:val="00CB0684"/>
    <w:rsid w:val="00CB2190"/>
    <w:rsid w:val="00CB5999"/>
    <w:rsid w:val="00CB5B1A"/>
    <w:rsid w:val="00CB733F"/>
    <w:rsid w:val="00CC4B8E"/>
    <w:rsid w:val="00CC697B"/>
    <w:rsid w:val="00CE3387"/>
    <w:rsid w:val="00CE3A39"/>
    <w:rsid w:val="00CE7355"/>
    <w:rsid w:val="00CF4118"/>
    <w:rsid w:val="00D10D90"/>
    <w:rsid w:val="00D116AD"/>
    <w:rsid w:val="00D13C42"/>
    <w:rsid w:val="00D16B25"/>
    <w:rsid w:val="00D24922"/>
    <w:rsid w:val="00D301EA"/>
    <w:rsid w:val="00D31DC2"/>
    <w:rsid w:val="00D41AE5"/>
    <w:rsid w:val="00D42B9A"/>
    <w:rsid w:val="00D43D03"/>
    <w:rsid w:val="00D469E4"/>
    <w:rsid w:val="00D4728F"/>
    <w:rsid w:val="00D5354B"/>
    <w:rsid w:val="00D563D0"/>
    <w:rsid w:val="00D73FE2"/>
    <w:rsid w:val="00D7465B"/>
    <w:rsid w:val="00D96327"/>
    <w:rsid w:val="00DB07A4"/>
    <w:rsid w:val="00DB5454"/>
    <w:rsid w:val="00DB5911"/>
    <w:rsid w:val="00DC0477"/>
    <w:rsid w:val="00DC0D24"/>
    <w:rsid w:val="00DD047B"/>
    <w:rsid w:val="00DD5185"/>
    <w:rsid w:val="00DD5D99"/>
    <w:rsid w:val="00DE75D8"/>
    <w:rsid w:val="00DF515C"/>
    <w:rsid w:val="00E04621"/>
    <w:rsid w:val="00E13C5C"/>
    <w:rsid w:val="00E236C6"/>
    <w:rsid w:val="00E34F33"/>
    <w:rsid w:val="00E40F95"/>
    <w:rsid w:val="00E4269D"/>
    <w:rsid w:val="00E4312B"/>
    <w:rsid w:val="00E60650"/>
    <w:rsid w:val="00E60EE1"/>
    <w:rsid w:val="00E708F6"/>
    <w:rsid w:val="00E716B4"/>
    <w:rsid w:val="00E86B67"/>
    <w:rsid w:val="00E9314D"/>
    <w:rsid w:val="00EA33D5"/>
    <w:rsid w:val="00EA5E02"/>
    <w:rsid w:val="00EA5FD0"/>
    <w:rsid w:val="00EA63B1"/>
    <w:rsid w:val="00EC7D3F"/>
    <w:rsid w:val="00ED0DD3"/>
    <w:rsid w:val="00ED648B"/>
    <w:rsid w:val="00EE16DD"/>
    <w:rsid w:val="00EE31B0"/>
    <w:rsid w:val="00EE356F"/>
    <w:rsid w:val="00EE397E"/>
    <w:rsid w:val="00EF1C55"/>
    <w:rsid w:val="00EF1C95"/>
    <w:rsid w:val="00EF2774"/>
    <w:rsid w:val="00F02BBA"/>
    <w:rsid w:val="00F078B7"/>
    <w:rsid w:val="00F1278D"/>
    <w:rsid w:val="00F14BFD"/>
    <w:rsid w:val="00F17566"/>
    <w:rsid w:val="00F238F2"/>
    <w:rsid w:val="00F332B3"/>
    <w:rsid w:val="00F34D63"/>
    <w:rsid w:val="00F41C35"/>
    <w:rsid w:val="00F4438C"/>
    <w:rsid w:val="00F44A09"/>
    <w:rsid w:val="00F46ED7"/>
    <w:rsid w:val="00F549D7"/>
    <w:rsid w:val="00F556DB"/>
    <w:rsid w:val="00F560D5"/>
    <w:rsid w:val="00F73D95"/>
    <w:rsid w:val="00F77044"/>
    <w:rsid w:val="00F8015E"/>
    <w:rsid w:val="00F82829"/>
    <w:rsid w:val="00F83598"/>
    <w:rsid w:val="00F85766"/>
    <w:rsid w:val="00F931D3"/>
    <w:rsid w:val="00F95769"/>
    <w:rsid w:val="00FA289A"/>
    <w:rsid w:val="00FA2BB0"/>
    <w:rsid w:val="00FC7F5D"/>
    <w:rsid w:val="00FD1D84"/>
    <w:rsid w:val="00FD50A4"/>
    <w:rsid w:val="00FD7C7D"/>
    <w:rsid w:val="00FE58D5"/>
    <w:rsid w:val="00FE5CA3"/>
    <w:rsid w:val="00FF08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E782DC"/>
  <w15:docId w15:val="{F610EB7B-3559-E742-96FE-6454BB9F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8"/>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9"/>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0943BC"/>
    <w:rPr>
      <w:position w:val="20"/>
      <w:sz w:val="27"/>
      <w:szCs w:val="27"/>
    </w:rPr>
  </w:style>
  <w:style w:type="paragraph" w:customStyle="1" w:styleId="BulletNumberBulletandNumberlists">
    <w:name w:val="Bullet Number (Bullet and Number lists)"/>
    <w:basedOn w:val="Normal"/>
    <w:uiPriority w:val="99"/>
    <w:rsid w:val="000943BC"/>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LastBulletandNumberlists">
    <w:name w:val="Bullet Number Last (Bullet and Number lists)"/>
    <w:basedOn w:val="Normal"/>
    <w:uiPriority w:val="99"/>
    <w:rsid w:val="000943BC"/>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e-health-safe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il@safetyandquality.gov.au" TargetMode="External"/><Relationship Id="rId4" Type="http://schemas.openxmlformats.org/officeDocument/2006/relationships/settings" Target="settings.xml"/><Relationship Id="rId9" Type="http://schemas.openxmlformats.org/officeDocument/2006/relationships/hyperlink" Target="https://www.safetyandquality.gov.au/electronic-medication-manage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41C3-87CB-4B80-87A8-1CF2423A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1892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Comprehensive Care Standard – Comprehensive Care Standard – Comprehensive care plan</vt:lpstr>
    </vt:vector>
  </TitlesOfParts>
  <Manager/>
  <Company>Australian Commission on Safety and Quality in Health Care</Company>
  <LinksUpToDate>false</LinksUpToDate>
  <CharactersWithSpaces>13565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Care Standard – Comprehensive Care Standard – Comprehensive care plan</dc:title>
  <dc:subject/>
  <dc:creator>Australian Commission on Safety and Quality in Health Care</dc:creator>
  <cp:keywords/>
  <dc:description/>
  <cp:lastModifiedBy>KEANE, Sally</cp:lastModifiedBy>
  <cp:revision>16</cp:revision>
  <cp:lastPrinted>2019-04-12T06:46:00Z</cp:lastPrinted>
  <dcterms:created xsi:type="dcterms:W3CDTF">2020-01-08T08:49:00Z</dcterms:created>
  <dcterms:modified xsi:type="dcterms:W3CDTF">2020-01-14T21:59:00Z</dcterms:modified>
  <cp:category/>
</cp:coreProperties>
</file>