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5C2AC8">
        <w:rPr>
          <w:rFonts w:ascii="Garamond" w:hAnsi="Garamond"/>
          <w:lang w:val="en-AU"/>
        </w:rPr>
        <w:t>73</w:t>
      </w:r>
    </w:p>
    <w:p w:rsidR="00755242" w:rsidRDefault="005C2AC8" w:rsidP="00F738B5">
      <w:pPr>
        <w:rPr>
          <w:rFonts w:ascii="Garamond" w:hAnsi="Garamond"/>
          <w:lang w:val="en-AU"/>
        </w:rPr>
      </w:pPr>
      <w:r>
        <w:rPr>
          <w:rFonts w:ascii="Garamond" w:hAnsi="Garamond"/>
          <w:lang w:val="en-AU"/>
        </w:rPr>
        <w:t>20</w:t>
      </w:r>
      <w:r w:rsidR="00A86F60">
        <w:rPr>
          <w:rFonts w:ascii="Garamond" w:hAnsi="Garamond"/>
          <w:lang w:val="en-AU"/>
        </w:rPr>
        <w:t xml:space="preserve"> </w:t>
      </w:r>
      <w:r w:rsidR="005E782C">
        <w:rPr>
          <w:rFonts w:ascii="Garamond" w:hAnsi="Garamond"/>
          <w:lang w:val="en-AU"/>
        </w:rPr>
        <w:t>Ju</w:t>
      </w:r>
      <w:r w:rsidR="00F37B78">
        <w:rPr>
          <w:rFonts w:ascii="Garamond" w:hAnsi="Garamond"/>
          <w:lang w:val="en-AU"/>
        </w:rPr>
        <w:t>ly</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2C5882">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1966EC">
      <w:pPr>
        <w:pStyle w:val="ListParagraph"/>
        <w:numPr>
          <w:ilvl w:val="1"/>
          <w:numId w:val="23"/>
        </w:numPr>
        <w:tabs>
          <w:tab w:val="left" w:pos="0"/>
        </w:tabs>
        <w:rPr>
          <w:rFonts w:ascii="Garamond" w:hAnsi="Garamond"/>
          <w:b/>
          <w:i/>
          <w:lang w:val="en-AU"/>
        </w:rPr>
      </w:pPr>
      <w:r>
        <w:rPr>
          <w:rFonts w:ascii="Garamond" w:hAnsi="Garamond"/>
          <w:b/>
          <w:i/>
          <w:lang w:val="en-AU"/>
        </w:rPr>
        <w:lastRenderedPageBreak/>
        <w:t>Managing intranasal administration of medicines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9"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0"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1"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870031"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3" w:history="1">
        <w:r w:rsidRPr="00504597">
          <w:rPr>
            <w:rStyle w:val="Hyperlink"/>
            <w:rFonts w:ascii="Garamond" w:hAnsi="Garamond"/>
            <w:lang w:val="en-AU"/>
          </w:rPr>
          <w:t>https://www.safetyandquality.gov.au/publications-and-resources/resource-library/special-precautions-covid-19-designated-zones</w:t>
        </w:r>
      </w:hyperlink>
    </w:p>
    <w:p w:rsidR="00621902" w:rsidRPr="00621902" w:rsidRDefault="00621902" w:rsidP="00621902">
      <w:pPr>
        <w:pStyle w:val="ListParagraph"/>
        <w:numPr>
          <w:ilvl w:val="0"/>
          <w:numId w:val="23"/>
        </w:numPr>
        <w:tabs>
          <w:tab w:val="left" w:pos="0"/>
        </w:tabs>
        <w:rPr>
          <w:rFonts w:ascii="Garamond" w:hAnsi="Garamond"/>
          <w:lang w:val="en-AU"/>
        </w:rPr>
      </w:pPr>
      <w:r w:rsidRPr="00621902">
        <w:rPr>
          <w:rFonts w:ascii="Garamond" w:hAnsi="Garamond"/>
          <w:b/>
          <w:lang w:val="en-AU"/>
        </w:rPr>
        <w:t>FAQs on community use of face masks</w:t>
      </w:r>
      <w:r>
        <w:rPr>
          <w:rFonts w:ascii="Garamond" w:hAnsi="Garamond"/>
          <w:lang w:val="en-AU"/>
        </w:rPr>
        <w:t xml:space="preserve"> </w:t>
      </w:r>
      <w:hyperlink r:id="rId24"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F502E5">
      <w:pPr>
        <w:pStyle w:val="ListParagraph"/>
        <w:numPr>
          <w:ilvl w:val="0"/>
          <w:numId w:val="23"/>
        </w:numPr>
        <w:tabs>
          <w:tab w:val="left" w:pos="0"/>
        </w:tabs>
        <w:rPr>
          <w:rStyle w:val="Hyperlink"/>
          <w:rFonts w:ascii="Garamond" w:hAnsi="Garamond"/>
          <w:color w:val="auto"/>
          <w:u w:val="none"/>
          <w:lang w:val="en-AU"/>
        </w:rPr>
      </w:pPr>
      <w:r w:rsidRPr="00870031">
        <w:rPr>
          <w:rFonts w:ascii="Garamond" w:hAnsi="Garamond"/>
          <w:b/>
          <w:lang w:val="en-AU"/>
        </w:rPr>
        <w:t>COVID-19 and face masks – Information for consumers</w:t>
      </w:r>
      <w:r>
        <w:rPr>
          <w:rFonts w:ascii="Garamond" w:hAnsi="Garamond"/>
          <w:b/>
          <w:lang w:val="en-AU"/>
        </w:rPr>
        <w:t xml:space="preserve"> </w:t>
      </w:r>
      <w:hyperlink r:id="rId25"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621902">
      <w:pPr>
        <w:tabs>
          <w:tab w:val="left" w:pos="0"/>
        </w:tabs>
        <w:ind w:left="360"/>
        <w:jc w:val="right"/>
        <w:rPr>
          <w:rFonts w:ascii="Garamond" w:hAnsi="Garamond"/>
          <w:lang w:val="en-AU"/>
        </w:rPr>
      </w:pPr>
      <w:r>
        <w:rPr>
          <w:noProof/>
          <w:lang w:val="en-AU" w:eastAsia="en-AU"/>
        </w:rPr>
        <w:drawing>
          <wp:inline distT="0" distB="0" distL="0" distR="0">
            <wp:extent cx="2964649" cy="4365295"/>
            <wp:effectExtent l="19050" t="19050" r="26670" b="16510"/>
            <wp:docPr id="2" name="Picture 2" title="COVID-19 and face masks information for consumers poster 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4986" cy="4395241"/>
                    </a:xfrm>
                    <a:prstGeom prst="rect">
                      <a:avLst/>
                    </a:prstGeom>
                    <a:noFill/>
                    <a:ln>
                      <a:solidFill>
                        <a:schemeClr val="accent1"/>
                      </a:solidFill>
                    </a:ln>
                  </pic:spPr>
                </pic:pic>
              </a:graphicData>
            </a:graphic>
          </wp:inline>
        </w:drawing>
      </w:r>
    </w:p>
    <w:p w:rsidR="005C2AC8" w:rsidRDefault="005C2AC8" w:rsidP="000E1806">
      <w:pPr>
        <w:keepNext/>
        <w:keepLines/>
        <w:autoSpaceDE w:val="0"/>
        <w:autoSpaceDN w:val="0"/>
        <w:adjustRightInd w:val="0"/>
        <w:rPr>
          <w:rFonts w:ascii="Garamond" w:hAnsi="Garamond"/>
          <w:b/>
          <w:lang w:val="en-AU"/>
        </w:rPr>
      </w:pPr>
      <w:r>
        <w:rPr>
          <w:rFonts w:ascii="Garamond" w:hAnsi="Garamond"/>
          <w:b/>
          <w:lang w:val="en-AU"/>
        </w:rPr>
        <w:lastRenderedPageBreak/>
        <w:t>Reports</w:t>
      </w:r>
    </w:p>
    <w:p w:rsidR="005C2AC8" w:rsidRPr="005C2AC8" w:rsidRDefault="005C2AC8" w:rsidP="000E1806">
      <w:pPr>
        <w:keepNext/>
        <w:keepLines/>
        <w:autoSpaceDE w:val="0"/>
        <w:autoSpaceDN w:val="0"/>
        <w:adjustRightInd w:val="0"/>
        <w:rPr>
          <w:rFonts w:ascii="Garamond" w:hAnsi="Garamond"/>
          <w:b/>
          <w:lang w:val="en-AU"/>
        </w:rPr>
      </w:pPr>
    </w:p>
    <w:p w:rsidR="006E7D3D" w:rsidRPr="006E7D3D" w:rsidRDefault="006E7D3D" w:rsidP="006E7D3D">
      <w:pPr>
        <w:keepNext/>
        <w:keepLines/>
        <w:autoSpaceDE w:val="0"/>
        <w:autoSpaceDN w:val="0"/>
        <w:adjustRightInd w:val="0"/>
        <w:rPr>
          <w:rFonts w:ascii="Garamond" w:hAnsi="Garamond"/>
          <w:i/>
          <w:lang w:val="en-AU"/>
        </w:rPr>
      </w:pPr>
      <w:proofErr w:type="gramStart"/>
      <w:r w:rsidRPr="006E7D3D">
        <w:rPr>
          <w:rFonts w:ascii="Garamond" w:hAnsi="Garamond"/>
          <w:i/>
          <w:lang w:val="en-AU"/>
        </w:rPr>
        <w:t>First</w:t>
      </w:r>
      <w:proofErr w:type="gramEnd"/>
      <w:r w:rsidRPr="006E7D3D">
        <w:rPr>
          <w:rFonts w:ascii="Garamond" w:hAnsi="Garamond"/>
          <w:i/>
          <w:lang w:val="en-AU"/>
        </w:rPr>
        <w:t xml:space="preserve"> Do No Harm</w:t>
      </w:r>
      <w:r w:rsidR="00CA6707">
        <w:rPr>
          <w:rFonts w:ascii="Garamond" w:hAnsi="Garamond"/>
          <w:i/>
          <w:lang w:val="en-AU"/>
        </w:rPr>
        <w:t>.</w:t>
      </w:r>
      <w:r w:rsidRPr="006E7D3D">
        <w:rPr>
          <w:rFonts w:ascii="Garamond" w:hAnsi="Garamond"/>
          <w:i/>
          <w:lang w:val="en-AU"/>
        </w:rPr>
        <w:t xml:space="preserve"> The report of the Independent</w:t>
      </w:r>
      <w:r w:rsidR="00CA6707">
        <w:rPr>
          <w:rFonts w:ascii="Garamond" w:hAnsi="Garamond"/>
          <w:i/>
          <w:lang w:val="en-AU"/>
        </w:rPr>
        <w:t xml:space="preserve"> Medicines and Medical Devices </w:t>
      </w:r>
      <w:r w:rsidRPr="006E7D3D">
        <w:rPr>
          <w:rFonts w:ascii="Garamond" w:hAnsi="Garamond"/>
          <w:i/>
          <w:lang w:val="en-AU"/>
        </w:rPr>
        <w:t>Safety Review</w:t>
      </w:r>
    </w:p>
    <w:p w:rsidR="006E7D3D" w:rsidRDefault="006E7D3D" w:rsidP="000E1806">
      <w:pPr>
        <w:keepNext/>
        <w:keepLines/>
        <w:autoSpaceDE w:val="0"/>
        <w:autoSpaceDN w:val="0"/>
        <w:adjustRightInd w:val="0"/>
        <w:rPr>
          <w:rFonts w:ascii="Garamond" w:hAnsi="Garamond"/>
          <w:lang w:val="en-AU"/>
        </w:rPr>
      </w:pPr>
      <w:r w:rsidRPr="006E7D3D">
        <w:rPr>
          <w:rFonts w:ascii="Garamond" w:hAnsi="Garamond"/>
          <w:lang w:val="en-AU"/>
        </w:rPr>
        <w:t>Independent Medicines and Medical Devices Safety Review</w:t>
      </w:r>
    </w:p>
    <w:p w:rsidR="006E7D3D" w:rsidRDefault="006E7D3D" w:rsidP="000E1806">
      <w:pPr>
        <w:keepNext/>
        <w:keepLines/>
        <w:autoSpaceDE w:val="0"/>
        <w:autoSpaceDN w:val="0"/>
        <w:adjustRightInd w:val="0"/>
        <w:rPr>
          <w:rFonts w:ascii="Garamond" w:hAnsi="Garamond"/>
          <w:lang w:val="en-AU"/>
        </w:rPr>
      </w:pPr>
      <w:r w:rsidRPr="006E7D3D">
        <w:rPr>
          <w:rFonts w:ascii="Garamond" w:hAnsi="Garamond"/>
          <w:lang w:val="en-AU"/>
        </w:rPr>
        <w:t>London: Independent Medicines and Medical Devices Safety Review; 2020. p. 277.</w:t>
      </w:r>
    </w:p>
    <w:p w:rsidR="00F502E5" w:rsidRDefault="00F502E5" w:rsidP="000E1806">
      <w:pPr>
        <w:keepNext/>
        <w:keepLines/>
        <w:autoSpaceDE w:val="0"/>
        <w:autoSpaceDN w:val="0"/>
        <w:adjustRightInd w:val="0"/>
        <w:rPr>
          <w:rFonts w:ascii="Garamond" w:hAnsi="Garamond"/>
          <w:lang w:val="en-AU"/>
        </w:rPr>
      </w:pPr>
    </w:p>
    <w:p w:rsidR="00A578EE" w:rsidRPr="00A578EE" w:rsidRDefault="00A578EE" w:rsidP="00A578EE">
      <w:pPr>
        <w:keepNext/>
        <w:keepLines/>
        <w:autoSpaceDE w:val="0"/>
        <w:autoSpaceDN w:val="0"/>
        <w:adjustRightInd w:val="0"/>
        <w:rPr>
          <w:rFonts w:ascii="Garamond" w:hAnsi="Garamond"/>
          <w:i/>
          <w:lang w:val="en-AU"/>
        </w:rPr>
      </w:pPr>
      <w:r w:rsidRPr="00A578EE">
        <w:rPr>
          <w:rFonts w:ascii="Garamond" w:hAnsi="Garamond"/>
          <w:i/>
          <w:lang w:val="en-AU"/>
        </w:rPr>
        <w:t>Government must apologise to those affected by Primodos, valproate, and mesh, says review</w:t>
      </w:r>
    </w:p>
    <w:p w:rsidR="00A578EE" w:rsidRDefault="00A578EE" w:rsidP="000E1806">
      <w:pPr>
        <w:keepNext/>
        <w:keepLines/>
        <w:autoSpaceDE w:val="0"/>
        <w:autoSpaceDN w:val="0"/>
        <w:adjustRightInd w:val="0"/>
        <w:rPr>
          <w:rFonts w:ascii="Garamond" w:hAnsi="Garamond"/>
          <w:lang w:val="en-AU"/>
        </w:rPr>
      </w:pPr>
      <w:r w:rsidRPr="00A578EE">
        <w:rPr>
          <w:rFonts w:ascii="Garamond" w:hAnsi="Garamond"/>
          <w:lang w:val="en-AU"/>
        </w:rPr>
        <w:t>Mahase E</w:t>
      </w:r>
    </w:p>
    <w:p w:rsidR="00F502E5" w:rsidRDefault="00A578EE" w:rsidP="000E1806">
      <w:pPr>
        <w:keepNext/>
        <w:keepLines/>
        <w:autoSpaceDE w:val="0"/>
        <w:autoSpaceDN w:val="0"/>
        <w:adjustRightInd w:val="0"/>
        <w:rPr>
          <w:rFonts w:ascii="Garamond" w:hAnsi="Garamond"/>
          <w:lang w:val="en-AU"/>
        </w:rPr>
      </w:pPr>
      <w:r w:rsidRPr="00A578EE">
        <w:rPr>
          <w:rFonts w:ascii="Garamond" w:hAnsi="Garamond"/>
          <w:lang w:val="en-AU"/>
        </w:rPr>
        <w:t>BMJ. 2020;370:m2726.</w:t>
      </w:r>
    </w:p>
    <w:tbl>
      <w:tblPr>
        <w:tblStyle w:val="TableGrid"/>
        <w:tblW w:w="9360" w:type="dxa"/>
        <w:tblInd w:w="288" w:type="dxa"/>
        <w:tblLayout w:type="fixed"/>
        <w:tblLook w:val="01E0" w:firstRow="1" w:lastRow="1" w:firstColumn="1" w:lastColumn="1" w:noHBand="0" w:noVBand="0"/>
      </w:tblPr>
      <w:tblGrid>
        <w:gridCol w:w="1080"/>
        <w:gridCol w:w="8280"/>
      </w:tblGrid>
      <w:tr w:rsidR="000E1806" w:rsidRPr="000170DA" w:rsidTr="005C2AC8">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F502E5" w:rsidP="002C5882">
            <w:pPr>
              <w:keepNext/>
              <w:rPr>
                <w:rStyle w:val="Hyperlink"/>
                <w:rFonts w:ascii="Garamond" w:hAnsi="Garamond"/>
                <w:lang w:val="en-AU"/>
              </w:rPr>
            </w:pPr>
            <w:r>
              <w:rPr>
                <w:rFonts w:ascii="Garamond" w:hAnsi="Garamond"/>
                <w:lang w:val="en-AU"/>
              </w:rPr>
              <w:t>URL</w:t>
            </w:r>
            <w:r w:rsidR="00CA6707">
              <w:rPr>
                <w:rFonts w:ascii="Garamond" w:hAnsi="Garamond"/>
                <w:lang w:val="en-AU"/>
              </w:rPr>
              <w:t xml:space="preserve"> / DOI</w:t>
            </w:r>
          </w:p>
        </w:tc>
        <w:tc>
          <w:tcPr>
            <w:tcW w:w="8280" w:type="dxa"/>
            <w:tcBorders>
              <w:top w:val="single" w:sz="4" w:space="0" w:color="auto"/>
              <w:left w:val="single" w:sz="4" w:space="0" w:color="auto"/>
              <w:bottom w:val="single" w:sz="4" w:space="0" w:color="auto"/>
              <w:right w:val="single" w:sz="4" w:space="0" w:color="auto"/>
            </w:tcBorders>
            <w:vAlign w:val="center"/>
          </w:tcPr>
          <w:p w:rsidR="000E1806" w:rsidRDefault="00A578EE" w:rsidP="00B26A75">
            <w:pPr>
              <w:keepNext/>
              <w:rPr>
                <w:rStyle w:val="Hyperlink"/>
                <w:rFonts w:ascii="Garamond" w:hAnsi="Garamond"/>
                <w:color w:val="auto"/>
                <w:u w:val="none"/>
                <w:lang w:val="en-AU"/>
              </w:rPr>
            </w:pPr>
            <w:r w:rsidRPr="00A578EE">
              <w:rPr>
                <w:rFonts w:ascii="Garamond" w:hAnsi="Garamond"/>
              </w:rPr>
              <w:t xml:space="preserve">Review </w:t>
            </w:r>
            <w:hyperlink r:id="rId28" w:history="1">
              <w:r w:rsidR="00F502E5" w:rsidRPr="007D15C2">
                <w:rPr>
                  <w:rStyle w:val="Hyperlink"/>
                  <w:rFonts w:ascii="Garamond" w:hAnsi="Garamond"/>
                  <w:lang w:val="en-AU"/>
                </w:rPr>
                <w:t>https://www.immdsreview.org.uk/</w:t>
              </w:r>
            </w:hyperlink>
            <w:r w:rsidR="00522ECB">
              <w:rPr>
                <w:rStyle w:val="Hyperlink"/>
                <w:rFonts w:ascii="Garamond" w:hAnsi="Garamond"/>
                <w:lang w:val="en-AU"/>
              </w:rPr>
              <w:t>report.html</w:t>
            </w:r>
          </w:p>
          <w:p w:rsidR="00A578EE" w:rsidRPr="000170DA" w:rsidRDefault="00A578EE" w:rsidP="00B26A75">
            <w:pPr>
              <w:keepNext/>
              <w:rPr>
                <w:rStyle w:val="Hyperlink"/>
                <w:rFonts w:ascii="Garamond" w:hAnsi="Garamond"/>
                <w:color w:val="auto"/>
                <w:u w:val="none"/>
                <w:lang w:val="en-AU"/>
              </w:rPr>
            </w:pPr>
            <w:r>
              <w:rPr>
                <w:rFonts w:ascii="Garamond" w:hAnsi="Garamond"/>
                <w:lang w:val="en-AU"/>
              </w:rPr>
              <w:t xml:space="preserve">Mahase </w:t>
            </w:r>
            <w:hyperlink r:id="rId29" w:history="1">
              <w:r w:rsidRPr="007D15C2">
                <w:rPr>
                  <w:rStyle w:val="Hyperlink"/>
                  <w:rFonts w:ascii="Garamond" w:hAnsi="Garamond"/>
                  <w:lang w:val="en-AU"/>
                </w:rPr>
                <w:t>https://doi.org/10.1136/bmj.m2726</w:t>
              </w:r>
            </w:hyperlink>
          </w:p>
        </w:tc>
      </w:tr>
      <w:tr w:rsidR="000E1806" w:rsidRPr="000170DA" w:rsidTr="005C2AC8">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0E1806"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6A75" w:rsidRDefault="006E7D3D" w:rsidP="0028738D">
            <w:pPr>
              <w:keepNext/>
              <w:keepLines/>
              <w:rPr>
                <w:rFonts w:ascii="Garamond" w:hAnsi="Garamond"/>
                <w:lang w:val="en-AU"/>
              </w:rPr>
            </w:pPr>
            <w:r>
              <w:rPr>
                <w:rFonts w:ascii="Garamond" w:hAnsi="Garamond"/>
                <w:lang w:val="en-AU"/>
              </w:rPr>
              <w:t xml:space="preserve">The UK government commissioned an </w:t>
            </w:r>
            <w:r w:rsidRPr="006E7D3D">
              <w:rPr>
                <w:rFonts w:ascii="Garamond" w:hAnsi="Garamond"/>
                <w:lang w:val="en-AU"/>
              </w:rPr>
              <w:t>Independent Medicines and Medical Devices Safety Review</w:t>
            </w:r>
            <w:r>
              <w:rPr>
                <w:rFonts w:ascii="Garamond" w:hAnsi="Garamond"/>
                <w:lang w:val="en-AU"/>
              </w:rPr>
              <w:t xml:space="preserve"> in 2018 to assess the </w:t>
            </w:r>
            <w:r w:rsidRPr="006E7D3D">
              <w:rPr>
                <w:rFonts w:ascii="Garamond" w:hAnsi="Garamond"/>
                <w:lang w:val="en-AU"/>
              </w:rPr>
              <w:t>use of the three medical interventions across the NH</w:t>
            </w:r>
            <w:r>
              <w:rPr>
                <w:rFonts w:ascii="Garamond" w:hAnsi="Garamond"/>
                <w:lang w:val="en-AU"/>
              </w:rPr>
              <w:t xml:space="preserve">S. The interventions were </w:t>
            </w:r>
            <w:r w:rsidRPr="006E7D3D">
              <w:rPr>
                <w:rFonts w:ascii="Garamond" w:hAnsi="Garamond"/>
                <w:lang w:val="en-AU"/>
              </w:rPr>
              <w:t>Primodos, sodium valproate, and pelvic mesh</w:t>
            </w:r>
            <w:r>
              <w:rPr>
                <w:rFonts w:ascii="Garamond" w:hAnsi="Garamond"/>
                <w:lang w:val="en-AU"/>
              </w:rPr>
              <w:t xml:space="preserve">. As Mahase notes, </w:t>
            </w:r>
            <w:r w:rsidR="00A578EE">
              <w:rPr>
                <w:rFonts w:ascii="Garamond" w:hAnsi="Garamond"/>
                <w:lang w:val="en-AU"/>
              </w:rPr>
              <w:t>‘</w:t>
            </w:r>
            <w:r w:rsidRPr="006E7D3D">
              <w:rPr>
                <w:rFonts w:ascii="Garamond" w:hAnsi="Garamond"/>
                <w:lang w:val="en-AU"/>
              </w:rPr>
              <w:t>Primodos was a hormone pregnancy test taken by more than 1.5 million women between the 1950s and its withdrawal in 1978. It is claimed to have led to miscarriages and birth defects. Sodium valproate has been definitively linked to autism and learning disabilities in children when taken during pregnancy to treat epilepsy. Pelvic mesh has been used to treat stress urinary incontinence and pelvic organ prolapse in women, many of whom have suffered badly from complications.</w:t>
            </w:r>
            <w:r w:rsidR="00A578EE">
              <w:rPr>
                <w:rFonts w:ascii="Garamond" w:hAnsi="Garamond"/>
                <w:lang w:val="en-AU"/>
              </w:rPr>
              <w:t>’</w:t>
            </w:r>
          </w:p>
          <w:p w:rsidR="00A578EE" w:rsidRDefault="00A578EE" w:rsidP="00522ECB">
            <w:pPr>
              <w:keepLines/>
              <w:rPr>
                <w:rFonts w:ascii="Garamond" w:hAnsi="Garamond"/>
                <w:lang w:val="en-AU"/>
              </w:rPr>
            </w:pPr>
            <w:r>
              <w:rPr>
                <w:rFonts w:ascii="Garamond" w:hAnsi="Garamond"/>
                <w:lang w:val="en-AU"/>
              </w:rPr>
              <w:t>The review found that patients concerns had been ignored, suffered avoidable harm and that ‘</w:t>
            </w:r>
            <w:r w:rsidRPr="00A578EE">
              <w:rPr>
                <w:rFonts w:ascii="Garamond" w:hAnsi="Garamond"/>
                <w:lang w:val="en-AU"/>
              </w:rPr>
              <w:t>healthcare system – in which I include the NHS, private providers,</w:t>
            </w:r>
            <w:r>
              <w:rPr>
                <w:rFonts w:ascii="Garamond" w:hAnsi="Garamond"/>
                <w:lang w:val="en-AU"/>
              </w:rPr>
              <w:t xml:space="preserve"> </w:t>
            </w:r>
            <w:r w:rsidRPr="00A578EE">
              <w:rPr>
                <w:rFonts w:ascii="Garamond" w:hAnsi="Garamond"/>
                <w:lang w:val="en-AU"/>
              </w:rPr>
              <w:t>the regulators and professional bodies, pharmaceutical and device manufacturers, and</w:t>
            </w:r>
            <w:r>
              <w:rPr>
                <w:rFonts w:ascii="Garamond" w:hAnsi="Garamond"/>
                <w:lang w:val="en-AU"/>
              </w:rPr>
              <w:t xml:space="preserve"> </w:t>
            </w:r>
            <w:r w:rsidRPr="00A578EE">
              <w:rPr>
                <w:rFonts w:ascii="Garamond" w:hAnsi="Garamond"/>
                <w:lang w:val="en-AU"/>
              </w:rPr>
              <w:t>policymakers – is disjointed, siloed, unresponsive and defensive.</w:t>
            </w:r>
            <w:r>
              <w:rPr>
                <w:rFonts w:ascii="Garamond" w:hAnsi="Garamond"/>
                <w:lang w:val="en-AU"/>
              </w:rPr>
              <w:t>’</w:t>
            </w:r>
          </w:p>
          <w:p w:rsidR="004A470E" w:rsidRDefault="00A578EE" w:rsidP="00522ECB">
            <w:pPr>
              <w:keepLines/>
              <w:rPr>
                <w:rFonts w:ascii="Garamond" w:hAnsi="Garamond"/>
                <w:lang w:val="en-AU"/>
              </w:rPr>
            </w:pPr>
            <w:r>
              <w:rPr>
                <w:rFonts w:ascii="Garamond" w:hAnsi="Garamond"/>
                <w:lang w:val="en-AU"/>
              </w:rPr>
              <w:t>The r</w:t>
            </w:r>
            <w:r w:rsidR="004A470E">
              <w:rPr>
                <w:rFonts w:ascii="Garamond" w:hAnsi="Garamond"/>
                <w:lang w:val="en-AU"/>
              </w:rPr>
              <w:t xml:space="preserve">ecommendations </w:t>
            </w:r>
            <w:r>
              <w:rPr>
                <w:rFonts w:ascii="Garamond" w:hAnsi="Garamond"/>
                <w:lang w:val="en-AU"/>
              </w:rPr>
              <w:t xml:space="preserve">are largely patient-focused and </w:t>
            </w:r>
            <w:r w:rsidR="004A470E">
              <w:rPr>
                <w:rFonts w:ascii="Garamond" w:hAnsi="Garamond"/>
                <w:lang w:val="en-AU"/>
              </w:rPr>
              <w:t>include:</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 xml:space="preserve">The Government should immediately issue </w:t>
            </w:r>
            <w:r w:rsidRPr="00C538E2">
              <w:rPr>
                <w:rFonts w:ascii="Garamond" w:hAnsi="Garamond"/>
                <w:b/>
                <w:lang w:val="en-AU"/>
              </w:rPr>
              <w:t>a fulsome apology on behalf of the healthcare system to the families</w:t>
            </w:r>
            <w:r>
              <w:rPr>
                <w:rFonts w:ascii="Garamond" w:hAnsi="Garamond"/>
                <w:lang w:val="en-AU"/>
              </w:rPr>
              <w:t xml:space="preserve"> </w:t>
            </w:r>
            <w:r w:rsidRPr="00522ECB">
              <w:rPr>
                <w:rFonts w:ascii="Garamond" w:hAnsi="Garamond"/>
                <w:lang w:val="en-AU"/>
              </w:rPr>
              <w:t>affected by Primodos, sodium valproate and pelvic mesh.</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 xml:space="preserve">The appointment of a </w:t>
            </w:r>
            <w:r w:rsidRPr="00C538E2">
              <w:rPr>
                <w:rFonts w:ascii="Garamond" w:hAnsi="Garamond"/>
                <w:b/>
                <w:lang w:val="en-AU"/>
              </w:rPr>
              <w:t>Patient Safety Commissioner</w:t>
            </w:r>
            <w:r w:rsidRPr="00522ECB">
              <w:rPr>
                <w:rFonts w:ascii="Garamond" w:hAnsi="Garamond"/>
                <w:lang w:val="en-AU"/>
              </w:rPr>
              <w:t xml:space="preserve"> who would be an independent public leader with a statutory responsibility. The Commissioner would champion the value of listening to patients and promoting users’ perspectives in seeking improvements</w:t>
            </w:r>
            <w:r>
              <w:rPr>
                <w:rFonts w:ascii="Garamond" w:hAnsi="Garamond"/>
                <w:lang w:val="en-AU"/>
              </w:rPr>
              <w:t xml:space="preserve"> </w:t>
            </w:r>
            <w:r w:rsidRPr="00522ECB">
              <w:rPr>
                <w:rFonts w:ascii="Garamond" w:hAnsi="Garamond"/>
                <w:lang w:val="en-AU"/>
              </w:rPr>
              <w:t>to patient safety around the use of medicines and medical devices.</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 xml:space="preserve">A new </w:t>
            </w:r>
            <w:r w:rsidRPr="00C538E2">
              <w:rPr>
                <w:rFonts w:ascii="Garamond" w:hAnsi="Garamond"/>
                <w:b/>
                <w:lang w:val="en-AU"/>
              </w:rPr>
              <w:t>independent Redress Agency</w:t>
            </w:r>
            <w:r w:rsidRPr="00522ECB">
              <w:rPr>
                <w:rFonts w:ascii="Garamond" w:hAnsi="Garamond"/>
                <w:lang w:val="en-AU"/>
              </w:rPr>
              <w:t xml:space="preserve"> for those harmed by medicines and medical devices should be created based on models operating effectively in other countries. The Redress Agency will administer decisions using a non-adversarial process with determinations based on avoidable harm looking at systemic failings, rather than blaming individuals.</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Separate schemes should be set up for each</w:t>
            </w:r>
            <w:r>
              <w:rPr>
                <w:rFonts w:ascii="Garamond" w:hAnsi="Garamond"/>
                <w:lang w:val="en-AU"/>
              </w:rPr>
              <w:t xml:space="preserve"> </w:t>
            </w:r>
            <w:r w:rsidRPr="00522ECB">
              <w:rPr>
                <w:rFonts w:ascii="Garamond" w:hAnsi="Garamond"/>
                <w:lang w:val="en-AU"/>
              </w:rPr>
              <w:t>intervention – HPTs, valproate and pelvic mesh – to meet the cost of providing additional care and support to those who have experienced avoidable harm and are eligible to claim.</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Networks of specialist centres should be set up to provide comprehensive treatment, care and advice for those affected by implanted mesh; and separately for those adversely affected by medications taken during pregnancy.</w:t>
            </w:r>
          </w:p>
          <w:p w:rsid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 xml:space="preserve">The Medicines and Healthcare products Regulatory Agency (MHRA) needs substantial revision particularly in relation to </w:t>
            </w:r>
            <w:r w:rsidRPr="00C538E2">
              <w:rPr>
                <w:rFonts w:ascii="Garamond" w:hAnsi="Garamond"/>
                <w:b/>
                <w:lang w:val="en-AU"/>
              </w:rPr>
              <w:t>adverse event reporting</w:t>
            </w:r>
            <w:r w:rsidRPr="00522ECB">
              <w:rPr>
                <w:rFonts w:ascii="Garamond" w:hAnsi="Garamond"/>
                <w:lang w:val="en-AU"/>
              </w:rPr>
              <w:t xml:space="preserve"> and </w:t>
            </w:r>
            <w:r w:rsidRPr="00C538E2">
              <w:rPr>
                <w:rFonts w:ascii="Garamond" w:hAnsi="Garamond"/>
                <w:b/>
                <w:lang w:val="en-AU"/>
              </w:rPr>
              <w:t>medical device regulation</w:t>
            </w:r>
            <w:r w:rsidRPr="00522ECB">
              <w:rPr>
                <w:rFonts w:ascii="Garamond" w:hAnsi="Garamond"/>
                <w:lang w:val="en-AU"/>
              </w:rPr>
              <w:t>. It needs to ensure that it engages more with patients and their outcomes. It needs to raise</w:t>
            </w:r>
            <w:r>
              <w:rPr>
                <w:rFonts w:ascii="Garamond" w:hAnsi="Garamond"/>
                <w:lang w:val="en-AU"/>
              </w:rPr>
              <w:t xml:space="preserve"> </w:t>
            </w:r>
            <w:r w:rsidRPr="00522ECB">
              <w:rPr>
                <w:rFonts w:ascii="Garamond" w:hAnsi="Garamond"/>
                <w:lang w:val="en-AU"/>
              </w:rPr>
              <w:t>awareness of its public protection</w:t>
            </w:r>
            <w:r>
              <w:rPr>
                <w:rFonts w:ascii="Garamond" w:hAnsi="Garamond"/>
                <w:lang w:val="en-AU"/>
              </w:rPr>
              <w:t xml:space="preserve"> </w:t>
            </w:r>
            <w:r w:rsidRPr="00522ECB">
              <w:rPr>
                <w:rFonts w:ascii="Garamond" w:hAnsi="Garamond"/>
                <w:lang w:val="en-AU"/>
              </w:rPr>
              <w:t>roles and to ensure that patients have</w:t>
            </w:r>
            <w:r>
              <w:rPr>
                <w:rFonts w:ascii="Garamond" w:hAnsi="Garamond"/>
                <w:lang w:val="en-AU"/>
              </w:rPr>
              <w:t xml:space="preserve"> </w:t>
            </w:r>
            <w:r w:rsidRPr="00522ECB">
              <w:rPr>
                <w:rFonts w:ascii="Garamond" w:hAnsi="Garamond"/>
                <w:lang w:val="en-AU"/>
              </w:rPr>
              <w:t>an integral role in its work.</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lastRenderedPageBreak/>
              <w:t xml:space="preserve">A </w:t>
            </w:r>
            <w:r w:rsidRPr="00C538E2">
              <w:rPr>
                <w:rFonts w:ascii="Garamond" w:hAnsi="Garamond"/>
                <w:b/>
                <w:lang w:val="en-AU"/>
              </w:rPr>
              <w:t>central patient-identifiable database</w:t>
            </w:r>
            <w:r w:rsidRPr="00522ECB">
              <w:rPr>
                <w:rFonts w:ascii="Garamond" w:hAnsi="Garamond"/>
                <w:lang w:val="en-AU"/>
              </w:rPr>
              <w:t xml:space="preserve"> should be created by collecting key details of the implantation of all devices at the time of the operation. This can then be linked to specifically created registers to research and audit the outcomes both in terms of the device safety and patient reported outcomes measures.</w:t>
            </w:r>
          </w:p>
          <w:p w:rsidR="00522ECB" w:rsidRPr="00522ECB" w:rsidRDefault="00522ECB" w:rsidP="00522ECB">
            <w:pPr>
              <w:pStyle w:val="ListParagraph"/>
              <w:keepLines/>
              <w:numPr>
                <w:ilvl w:val="0"/>
                <w:numId w:val="42"/>
              </w:numPr>
              <w:rPr>
                <w:rFonts w:ascii="Garamond" w:hAnsi="Garamond"/>
                <w:lang w:val="en-AU"/>
              </w:rPr>
            </w:pPr>
            <w:r w:rsidRPr="00C538E2">
              <w:rPr>
                <w:rFonts w:ascii="Garamond" w:hAnsi="Garamond"/>
                <w:b/>
                <w:lang w:val="en-AU"/>
              </w:rPr>
              <w:t>Transparency of payments</w:t>
            </w:r>
            <w:r w:rsidRPr="00522ECB">
              <w:rPr>
                <w:rFonts w:ascii="Garamond" w:hAnsi="Garamond"/>
                <w:lang w:val="en-AU"/>
              </w:rPr>
              <w:t xml:space="preserve"> made to clinicians needs to improve. The register of the General Medical Council (GMC) should be expanded to include a list of financial and non-pecuniary interests for all doctors, as well as doctors’ particular clinical interests and their recognised and accredited specialisms. In addition, there should be mandatory reporting for the pharmaceutical and medical device industries of payments made to teaching hospitals, research institutions and individual clinicians.</w:t>
            </w:r>
          </w:p>
          <w:p w:rsidR="00522ECB" w:rsidRPr="00522ECB" w:rsidRDefault="00522ECB" w:rsidP="00522ECB">
            <w:pPr>
              <w:pStyle w:val="ListParagraph"/>
              <w:keepLines/>
              <w:numPr>
                <w:ilvl w:val="0"/>
                <w:numId w:val="42"/>
              </w:numPr>
              <w:rPr>
                <w:rFonts w:ascii="Garamond" w:hAnsi="Garamond"/>
                <w:lang w:val="en-AU"/>
              </w:rPr>
            </w:pPr>
            <w:r w:rsidRPr="00522ECB">
              <w:rPr>
                <w:rFonts w:ascii="Garamond" w:hAnsi="Garamond"/>
                <w:lang w:val="en-AU"/>
              </w:rPr>
              <w:t>The Government should immediately set up a task</w:t>
            </w:r>
            <w:r>
              <w:rPr>
                <w:rFonts w:ascii="Garamond" w:hAnsi="Garamond"/>
                <w:lang w:val="en-AU"/>
              </w:rPr>
              <w:t xml:space="preserve"> </w:t>
            </w:r>
            <w:r w:rsidRPr="00522ECB">
              <w:rPr>
                <w:rFonts w:ascii="Garamond" w:hAnsi="Garamond"/>
                <w:lang w:val="en-AU"/>
              </w:rPr>
              <w:t>force to implement this Review’s recommendations. Its first task should</w:t>
            </w:r>
            <w:r>
              <w:rPr>
                <w:rFonts w:ascii="Garamond" w:hAnsi="Garamond"/>
                <w:lang w:val="en-AU"/>
              </w:rPr>
              <w:t xml:space="preserve"> </w:t>
            </w:r>
            <w:r w:rsidRPr="00522ECB">
              <w:rPr>
                <w:rFonts w:ascii="Garamond" w:hAnsi="Garamond"/>
                <w:lang w:val="en-AU"/>
              </w:rPr>
              <w:t>be to set out a timeline for their implementation.</w:t>
            </w:r>
          </w:p>
        </w:tc>
      </w:tr>
    </w:tbl>
    <w:p w:rsidR="005C2AC8" w:rsidRDefault="005C2AC8" w:rsidP="005C2AC8">
      <w:pPr>
        <w:keepNext/>
        <w:keepLines/>
        <w:autoSpaceDE w:val="0"/>
        <w:autoSpaceDN w:val="0"/>
        <w:adjustRightInd w:val="0"/>
        <w:rPr>
          <w:rFonts w:ascii="Garamond" w:hAnsi="Garamond"/>
          <w:lang w:val="en-AU"/>
        </w:rPr>
      </w:pPr>
    </w:p>
    <w:p w:rsidR="00D301EE" w:rsidRPr="00D301EE" w:rsidRDefault="00D301EE" w:rsidP="005C2AC8">
      <w:pPr>
        <w:keepNext/>
        <w:keepLines/>
        <w:autoSpaceDE w:val="0"/>
        <w:autoSpaceDN w:val="0"/>
        <w:adjustRightInd w:val="0"/>
        <w:rPr>
          <w:rFonts w:ascii="Garamond" w:hAnsi="Garamond"/>
          <w:i/>
          <w:lang w:val="en-AU"/>
        </w:rPr>
      </w:pPr>
      <w:r w:rsidRPr="00D301EE">
        <w:rPr>
          <w:rFonts w:ascii="Garamond" w:hAnsi="Garamond"/>
          <w:i/>
          <w:lang w:val="en-AU"/>
        </w:rPr>
        <w:t>Evidence-Based Practice for Public Health Emergency Preparedness and Response</w:t>
      </w:r>
    </w:p>
    <w:p w:rsidR="00E015DF" w:rsidRDefault="00E015DF" w:rsidP="005C2AC8">
      <w:pPr>
        <w:keepNext/>
        <w:keepLines/>
        <w:autoSpaceDE w:val="0"/>
        <w:autoSpaceDN w:val="0"/>
        <w:adjustRightInd w:val="0"/>
        <w:rPr>
          <w:rFonts w:ascii="Garamond" w:hAnsi="Garamond"/>
          <w:lang w:val="en-AU"/>
        </w:rPr>
      </w:pPr>
      <w:r w:rsidRPr="00E015DF">
        <w:rPr>
          <w:rFonts w:ascii="Garamond" w:hAnsi="Garamond"/>
          <w:lang w:val="en-AU"/>
        </w:rPr>
        <w:t>National Academies of Sciences, Engineering, and Medicine</w:t>
      </w:r>
    </w:p>
    <w:p w:rsidR="00D301EE" w:rsidRDefault="00E015DF" w:rsidP="005C2AC8">
      <w:pPr>
        <w:keepNext/>
        <w:keepLines/>
        <w:autoSpaceDE w:val="0"/>
        <w:autoSpaceDN w:val="0"/>
        <w:adjustRightInd w:val="0"/>
        <w:rPr>
          <w:rFonts w:ascii="Garamond" w:hAnsi="Garamond"/>
          <w:lang w:val="en-AU"/>
        </w:rPr>
      </w:pPr>
      <w:r w:rsidRPr="00E015DF">
        <w:rPr>
          <w:rFonts w:ascii="Garamond" w:hAnsi="Garamond"/>
          <w:lang w:val="en-AU"/>
        </w:rPr>
        <w:t>Washington, DC: The National Academies Press; 2020.</w:t>
      </w:r>
    </w:p>
    <w:tbl>
      <w:tblPr>
        <w:tblStyle w:val="TableGrid"/>
        <w:tblW w:w="0" w:type="auto"/>
        <w:tblInd w:w="288" w:type="dxa"/>
        <w:tblLayout w:type="fixed"/>
        <w:tblLook w:val="01E0" w:firstRow="1" w:lastRow="1" w:firstColumn="1" w:lastColumn="1" w:noHBand="0" w:noVBand="0"/>
      </w:tblPr>
      <w:tblGrid>
        <w:gridCol w:w="1080"/>
        <w:gridCol w:w="8280"/>
      </w:tblGrid>
      <w:tr w:rsidR="005C2AC8"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5C2AC8" w:rsidRPr="000170DA" w:rsidRDefault="00CA6707" w:rsidP="002C5882">
            <w:pPr>
              <w:keepNext/>
              <w:rPr>
                <w:rStyle w:val="Hyperlink"/>
                <w:rFonts w:ascii="Garamond" w:hAnsi="Garamond"/>
                <w:lang w:val="en-AU"/>
              </w:rPr>
            </w:pPr>
            <w:r>
              <w:rPr>
                <w:rFonts w:ascii="Garamond" w:hAnsi="Garamond"/>
                <w:lang w:val="en-AU"/>
              </w:rPr>
              <w:t xml:space="preserve">URL / </w:t>
            </w:r>
            <w:r w:rsidR="005C2AC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C2AC8" w:rsidRDefault="00467A2C" w:rsidP="002C5882">
            <w:pPr>
              <w:keepNext/>
              <w:rPr>
                <w:rStyle w:val="Hyperlink"/>
                <w:rFonts w:ascii="Garamond" w:hAnsi="Garamond"/>
                <w:color w:val="auto"/>
                <w:u w:val="none"/>
                <w:lang w:val="en-AU"/>
              </w:rPr>
            </w:pPr>
            <w:hyperlink r:id="rId30" w:history="1">
              <w:r w:rsidR="00E015DF" w:rsidRPr="006D7093">
                <w:rPr>
                  <w:rStyle w:val="Hyperlink"/>
                  <w:rFonts w:ascii="Garamond" w:hAnsi="Garamond"/>
                  <w:lang w:val="en-AU"/>
                </w:rPr>
                <w:t>https://www.nationalacademies.org/our-work/evidence-based-practices-for-public-health-emergency-preparedness-and-response-assessment-of-and-recommendations-for-the-field</w:t>
              </w:r>
            </w:hyperlink>
          </w:p>
          <w:p w:rsidR="00E015DF" w:rsidRPr="000170DA" w:rsidRDefault="00467A2C" w:rsidP="00E015DF">
            <w:pPr>
              <w:keepNext/>
              <w:rPr>
                <w:rStyle w:val="Hyperlink"/>
                <w:rFonts w:ascii="Garamond" w:hAnsi="Garamond"/>
                <w:color w:val="auto"/>
                <w:u w:val="none"/>
                <w:lang w:val="en-AU"/>
              </w:rPr>
            </w:pPr>
            <w:hyperlink r:id="rId31" w:history="1">
              <w:r w:rsidR="00E015DF" w:rsidRPr="006D7093">
                <w:rPr>
                  <w:rStyle w:val="Hyperlink"/>
                  <w:rFonts w:ascii="Garamond" w:hAnsi="Garamond"/>
                  <w:lang w:val="en-AU"/>
                </w:rPr>
                <w:t>https://doi.org/10.17226/25650</w:t>
              </w:r>
            </w:hyperlink>
          </w:p>
        </w:tc>
      </w:tr>
      <w:tr w:rsidR="005C2AC8"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5C2AC8" w:rsidRPr="000170DA" w:rsidRDefault="005C2AC8"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01EE" w:rsidRPr="00522ECB" w:rsidRDefault="00522ECB" w:rsidP="00522ECB">
            <w:pPr>
              <w:keepNext/>
              <w:keepLines/>
              <w:rPr>
                <w:rFonts w:ascii="Garamond" w:hAnsi="Garamond"/>
                <w:lang w:val="en-AU"/>
              </w:rPr>
            </w:pPr>
            <w:r>
              <w:rPr>
                <w:rFonts w:ascii="Garamond" w:hAnsi="Garamond"/>
                <w:lang w:val="en-AU"/>
              </w:rPr>
              <w:t>This report reviews t</w:t>
            </w:r>
            <w:r w:rsidRPr="00522ECB">
              <w:rPr>
                <w:rFonts w:ascii="Garamond" w:hAnsi="Garamond"/>
                <w:lang w:val="en-AU"/>
              </w:rPr>
              <w:t>he state of the evidence on</w:t>
            </w:r>
            <w:r>
              <w:rPr>
                <w:rFonts w:ascii="Garamond" w:hAnsi="Garamond"/>
                <w:lang w:val="en-AU"/>
              </w:rPr>
              <w:t xml:space="preserve"> </w:t>
            </w:r>
            <w:r w:rsidRPr="00522ECB">
              <w:rPr>
                <w:rFonts w:ascii="Garamond" w:hAnsi="Garamond"/>
                <w:lang w:val="en-AU"/>
              </w:rPr>
              <w:t xml:space="preserve">public health emergency preparedness and response </w:t>
            </w:r>
            <w:r>
              <w:rPr>
                <w:rFonts w:ascii="Garamond" w:hAnsi="Garamond"/>
                <w:lang w:val="en-AU"/>
              </w:rPr>
              <w:t>(</w:t>
            </w:r>
            <w:r w:rsidRPr="00522ECB">
              <w:rPr>
                <w:rFonts w:ascii="Garamond" w:hAnsi="Garamond"/>
                <w:lang w:val="en-AU"/>
              </w:rPr>
              <w:t>PHEPR</w:t>
            </w:r>
            <w:r>
              <w:rPr>
                <w:rFonts w:ascii="Garamond" w:hAnsi="Garamond"/>
                <w:lang w:val="en-AU"/>
              </w:rPr>
              <w:t>)</w:t>
            </w:r>
            <w:r w:rsidRPr="00522ECB">
              <w:rPr>
                <w:rFonts w:ascii="Garamond" w:hAnsi="Garamond"/>
                <w:lang w:val="en-AU"/>
              </w:rPr>
              <w:t xml:space="preserve"> practices and the improvements necessary to move the field forward and to strengthen the PHEPR system. This publication evaluates PHEPR evidence to understand the balance of benefi</w:t>
            </w:r>
            <w:r>
              <w:rPr>
                <w:rFonts w:ascii="Garamond" w:hAnsi="Garamond"/>
                <w:lang w:val="en-AU"/>
              </w:rPr>
              <w:t xml:space="preserve">ts and harms of PHEPR practices. </w:t>
            </w:r>
            <w:r w:rsidR="00D301EE" w:rsidRPr="00522ECB">
              <w:rPr>
                <w:rFonts w:ascii="Garamond" w:hAnsi="Garamond"/>
                <w:lang w:val="en-AU"/>
              </w:rPr>
              <w:t>The report</w:t>
            </w:r>
            <w:r w:rsidRPr="00522ECB">
              <w:rPr>
                <w:rFonts w:ascii="Garamond" w:hAnsi="Garamond"/>
                <w:lang w:val="en-AU"/>
              </w:rPr>
              <w:t xml:space="preserve"> includes </w:t>
            </w:r>
            <w:r w:rsidR="00D301EE" w:rsidRPr="00522ECB">
              <w:rPr>
                <w:rFonts w:ascii="Garamond" w:hAnsi="Garamond"/>
                <w:lang w:val="en-AU"/>
              </w:rPr>
              <w:t xml:space="preserve">recommendations intended to transform the infrastructure, funding, and methods of PHEPR research and provides evidence-based practice recommendations and/or implementation guidance for PHEPR practitioners </w:t>
            </w:r>
            <w:r w:rsidR="002E23F9">
              <w:rPr>
                <w:rFonts w:ascii="Garamond" w:hAnsi="Garamond"/>
                <w:lang w:val="en-AU"/>
              </w:rPr>
              <w:t>on</w:t>
            </w:r>
            <w:r w:rsidR="00D301EE" w:rsidRPr="00522ECB">
              <w:rPr>
                <w:rFonts w:ascii="Garamond" w:hAnsi="Garamond"/>
                <w:lang w:val="en-AU"/>
              </w:rPr>
              <w:t>:</w:t>
            </w:r>
          </w:p>
          <w:p w:rsidR="00D301EE" w:rsidRPr="00522ECB" w:rsidRDefault="00D301EE" w:rsidP="00522ECB">
            <w:pPr>
              <w:pStyle w:val="ListParagraph"/>
              <w:keepNext/>
              <w:keepLines/>
              <w:numPr>
                <w:ilvl w:val="0"/>
                <w:numId w:val="43"/>
              </w:numPr>
              <w:rPr>
                <w:rFonts w:ascii="Garamond" w:hAnsi="Garamond"/>
                <w:lang w:val="en-AU"/>
              </w:rPr>
            </w:pPr>
            <w:r w:rsidRPr="00522ECB">
              <w:rPr>
                <w:rFonts w:ascii="Garamond" w:hAnsi="Garamond"/>
                <w:lang w:val="en-AU"/>
              </w:rPr>
              <w:t>Engaging with and training community-based partners to improve the outcomes of at-risk populations after public health emergencies</w:t>
            </w:r>
          </w:p>
          <w:p w:rsidR="00D301EE" w:rsidRPr="00522ECB" w:rsidRDefault="00D301EE" w:rsidP="00522ECB">
            <w:pPr>
              <w:pStyle w:val="ListParagraph"/>
              <w:keepNext/>
              <w:keepLines/>
              <w:numPr>
                <w:ilvl w:val="0"/>
                <w:numId w:val="43"/>
              </w:numPr>
              <w:rPr>
                <w:rFonts w:ascii="Garamond" w:hAnsi="Garamond"/>
                <w:lang w:val="en-AU"/>
              </w:rPr>
            </w:pPr>
            <w:r w:rsidRPr="00522ECB">
              <w:rPr>
                <w:rFonts w:ascii="Garamond" w:hAnsi="Garamond"/>
                <w:lang w:val="en-AU"/>
              </w:rPr>
              <w:t>Activating a public h</w:t>
            </w:r>
            <w:r w:rsidR="00522ECB" w:rsidRPr="00522ECB">
              <w:rPr>
                <w:rFonts w:ascii="Garamond" w:hAnsi="Garamond"/>
                <w:lang w:val="en-AU"/>
              </w:rPr>
              <w:t>ealth emergency operations cent</w:t>
            </w:r>
            <w:r w:rsidRPr="00522ECB">
              <w:rPr>
                <w:rFonts w:ascii="Garamond" w:hAnsi="Garamond"/>
                <w:lang w:val="en-AU"/>
              </w:rPr>
              <w:t>r</w:t>
            </w:r>
            <w:r w:rsidR="00522ECB" w:rsidRPr="00522ECB">
              <w:rPr>
                <w:rFonts w:ascii="Garamond" w:hAnsi="Garamond"/>
                <w:lang w:val="en-AU"/>
              </w:rPr>
              <w:t>e</w:t>
            </w:r>
          </w:p>
          <w:p w:rsidR="00D301EE" w:rsidRPr="00522ECB" w:rsidRDefault="00D301EE" w:rsidP="00522ECB">
            <w:pPr>
              <w:pStyle w:val="ListParagraph"/>
              <w:keepNext/>
              <w:keepLines/>
              <w:numPr>
                <w:ilvl w:val="0"/>
                <w:numId w:val="43"/>
              </w:numPr>
              <w:rPr>
                <w:rFonts w:ascii="Garamond" w:hAnsi="Garamond"/>
                <w:lang w:val="en-AU"/>
              </w:rPr>
            </w:pPr>
            <w:r w:rsidRPr="00522ECB">
              <w:rPr>
                <w:rFonts w:ascii="Garamond" w:hAnsi="Garamond"/>
                <w:lang w:val="en-AU"/>
              </w:rPr>
              <w:t>Communicating public health alerts and guidance with technical audiences during a public health emergency</w:t>
            </w:r>
          </w:p>
          <w:p w:rsidR="00D301EE" w:rsidRPr="00522ECB" w:rsidRDefault="00D301EE" w:rsidP="00522ECB">
            <w:pPr>
              <w:pStyle w:val="ListParagraph"/>
              <w:keepNext/>
              <w:keepLines/>
              <w:numPr>
                <w:ilvl w:val="0"/>
                <w:numId w:val="43"/>
              </w:numPr>
              <w:rPr>
                <w:rFonts w:ascii="Garamond" w:hAnsi="Garamond"/>
                <w:lang w:val="en-AU"/>
              </w:rPr>
            </w:pPr>
            <w:r w:rsidRPr="00522ECB">
              <w:rPr>
                <w:rFonts w:ascii="Garamond" w:hAnsi="Garamond"/>
                <w:lang w:val="en-AU"/>
              </w:rPr>
              <w:t>Implementing quarantine to reduce or stop the spread of a contagious disease</w:t>
            </w:r>
            <w:r w:rsidR="00522ECB" w:rsidRPr="00522ECB">
              <w:rPr>
                <w:rFonts w:ascii="Garamond" w:hAnsi="Garamond"/>
                <w:lang w:val="en-AU"/>
              </w:rPr>
              <w:t>.</w:t>
            </w:r>
          </w:p>
        </w:tc>
      </w:tr>
    </w:tbl>
    <w:p w:rsidR="005C2AC8" w:rsidRDefault="005C2AC8" w:rsidP="005C2AC8">
      <w:pPr>
        <w:keepLines/>
        <w:autoSpaceDE w:val="0"/>
        <w:autoSpaceDN w:val="0"/>
        <w:adjustRightInd w:val="0"/>
        <w:rPr>
          <w:rFonts w:ascii="Garamond" w:hAnsi="Garamond"/>
          <w:lang w:val="en-AU"/>
        </w:rPr>
      </w:pPr>
    </w:p>
    <w:p w:rsidR="005C2AC8" w:rsidRDefault="005C2AC8" w:rsidP="005C2AC8">
      <w:pPr>
        <w:keepLines/>
        <w:autoSpaceDE w:val="0"/>
        <w:autoSpaceDN w:val="0"/>
        <w:adjustRightInd w:val="0"/>
        <w:rPr>
          <w:rFonts w:ascii="Garamond" w:hAnsi="Garamond"/>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7967AE" w:rsidRPr="00765024" w:rsidRDefault="007967AE" w:rsidP="002C5882">
      <w:pPr>
        <w:keepLines/>
        <w:autoSpaceDE w:val="0"/>
        <w:autoSpaceDN w:val="0"/>
        <w:adjustRightInd w:val="0"/>
        <w:rPr>
          <w:rFonts w:ascii="Garamond" w:hAnsi="Garamond"/>
          <w:i/>
          <w:lang w:val="en-AU"/>
        </w:rPr>
      </w:pPr>
      <w:r w:rsidRPr="00765024">
        <w:rPr>
          <w:rFonts w:ascii="Garamond" w:hAnsi="Garamond"/>
          <w:i/>
          <w:lang w:val="en-AU"/>
        </w:rPr>
        <w:t>Patient safety concerns in COVID-19–related events: a study of 343 event reports from 71 hospitals in Pennsylvania</w:t>
      </w:r>
    </w:p>
    <w:p w:rsidR="007967AE" w:rsidRDefault="007967AE" w:rsidP="002C5882">
      <w:pPr>
        <w:keepLines/>
        <w:autoSpaceDE w:val="0"/>
        <w:autoSpaceDN w:val="0"/>
        <w:adjustRightInd w:val="0"/>
        <w:rPr>
          <w:rFonts w:ascii="Garamond" w:hAnsi="Garamond"/>
          <w:lang w:val="en-AU"/>
        </w:rPr>
      </w:pPr>
      <w:r w:rsidRPr="00142A28">
        <w:rPr>
          <w:rFonts w:ascii="Garamond" w:hAnsi="Garamond"/>
          <w:lang w:val="en-AU"/>
        </w:rPr>
        <w:t>Taylor MA, Kepner S, Gardner LA, Jones R</w:t>
      </w:r>
    </w:p>
    <w:p w:rsidR="007967AE" w:rsidRDefault="007967AE" w:rsidP="002C5882">
      <w:pPr>
        <w:keepLines/>
        <w:autoSpaceDE w:val="0"/>
        <w:autoSpaceDN w:val="0"/>
        <w:adjustRightInd w:val="0"/>
        <w:rPr>
          <w:rFonts w:ascii="Garamond" w:hAnsi="Garamond"/>
          <w:lang w:val="en-AU"/>
        </w:rPr>
      </w:pPr>
      <w:r w:rsidRPr="00142A28">
        <w:rPr>
          <w:rFonts w:ascii="Garamond" w:hAnsi="Garamond"/>
          <w:lang w:val="en-AU"/>
        </w:rPr>
        <w:t>Patient Safety. 2020;2.</w:t>
      </w:r>
    </w:p>
    <w:p w:rsidR="007967AE" w:rsidRDefault="007967AE" w:rsidP="002C5882">
      <w:pPr>
        <w:keepLines/>
        <w:autoSpaceDE w:val="0"/>
        <w:autoSpaceDN w:val="0"/>
        <w:adjustRightInd w:val="0"/>
        <w:rPr>
          <w:rFonts w:ascii="Garamond" w:hAnsi="Garamond"/>
          <w:lang w:val="en-AU"/>
        </w:rPr>
      </w:pPr>
    </w:p>
    <w:p w:rsidR="007967AE" w:rsidRPr="00E015DF" w:rsidRDefault="007967AE" w:rsidP="002C5882">
      <w:pPr>
        <w:keepLines/>
        <w:autoSpaceDE w:val="0"/>
        <w:autoSpaceDN w:val="0"/>
        <w:adjustRightInd w:val="0"/>
        <w:rPr>
          <w:rFonts w:ascii="Garamond" w:hAnsi="Garamond"/>
          <w:i/>
          <w:lang w:val="en-AU"/>
        </w:rPr>
      </w:pPr>
      <w:r w:rsidRPr="00E015DF">
        <w:rPr>
          <w:rFonts w:ascii="Garamond" w:hAnsi="Garamond"/>
          <w:i/>
          <w:lang w:val="en-AU"/>
        </w:rPr>
        <w:t>Protecting children from iatrogenic harm during COVID19 pandemic</w:t>
      </w:r>
    </w:p>
    <w:p w:rsidR="007967AE" w:rsidRDefault="007967AE" w:rsidP="002C5882">
      <w:pPr>
        <w:keepLines/>
        <w:autoSpaceDE w:val="0"/>
        <w:autoSpaceDN w:val="0"/>
        <w:adjustRightInd w:val="0"/>
        <w:rPr>
          <w:rFonts w:ascii="Garamond" w:hAnsi="Garamond"/>
          <w:lang w:val="en-AU"/>
        </w:rPr>
      </w:pPr>
      <w:r w:rsidRPr="00142A28">
        <w:rPr>
          <w:rFonts w:ascii="Garamond" w:hAnsi="Garamond"/>
          <w:lang w:val="en-AU"/>
        </w:rPr>
        <w:t>Camporesi A, Díaz-Rubio F, Carroll CL, González-Dambrauskas S</w:t>
      </w:r>
    </w:p>
    <w:p w:rsidR="007967AE" w:rsidRDefault="007967AE" w:rsidP="002C5882">
      <w:pPr>
        <w:keepLines/>
        <w:autoSpaceDE w:val="0"/>
        <w:autoSpaceDN w:val="0"/>
        <w:adjustRightInd w:val="0"/>
        <w:rPr>
          <w:rFonts w:ascii="Garamond" w:hAnsi="Garamond"/>
          <w:lang w:val="en-AU"/>
        </w:rPr>
      </w:pPr>
      <w:r w:rsidRPr="00142A28">
        <w:rPr>
          <w:rFonts w:ascii="Garamond" w:hAnsi="Garamond"/>
          <w:lang w:val="en-AU"/>
        </w:rPr>
        <w:t>Journal of Paediatrics and Child Health. 2020</w:t>
      </w:r>
      <w:r>
        <w:rPr>
          <w:rFonts w:ascii="Garamond" w:hAnsi="Garamond"/>
          <w:lang w:val="en-AU"/>
        </w:rPr>
        <w:t xml:space="preserve"> [epub]</w:t>
      </w:r>
      <w:r w:rsidRPr="00142A2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67AE" w:rsidRDefault="007967AE" w:rsidP="002C5882">
            <w:pPr>
              <w:rPr>
                <w:rStyle w:val="Hyperlink"/>
                <w:rFonts w:ascii="Garamond" w:hAnsi="Garamond"/>
                <w:color w:val="auto"/>
                <w:u w:val="none"/>
                <w:lang w:val="en-AU"/>
              </w:rPr>
            </w:pPr>
            <w:r>
              <w:rPr>
                <w:rStyle w:val="Hyperlink"/>
                <w:rFonts w:ascii="Garamond" w:hAnsi="Garamond"/>
                <w:color w:val="auto"/>
                <w:u w:val="none"/>
                <w:lang w:val="en-AU"/>
              </w:rPr>
              <w:t xml:space="preserve">Taylor et al </w:t>
            </w:r>
            <w:hyperlink r:id="rId32" w:history="1">
              <w:r w:rsidRPr="006D7093">
                <w:rPr>
                  <w:rStyle w:val="Hyperlink"/>
                  <w:rFonts w:ascii="Garamond" w:hAnsi="Garamond"/>
                  <w:lang w:val="en-AU"/>
                </w:rPr>
                <w:t>http://doi.org/10.33940/data/2020.6.3</w:t>
              </w:r>
            </w:hyperlink>
          </w:p>
          <w:p w:rsidR="007967AE" w:rsidRPr="000170DA" w:rsidRDefault="007967AE" w:rsidP="002C5882">
            <w:pPr>
              <w:rPr>
                <w:rStyle w:val="Hyperlink"/>
                <w:rFonts w:ascii="Garamond" w:hAnsi="Garamond"/>
                <w:color w:val="auto"/>
                <w:u w:val="none"/>
                <w:lang w:val="en-AU"/>
              </w:rPr>
            </w:pPr>
            <w:r>
              <w:rPr>
                <w:rStyle w:val="Hyperlink"/>
                <w:rFonts w:ascii="Garamond" w:hAnsi="Garamond"/>
                <w:color w:val="auto"/>
                <w:u w:val="none"/>
                <w:lang w:val="en-AU"/>
              </w:rPr>
              <w:t xml:space="preserve">Camporesi et al </w:t>
            </w:r>
            <w:hyperlink r:id="rId33" w:history="1">
              <w:r w:rsidRPr="006D7093">
                <w:rPr>
                  <w:rStyle w:val="Hyperlink"/>
                  <w:rFonts w:ascii="Garamond" w:hAnsi="Garamond"/>
                  <w:lang w:val="en-AU"/>
                </w:rPr>
                <w:t>http://doi.org/10.1111/jpc.14989</w:t>
              </w:r>
            </w:hyperlink>
          </w:p>
        </w:tc>
      </w:tr>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Fonts w:ascii="Garamond" w:hAnsi="Garamond"/>
                <w:lang w:val="en-AU" w:eastAsia="en-AU"/>
              </w:rPr>
            </w:pPr>
            <w:r w:rsidRPr="000170DA">
              <w:rPr>
                <w:rFonts w:ascii="Garamond" w:hAnsi="Garamond"/>
                <w:lang w:val="en-AU" w:eastAsia="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tcPr>
          <w:p w:rsidR="007967AE" w:rsidRDefault="00CA6707" w:rsidP="002C5882">
            <w:pPr>
              <w:keepLines/>
              <w:rPr>
                <w:rFonts w:ascii="Garamond" w:hAnsi="Garamond"/>
                <w:lang w:val="en-AU"/>
              </w:rPr>
            </w:pPr>
            <w:r>
              <w:rPr>
                <w:rFonts w:ascii="Garamond" w:hAnsi="Garamond"/>
                <w:lang w:val="en-AU"/>
              </w:rPr>
              <w:t>In ti</w:t>
            </w:r>
            <w:r w:rsidR="007967AE">
              <w:rPr>
                <w:rFonts w:ascii="Garamond" w:hAnsi="Garamond"/>
                <w:lang w:val="en-AU"/>
              </w:rPr>
              <w:t>m</w:t>
            </w:r>
            <w:r>
              <w:rPr>
                <w:rFonts w:ascii="Garamond" w:hAnsi="Garamond"/>
                <w:lang w:val="en-AU"/>
              </w:rPr>
              <w:t>e</w:t>
            </w:r>
            <w:r w:rsidR="007967AE">
              <w:rPr>
                <w:rFonts w:ascii="Garamond" w:hAnsi="Garamond"/>
                <w:lang w:val="en-AU"/>
              </w:rPr>
              <w:t xml:space="preserve">s of emergency or crisis, such as a pandemic, practices and behaviours </w:t>
            </w:r>
            <w:proofErr w:type="gramStart"/>
            <w:r w:rsidR="007967AE">
              <w:rPr>
                <w:rFonts w:ascii="Garamond" w:hAnsi="Garamond"/>
                <w:lang w:val="en-AU"/>
              </w:rPr>
              <w:t>can be disrupted</w:t>
            </w:r>
            <w:proofErr w:type="gramEnd"/>
            <w:r w:rsidR="007967AE">
              <w:rPr>
                <w:rFonts w:ascii="Garamond" w:hAnsi="Garamond"/>
                <w:lang w:val="en-AU"/>
              </w:rPr>
              <w:t>. This may be necessary but can also have consequences. These two pieces examine issues of patient safety arising in the current COVID-19 pandemic.</w:t>
            </w:r>
          </w:p>
          <w:p w:rsidR="007967AE" w:rsidRDefault="007967AE" w:rsidP="002C5882">
            <w:pPr>
              <w:keepLines/>
              <w:rPr>
                <w:rFonts w:ascii="Garamond" w:hAnsi="Garamond"/>
                <w:lang w:val="en-AU"/>
              </w:rPr>
            </w:pPr>
            <w:r>
              <w:rPr>
                <w:rFonts w:ascii="Garamond" w:hAnsi="Garamond"/>
                <w:lang w:val="en-AU"/>
              </w:rPr>
              <w:t xml:space="preserve">Taylor et al examined </w:t>
            </w:r>
            <w:r w:rsidRPr="00142A28">
              <w:rPr>
                <w:rFonts w:ascii="Garamond" w:hAnsi="Garamond"/>
                <w:lang w:val="en-AU"/>
              </w:rPr>
              <w:t xml:space="preserve">COVID-19–related </w:t>
            </w:r>
            <w:r>
              <w:rPr>
                <w:rFonts w:ascii="Garamond" w:hAnsi="Garamond"/>
                <w:lang w:val="en-AU"/>
              </w:rPr>
              <w:t xml:space="preserve">adverse events that were reported in Pennsylvania between 1 January and 15 April 2020 to the state’s Patient Safety Authority. Having </w:t>
            </w:r>
            <w:r w:rsidRPr="00142A28">
              <w:rPr>
                <w:rFonts w:ascii="Garamond" w:hAnsi="Garamond"/>
                <w:lang w:val="en-AU"/>
              </w:rPr>
              <w:t xml:space="preserve">identified 343 relevant event reports from 71 hospitals </w:t>
            </w:r>
            <w:r>
              <w:rPr>
                <w:rFonts w:ascii="Garamond" w:hAnsi="Garamond"/>
                <w:lang w:val="en-AU"/>
              </w:rPr>
              <w:t xml:space="preserve">the authors </w:t>
            </w:r>
            <w:r w:rsidRPr="00142A28">
              <w:rPr>
                <w:rFonts w:ascii="Garamond" w:hAnsi="Garamond"/>
                <w:lang w:val="en-AU"/>
              </w:rPr>
              <w:t xml:space="preserve">conducted a descriptive study to identify the prevalence of and relationships between 13 categories of associated factors and six categories of event outcomes. The most frequently identified </w:t>
            </w:r>
            <w:r w:rsidRPr="00142A28">
              <w:rPr>
                <w:rFonts w:ascii="Garamond" w:hAnsi="Garamond"/>
                <w:b/>
                <w:lang w:val="en-AU"/>
              </w:rPr>
              <w:t>factors</w:t>
            </w:r>
            <w:r w:rsidRPr="00142A28">
              <w:rPr>
                <w:rFonts w:ascii="Garamond" w:hAnsi="Garamond"/>
                <w:lang w:val="en-AU"/>
              </w:rPr>
              <w:t xml:space="preserve"> were </w:t>
            </w:r>
            <w:r w:rsidRPr="00142A28">
              <w:rPr>
                <w:rFonts w:ascii="Garamond" w:hAnsi="Garamond"/>
                <w:b/>
                <w:lang w:val="en-AU"/>
              </w:rPr>
              <w:t>Laboratory Testing</w:t>
            </w:r>
            <w:r w:rsidRPr="00142A28">
              <w:rPr>
                <w:rFonts w:ascii="Garamond" w:hAnsi="Garamond"/>
                <w:lang w:val="en-AU"/>
              </w:rPr>
              <w:t xml:space="preserve"> (47%; 161 of 343), </w:t>
            </w:r>
            <w:r w:rsidRPr="00142A28">
              <w:rPr>
                <w:rFonts w:ascii="Garamond" w:hAnsi="Garamond"/>
                <w:b/>
                <w:lang w:val="en-AU"/>
              </w:rPr>
              <w:t>Process/Protocol</w:t>
            </w:r>
            <w:r w:rsidRPr="00142A28">
              <w:rPr>
                <w:rFonts w:ascii="Garamond" w:hAnsi="Garamond"/>
                <w:lang w:val="en-AU"/>
              </w:rPr>
              <w:t xml:space="preserve"> (25%; 87 of 343), and </w:t>
            </w:r>
            <w:r w:rsidRPr="00142A28">
              <w:rPr>
                <w:rFonts w:ascii="Garamond" w:hAnsi="Garamond"/>
                <w:b/>
                <w:lang w:val="en-AU"/>
              </w:rPr>
              <w:t>Isolation Integrity</w:t>
            </w:r>
            <w:r w:rsidRPr="00142A28">
              <w:rPr>
                <w:rFonts w:ascii="Garamond" w:hAnsi="Garamond"/>
                <w:lang w:val="en-AU"/>
              </w:rPr>
              <w:t xml:space="preserve"> (22%; 74 of 343). The two most frequent </w:t>
            </w:r>
            <w:r w:rsidRPr="00142A28">
              <w:rPr>
                <w:rFonts w:ascii="Garamond" w:hAnsi="Garamond"/>
                <w:b/>
                <w:lang w:val="en-AU"/>
              </w:rPr>
              <w:t>outcomes</w:t>
            </w:r>
            <w:r w:rsidRPr="00142A28">
              <w:rPr>
                <w:rFonts w:ascii="Garamond" w:hAnsi="Garamond"/>
                <w:lang w:val="en-AU"/>
              </w:rPr>
              <w:t xml:space="preserve"> were </w:t>
            </w:r>
            <w:r w:rsidRPr="00142A28">
              <w:rPr>
                <w:rFonts w:ascii="Garamond" w:hAnsi="Garamond"/>
                <w:b/>
                <w:lang w:val="en-AU"/>
              </w:rPr>
              <w:t>Exposure to COVID-19 Positive or Suspected Positive Patient</w:t>
            </w:r>
            <w:r w:rsidRPr="00142A28">
              <w:rPr>
                <w:rFonts w:ascii="Garamond" w:hAnsi="Garamond"/>
                <w:lang w:val="en-AU"/>
              </w:rPr>
              <w:t xml:space="preserve"> (50%; 173 of 343) and </w:t>
            </w:r>
            <w:r w:rsidRPr="00142A28">
              <w:rPr>
                <w:rFonts w:ascii="Garamond" w:hAnsi="Garamond"/>
                <w:b/>
                <w:lang w:val="en-AU"/>
              </w:rPr>
              <w:t>Missed/Delayed Test or Result</w:t>
            </w:r>
            <w:r w:rsidRPr="00142A28">
              <w:rPr>
                <w:rFonts w:ascii="Garamond" w:hAnsi="Garamond"/>
                <w:lang w:val="en-AU"/>
              </w:rPr>
              <w:t xml:space="preserve"> (31%; 108 of 343). </w:t>
            </w:r>
            <w:r>
              <w:rPr>
                <w:rFonts w:ascii="Garamond" w:hAnsi="Garamond"/>
                <w:lang w:val="en-AU"/>
              </w:rPr>
              <w:t>The authors report that ‘</w:t>
            </w:r>
            <w:r w:rsidRPr="00142A28">
              <w:rPr>
                <w:rFonts w:ascii="Garamond" w:hAnsi="Garamond"/>
                <w:lang w:val="en-AU"/>
              </w:rPr>
              <w:t>seven of the associated factors had a notable impact on the frequency of Exposure to COVID-19 Positive or Suspected Positive Patient outcome</w:t>
            </w:r>
            <w:r>
              <w:rPr>
                <w:rFonts w:ascii="Garamond" w:hAnsi="Garamond"/>
                <w:lang w:val="en-AU"/>
              </w:rPr>
              <w:t>’</w:t>
            </w:r>
            <w:r w:rsidRPr="00142A28">
              <w:rPr>
                <w:rFonts w:ascii="Garamond" w:hAnsi="Garamond"/>
                <w:lang w:val="en-AU"/>
              </w:rPr>
              <w:t xml:space="preserve">. </w:t>
            </w:r>
          </w:p>
          <w:p w:rsidR="007967AE" w:rsidRDefault="007967AE" w:rsidP="002C5882">
            <w:pPr>
              <w:keepLines/>
              <w:rPr>
                <w:rFonts w:ascii="Garamond" w:hAnsi="Garamond"/>
                <w:lang w:val="en-AU"/>
              </w:rPr>
            </w:pPr>
            <w:r>
              <w:rPr>
                <w:rFonts w:ascii="Garamond" w:hAnsi="Garamond"/>
                <w:lang w:val="en-AU"/>
              </w:rPr>
              <w:t>Camporesi et al observe that the pandemic has ‘</w:t>
            </w:r>
            <w:r w:rsidRPr="007967AE">
              <w:rPr>
                <w:rFonts w:ascii="Garamond" w:hAnsi="Garamond"/>
                <w:lang w:val="en-AU"/>
              </w:rPr>
              <w:t>encouraged the widespread use of non</w:t>
            </w:r>
            <w:r w:rsidRPr="007967AE">
              <w:rPr>
                <w:lang w:val="en-AU"/>
              </w:rPr>
              <w:t>‐</w:t>
            </w:r>
            <w:r w:rsidRPr="007967AE">
              <w:rPr>
                <w:rFonts w:ascii="Garamond" w:hAnsi="Garamond"/>
                <w:lang w:val="en-AU"/>
              </w:rPr>
              <w:t>tested pharmacological and aggressive respiratory support therapies, even in intensive care units (ICUs)</w:t>
            </w:r>
            <w:r>
              <w:rPr>
                <w:rFonts w:ascii="Garamond" w:hAnsi="Garamond"/>
                <w:lang w:val="en-AU"/>
              </w:rPr>
              <w:t>’ and while the pandemic has ‘</w:t>
            </w:r>
            <w:r w:rsidRPr="007967AE">
              <w:rPr>
                <w:rFonts w:ascii="Garamond" w:hAnsi="Garamond"/>
                <w:lang w:val="en-AU"/>
              </w:rPr>
              <w:t>predominantly affected adult populations,</w:t>
            </w:r>
            <w:r>
              <w:rPr>
                <w:rFonts w:ascii="Garamond" w:hAnsi="Garamond"/>
                <w:lang w:val="en-AU"/>
              </w:rPr>
              <w:t>’ they examine ‘</w:t>
            </w:r>
            <w:r w:rsidRPr="007967AE">
              <w:rPr>
                <w:rFonts w:ascii="Garamond" w:hAnsi="Garamond"/>
                <w:lang w:val="en-AU"/>
              </w:rPr>
              <w:t>several potential iatrogenic causes of the detrimental effects of the current pandemic to children and highlight the risks underlying a sudden change of clinical practice.</w:t>
            </w:r>
            <w:r>
              <w:rPr>
                <w:rFonts w:ascii="Garamond" w:hAnsi="Garamond"/>
                <w:lang w:val="en-AU"/>
              </w:rPr>
              <w:t xml:space="preserve">’  They identify a range of factors that may affect the optimal care of acutely ill children. </w:t>
            </w:r>
          </w:p>
          <w:p w:rsidR="002C5882" w:rsidRDefault="002C5882" w:rsidP="002C5882">
            <w:pPr>
              <w:keepLines/>
              <w:rPr>
                <w:rFonts w:ascii="Garamond" w:hAnsi="Garamond"/>
                <w:lang w:val="en-AU"/>
              </w:rPr>
            </w:pPr>
          </w:p>
          <w:p w:rsidR="007967AE" w:rsidRDefault="007967AE" w:rsidP="002C5882">
            <w:pPr>
              <w:keepLines/>
              <w:rPr>
                <w:rFonts w:ascii="Garamond" w:hAnsi="Garamond"/>
                <w:lang w:val="en-AU"/>
              </w:rPr>
            </w:pPr>
            <w:bookmarkStart w:id="1" w:name="_GoBack"/>
            <w:r>
              <w:rPr>
                <w:rFonts w:ascii="Garamond" w:hAnsi="Garamond"/>
                <w:noProof/>
                <w:lang w:val="en-AU" w:eastAsia="en-AU"/>
              </w:rPr>
              <w:drawing>
                <wp:inline distT="0" distB="0" distL="0" distR="0">
                  <wp:extent cx="5181600" cy="3432043"/>
                  <wp:effectExtent l="0" t="0" r="0" b="0"/>
                  <wp:docPr id="1" name="Picture 1" title="Figure from Camporesi et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Camporesi.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23089" cy="3459523"/>
                          </a:xfrm>
                          <a:prstGeom prst="rect">
                            <a:avLst/>
                          </a:prstGeom>
                          <a:noFill/>
                          <a:ln>
                            <a:noFill/>
                          </a:ln>
                        </pic:spPr>
                      </pic:pic>
                    </a:graphicData>
                  </a:graphic>
                </wp:inline>
              </w:drawing>
            </w:r>
            <w:bookmarkEnd w:id="1"/>
          </w:p>
          <w:p w:rsidR="002C5882" w:rsidRPr="00D3721E" w:rsidRDefault="002C5882" w:rsidP="002C5882">
            <w:pPr>
              <w:keepLines/>
              <w:rPr>
                <w:rFonts w:ascii="Garamond" w:hAnsi="Garamond"/>
                <w:lang w:val="en-AU"/>
              </w:rPr>
            </w:pPr>
          </w:p>
        </w:tc>
      </w:tr>
    </w:tbl>
    <w:p w:rsidR="002C5882" w:rsidRDefault="002C5882" w:rsidP="00530A67">
      <w:pPr>
        <w:keepNext/>
        <w:keepLines/>
        <w:autoSpaceDE w:val="0"/>
        <w:autoSpaceDN w:val="0"/>
        <w:adjustRightInd w:val="0"/>
        <w:rPr>
          <w:rFonts w:ascii="Garamond" w:hAnsi="Garamond"/>
          <w:i/>
          <w:lang w:val="en-AU"/>
        </w:rPr>
      </w:pPr>
    </w:p>
    <w:p w:rsidR="002C5882" w:rsidRDefault="002C5882">
      <w:pPr>
        <w:rPr>
          <w:rFonts w:ascii="Garamond" w:hAnsi="Garamond"/>
          <w:i/>
          <w:lang w:val="en-AU"/>
        </w:rPr>
      </w:pPr>
      <w:r>
        <w:rPr>
          <w:rFonts w:ascii="Garamond" w:hAnsi="Garamond"/>
          <w:i/>
          <w:lang w:val="en-AU"/>
        </w:rPr>
        <w:br w:type="page"/>
      </w:r>
    </w:p>
    <w:p w:rsidR="00530A67" w:rsidRPr="00E015DF" w:rsidRDefault="00E015DF" w:rsidP="00530A67">
      <w:pPr>
        <w:keepNext/>
        <w:keepLines/>
        <w:autoSpaceDE w:val="0"/>
        <w:autoSpaceDN w:val="0"/>
        <w:adjustRightInd w:val="0"/>
        <w:rPr>
          <w:rFonts w:ascii="Garamond" w:hAnsi="Garamond"/>
          <w:i/>
          <w:lang w:val="en-AU"/>
        </w:rPr>
      </w:pPr>
      <w:r w:rsidRPr="00E015DF">
        <w:rPr>
          <w:rFonts w:ascii="Garamond" w:hAnsi="Garamond"/>
          <w:i/>
          <w:lang w:val="en-AU"/>
        </w:rPr>
        <w:lastRenderedPageBreak/>
        <w:t>Implementation of an antimicrobial stewardship programme and reduction in carbapenemase-producing Enterobacterales in an Australian local health district</w:t>
      </w:r>
    </w:p>
    <w:p w:rsidR="0029461A" w:rsidRDefault="0029461A" w:rsidP="00530A67">
      <w:pPr>
        <w:keepNext/>
        <w:keepLines/>
        <w:autoSpaceDE w:val="0"/>
        <w:autoSpaceDN w:val="0"/>
        <w:adjustRightInd w:val="0"/>
        <w:rPr>
          <w:rFonts w:ascii="Garamond" w:hAnsi="Garamond"/>
          <w:lang w:val="en-AU"/>
        </w:rPr>
      </w:pPr>
      <w:r w:rsidRPr="0029461A">
        <w:rPr>
          <w:rFonts w:ascii="Garamond" w:hAnsi="Garamond"/>
          <w:lang w:val="en-AU"/>
        </w:rPr>
        <w:t>Cipko K, Cuenca J, Wales E, Harris J, Bond S, Newton P, et al</w:t>
      </w:r>
    </w:p>
    <w:p w:rsidR="00E015DF" w:rsidRPr="00530A67" w:rsidRDefault="0029461A" w:rsidP="00530A67">
      <w:pPr>
        <w:keepNext/>
        <w:keepLines/>
        <w:autoSpaceDE w:val="0"/>
        <w:autoSpaceDN w:val="0"/>
        <w:adjustRightInd w:val="0"/>
        <w:rPr>
          <w:rFonts w:ascii="Garamond" w:hAnsi="Garamond"/>
          <w:lang w:val="en-AU"/>
        </w:rPr>
      </w:pPr>
      <w:r w:rsidRPr="0029461A">
        <w:rPr>
          <w:rFonts w:ascii="Garamond" w:hAnsi="Garamond"/>
          <w:lang w:val="en-AU"/>
        </w:rPr>
        <w:t>JAC-Antimicrobial Resistance. 2020;2(3).</w:t>
      </w:r>
    </w:p>
    <w:tbl>
      <w:tblPr>
        <w:tblStyle w:val="TableGrid"/>
        <w:tblW w:w="9360" w:type="dxa"/>
        <w:tblInd w:w="288" w:type="dxa"/>
        <w:tblLayout w:type="fixed"/>
        <w:tblLook w:val="01E0" w:firstRow="1" w:lastRow="1" w:firstColumn="1" w:lastColumn="1" w:noHBand="0" w:noVBand="0"/>
      </w:tblPr>
      <w:tblGrid>
        <w:gridCol w:w="1080"/>
        <w:gridCol w:w="8280"/>
      </w:tblGrid>
      <w:tr w:rsidR="00977E92" w:rsidRPr="000170DA" w:rsidTr="00530A67">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711D4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0170DA" w:rsidRDefault="00467A2C" w:rsidP="00530A67">
            <w:pPr>
              <w:keepNext/>
              <w:rPr>
                <w:rStyle w:val="Hyperlink"/>
                <w:rFonts w:ascii="Garamond" w:hAnsi="Garamond"/>
                <w:color w:val="auto"/>
                <w:u w:val="none"/>
                <w:lang w:val="en-AU"/>
              </w:rPr>
            </w:pPr>
            <w:hyperlink r:id="rId35" w:history="1">
              <w:r w:rsidR="00E015DF" w:rsidRPr="006D7093">
                <w:rPr>
                  <w:rStyle w:val="Hyperlink"/>
                  <w:rFonts w:ascii="Garamond" w:hAnsi="Garamond"/>
                  <w:lang w:val="en-AU"/>
                </w:rPr>
                <w:t>https://doi.org/10.1093/jacamr/dlaa041</w:t>
              </w:r>
            </w:hyperlink>
          </w:p>
        </w:tc>
      </w:tr>
      <w:tr w:rsidR="00977E92" w:rsidRPr="000170DA" w:rsidTr="00530A67">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5FC8" w:rsidRDefault="002C5882" w:rsidP="002C5882">
            <w:pPr>
              <w:keepNext/>
              <w:keepLines/>
              <w:rPr>
                <w:rFonts w:ascii="Garamond" w:hAnsi="Garamond"/>
                <w:lang w:val="en-AU"/>
              </w:rPr>
            </w:pPr>
            <w:r>
              <w:rPr>
                <w:rFonts w:ascii="Garamond" w:hAnsi="Garamond"/>
                <w:lang w:val="en-AU"/>
              </w:rPr>
              <w:t>Paper describing the development and impact of an antimicrobial stewardship (AMS) in an Australian local health district and the impact on c</w:t>
            </w:r>
            <w:r w:rsidRPr="005063E6">
              <w:rPr>
                <w:rFonts w:ascii="Garamond" w:hAnsi="Garamond"/>
                <w:lang w:val="en-AU"/>
              </w:rPr>
              <w:t>arbapenemase-producing Enterobacteriaceae (CPE)</w:t>
            </w:r>
            <w:r>
              <w:rPr>
                <w:rFonts w:ascii="Garamond" w:hAnsi="Garamond"/>
                <w:lang w:val="en-AU"/>
              </w:rPr>
              <w:t xml:space="preserve">. The local health district implemented a </w:t>
            </w:r>
            <w:r w:rsidRPr="002C5882">
              <w:rPr>
                <w:rFonts w:ascii="Garamond" w:hAnsi="Garamond"/>
                <w:lang w:val="en-AU"/>
              </w:rPr>
              <w:t>multi-site computer-supported AMS programme</w:t>
            </w:r>
            <w:r>
              <w:rPr>
                <w:rFonts w:ascii="Garamond" w:hAnsi="Garamond"/>
                <w:lang w:val="en-AU"/>
              </w:rPr>
              <w:t xml:space="preserve"> in 2012. </w:t>
            </w:r>
            <w:r w:rsidR="0029461A">
              <w:rPr>
                <w:rFonts w:ascii="Garamond" w:hAnsi="Garamond"/>
                <w:lang w:val="en-AU"/>
              </w:rPr>
              <w:t>The authors report a number of results, including:</w:t>
            </w:r>
          </w:p>
          <w:p w:rsidR="0029461A" w:rsidRDefault="0029461A" w:rsidP="0029461A">
            <w:pPr>
              <w:pStyle w:val="ListParagraph"/>
              <w:keepNext/>
              <w:keepLines/>
              <w:numPr>
                <w:ilvl w:val="0"/>
                <w:numId w:val="44"/>
              </w:numPr>
              <w:rPr>
                <w:rFonts w:ascii="Garamond" w:hAnsi="Garamond"/>
                <w:lang w:val="en-AU"/>
              </w:rPr>
            </w:pPr>
            <w:r w:rsidRPr="0029461A">
              <w:rPr>
                <w:rFonts w:ascii="Garamond" w:hAnsi="Garamond"/>
                <w:lang w:val="en-AU"/>
              </w:rPr>
              <w:t>Numbers of CPE isolates and carbapenem use both showed a strong downward trend during the study period; the decreases were strongly correlated (r</w:t>
            </w:r>
            <w:r w:rsidRPr="0029461A">
              <w:rPr>
                <w:lang w:val="en-AU"/>
              </w:rPr>
              <w:t> </w:t>
            </w:r>
            <w:r w:rsidRPr="0029461A">
              <w:rPr>
                <w:rFonts w:ascii="Garamond" w:hAnsi="Garamond"/>
                <w:lang w:val="en-AU"/>
              </w:rPr>
              <w:t>=</w:t>
            </w:r>
            <w:r w:rsidRPr="0029461A">
              <w:rPr>
                <w:lang w:val="en-AU"/>
              </w:rPr>
              <w:t> </w:t>
            </w:r>
            <w:r w:rsidRPr="0029461A">
              <w:rPr>
                <w:rFonts w:ascii="Garamond" w:hAnsi="Garamond"/>
                <w:lang w:val="en-AU"/>
              </w:rPr>
              <w:t>0.80, P</w:t>
            </w:r>
            <w:r w:rsidRPr="0029461A">
              <w:rPr>
                <w:lang w:val="en-AU"/>
              </w:rPr>
              <w:t> </w:t>
            </w:r>
            <w:r w:rsidRPr="0029461A">
              <w:rPr>
                <w:rFonts w:ascii="Garamond" w:hAnsi="Garamond"/>
                <w:lang w:val="en-AU"/>
              </w:rPr>
              <w:t>=</w:t>
            </w:r>
            <w:r w:rsidRPr="0029461A">
              <w:rPr>
                <w:lang w:val="en-AU"/>
              </w:rPr>
              <w:t> </w:t>
            </w:r>
            <w:r w:rsidRPr="0029461A">
              <w:rPr>
                <w:rFonts w:ascii="Garamond" w:hAnsi="Garamond"/>
                <w:lang w:val="en-AU"/>
              </w:rPr>
              <w:t>0.006).</w:t>
            </w:r>
          </w:p>
          <w:p w:rsidR="0029461A" w:rsidRDefault="0029461A" w:rsidP="0029461A">
            <w:pPr>
              <w:pStyle w:val="ListParagraph"/>
              <w:keepNext/>
              <w:keepLines/>
              <w:numPr>
                <w:ilvl w:val="0"/>
                <w:numId w:val="44"/>
              </w:numPr>
              <w:rPr>
                <w:rFonts w:ascii="Garamond" w:hAnsi="Garamond"/>
                <w:lang w:val="en-AU"/>
              </w:rPr>
            </w:pPr>
            <w:r w:rsidRPr="0029461A">
              <w:rPr>
                <w:rFonts w:ascii="Garamond" w:hAnsi="Garamond"/>
                <w:lang w:val="en-AU"/>
              </w:rPr>
              <w:t>The positive relationship between carbapenem use and CPE isolation was maintained while adjusting for time (b</w:t>
            </w:r>
            <w:r w:rsidRPr="0029461A">
              <w:rPr>
                <w:lang w:val="en-AU"/>
              </w:rPr>
              <w:t> </w:t>
            </w:r>
            <w:r w:rsidRPr="0029461A">
              <w:rPr>
                <w:rFonts w:ascii="Garamond" w:hAnsi="Garamond"/>
                <w:lang w:val="en-AU"/>
              </w:rPr>
              <w:t>=</w:t>
            </w:r>
            <w:r w:rsidRPr="0029461A">
              <w:rPr>
                <w:lang w:val="en-AU"/>
              </w:rPr>
              <w:t> </w:t>
            </w:r>
            <w:r w:rsidRPr="0029461A">
              <w:rPr>
                <w:rFonts w:ascii="Garamond" w:hAnsi="Garamond"/>
                <w:lang w:val="en-AU"/>
              </w:rPr>
              <w:t>0.05, P</w:t>
            </w:r>
            <w:r w:rsidRPr="0029461A">
              <w:rPr>
                <w:lang w:val="en-AU"/>
              </w:rPr>
              <w:t> </w:t>
            </w:r>
            <w:r w:rsidRPr="0029461A">
              <w:rPr>
                <w:rFonts w:ascii="Garamond" w:hAnsi="Garamond"/>
                <w:lang w:val="en-AU"/>
              </w:rPr>
              <w:t>&lt;</w:t>
            </w:r>
            <w:r w:rsidRPr="0029461A">
              <w:rPr>
                <w:lang w:val="en-AU"/>
              </w:rPr>
              <w:t> </w:t>
            </w:r>
            <w:r w:rsidRPr="0029461A">
              <w:rPr>
                <w:rFonts w:ascii="Garamond" w:hAnsi="Garamond"/>
                <w:lang w:val="en-AU"/>
              </w:rPr>
              <w:t>0.001).</w:t>
            </w:r>
          </w:p>
          <w:p w:rsidR="0029461A" w:rsidRDefault="0029461A" w:rsidP="0029461A">
            <w:pPr>
              <w:pStyle w:val="ListParagraph"/>
              <w:keepNext/>
              <w:keepLines/>
              <w:numPr>
                <w:ilvl w:val="0"/>
                <w:numId w:val="44"/>
              </w:numPr>
              <w:rPr>
                <w:rFonts w:ascii="Garamond" w:hAnsi="Garamond"/>
                <w:lang w:val="en-AU"/>
              </w:rPr>
            </w:pPr>
            <w:r w:rsidRPr="0029461A">
              <w:rPr>
                <w:rFonts w:ascii="Garamond" w:hAnsi="Garamond"/>
                <w:lang w:val="en-AU"/>
              </w:rPr>
              <w:t>Average yearly consumption of carbapenems fell by 20%, from 18.4 to 14.7 DDD/1000</w:t>
            </w:r>
            <w:r w:rsidRPr="0029461A">
              <w:rPr>
                <w:lang w:val="en-AU"/>
              </w:rPr>
              <w:t> </w:t>
            </w:r>
            <w:r w:rsidRPr="0029461A">
              <w:rPr>
                <w:rFonts w:ascii="Garamond" w:hAnsi="Garamond"/>
                <w:lang w:val="en-AU"/>
              </w:rPr>
              <w:t>OBD following implementation of the AMS programme.</w:t>
            </w:r>
          </w:p>
          <w:p w:rsidR="0029461A" w:rsidRPr="0029461A" w:rsidRDefault="0029461A" w:rsidP="0029461A">
            <w:pPr>
              <w:pStyle w:val="ListParagraph"/>
              <w:keepNext/>
              <w:keepLines/>
              <w:numPr>
                <w:ilvl w:val="0"/>
                <w:numId w:val="44"/>
              </w:numPr>
              <w:rPr>
                <w:rFonts w:ascii="Garamond" w:hAnsi="Garamond"/>
                <w:lang w:val="en-AU"/>
              </w:rPr>
            </w:pPr>
            <w:r>
              <w:rPr>
                <w:rFonts w:ascii="Garamond" w:hAnsi="Garamond"/>
                <w:lang w:val="en-AU"/>
              </w:rPr>
              <w:t>H</w:t>
            </w:r>
            <w:r w:rsidRPr="0029461A">
              <w:rPr>
                <w:rFonts w:ascii="Garamond" w:hAnsi="Garamond"/>
                <w:lang w:val="en-AU"/>
              </w:rPr>
              <w:t>and hygiene compliance rates remained high throughout.</w:t>
            </w:r>
          </w:p>
        </w:tc>
      </w:tr>
    </w:tbl>
    <w:p w:rsidR="00224B38" w:rsidRDefault="00224B38" w:rsidP="00224B38">
      <w:pPr>
        <w:keepNext/>
        <w:keepLines/>
        <w:autoSpaceDE w:val="0"/>
        <w:autoSpaceDN w:val="0"/>
        <w:adjustRightInd w:val="0"/>
        <w:rPr>
          <w:rFonts w:ascii="Garamond" w:hAnsi="Garamond"/>
          <w:i/>
          <w:lang w:val="en-AU"/>
        </w:rPr>
      </w:pPr>
    </w:p>
    <w:p w:rsidR="00E015DF" w:rsidRDefault="00E015DF" w:rsidP="00224B38">
      <w:pPr>
        <w:keepNext/>
        <w:keepLines/>
        <w:autoSpaceDE w:val="0"/>
        <w:autoSpaceDN w:val="0"/>
        <w:adjustRightInd w:val="0"/>
        <w:rPr>
          <w:rFonts w:ascii="Garamond" w:hAnsi="Garamond"/>
          <w:lang w:val="en-AU"/>
        </w:rPr>
      </w:pPr>
      <w:r w:rsidRPr="00453434">
        <w:rPr>
          <w:rFonts w:ascii="Garamond" w:hAnsi="Garamond"/>
          <w:lang w:val="en-AU"/>
        </w:rPr>
        <w:t xml:space="preserve">For information on the Commission’s work on </w:t>
      </w:r>
      <w:r w:rsidR="002E23F9">
        <w:rPr>
          <w:rFonts w:ascii="Garamond" w:hAnsi="Garamond"/>
          <w:lang w:val="en-AU"/>
        </w:rPr>
        <w:t>antimicrobial stewardship</w:t>
      </w:r>
      <w:r>
        <w:rPr>
          <w:rFonts w:ascii="Garamond" w:hAnsi="Garamond"/>
          <w:lang w:val="en-AU"/>
        </w:rPr>
        <w:t>, see</w:t>
      </w:r>
      <w:r w:rsidR="002E23F9">
        <w:rPr>
          <w:rFonts w:ascii="Garamond" w:hAnsi="Garamond"/>
          <w:lang w:val="en-AU"/>
        </w:rPr>
        <w:t xml:space="preserve"> </w:t>
      </w:r>
      <w:hyperlink r:id="rId36" w:history="1">
        <w:r w:rsidR="002E23F9" w:rsidRPr="006D7093">
          <w:rPr>
            <w:rStyle w:val="Hyperlink"/>
            <w:rFonts w:ascii="Garamond" w:hAnsi="Garamond"/>
            <w:lang w:val="en-AU"/>
          </w:rPr>
          <w:t>https://www.safetyandquality.gov.au/our-work/antimicrobial-stewardship</w:t>
        </w:r>
      </w:hyperlink>
      <w:r w:rsidR="002E23F9">
        <w:rPr>
          <w:rFonts w:ascii="Garamond" w:hAnsi="Garamond"/>
          <w:lang w:val="en-AU"/>
        </w:rPr>
        <w:t xml:space="preserve"> </w:t>
      </w:r>
    </w:p>
    <w:p w:rsidR="002E23F9" w:rsidRDefault="002E23F9" w:rsidP="00224B38">
      <w:pPr>
        <w:keepNext/>
        <w:keepLines/>
        <w:autoSpaceDE w:val="0"/>
        <w:autoSpaceDN w:val="0"/>
        <w:adjustRightInd w:val="0"/>
        <w:rPr>
          <w:rFonts w:ascii="Garamond" w:hAnsi="Garamond"/>
          <w:lang w:val="en-AU"/>
        </w:rPr>
      </w:pPr>
    </w:p>
    <w:p w:rsidR="00E015DF" w:rsidRDefault="002E23F9" w:rsidP="00224B38">
      <w:pPr>
        <w:keepNext/>
        <w:keepLines/>
        <w:autoSpaceDE w:val="0"/>
        <w:autoSpaceDN w:val="0"/>
        <w:adjustRightInd w:val="0"/>
        <w:rPr>
          <w:rFonts w:ascii="Garamond" w:hAnsi="Garamond"/>
          <w:lang w:val="en-AU"/>
        </w:rPr>
      </w:pPr>
      <w:r w:rsidRPr="00453434">
        <w:rPr>
          <w:rFonts w:ascii="Garamond" w:hAnsi="Garamond"/>
          <w:lang w:val="en-AU"/>
        </w:rPr>
        <w:t xml:space="preserve">For information on the Commission’s </w:t>
      </w:r>
      <w:r w:rsidR="005063E6">
        <w:rPr>
          <w:rFonts w:ascii="Garamond" w:hAnsi="Garamond"/>
          <w:lang w:val="en-AU"/>
        </w:rPr>
        <w:t xml:space="preserve">resources on </w:t>
      </w:r>
      <w:r w:rsidR="002C5882">
        <w:rPr>
          <w:rFonts w:ascii="Garamond" w:hAnsi="Garamond"/>
          <w:lang w:val="en-AU"/>
        </w:rPr>
        <w:t>c</w:t>
      </w:r>
      <w:r w:rsidR="005063E6" w:rsidRPr="005063E6">
        <w:rPr>
          <w:rFonts w:ascii="Garamond" w:hAnsi="Garamond"/>
          <w:lang w:val="en-AU"/>
        </w:rPr>
        <w:t>arbapenemase-producing Enterobacteriaceae (CPE)</w:t>
      </w:r>
      <w:r>
        <w:rPr>
          <w:rFonts w:ascii="Garamond" w:hAnsi="Garamond"/>
          <w:lang w:val="en-AU"/>
        </w:rPr>
        <w:t>, see</w:t>
      </w:r>
      <w:r w:rsidR="005063E6">
        <w:rPr>
          <w:rFonts w:ascii="Garamond" w:hAnsi="Garamond"/>
          <w:lang w:val="en-AU"/>
        </w:rPr>
        <w:t xml:space="preserve"> </w:t>
      </w:r>
      <w:hyperlink r:id="rId37" w:history="1">
        <w:r w:rsidR="005063E6" w:rsidRPr="006D7093">
          <w:rPr>
            <w:rStyle w:val="Hyperlink"/>
            <w:rFonts w:ascii="Garamond" w:hAnsi="Garamond"/>
            <w:lang w:val="en-AU"/>
          </w:rPr>
          <w:t>https://www.safetyandquality.gov.au/publications-and-resources/aura-reports-and-resources</w:t>
        </w:r>
      </w:hyperlink>
      <w:r w:rsidR="005063E6">
        <w:rPr>
          <w:rFonts w:ascii="Garamond" w:hAnsi="Garamond"/>
          <w:lang w:val="en-AU"/>
        </w:rPr>
        <w:t xml:space="preserve"> </w:t>
      </w:r>
    </w:p>
    <w:p w:rsidR="005063E6" w:rsidRDefault="005063E6" w:rsidP="00224B38">
      <w:pPr>
        <w:keepNext/>
        <w:keepLines/>
        <w:autoSpaceDE w:val="0"/>
        <w:autoSpaceDN w:val="0"/>
        <w:adjustRightInd w:val="0"/>
        <w:rPr>
          <w:rFonts w:ascii="Garamond" w:hAnsi="Garamond"/>
          <w:i/>
          <w:lang w:val="en-AU"/>
        </w:rPr>
      </w:pPr>
    </w:p>
    <w:p w:rsidR="0068058F" w:rsidRPr="0068058F" w:rsidRDefault="0068058F" w:rsidP="0068058F">
      <w:pPr>
        <w:keepNext/>
        <w:rPr>
          <w:rFonts w:ascii="Garamond" w:hAnsi="Garamond"/>
          <w:i/>
          <w:lang w:val="en-AU"/>
        </w:rPr>
      </w:pPr>
      <w:r w:rsidRPr="0068058F">
        <w:rPr>
          <w:rFonts w:ascii="Garamond" w:hAnsi="Garamond"/>
          <w:i/>
          <w:lang w:val="en-AU"/>
        </w:rPr>
        <w:t>Journal of Patient Experience</w:t>
      </w:r>
    </w:p>
    <w:p w:rsidR="006223AD" w:rsidRPr="00612D3D" w:rsidRDefault="006223AD" w:rsidP="006223AD">
      <w:pPr>
        <w:keepNext/>
        <w:rPr>
          <w:rFonts w:ascii="Garamond" w:hAnsi="Garamond"/>
          <w:lang w:val="en-AU"/>
        </w:rPr>
      </w:pPr>
      <w:r w:rsidRPr="00F0153F">
        <w:rPr>
          <w:rFonts w:ascii="Garamond" w:hAnsi="Garamond"/>
          <w:lang w:val="en-AU"/>
        </w:rPr>
        <w:t>Volume</w:t>
      </w:r>
      <w:r w:rsidR="0068058F">
        <w:rPr>
          <w:rFonts w:ascii="Garamond" w:hAnsi="Garamond"/>
          <w:lang w:val="en-AU"/>
        </w:rPr>
        <w:t xml:space="preserve"> 7</w:t>
      </w:r>
      <w:r w:rsidRPr="00F0153F">
        <w:rPr>
          <w:rFonts w:ascii="Garamond" w:hAnsi="Garamond"/>
          <w:lang w:val="en-AU"/>
        </w:rPr>
        <w:t>, Number 3 (Ju</w:t>
      </w:r>
      <w:r w:rsidR="0068058F">
        <w:rPr>
          <w:rFonts w:ascii="Garamond" w:hAnsi="Garamond"/>
          <w:lang w:val="en-AU"/>
        </w:rPr>
        <w:t>ne</w:t>
      </w:r>
      <w:r w:rsidRPr="00F0153F">
        <w:rPr>
          <w:rFonts w:ascii="Garamond" w:hAnsi="Garamond"/>
          <w:lang w:val="en-AU"/>
        </w:rPr>
        <w:t xml:space="preserve"> 2020)</w:t>
      </w:r>
    </w:p>
    <w:tbl>
      <w:tblPr>
        <w:tblStyle w:val="TableGrid"/>
        <w:tblW w:w="9360" w:type="dxa"/>
        <w:tblInd w:w="288" w:type="dxa"/>
        <w:tblLayout w:type="fixed"/>
        <w:tblLook w:val="01E0" w:firstRow="1" w:lastRow="1" w:firstColumn="1" w:lastColumn="1" w:noHBand="0" w:noVBand="0"/>
      </w:tblPr>
      <w:tblGrid>
        <w:gridCol w:w="1080"/>
        <w:gridCol w:w="8280"/>
      </w:tblGrid>
      <w:tr w:rsidR="006223AD"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2C588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6706B4" w:rsidRDefault="00467A2C" w:rsidP="00DB512F">
            <w:pPr>
              <w:keepNext/>
              <w:rPr>
                <w:rStyle w:val="Hyperlink"/>
                <w:rFonts w:ascii="Garamond" w:hAnsi="Garamond"/>
                <w:color w:val="auto"/>
                <w:u w:val="none"/>
                <w:lang w:val="en-AU"/>
              </w:rPr>
            </w:pPr>
            <w:hyperlink r:id="rId38" w:history="1">
              <w:r w:rsidR="00DB512F" w:rsidRPr="006D7093">
                <w:rPr>
                  <w:rStyle w:val="Hyperlink"/>
                  <w:rFonts w:ascii="Garamond" w:hAnsi="Garamond"/>
                  <w:lang w:val="en-AU"/>
                </w:rPr>
                <w:t>https://journals.sagepub.com/toc/jpxa/7/3</w:t>
              </w:r>
            </w:hyperlink>
          </w:p>
        </w:tc>
      </w:tr>
      <w:tr w:rsidR="006223AD"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A85C9A" w:rsidRDefault="006223AD" w:rsidP="002C5882">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68058F" w:rsidRPr="0068058F">
              <w:rPr>
                <w:rFonts w:ascii="Garamond" w:hAnsi="Garamond"/>
                <w:i/>
                <w:lang w:val="en-AU"/>
              </w:rPr>
              <w:t>Journal of Patient Experience</w:t>
            </w:r>
            <w:r w:rsidR="0068058F"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68058F" w:rsidRPr="0068058F">
              <w:rPr>
                <w:rFonts w:ascii="Garamond" w:hAnsi="Garamond"/>
                <w:i/>
                <w:lang w:val="en-AU"/>
              </w:rPr>
              <w:t>Journal of Patient Experience</w:t>
            </w:r>
            <w:r w:rsidR="0068058F" w:rsidRPr="00B440ED">
              <w:rPr>
                <w:rFonts w:ascii="Garamond" w:hAnsi="Garamond"/>
                <w:lang w:val="en-AU"/>
              </w:rPr>
              <w:t xml:space="preserve"> </w:t>
            </w:r>
            <w:r w:rsidRPr="00B440ED">
              <w:rPr>
                <w:rFonts w:ascii="Garamond" w:hAnsi="Garamond"/>
                <w:lang w:val="en-AU"/>
              </w:rPr>
              <w:t>include:</w:t>
            </w:r>
          </w:p>
          <w:p w:rsidR="0068058F" w:rsidRDefault="0068058F" w:rsidP="002C5882">
            <w:pPr>
              <w:pStyle w:val="ListParagraph"/>
              <w:numPr>
                <w:ilvl w:val="0"/>
                <w:numId w:val="15"/>
              </w:numPr>
              <w:rPr>
                <w:rFonts w:ascii="Garamond" w:hAnsi="Garamond"/>
                <w:lang w:val="en-AU"/>
              </w:rPr>
            </w:pPr>
            <w:r w:rsidRPr="0068058F">
              <w:rPr>
                <w:rFonts w:ascii="Garamond" w:hAnsi="Garamond"/>
                <w:lang w:val="en-AU"/>
              </w:rPr>
              <w:t xml:space="preserve">Editorial: </w:t>
            </w:r>
            <w:r w:rsidRPr="0068058F">
              <w:rPr>
                <w:rFonts w:ascii="Garamond" w:hAnsi="Garamond"/>
                <w:b/>
                <w:lang w:val="en-AU"/>
              </w:rPr>
              <w:t>Trust and Communication</w:t>
            </w:r>
            <w:r w:rsidRPr="0068058F">
              <w:rPr>
                <w:rFonts w:ascii="Garamond" w:hAnsi="Garamond"/>
                <w:lang w:val="en-AU"/>
              </w:rPr>
              <w:t>: Responding to Uncertainty (</w:t>
            </w:r>
            <w:r>
              <w:rPr>
                <w:rFonts w:ascii="Garamond" w:hAnsi="Garamond"/>
                <w:lang w:val="en-AU"/>
              </w:rPr>
              <w:t>L Cooley)</w:t>
            </w:r>
          </w:p>
          <w:p w:rsidR="0068058F" w:rsidRDefault="0068058F" w:rsidP="002C5882">
            <w:pPr>
              <w:pStyle w:val="ListParagraph"/>
              <w:numPr>
                <w:ilvl w:val="0"/>
                <w:numId w:val="15"/>
              </w:numPr>
              <w:rPr>
                <w:rFonts w:ascii="Garamond" w:hAnsi="Garamond"/>
                <w:lang w:val="en-AU"/>
              </w:rPr>
            </w:pPr>
            <w:r w:rsidRPr="0068058F">
              <w:rPr>
                <w:rFonts w:ascii="Garamond" w:hAnsi="Garamond"/>
                <w:b/>
                <w:lang w:val="en-AU"/>
              </w:rPr>
              <w:t>Communication for Equity</w:t>
            </w:r>
            <w:r w:rsidRPr="0068058F">
              <w:rPr>
                <w:rFonts w:ascii="Garamond" w:hAnsi="Garamond"/>
                <w:lang w:val="en-AU"/>
              </w:rPr>
              <w:t xml:space="preserve"> in the Service of Patient Experience: Health Justice and the COVID-19 Pandemic (Daniella M Cordero and D L Davis</w:t>
            </w:r>
            <w:r>
              <w:rPr>
                <w:rFonts w:ascii="Garamond" w:hAnsi="Garamond"/>
                <w:lang w:val="en-AU"/>
              </w:rPr>
              <w:t>)</w:t>
            </w:r>
          </w:p>
          <w:p w:rsidR="0068058F" w:rsidRDefault="0068058F" w:rsidP="002C5882">
            <w:pPr>
              <w:pStyle w:val="ListParagraph"/>
              <w:numPr>
                <w:ilvl w:val="0"/>
                <w:numId w:val="15"/>
              </w:numPr>
              <w:rPr>
                <w:rFonts w:ascii="Garamond" w:hAnsi="Garamond"/>
                <w:lang w:val="en-AU"/>
              </w:rPr>
            </w:pPr>
            <w:r w:rsidRPr="0068058F">
              <w:rPr>
                <w:rFonts w:ascii="Garamond" w:hAnsi="Garamond"/>
                <w:b/>
                <w:lang w:val="en-AU"/>
              </w:rPr>
              <w:t>Community Pharmacy and COVID-19</w:t>
            </w:r>
            <w:r w:rsidRPr="0068058F">
              <w:rPr>
                <w:rFonts w:ascii="Garamond" w:hAnsi="Garamond"/>
                <w:lang w:val="en-AU"/>
              </w:rPr>
              <w:t>—The Unsung Heroes on Our High Streets (Caroline Parkhurst, Gurinder Singh Purewal, and Parastou Donyai</w:t>
            </w:r>
            <w:r>
              <w:rPr>
                <w:rFonts w:ascii="Garamond" w:hAnsi="Garamond"/>
                <w:lang w:val="en-AU"/>
              </w:rPr>
              <w:t>)</w:t>
            </w:r>
          </w:p>
          <w:p w:rsidR="0068058F" w:rsidRDefault="0068058F" w:rsidP="002C5882">
            <w:pPr>
              <w:pStyle w:val="ListParagraph"/>
              <w:numPr>
                <w:ilvl w:val="0"/>
                <w:numId w:val="15"/>
              </w:numPr>
              <w:rPr>
                <w:rFonts w:ascii="Garamond" w:hAnsi="Garamond"/>
                <w:lang w:val="en-AU"/>
              </w:rPr>
            </w:pPr>
            <w:r w:rsidRPr="0068058F">
              <w:rPr>
                <w:rFonts w:ascii="Garamond" w:hAnsi="Garamond"/>
                <w:lang w:val="en-AU"/>
              </w:rPr>
              <w:t xml:space="preserve">Creating </w:t>
            </w:r>
            <w:r w:rsidRPr="0068058F">
              <w:rPr>
                <w:rFonts w:ascii="Garamond" w:hAnsi="Garamond"/>
                <w:b/>
                <w:lang w:val="en-AU"/>
              </w:rPr>
              <w:t>Virtual Presence During a Pandemic</w:t>
            </w:r>
            <w:r w:rsidRPr="0068058F">
              <w:rPr>
                <w:rFonts w:ascii="Garamond" w:hAnsi="Garamond"/>
                <w:lang w:val="en-AU"/>
              </w:rPr>
              <w:t xml:space="preserve"> (Jeffrey H Millstein and Krisda H Chaiyachati</w:t>
            </w:r>
            <w:r>
              <w:rPr>
                <w:rFonts w:ascii="Garamond" w:hAnsi="Garamond"/>
                <w:lang w:val="en-AU"/>
              </w:rPr>
              <w:t>)</w:t>
            </w:r>
          </w:p>
          <w:p w:rsidR="0068058F" w:rsidRDefault="0068058F" w:rsidP="002C5882">
            <w:pPr>
              <w:pStyle w:val="ListParagraph"/>
              <w:numPr>
                <w:ilvl w:val="0"/>
                <w:numId w:val="15"/>
              </w:numPr>
              <w:rPr>
                <w:rFonts w:ascii="Garamond" w:hAnsi="Garamond"/>
                <w:lang w:val="en-AU"/>
              </w:rPr>
            </w:pPr>
            <w:r w:rsidRPr="0068058F">
              <w:rPr>
                <w:rFonts w:ascii="Garamond" w:hAnsi="Garamond"/>
                <w:lang w:val="en-AU"/>
              </w:rPr>
              <w:t xml:space="preserve">Turned Upside Down: The Role of New York </w:t>
            </w:r>
            <w:r w:rsidRPr="0068058F">
              <w:rPr>
                <w:rFonts w:ascii="Garamond" w:hAnsi="Garamond"/>
                <w:b/>
                <w:lang w:val="en-AU"/>
              </w:rPr>
              <w:t>Patient Experience Leaders During COVID-19</w:t>
            </w:r>
            <w:r w:rsidRPr="0068058F">
              <w:rPr>
                <w:rFonts w:ascii="Garamond" w:hAnsi="Garamond"/>
                <w:lang w:val="en-AU"/>
              </w:rPr>
              <w:t xml:space="preserve"> (Sven Gierlinger, Agnes Barden, and N Giammarinaro</w:t>
            </w:r>
            <w:r>
              <w:rPr>
                <w:rFonts w:ascii="Garamond" w:hAnsi="Garamond"/>
                <w:lang w:val="en-AU"/>
              </w:rPr>
              <w:t>)</w:t>
            </w:r>
          </w:p>
          <w:p w:rsidR="0068058F" w:rsidRDefault="0068058F" w:rsidP="002C5882">
            <w:pPr>
              <w:pStyle w:val="ListParagraph"/>
              <w:numPr>
                <w:ilvl w:val="0"/>
                <w:numId w:val="15"/>
              </w:numPr>
              <w:rPr>
                <w:rFonts w:ascii="Garamond" w:hAnsi="Garamond"/>
                <w:lang w:val="en-AU"/>
              </w:rPr>
            </w:pPr>
            <w:r w:rsidRPr="0068058F">
              <w:rPr>
                <w:rFonts w:ascii="Garamond" w:hAnsi="Garamond"/>
                <w:lang w:val="en-AU"/>
              </w:rPr>
              <w:t xml:space="preserve">Medical </w:t>
            </w:r>
            <w:r w:rsidRPr="0068058F">
              <w:rPr>
                <w:rFonts w:ascii="Garamond" w:hAnsi="Garamond"/>
                <w:b/>
                <w:lang w:val="en-AU"/>
              </w:rPr>
              <w:t>Abortion Care During a Pandemic</w:t>
            </w:r>
            <w:r w:rsidRPr="0068058F">
              <w:rPr>
                <w:rFonts w:ascii="Garamond" w:hAnsi="Garamond"/>
                <w:lang w:val="en-AU"/>
              </w:rPr>
              <w:t xml:space="preserve"> (I Cori Baill</w:t>
            </w:r>
            <w:r>
              <w:rPr>
                <w:rFonts w:ascii="Garamond" w:hAnsi="Garamond"/>
                <w:lang w:val="en-AU"/>
              </w:rPr>
              <w:t>)</w:t>
            </w:r>
          </w:p>
          <w:p w:rsidR="0068058F" w:rsidRDefault="0068058F" w:rsidP="002C5882">
            <w:pPr>
              <w:pStyle w:val="ListParagraph"/>
              <w:numPr>
                <w:ilvl w:val="0"/>
                <w:numId w:val="15"/>
              </w:numPr>
              <w:rPr>
                <w:rFonts w:ascii="Garamond" w:hAnsi="Garamond"/>
                <w:lang w:val="en-AU"/>
              </w:rPr>
            </w:pPr>
            <w:r w:rsidRPr="0068058F">
              <w:rPr>
                <w:rFonts w:ascii="Garamond" w:hAnsi="Garamond"/>
                <w:lang w:val="en-AU"/>
              </w:rPr>
              <w:t xml:space="preserve">Over the Rainbow: Navigating the </w:t>
            </w:r>
            <w:r w:rsidRPr="0068058F">
              <w:rPr>
                <w:rFonts w:ascii="Garamond" w:hAnsi="Garamond"/>
                <w:b/>
                <w:lang w:val="en-AU"/>
              </w:rPr>
              <w:t>COVID-19 Pandemic While Living With PTSD</w:t>
            </w:r>
            <w:r w:rsidRPr="0068058F">
              <w:rPr>
                <w:rFonts w:ascii="Garamond" w:hAnsi="Garamond"/>
                <w:lang w:val="en-AU"/>
              </w:rPr>
              <w:t xml:space="preserve"> (Marie Vigouroux</w:t>
            </w:r>
            <w:r>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The COVID-19 Crisis: A </w:t>
            </w:r>
            <w:r w:rsidRPr="00DB512F">
              <w:rPr>
                <w:rFonts w:ascii="Garamond" w:hAnsi="Garamond"/>
                <w:b/>
                <w:lang w:val="en-AU"/>
              </w:rPr>
              <w:t>Mental Health</w:t>
            </w:r>
            <w:r w:rsidRPr="00DB512F">
              <w:rPr>
                <w:rFonts w:ascii="Garamond" w:hAnsi="Garamond"/>
                <w:lang w:val="en-AU"/>
              </w:rPr>
              <w:t xml:space="preserve"> Perspective and Response Using </w:t>
            </w:r>
            <w:r w:rsidRPr="00DB512F">
              <w:rPr>
                <w:rFonts w:ascii="Garamond" w:hAnsi="Garamond"/>
                <w:b/>
                <w:lang w:val="en-AU"/>
              </w:rPr>
              <w:t>Telemedicine</w:t>
            </w:r>
            <w:r w:rsidRPr="00DB512F">
              <w:rPr>
                <w:rFonts w:ascii="Garamond" w:hAnsi="Garamond"/>
                <w:lang w:val="en-AU"/>
              </w:rPr>
              <w:t xml:space="preserve"> </w:t>
            </w:r>
            <w:r w:rsidR="00DB512F" w:rsidRPr="00DB512F">
              <w:rPr>
                <w:rFonts w:ascii="Garamond" w:hAnsi="Garamond"/>
                <w:lang w:val="en-AU"/>
              </w:rPr>
              <w:t>(</w:t>
            </w:r>
            <w:r w:rsidRPr="00DB512F">
              <w:rPr>
                <w:rFonts w:ascii="Garamond" w:hAnsi="Garamond"/>
                <w:lang w:val="en-AU"/>
              </w:rPr>
              <w:t>Amy B Sullivan, Alexa Kane, Alicia J Roth, Bryan E Davis, Michelle L Drerup, and Leslie J Heinberg</w:t>
            </w:r>
            <w:r w:rsidR="00DB512F">
              <w:rPr>
                <w:rFonts w:ascii="Garamond" w:hAnsi="Garamond"/>
                <w:lang w:val="en-AU"/>
              </w:rPr>
              <w:t>)</w:t>
            </w:r>
          </w:p>
          <w:p w:rsidR="0068058F" w:rsidRP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Transforming the </w:t>
            </w:r>
            <w:r w:rsidRPr="00DB512F">
              <w:rPr>
                <w:rFonts w:ascii="Garamond" w:hAnsi="Garamond"/>
                <w:b/>
                <w:lang w:val="en-AU"/>
              </w:rPr>
              <w:t>Orthopaedic</w:t>
            </w:r>
            <w:r w:rsidRPr="00DB512F">
              <w:rPr>
                <w:rFonts w:ascii="Garamond" w:hAnsi="Garamond"/>
                <w:lang w:val="en-AU"/>
              </w:rPr>
              <w:t xml:space="preserve"> Patient Experience Through </w:t>
            </w:r>
            <w:r w:rsidRPr="00DB512F">
              <w:rPr>
                <w:rFonts w:ascii="Garamond" w:hAnsi="Garamond"/>
                <w:b/>
                <w:lang w:val="en-AU"/>
              </w:rPr>
              <w:t>Telemedicine</w:t>
            </w:r>
            <w:r w:rsidRPr="00DB512F">
              <w:rPr>
                <w:rFonts w:ascii="Garamond" w:hAnsi="Garamond"/>
                <w:lang w:val="en-AU"/>
              </w:rPr>
              <w:t xml:space="preserve"> </w:t>
            </w:r>
            <w:r w:rsidR="00DB512F" w:rsidRPr="00DB512F">
              <w:rPr>
                <w:rFonts w:ascii="Garamond" w:hAnsi="Garamond"/>
                <w:lang w:val="en-AU"/>
              </w:rPr>
              <w:t>(</w:t>
            </w:r>
            <w:r w:rsidRPr="00DB512F">
              <w:rPr>
                <w:rFonts w:ascii="Garamond" w:hAnsi="Garamond"/>
                <w:lang w:val="en-AU"/>
              </w:rPr>
              <w:t>David N Bernstein, Judith F Baumhauer, Jam</w:t>
            </w:r>
            <w:r w:rsidR="00DB512F">
              <w:rPr>
                <w:rFonts w:ascii="Garamond" w:hAnsi="Garamond"/>
                <w:lang w:val="en-AU"/>
              </w:rPr>
              <w:t>es D Kang, and M C Makhni)</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Renewing Empathy</w:t>
            </w:r>
            <w:r w:rsidRPr="00DB512F">
              <w:rPr>
                <w:rFonts w:ascii="Garamond" w:hAnsi="Garamond"/>
                <w:lang w:val="en-AU"/>
              </w:rPr>
              <w:t xml:space="preserve"> With Imagery and Metaphor </w:t>
            </w:r>
            <w:r w:rsidR="00DB512F" w:rsidRPr="00DB512F">
              <w:rPr>
                <w:rFonts w:ascii="Garamond" w:hAnsi="Garamond"/>
                <w:lang w:val="en-AU"/>
              </w:rPr>
              <w:t>(</w:t>
            </w:r>
            <w:r w:rsidRPr="00DB512F">
              <w:rPr>
                <w:rFonts w:ascii="Garamond" w:hAnsi="Garamond"/>
                <w:lang w:val="en-AU"/>
              </w:rPr>
              <w:t>Jeffrey H Millstein</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lastRenderedPageBreak/>
              <w:t xml:space="preserve">Can </w:t>
            </w:r>
            <w:r w:rsidRPr="00DB512F">
              <w:rPr>
                <w:rFonts w:ascii="Garamond" w:hAnsi="Garamond"/>
                <w:b/>
                <w:lang w:val="en-AU"/>
              </w:rPr>
              <w:t>Type 2 Diabetes</w:t>
            </w:r>
            <w:r w:rsidRPr="00DB512F">
              <w:rPr>
                <w:rFonts w:ascii="Garamond" w:hAnsi="Garamond"/>
                <w:lang w:val="en-AU"/>
              </w:rPr>
              <w:t xml:space="preserve"> Sufferers Actually Estimate Serum Glucose Level From Interstitial Fluid Glucose Level: A Diabetes Patient’s Experience </w:t>
            </w:r>
            <w:r w:rsidR="00DB512F" w:rsidRPr="00DB512F">
              <w:rPr>
                <w:rFonts w:ascii="Garamond" w:hAnsi="Garamond"/>
                <w:lang w:val="en-AU"/>
              </w:rPr>
              <w:t>(</w:t>
            </w:r>
            <w:r w:rsidRPr="00DB512F">
              <w:rPr>
                <w:rFonts w:ascii="Garamond" w:hAnsi="Garamond"/>
                <w:lang w:val="en-AU"/>
              </w:rPr>
              <w:t>Dennis A Fried and Robert Fried</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Understanding the Process of </w:t>
            </w:r>
            <w:r w:rsidRPr="00DB512F">
              <w:rPr>
                <w:rFonts w:ascii="Garamond" w:hAnsi="Garamond"/>
                <w:b/>
                <w:lang w:val="en-AU"/>
              </w:rPr>
              <w:t>Procedural Sedation for Orthopedic Injuries</w:t>
            </w:r>
            <w:r w:rsidRPr="00DB512F">
              <w:rPr>
                <w:rFonts w:ascii="Garamond" w:hAnsi="Garamond"/>
                <w:lang w:val="en-AU"/>
              </w:rPr>
              <w:t xml:space="preserve"> in the Pediatric Emergency Department </w:t>
            </w:r>
            <w:r w:rsidR="00DB512F" w:rsidRPr="00DB512F">
              <w:rPr>
                <w:rFonts w:ascii="Garamond" w:hAnsi="Garamond"/>
                <w:lang w:val="en-AU"/>
              </w:rPr>
              <w:t>(</w:t>
            </w:r>
            <w:r w:rsidRPr="00DB512F">
              <w:rPr>
                <w:rFonts w:ascii="Garamond" w:hAnsi="Garamond"/>
                <w:lang w:val="en-AU"/>
              </w:rPr>
              <w:t>Adam A Vukovic, Elizabeth Keiner, and Holly R Hanson</w:t>
            </w:r>
            <w:r w:rsidR="00DB512F">
              <w:rPr>
                <w:rFonts w:ascii="Garamond" w:hAnsi="Garamond"/>
                <w:lang w:val="en-AU"/>
              </w:rPr>
              <w:t>)</w:t>
            </w:r>
          </w:p>
          <w:p w:rsidR="0068058F" w:rsidRPr="00DB512F" w:rsidRDefault="0068058F" w:rsidP="002C5882">
            <w:pPr>
              <w:pStyle w:val="ListParagraph"/>
              <w:numPr>
                <w:ilvl w:val="0"/>
                <w:numId w:val="15"/>
              </w:numPr>
              <w:rPr>
                <w:rFonts w:ascii="Garamond" w:hAnsi="Garamond"/>
                <w:lang w:val="en-AU"/>
              </w:rPr>
            </w:pPr>
            <w:r w:rsidRPr="00DB512F">
              <w:rPr>
                <w:rFonts w:ascii="Garamond" w:hAnsi="Garamond"/>
                <w:b/>
                <w:lang w:val="en-AU"/>
              </w:rPr>
              <w:t>Social Relationship Quality Among Patients With Chronic Pain</w:t>
            </w:r>
            <w:r w:rsidRPr="00DB512F">
              <w:rPr>
                <w:rFonts w:ascii="Garamond" w:hAnsi="Garamond"/>
                <w:lang w:val="en-AU"/>
              </w:rPr>
              <w:t xml:space="preserve">: A Population-Based Sample </w:t>
            </w:r>
            <w:r w:rsidR="00DB512F" w:rsidRPr="00DB512F">
              <w:rPr>
                <w:rFonts w:ascii="Garamond" w:hAnsi="Garamond"/>
                <w:lang w:val="en-AU"/>
              </w:rPr>
              <w:t>(</w:t>
            </w:r>
            <w:r w:rsidRPr="00DB512F">
              <w:rPr>
                <w:rFonts w:ascii="Garamond" w:hAnsi="Garamond"/>
                <w:lang w:val="en-AU"/>
              </w:rPr>
              <w:t>Lindsey M Philpot, Matthew E Schumann, and Jon O Ebbert</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Decoding the </w:t>
            </w:r>
            <w:r w:rsidRPr="00DB512F">
              <w:rPr>
                <w:rFonts w:ascii="Garamond" w:hAnsi="Garamond"/>
                <w:b/>
                <w:lang w:val="en-AU"/>
              </w:rPr>
              <w:t xml:space="preserve">Role of Companions in Supporting the Health Communication </w:t>
            </w:r>
            <w:r w:rsidRPr="00DB512F">
              <w:rPr>
                <w:rFonts w:ascii="Garamond" w:hAnsi="Garamond"/>
                <w:lang w:val="en-AU"/>
              </w:rPr>
              <w:t xml:space="preserve">of Older African-American Men With Cancer </w:t>
            </w:r>
            <w:r w:rsidR="00DB512F" w:rsidRPr="00DB512F">
              <w:rPr>
                <w:rFonts w:ascii="Garamond" w:hAnsi="Garamond"/>
                <w:lang w:val="en-AU"/>
              </w:rPr>
              <w:t>(</w:t>
            </w:r>
            <w:r w:rsidRPr="00DB512F">
              <w:rPr>
                <w:rFonts w:ascii="Garamond" w:hAnsi="Garamond"/>
                <w:lang w:val="en-AU"/>
              </w:rPr>
              <w:t>Jamie Mitchell, Jaclynn Hawkins, Ed-Dee G Williams, S Eggly, and T L Albrecht</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Engaging </w:t>
            </w:r>
            <w:r w:rsidRPr="00DB512F">
              <w:rPr>
                <w:rFonts w:ascii="Garamond" w:hAnsi="Garamond"/>
                <w:b/>
                <w:lang w:val="en-AU"/>
              </w:rPr>
              <w:t>Patient and Family Advisors in Health-Care System Planning</w:t>
            </w:r>
            <w:r w:rsidRPr="00DB512F">
              <w:rPr>
                <w:rFonts w:ascii="Garamond" w:hAnsi="Garamond"/>
                <w:lang w:val="en-AU"/>
              </w:rPr>
              <w:t xml:space="preserve">: Experiences and Recommendations </w:t>
            </w:r>
            <w:r w:rsidR="00DB512F" w:rsidRPr="00DB512F">
              <w:rPr>
                <w:rFonts w:ascii="Garamond" w:hAnsi="Garamond"/>
                <w:lang w:val="en-AU"/>
              </w:rPr>
              <w:t>(</w:t>
            </w:r>
            <w:r w:rsidRPr="00DB512F">
              <w:rPr>
                <w:rFonts w:ascii="Garamond" w:hAnsi="Garamond"/>
                <w:lang w:val="en-AU"/>
              </w:rPr>
              <w:t>Sarah Wheeler, Jenna MacKay, Lesley Moody, Junell D’Souza, and Julie Gilbert</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Evaluation of </w:t>
            </w:r>
            <w:r w:rsidRPr="00DB512F">
              <w:rPr>
                <w:rFonts w:ascii="Garamond" w:hAnsi="Garamond"/>
                <w:b/>
                <w:lang w:val="en-AU"/>
              </w:rPr>
              <w:t>Counseling Practices and Patient’s Satisfaction Offered by Pharmacists for Diabetics</w:t>
            </w:r>
            <w:r w:rsidRPr="00DB512F">
              <w:rPr>
                <w:rFonts w:ascii="Garamond" w:hAnsi="Garamond"/>
                <w:lang w:val="en-AU"/>
              </w:rPr>
              <w:t xml:space="preserve"> Attending Outpatient Pharmacies in Al Ahsa </w:t>
            </w:r>
            <w:r w:rsidR="00DB512F" w:rsidRPr="00DB512F">
              <w:rPr>
                <w:rFonts w:ascii="Garamond" w:hAnsi="Garamond"/>
                <w:lang w:val="en-AU"/>
              </w:rPr>
              <w:t>(</w:t>
            </w:r>
            <w:r w:rsidRPr="00DB512F">
              <w:rPr>
                <w:rFonts w:ascii="Garamond" w:hAnsi="Garamond"/>
                <w:lang w:val="en-AU"/>
              </w:rPr>
              <w:t>Promise M Emeka, Manea Fares AlMunjem, Sahibzada Tasleem Rasool, and Noor Kamil</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Experiences of an Emergency Department Visit</w:t>
            </w:r>
            <w:r w:rsidRPr="00DB512F">
              <w:rPr>
                <w:rFonts w:ascii="Garamond" w:hAnsi="Garamond"/>
                <w:lang w:val="en-AU"/>
              </w:rPr>
              <w:t xml:space="preserve"> Among Older Adults and Their Families: Qualitative Findings From a Mixed-Methods Study </w:t>
            </w:r>
            <w:r w:rsidR="00DB512F" w:rsidRPr="00DB512F">
              <w:rPr>
                <w:rFonts w:ascii="Garamond" w:hAnsi="Garamond"/>
                <w:lang w:val="en-AU"/>
              </w:rPr>
              <w:t>(</w:t>
            </w:r>
            <w:r w:rsidRPr="00DB512F">
              <w:rPr>
                <w:rFonts w:ascii="Garamond" w:hAnsi="Garamond"/>
                <w:lang w:val="en-AU"/>
              </w:rPr>
              <w:t>Deniz Cetin-Sahin, Francine Ducharme, Jane McCusker, Nathalie Veillette, Sylvie Cossette, T. T. Minh Vu, Alain Vadeboncoeur, Paul-André Lachance, Rick Mah, and Simon Berthelot</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Experiences With </w:t>
            </w:r>
            <w:r w:rsidRPr="00DB512F">
              <w:rPr>
                <w:rFonts w:ascii="Garamond" w:hAnsi="Garamond"/>
                <w:b/>
                <w:lang w:val="en-AU"/>
              </w:rPr>
              <w:t>Chiropractic Care for Patients With Low Back or Neck Pain</w:t>
            </w:r>
            <w:r w:rsidRPr="00DB512F">
              <w:rPr>
                <w:rFonts w:ascii="Garamond" w:hAnsi="Garamond"/>
                <w:lang w:val="en-AU"/>
              </w:rPr>
              <w:t xml:space="preserve"> </w:t>
            </w:r>
            <w:r w:rsidR="00DB512F" w:rsidRPr="00DB512F">
              <w:rPr>
                <w:rFonts w:ascii="Garamond" w:hAnsi="Garamond"/>
                <w:lang w:val="en-AU"/>
              </w:rPr>
              <w:t>(</w:t>
            </w:r>
            <w:r w:rsidRPr="00DB512F">
              <w:rPr>
                <w:rFonts w:ascii="Garamond" w:hAnsi="Garamond"/>
                <w:lang w:val="en-AU"/>
              </w:rPr>
              <w:t>Ron D Hays, Cathy D Sherbourne, Karen L Spritzer, Lara G Hilton, Gery W Ryan, Ian D Coulter, and Patricia M Herman</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 xml:space="preserve">Parental Stress </w:t>
            </w:r>
            <w:r w:rsidRPr="00DB512F">
              <w:rPr>
                <w:rFonts w:ascii="Garamond" w:hAnsi="Garamond"/>
                <w:lang w:val="en-AU"/>
              </w:rPr>
              <w:t>as a</w:t>
            </w:r>
            <w:r w:rsidRPr="00DB512F">
              <w:rPr>
                <w:rFonts w:ascii="Garamond" w:hAnsi="Garamond"/>
                <w:b/>
                <w:lang w:val="en-AU"/>
              </w:rPr>
              <w:t xml:space="preserve"> Child With Diabetes</w:t>
            </w:r>
            <w:r w:rsidRPr="00DB512F">
              <w:rPr>
                <w:rFonts w:ascii="Garamond" w:hAnsi="Garamond"/>
                <w:lang w:val="en-AU"/>
              </w:rPr>
              <w:t xml:space="preserve"> Transitions From Adolescence to Emerging Adulthood </w:t>
            </w:r>
            <w:r w:rsidR="00DB512F" w:rsidRPr="00DB512F">
              <w:rPr>
                <w:rFonts w:ascii="Garamond" w:hAnsi="Garamond"/>
                <w:lang w:val="en-AU"/>
              </w:rPr>
              <w:t>(</w:t>
            </w:r>
            <w:r w:rsidRPr="00DB512F">
              <w:rPr>
                <w:rFonts w:ascii="Garamond" w:hAnsi="Garamond"/>
                <w:lang w:val="en-AU"/>
              </w:rPr>
              <w:t>Alisa Tomette, J Neil Henderson, Amanda Hass, Linda D. Carson, and Kama King</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Patient-Reported Experiences After Hysterectomy</w:t>
            </w:r>
            <w:r w:rsidRPr="00DB512F">
              <w:rPr>
                <w:rFonts w:ascii="Garamond" w:hAnsi="Garamond"/>
                <w:lang w:val="en-AU"/>
              </w:rPr>
              <w:t xml:space="preserve">: A Cross-Sectional Study of the Views of Over 2300 Women </w:t>
            </w:r>
            <w:r w:rsidR="00DB512F" w:rsidRPr="00DB512F">
              <w:rPr>
                <w:rFonts w:ascii="Garamond" w:hAnsi="Garamond"/>
                <w:lang w:val="en-AU"/>
              </w:rPr>
              <w:t>(</w:t>
            </w:r>
            <w:r w:rsidRPr="00DB512F">
              <w:rPr>
                <w:rFonts w:ascii="Garamond" w:hAnsi="Garamond"/>
                <w:lang w:val="en-AU"/>
              </w:rPr>
              <w:t>Monika Janda, Nigel R</w:t>
            </w:r>
            <w:r w:rsidR="00DB512F">
              <w:rPr>
                <w:rFonts w:ascii="Garamond" w:hAnsi="Garamond"/>
                <w:lang w:val="en-AU"/>
              </w:rPr>
              <w:t xml:space="preserve"> </w:t>
            </w:r>
            <w:r w:rsidRPr="00DB512F">
              <w:rPr>
                <w:rFonts w:ascii="Garamond" w:hAnsi="Garamond"/>
                <w:lang w:val="en-AU"/>
              </w:rPr>
              <w:t>Armfield, Gayle Kerr, Suzanne Kurz, Graeme Jackson, Jason Currie, Katie Page, Edward Weaver, Anusch Yazdani, and Andreas Obermair</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lang w:val="en-AU"/>
              </w:rPr>
              <w:t xml:space="preserve">Patients’ Perspectives on the </w:t>
            </w:r>
            <w:r w:rsidRPr="00DB512F">
              <w:rPr>
                <w:rFonts w:ascii="Garamond" w:hAnsi="Garamond"/>
                <w:b/>
                <w:lang w:val="en-AU"/>
              </w:rPr>
              <w:t>Quality and Safety of Intravenous Infusions</w:t>
            </w:r>
            <w:r w:rsidRPr="00DB512F">
              <w:rPr>
                <w:rFonts w:ascii="Garamond" w:hAnsi="Garamond"/>
                <w:lang w:val="en-AU"/>
              </w:rPr>
              <w:t xml:space="preserve">: A Qualitative Study </w:t>
            </w:r>
            <w:r w:rsidR="00DB512F" w:rsidRPr="00DB512F">
              <w:rPr>
                <w:rFonts w:ascii="Garamond" w:hAnsi="Garamond"/>
                <w:lang w:val="en-AU"/>
              </w:rPr>
              <w:t>(</w:t>
            </w:r>
            <w:r w:rsidRPr="00DB512F">
              <w:rPr>
                <w:rFonts w:ascii="Garamond" w:hAnsi="Garamond"/>
                <w:lang w:val="en-AU"/>
              </w:rPr>
              <w:t>Carly Wheeler, Dominic Furniss, Galal H Galal-Edeen, Ann Blandford, and Bryony Dean Franklin</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Perception of Physician Empathy</w:t>
            </w:r>
            <w:r w:rsidRPr="00DB512F">
              <w:rPr>
                <w:rFonts w:ascii="Garamond" w:hAnsi="Garamond"/>
                <w:lang w:val="en-AU"/>
              </w:rPr>
              <w:t xml:space="preserve"> Varies With Educational Level and Gender of Patients Undergoing Low-Yield Computerized Tomographic Imaging </w:t>
            </w:r>
            <w:r w:rsidR="00DB512F" w:rsidRPr="00DB512F">
              <w:rPr>
                <w:rFonts w:ascii="Garamond" w:hAnsi="Garamond"/>
                <w:lang w:val="en-AU"/>
              </w:rPr>
              <w:t>(</w:t>
            </w:r>
            <w:r w:rsidRPr="00DB512F">
              <w:rPr>
                <w:rFonts w:ascii="Garamond" w:hAnsi="Garamond"/>
                <w:lang w:val="en-AU"/>
              </w:rPr>
              <w:t>Jeffrey A Kline, Michelle P Lin, Cassandra L Hall, Michael A Puskarich, Erin Dehon, Damon R Kuehl, Ralph C Wang, Erik P Hess, Michael S Runyon, Hao Wang, and D Mark Courtney</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Readability of Information on Smartphone Apps</w:t>
            </w:r>
            <w:r w:rsidRPr="00DB512F">
              <w:rPr>
                <w:rFonts w:ascii="Garamond" w:hAnsi="Garamond"/>
                <w:lang w:val="en-AU"/>
              </w:rPr>
              <w:t xml:space="preserve"> for Total Hip Replacement and Total Knee Replacement Surgery Patients </w:t>
            </w:r>
            <w:r w:rsidR="00DB512F" w:rsidRPr="00DB512F">
              <w:rPr>
                <w:rFonts w:ascii="Garamond" w:hAnsi="Garamond"/>
                <w:lang w:val="en-AU"/>
              </w:rPr>
              <w:t>(</w:t>
            </w:r>
            <w:r w:rsidRPr="00DB512F">
              <w:rPr>
                <w:rFonts w:ascii="Garamond" w:hAnsi="Garamond"/>
                <w:lang w:val="en-AU"/>
              </w:rPr>
              <w:t>Shayan Bahadori, Thomas W Wainwright, and Osman H Ahmed</w:t>
            </w:r>
            <w:r w:rsidR="00DB512F">
              <w:rPr>
                <w:rFonts w:ascii="Garamond" w:hAnsi="Garamond"/>
                <w:lang w:val="en-AU"/>
              </w:rPr>
              <w:t>)</w:t>
            </w:r>
          </w:p>
          <w:p w:rsidR="00DB512F" w:rsidRDefault="0068058F" w:rsidP="002C5882">
            <w:pPr>
              <w:pStyle w:val="ListParagraph"/>
              <w:numPr>
                <w:ilvl w:val="0"/>
                <w:numId w:val="15"/>
              </w:numPr>
              <w:rPr>
                <w:rFonts w:ascii="Garamond" w:hAnsi="Garamond"/>
                <w:lang w:val="en-AU"/>
              </w:rPr>
            </w:pPr>
            <w:r w:rsidRPr="00DB512F">
              <w:rPr>
                <w:rFonts w:ascii="Garamond" w:hAnsi="Garamond"/>
                <w:b/>
                <w:lang w:val="en-AU"/>
              </w:rPr>
              <w:t>Sharing the Patient Experience</w:t>
            </w:r>
            <w:r w:rsidRPr="00DB512F">
              <w:rPr>
                <w:rFonts w:ascii="Garamond" w:hAnsi="Garamond"/>
                <w:lang w:val="en-AU"/>
              </w:rPr>
              <w:t xml:space="preserve">: A “Talk Story” Intervention for Heart Failure Management in Native Hawaiians </w:t>
            </w:r>
            <w:r w:rsidR="00DB512F" w:rsidRPr="00DB512F">
              <w:rPr>
                <w:rFonts w:ascii="Garamond" w:hAnsi="Garamond"/>
                <w:lang w:val="en-AU"/>
              </w:rPr>
              <w:t>(</w:t>
            </w:r>
            <w:r w:rsidRPr="00DB512F">
              <w:rPr>
                <w:rFonts w:ascii="Garamond" w:hAnsi="Garamond"/>
                <w:lang w:val="en-AU"/>
              </w:rPr>
              <w:t>Tetine Sentell, Fiona Kennedy, T Seto, M Vawer, G Chiriboga, C Valdez, L M Garrett, D Paloma, and D Taira</w:t>
            </w:r>
            <w:r w:rsidR="00DB512F">
              <w:rPr>
                <w:rFonts w:ascii="Garamond" w:hAnsi="Garamond"/>
                <w:lang w:val="en-AU"/>
              </w:rPr>
              <w:t>)</w:t>
            </w:r>
          </w:p>
          <w:p w:rsidR="006223AD" w:rsidRPr="00A85C9A" w:rsidRDefault="0068058F" w:rsidP="00DB512F">
            <w:pPr>
              <w:pStyle w:val="ListParagraph"/>
              <w:numPr>
                <w:ilvl w:val="0"/>
                <w:numId w:val="15"/>
              </w:numPr>
              <w:rPr>
                <w:rFonts w:ascii="Garamond" w:hAnsi="Garamond"/>
                <w:lang w:val="en-AU"/>
              </w:rPr>
            </w:pPr>
            <w:r w:rsidRPr="00DB512F">
              <w:rPr>
                <w:rFonts w:ascii="Garamond" w:hAnsi="Garamond"/>
                <w:lang w:val="en-AU"/>
              </w:rPr>
              <w:t xml:space="preserve">The </w:t>
            </w:r>
            <w:r w:rsidRPr="00DB512F">
              <w:rPr>
                <w:rFonts w:ascii="Garamond" w:hAnsi="Garamond"/>
                <w:b/>
                <w:lang w:val="en-AU"/>
              </w:rPr>
              <w:t>Hospital Experience Through the Patients’ Eyes</w:t>
            </w:r>
            <w:r w:rsidRPr="00DB512F">
              <w:rPr>
                <w:rFonts w:ascii="Garamond" w:hAnsi="Garamond"/>
                <w:lang w:val="en-AU"/>
              </w:rPr>
              <w:t xml:space="preserve"> </w:t>
            </w:r>
            <w:r w:rsidR="00DB512F" w:rsidRPr="00DB512F">
              <w:rPr>
                <w:rFonts w:ascii="Garamond" w:hAnsi="Garamond"/>
                <w:lang w:val="en-AU"/>
              </w:rPr>
              <w:t>(</w:t>
            </w:r>
            <w:r w:rsidRPr="00DB512F">
              <w:rPr>
                <w:rFonts w:ascii="Garamond" w:hAnsi="Garamond"/>
                <w:lang w:val="en-AU"/>
              </w:rPr>
              <w:t>Haverly J Snyder and Kathlyn E Fletcher</w:t>
            </w:r>
            <w:r w:rsidR="00DB512F" w:rsidRPr="00DB512F">
              <w:rPr>
                <w:rFonts w:ascii="Garamond" w:hAnsi="Garamond"/>
                <w:lang w:val="en-AU"/>
              </w:rPr>
              <w:t>)</w:t>
            </w:r>
          </w:p>
        </w:tc>
      </w:tr>
    </w:tbl>
    <w:p w:rsidR="00BB3BE3" w:rsidRPr="00467B47" w:rsidRDefault="00BB3BE3" w:rsidP="005E782C">
      <w:pPr>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467A2C" w:rsidP="00DC09BF">
            <w:pPr>
              <w:keepNext/>
              <w:rPr>
                <w:rFonts w:ascii="Garamond" w:hAnsi="Garamond"/>
                <w:lang w:val="en-AU"/>
              </w:rPr>
            </w:pPr>
            <w:hyperlink r:id="rId39"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D301EE" w:rsidRPr="00D301EE" w:rsidRDefault="00D301EE" w:rsidP="002C5882">
            <w:pPr>
              <w:pStyle w:val="ListParagraph"/>
              <w:numPr>
                <w:ilvl w:val="0"/>
                <w:numId w:val="14"/>
              </w:numPr>
              <w:rPr>
                <w:rFonts w:ascii="Garamond" w:hAnsi="Garamond"/>
                <w:lang w:val="en-AU"/>
              </w:rPr>
            </w:pPr>
            <w:r w:rsidRPr="00D301EE">
              <w:rPr>
                <w:rFonts w:ascii="Garamond" w:hAnsi="Garamond"/>
                <w:b/>
                <w:lang w:val="en-AU"/>
              </w:rPr>
              <w:t>Changing hospital organisational culture for improved patient outcomes</w:t>
            </w:r>
            <w:r w:rsidRPr="00D301EE">
              <w:rPr>
                <w:rFonts w:ascii="Garamond" w:hAnsi="Garamond"/>
                <w:lang w:val="en-AU"/>
              </w:rPr>
              <w:t>: developing and implementing the leadership saves lives intervention (Erika Linnander, Zahirah McNatt, Kasey Boehmer, Emily Cherlin, Elizabeth Bradley, Leslie Curry</w:t>
            </w:r>
            <w:r>
              <w:rPr>
                <w:rFonts w:ascii="Garamond" w:hAnsi="Garamond"/>
                <w:lang w:val="en-AU"/>
              </w:rPr>
              <w:t>)</w:t>
            </w:r>
          </w:p>
          <w:p w:rsidR="00D301EE" w:rsidRPr="00D301EE" w:rsidRDefault="00D301EE" w:rsidP="002C5882">
            <w:pPr>
              <w:pStyle w:val="ListParagraph"/>
              <w:numPr>
                <w:ilvl w:val="0"/>
                <w:numId w:val="14"/>
              </w:numPr>
              <w:rPr>
                <w:rFonts w:ascii="Garamond" w:hAnsi="Garamond"/>
                <w:lang w:val="en-AU"/>
              </w:rPr>
            </w:pPr>
            <w:r w:rsidRPr="00D301EE">
              <w:rPr>
                <w:rFonts w:ascii="Garamond" w:hAnsi="Garamond"/>
                <w:lang w:val="en-AU"/>
              </w:rPr>
              <w:t xml:space="preserve">Cutting edge or blunt instrument: how to decide if a </w:t>
            </w:r>
            <w:r w:rsidRPr="00D301EE">
              <w:rPr>
                <w:rFonts w:ascii="Garamond" w:hAnsi="Garamond"/>
                <w:b/>
                <w:lang w:val="en-AU"/>
              </w:rPr>
              <w:t>stepped wedge design</w:t>
            </w:r>
            <w:r w:rsidRPr="00D301EE">
              <w:rPr>
                <w:rFonts w:ascii="Garamond" w:hAnsi="Garamond"/>
                <w:lang w:val="en-AU"/>
              </w:rPr>
              <w:t xml:space="preserve"> is right for you (Richard Hooper, Sandra M Eldridge</w:t>
            </w:r>
            <w:r>
              <w:rPr>
                <w:rFonts w:ascii="Garamond" w:hAnsi="Garamond"/>
                <w:lang w:val="en-AU"/>
              </w:rPr>
              <w:t>)</w:t>
            </w:r>
          </w:p>
          <w:p w:rsidR="00D301EE" w:rsidRPr="00D301EE" w:rsidRDefault="00D301EE" w:rsidP="002C5882">
            <w:pPr>
              <w:pStyle w:val="ListParagraph"/>
              <w:numPr>
                <w:ilvl w:val="0"/>
                <w:numId w:val="14"/>
              </w:numPr>
              <w:rPr>
                <w:rFonts w:ascii="Garamond" w:hAnsi="Garamond"/>
                <w:lang w:val="en-AU"/>
              </w:rPr>
            </w:pPr>
            <w:r w:rsidRPr="00D301EE">
              <w:rPr>
                <w:rFonts w:ascii="Garamond" w:hAnsi="Garamond"/>
                <w:lang w:val="en-AU"/>
              </w:rPr>
              <w:t xml:space="preserve">Fighting a common enemy: a catalyst to close </w:t>
            </w:r>
            <w:r w:rsidRPr="00D301EE">
              <w:rPr>
                <w:rFonts w:ascii="Garamond" w:hAnsi="Garamond"/>
                <w:b/>
                <w:lang w:val="en-AU"/>
              </w:rPr>
              <w:t>intractable safety gaps</w:t>
            </w:r>
            <w:r w:rsidRPr="00D301EE">
              <w:rPr>
                <w:rFonts w:ascii="Garamond" w:hAnsi="Garamond"/>
                <w:lang w:val="en-AU"/>
              </w:rPr>
              <w:t xml:space="preserve"> (Hardeep Singh, Dean F Sittig, Tejal K Gandhi</w:t>
            </w:r>
            <w:r>
              <w:rPr>
                <w:rFonts w:ascii="Garamond" w:hAnsi="Garamond"/>
                <w:lang w:val="en-AU"/>
              </w:rPr>
              <w:t>)</w:t>
            </w:r>
          </w:p>
          <w:p w:rsidR="00EF5393" w:rsidRPr="00543B3B" w:rsidRDefault="00D301EE" w:rsidP="00D301EE">
            <w:pPr>
              <w:pStyle w:val="ListParagraph"/>
              <w:numPr>
                <w:ilvl w:val="0"/>
                <w:numId w:val="14"/>
              </w:numPr>
              <w:rPr>
                <w:rFonts w:ascii="Garamond" w:hAnsi="Garamond"/>
                <w:lang w:val="en-AU"/>
              </w:rPr>
            </w:pPr>
            <w:r w:rsidRPr="00D301EE">
              <w:rPr>
                <w:rFonts w:ascii="Garamond" w:hAnsi="Garamond"/>
                <w:lang w:val="en-AU"/>
              </w:rPr>
              <w:t xml:space="preserve">Weekly variation in quality of care for </w:t>
            </w:r>
            <w:r w:rsidRPr="00D301EE">
              <w:rPr>
                <w:rFonts w:ascii="Garamond" w:hAnsi="Garamond"/>
                <w:b/>
                <w:lang w:val="en-AU"/>
              </w:rPr>
              <w:t>acute ST-segment elevation myocardial infarction</w:t>
            </w:r>
            <w:r w:rsidRPr="00D301EE">
              <w:rPr>
                <w:rFonts w:ascii="Garamond" w:hAnsi="Garamond"/>
                <w:lang w:val="en-AU"/>
              </w:rPr>
              <w:t xml:space="preserve"> by day and time of admission: a retrospective observational study</w:t>
            </w:r>
            <w:r>
              <w:rPr>
                <w:rFonts w:ascii="Garamond" w:hAnsi="Garamond"/>
                <w:lang w:val="en-AU"/>
              </w:rPr>
              <w:t xml:space="preserve"> (</w:t>
            </w:r>
            <w:r w:rsidRPr="00D301EE">
              <w:rPr>
                <w:rFonts w:ascii="Garamond" w:hAnsi="Garamond"/>
                <w:lang w:val="en-AU"/>
              </w:rPr>
              <w:t>Chao Wang, Xi Li, Wantong Sun, Jingkun Li, Yupeng Wang, Xiaoqiang Bao, Meina Liu, Qiuju Zhang</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467A2C" w:rsidP="002C5882">
            <w:pPr>
              <w:keepNext/>
              <w:rPr>
                <w:rFonts w:ascii="Garamond" w:hAnsi="Garamond"/>
                <w:lang w:val="en-AU"/>
              </w:rPr>
            </w:pPr>
            <w:hyperlink r:id="rId40"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C2AC8" w:rsidRPr="005C2AC8" w:rsidRDefault="005C2AC8" w:rsidP="002C5882">
            <w:pPr>
              <w:pStyle w:val="ListParagraph"/>
              <w:numPr>
                <w:ilvl w:val="0"/>
                <w:numId w:val="14"/>
              </w:numPr>
              <w:jc w:val="both"/>
              <w:rPr>
                <w:rFonts w:ascii="Garamond" w:hAnsi="Garamond"/>
                <w:lang w:val="en-AU"/>
              </w:rPr>
            </w:pPr>
            <w:r w:rsidRPr="005C2AC8">
              <w:rPr>
                <w:rFonts w:ascii="Garamond" w:hAnsi="Garamond"/>
                <w:b/>
                <w:lang w:val="en-AU"/>
              </w:rPr>
              <w:t>Bundle interventions including nontechnical skills for surgeons</w:t>
            </w:r>
            <w:r w:rsidRPr="005C2AC8">
              <w:rPr>
                <w:rFonts w:ascii="Garamond" w:hAnsi="Garamond"/>
                <w:lang w:val="en-AU"/>
              </w:rPr>
              <w:t xml:space="preserve"> can reduce operative time and improve patient safety (Daisuke Koike, Yukihiro Nomura, Motoki Nagai, Takashi Matsunaga, Ayuko Yasuda</w:t>
            </w:r>
            <w:r>
              <w:rPr>
                <w:rFonts w:ascii="Garamond" w:hAnsi="Garamond"/>
                <w:lang w:val="en-AU"/>
              </w:rPr>
              <w:t>)</w:t>
            </w:r>
          </w:p>
          <w:p w:rsidR="009070CB" w:rsidRDefault="005C2AC8" w:rsidP="005C2AC8">
            <w:pPr>
              <w:pStyle w:val="ListParagraph"/>
              <w:numPr>
                <w:ilvl w:val="0"/>
                <w:numId w:val="14"/>
              </w:numPr>
              <w:jc w:val="both"/>
              <w:rPr>
                <w:rFonts w:ascii="Garamond" w:hAnsi="Garamond"/>
                <w:lang w:val="en-AU"/>
              </w:rPr>
            </w:pPr>
            <w:r w:rsidRPr="005C2AC8">
              <w:rPr>
                <w:rFonts w:ascii="Garamond" w:hAnsi="Garamond"/>
                <w:lang w:val="en-AU"/>
              </w:rPr>
              <w:t xml:space="preserve">Psychometric evaluation of instruments measuring the </w:t>
            </w:r>
            <w:r w:rsidRPr="005C2AC8">
              <w:rPr>
                <w:rFonts w:ascii="Garamond" w:hAnsi="Garamond"/>
                <w:b/>
                <w:lang w:val="en-AU"/>
              </w:rPr>
              <w:t>work environment of healthcare professionals in hospitals</w:t>
            </w:r>
            <w:r w:rsidRPr="005C2AC8">
              <w:rPr>
                <w:rFonts w:ascii="Garamond" w:hAnsi="Garamond"/>
                <w:lang w:val="en-AU"/>
              </w:rPr>
              <w:t xml:space="preserve">: a systematic literature review </w:t>
            </w:r>
            <w:r>
              <w:rPr>
                <w:rFonts w:ascii="Garamond" w:hAnsi="Garamond"/>
                <w:lang w:val="en-AU"/>
              </w:rPr>
              <w:t>(</w:t>
            </w:r>
            <w:r w:rsidRPr="005C2AC8">
              <w:rPr>
                <w:rFonts w:ascii="Garamond" w:hAnsi="Garamond"/>
                <w:lang w:val="en-AU"/>
              </w:rPr>
              <w:t>Susanne M Maassen, Anne Marie J W Weggelaar Jansen, Gerard Brekelmans, Hester Vermeulen, Catharina J van Oostveen</w:t>
            </w:r>
            <w:r>
              <w:rPr>
                <w:rFonts w:ascii="Garamond" w:hAnsi="Garamond"/>
                <w:lang w:val="en-AU"/>
              </w:rPr>
              <w:t>)</w:t>
            </w:r>
          </w:p>
          <w:p w:rsidR="00D301EE" w:rsidRPr="00D301EE" w:rsidRDefault="00D301EE" w:rsidP="002C5882">
            <w:pPr>
              <w:pStyle w:val="ListParagraph"/>
              <w:numPr>
                <w:ilvl w:val="0"/>
                <w:numId w:val="14"/>
              </w:numPr>
              <w:jc w:val="both"/>
              <w:rPr>
                <w:rFonts w:ascii="Garamond" w:hAnsi="Garamond"/>
                <w:lang w:val="en-AU"/>
              </w:rPr>
            </w:pPr>
            <w:r w:rsidRPr="00D301EE">
              <w:rPr>
                <w:rFonts w:ascii="Garamond" w:hAnsi="Garamond"/>
                <w:lang w:val="en-AU"/>
              </w:rPr>
              <w:t xml:space="preserve">Identifying </w:t>
            </w:r>
            <w:r w:rsidRPr="00D301EE">
              <w:rPr>
                <w:rFonts w:ascii="Garamond" w:hAnsi="Garamond"/>
                <w:b/>
                <w:lang w:val="en-AU"/>
              </w:rPr>
              <w:t>psychiatric diagnostic errors</w:t>
            </w:r>
            <w:r w:rsidRPr="00D301EE">
              <w:rPr>
                <w:rFonts w:ascii="Garamond" w:hAnsi="Garamond"/>
                <w:lang w:val="en-AU"/>
              </w:rPr>
              <w:t xml:space="preserve"> with the Safer Dx Instrument (Terri L Fletcher, Ashley Helm, Viralkumar Vaghani, Mark E Kunik, Melinda A Stanley</w:t>
            </w:r>
            <w:r>
              <w:rPr>
                <w:rFonts w:ascii="Garamond" w:hAnsi="Garamond"/>
                <w:lang w:val="en-AU"/>
              </w:rPr>
              <w:t>, Hardeep Singh)</w:t>
            </w:r>
          </w:p>
          <w:p w:rsidR="00D301EE" w:rsidRPr="00D301EE" w:rsidRDefault="00D301EE" w:rsidP="00D301EE">
            <w:pPr>
              <w:pStyle w:val="ListParagraph"/>
              <w:numPr>
                <w:ilvl w:val="0"/>
                <w:numId w:val="14"/>
              </w:numPr>
              <w:jc w:val="both"/>
              <w:rPr>
                <w:rFonts w:ascii="Garamond" w:hAnsi="Garamond"/>
                <w:lang w:val="en-AU"/>
              </w:rPr>
            </w:pPr>
            <w:r w:rsidRPr="00D301EE">
              <w:rPr>
                <w:rFonts w:ascii="Garamond" w:hAnsi="Garamond"/>
                <w:lang w:val="en-AU"/>
              </w:rPr>
              <w:t xml:space="preserve">Sequential implementation of the EQUIPPED </w:t>
            </w:r>
            <w:r w:rsidRPr="00D301EE">
              <w:rPr>
                <w:rFonts w:ascii="Garamond" w:hAnsi="Garamond"/>
                <w:b/>
                <w:lang w:val="en-AU"/>
              </w:rPr>
              <w:t>geriatric medication safety</w:t>
            </w:r>
            <w:r w:rsidRPr="00D301EE">
              <w:rPr>
                <w:rFonts w:ascii="Garamond" w:hAnsi="Garamond"/>
                <w:lang w:val="en-AU"/>
              </w:rPr>
              <w:t xml:space="preserve"> program as a learning health system (Ann E Vandenberg, Michelle Kegler, S Nicole Ha</w:t>
            </w:r>
            <w:r>
              <w:rPr>
                <w:rFonts w:ascii="Garamond" w:hAnsi="Garamond"/>
                <w:lang w:val="en-AU"/>
              </w:rPr>
              <w:t xml:space="preserve">stings, Ula Hwang, Daniel Wu, </w:t>
            </w:r>
            <w:r w:rsidRPr="00D301EE">
              <w:rPr>
                <w:rFonts w:ascii="Garamond" w:hAnsi="Garamond"/>
                <w:lang w:val="en-AU"/>
              </w:rPr>
              <w:t>Melissa B Stevens, Carolyn Clevenger, Stephanie Eucker, Nick Genes, Wennie Huang, Edidiong Ikpe-Ekpo, Denise Nassisi, Laura Previll, Sandra Rodriguez, Martine Sanon, David Schlientz, Debbie Vigliotti, Camille P Vaughan</w:t>
            </w:r>
            <w:r w:rsidR="007A26A6">
              <w:rPr>
                <w:rFonts w:ascii="Garamond" w:hAnsi="Garamond"/>
                <w:lang w:val="en-AU"/>
              </w:rPr>
              <w:t>)</w:t>
            </w:r>
          </w:p>
          <w:p w:rsidR="00D301EE" w:rsidRPr="00721A1B" w:rsidRDefault="00D301EE" w:rsidP="00D301EE">
            <w:pPr>
              <w:pStyle w:val="ListParagraph"/>
              <w:numPr>
                <w:ilvl w:val="0"/>
                <w:numId w:val="14"/>
              </w:numPr>
              <w:jc w:val="both"/>
              <w:rPr>
                <w:rFonts w:ascii="Garamond" w:hAnsi="Garamond"/>
                <w:lang w:val="en-AU"/>
              </w:rPr>
            </w:pPr>
            <w:r w:rsidRPr="00D301EE">
              <w:rPr>
                <w:rFonts w:ascii="Garamond" w:hAnsi="Garamond"/>
                <w:lang w:val="en-AU"/>
              </w:rPr>
              <w:t xml:space="preserve">Improving knowledge and confidence in foundation doctors during </w:t>
            </w:r>
            <w:r w:rsidRPr="00D301EE">
              <w:rPr>
                <w:rFonts w:ascii="Garamond" w:hAnsi="Garamond"/>
                <w:b/>
                <w:lang w:val="en-AU"/>
              </w:rPr>
              <w:t>specialty changeover</w:t>
            </w:r>
            <w:r w:rsidRPr="00D301EE">
              <w:rPr>
                <w:rFonts w:ascii="Garamond" w:hAnsi="Garamond"/>
                <w:lang w:val="en-AU"/>
              </w:rPr>
              <w:t xml:space="preserve"> </w:t>
            </w:r>
            <w:r>
              <w:rPr>
                <w:rFonts w:ascii="Garamond" w:hAnsi="Garamond"/>
                <w:lang w:val="en-AU"/>
              </w:rPr>
              <w:t>(</w:t>
            </w:r>
            <w:r w:rsidRPr="00D301EE">
              <w:rPr>
                <w:rFonts w:ascii="Garamond" w:hAnsi="Garamond"/>
                <w:lang w:val="en-AU"/>
              </w:rPr>
              <w:t>Madhav Sanatkumar Dave, Shahd Mobarak, Harry V M Spiers, Munir Tarazi, Saurabh Jamdar</w:t>
            </w:r>
            <w:r>
              <w:rPr>
                <w:rFonts w:ascii="Garamond" w:hAnsi="Garamond"/>
                <w:lang w:val="en-AU"/>
              </w:rPr>
              <w:t>)</w:t>
            </w:r>
          </w:p>
        </w:tc>
      </w:tr>
    </w:tbl>
    <w:p w:rsidR="00977E92" w:rsidRDefault="00977E92" w:rsidP="00977E92">
      <w:pPr>
        <w:rPr>
          <w:rFonts w:ascii="Garamond" w:hAnsi="Garamond"/>
          <w:b/>
          <w:lang w:val="en-AU"/>
        </w:rPr>
      </w:pPr>
    </w:p>
    <w:p w:rsidR="0015177D" w:rsidRDefault="0015177D" w:rsidP="00977E92">
      <w:pPr>
        <w:rPr>
          <w:rFonts w:ascii="Garamond" w:hAnsi="Garamond"/>
          <w:b/>
          <w:lang w:val="en-AU"/>
        </w:rPr>
      </w:pPr>
    </w:p>
    <w:p w:rsidR="0015177D" w:rsidRDefault="0015177D"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lastRenderedPageBreak/>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467A2C" w:rsidP="00310503">
      <w:pPr>
        <w:keepNext/>
        <w:keepLines/>
        <w:rPr>
          <w:rFonts w:ascii="Garamond" w:hAnsi="Garamond"/>
          <w:lang w:val="en-AU"/>
        </w:rPr>
      </w:pPr>
      <w:hyperlink r:id="rId41"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670E5D" w:rsidRPr="001966EC" w:rsidRDefault="00670E5D" w:rsidP="00BF4CE7">
      <w:pPr>
        <w:keepLines/>
        <w:rPr>
          <w:rFonts w:ascii="Garamond" w:hAnsi="Garamond"/>
          <w:lang w:val="en-AU"/>
        </w:rPr>
      </w:pPr>
    </w:p>
    <w:p w:rsidR="00510D89" w:rsidRDefault="00510D89" w:rsidP="00510D89">
      <w:pPr>
        <w:keepNext/>
        <w:keepLines/>
        <w:rPr>
          <w:rFonts w:ascii="Garamond" w:hAnsi="Garamond"/>
          <w:i/>
          <w:lang w:val="en-AU"/>
        </w:rPr>
      </w:pPr>
      <w:r>
        <w:rPr>
          <w:rFonts w:ascii="Garamond" w:hAnsi="Garamond"/>
          <w:i/>
          <w:lang w:val="en-AU"/>
        </w:rPr>
        <w:t>COVID-19 Critical Intelligence Unit</w:t>
      </w:r>
    </w:p>
    <w:p w:rsidR="00510D89" w:rsidRDefault="00467A2C" w:rsidP="00510D89">
      <w:pPr>
        <w:keepNext/>
        <w:keepLines/>
        <w:rPr>
          <w:rFonts w:ascii="Garamond" w:hAnsi="Garamond"/>
          <w:lang w:val="en-AU"/>
        </w:rPr>
      </w:pPr>
      <w:hyperlink r:id="rId42" w:history="1">
        <w:r w:rsidR="00510D89" w:rsidRPr="00E11CC6">
          <w:rPr>
            <w:rStyle w:val="Hyperlink"/>
            <w:rFonts w:ascii="Garamond" w:hAnsi="Garamond"/>
            <w:lang w:val="en-AU"/>
          </w:rPr>
          <w:t>https://www.aci.health.nsw.gov.au/covid-19/critical-intelligence-unit</w:t>
        </w:r>
      </w:hyperlink>
    </w:p>
    <w:p w:rsidR="00510D89" w:rsidRDefault="00510D89" w:rsidP="00510D89">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Recent evidence checks date include:</w:t>
      </w:r>
    </w:p>
    <w:p w:rsidR="0028569C" w:rsidRPr="0028569C" w:rsidRDefault="0028569C" w:rsidP="0028569C">
      <w:pPr>
        <w:pStyle w:val="ListParagraph"/>
        <w:keepLines/>
        <w:numPr>
          <w:ilvl w:val="0"/>
          <w:numId w:val="29"/>
        </w:numPr>
        <w:rPr>
          <w:rFonts w:ascii="Garamond" w:hAnsi="Garamond"/>
          <w:b/>
          <w:i/>
          <w:lang w:val="en-AU"/>
        </w:rPr>
      </w:pPr>
      <w:r w:rsidRPr="0028569C">
        <w:rPr>
          <w:rFonts w:ascii="Garamond" w:hAnsi="Garamond"/>
          <w:b/>
          <w:i/>
          <w:lang w:val="en-AU"/>
        </w:rPr>
        <w:t>Resuming elective surgery</w:t>
      </w:r>
    </w:p>
    <w:p w:rsidR="0028569C" w:rsidRPr="0028569C" w:rsidRDefault="0028569C" w:rsidP="0028569C">
      <w:pPr>
        <w:pStyle w:val="ListParagraph"/>
        <w:keepLines/>
        <w:numPr>
          <w:ilvl w:val="0"/>
          <w:numId w:val="29"/>
        </w:numPr>
        <w:rPr>
          <w:rFonts w:ascii="Garamond" w:hAnsi="Garamond"/>
          <w:b/>
          <w:i/>
          <w:lang w:val="en-AU"/>
        </w:rPr>
      </w:pPr>
      <w:r w:rsidRPr="0028569C">
        <w:rPr>
          <w:rFonts w:ascii="Garamond" w:hAnsi="Garamond"/>
          <w:b/>
          <w:i/>
          <w:lang w:val="en-AU"/>
        </w:rPr>
        <w:t>Resuming elective surgery – low-value care</w:t>
      </w:r>
    </w:p>
    <w:p w:rsidR="0028569C" w:rsidRPr="0028569C" w:rsidRDefault="0028569C" w:rsidP="0028569C">
      <w:pPr>
        <w:pStyle w:val="ListParagraph"/>
        <w:keepLines/>
        <w:numPr>
          <w:ilvl w:val="0"/>
          <w:numId w:val="29"/>
        </w:numPr>
        <w:rPr>
          <w:rFonts w:ascii="Garamond" w:hAnsi="Garamond"/>
          <w:b/>
          <w:i/>
          <w:lang w:val="en-AU"/>
        </w:rPr>
      </w:pPr>
      <w:r w:rsidRPr="0028569C">
        <w:rPr>
          <w:rFonts w:ascii="Garamond" w:hAnsi="Garamond"/>
          <w:b/>
          <w:i/>
          <w:lang w:val="en-AU"/>
        </w:rPr>
        <w:t>Resuming elective surgery - Post-surgery innovations: enhanced recovery after surgery, early mobilisation and discharge</w:t>
      </w:r>
    </w:p>
    <w:p w:rsidR="00510D89" w:rsidRDefault="0028569C" w:rsidP="0028569C">
      <w:pPr>
        <w:pStyle w:val="ListParagraph"/>
        <w:keepLines/>
        <w:numPr>
          <w:ilvl w:val="0"/>
          <w:numId w:val="29"/>
        </w:numPr>
        <w:rPr>
          <w:rFonts w:ascii="Garamond" w:hAnsi="Garamond"/>
          <w:b/>
          <w:i/>
          <w:lang w:val="en-AU"/>
        </w:rPr>
      </w:pPr>
      <w:r w:rsidRPr="0028569C">
        <w:rPr>
          <w:rFonts w:ascii="Garamond" w:hAnsi="Garamond"/>
          <w:b/>
          <w:i/>
          <w:lang w:val="en-AU"/>
        </w:rPr>
        <w:t>Resuming elective surgery – productivity and efficiency approaches</w:t>
      </w:r>
    </w:p>
    <w:p w:rsidR="00510D89" w:rsidRDefault="00510D89" w:rsidP="00510D89">
      <w:pPr>
        <w:keepLines/>
        <w:rPr>
          <w:rFonts w:ascii="Garamond" w:hAnsi="Garamond"/>
          <w:i/>
          <w:lang w:val="en-AU"/>
        </w:rPr>
      </w:pPr>
    </w:p>
    <w:p w:rsidR="00510D89" w:rsidRPr="000170DA" w:rsidRDefault="00510D89" w:rsidP="00510D8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10D89" w:rsidRDefault="00467A2C" w:rsidP="00510D89">
      <w:pPr>
        <w:keepNext/>
        <w:keepLines/>
        <w:rPr>
          <w:rFonts w:ascii="Garamond" w:hAnsi="Garamond"/>
          <w:u w:val="single"/>
          <w:lang w:val="en-AU"/>
        </w:rPr>
      </w:pPr>
      <w:hyperlink r:id="rId43" w:history="1">
        <w:r w:rsidR="00510D89" w:rsidRPr="00131E90">
          <w:rPr>
            <w:rStyle w:val="Hyperlink"/>
            <w:rFonts w:ascii="Garamond" w:hAnsi="Garamond"/>
            <w:lang w:val="en-AU"/>
          </w:rPr>
          <w:t>https://www.nice.org.uk/guidance</w:t>
        </w:r>
      </w:hyperlink>
    </w:p>
    <w:p w:rsidR="00510D89" w:rsidRPr="000170DA" w:rsidRDefault="00510D89" w:rsidP="00510D8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10D89" w:rsidRDefault="00D301EE" w:rsidP="00D301EE">
      <w:pPr>
        <w:pStyle w:val="ListParagraph"/>
        <w:keepNext/>
        <w:keepLines/>
        <w:numPr>
          <w:ilvl w:val="0"/>
          <w:numId w:val="14"/>
        </w:numPr>
        <w:rPr>
          <w:rFonts w:ascii="Garamond" w:hAnsi="Garamond"/>
          <w:lang w:val="en-AU"/>
        </w:rPr>
      </w:pPr>
      <w:r>
        <w:rPr>
          <w:rFonts w:ascii="Garamond" w:hAnsi="Garamond"/>
          <w:lang w:val="en-AU"/>
        </w:rPr>
        <w:t xml:space="preserve">Quality Standard QS193 </w:t>
      </w:r>
      <w:r w:rsidRPr="00D301EE">
        <w:rPr>
          <w:rFonts w:ascii="Garamond" w:hAnsi="Garamond"/>
          <w:i/>
          <w:lang w:val="en-AU"/>
        </w:rPr>
        <w:t xml:space="preserve">Specialist </w:t>
      </w:r>
      <w:r w:rsidRPr="00D301EE">
        <w:rPr>
          <w:rFonts w:ascii="Garamond" w:hAnsi="Garamond"/>
          <w:b/>
          <w:i/>
          <w:lang w:val="en-AU"/>
        </w:rPr>
        <w:t>neonatal respiratory care</w:t>
      </w:r>
      <w:r w:rsidRPr="00D301EE">
        <w:rPr>
          <w:rFonts w:ascii="Garamond" w:hAnsi="Garamond"/>
          <w:i/>
          <w:lang w:val="en-AU"/>
        </w:rPr>
        <w:t xml:space="preserve"> for babies born preterm </w:t>
      </w:r>
      <w:hyperlink r:id="rId44" w:history="1">
        <w:r w:rsidRPr="006D7093">
          <w:rPr>
            <w:rStyle w:val="Hyperlink"/>
            <w:rFonts w:ascii="Garamond" w:hAnsi="Garamond"/>
            <w:lang w:val="en-AU"/>
          </w:rPr>
          <w:t>https://www.nice.org.uk/guidance/qs193</w:t>
        </w:r>
      </w:hyperlink>
    </w:p>
    <w:p w:rsidR="00510D89" w:rsidRDefault="00510D89" w:rsidP="00510D89">
      <w:pPr>
        <w:rPr>
          <w:rFonts w:ascii="Garamond" w:hAnsi="Garamond"/>
          <w:lang w:val="en-AU"/>
        </w:rPr>
      </w:pPr>
    </w:p>
    <w:p w:rsidR="00224B38" w:rsidRDefault="00224B38" w:rsidP="007A13C1">
      <w:pPr>
        <w:rPr>
          <w:rFonts w:ascii="Garamond" w:hAnsi="Garamond"/>
          <w:lang w:val="en-AU"/>
        </w:rPr>
      </w:pPr>
    </w:p>
    <w:p w:rsidR="00D3721E" w:rsidRPr="00EF5393" w:rsidRDefault="00D3721E"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82" w:rsidRDefault="002C5882">
      <w:r>
        <w:separator/>
      </w:r>
    </w:p>
  </w:endnote>
  <w:endnote w:type="continuationSeparator" w:id="0">
    <w:p w:rsidR="002C5882" w:rsidRDefault="002C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Default="002C588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67A2C">
      <w:rPr>
        <w:rStyle w:val="PageNumber"/>
        <w:noProof/>
      </w:rPr>
      <w:t>6</w:t>
    </w:r>
    <w:r>
      <w:rPr>
        <w:rStyle w:val="PageNumber"/>
      </w:rPr>
      <w:fldChar w:fldCharType="end"/>
    </w:r>
  </w:p>
  <w:p w:rsidR="002C5882" w:rsidRPr="001E78F0" w:rsidRDefault="002C588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473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Pr="001E78F0" w:rsidRDefault="002C588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67A2C">
      <w:rPr>
        <w:rStyle w:val="PageNumber"/>
        <w:rFonts w:ascii="Garamond" w:hAnsi="Garamond"/>
        <w:noProof/>
      </w:rPr>
      <w:t>5</w:t>
    </w:r>
    <w:r w:rsidRPr="001E78F0">
      <w:rPr>
        <w:rStyle w:val="PageNumber"/>
        <w:rFonts w:ascii="Garamond" w:hAnsi="Garamond"/>
      </w:rPr>
      <w:fldChar w:fldCharType="end"/>
    </w:r>
  </w:p>
  <w:p w:rsidR="002C5882" w:rsidRPr="001E78F0" w:rsidRDefault="002C588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82" w:rsidRDefault="002C5882">
      <w:r>
        <w:separator/>
      </w:r>
    </w:p>
  </w:footnote>
  <w:footnote w:type="continuationSeparator" w:id="0">
    <w:p w:rsidR="002C5882" w:rsidRDefault="002C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A053B5"/>
    <w:multiLevelType w:val="hybridMultilevel"/>
    <w:tmpl w:val="F766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744F66"/>
    <w:multiLevelType w:val="hybridMultilevel"/>
    <w:tmpl w:val="68260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B141CE"/>
    <w:multiLevelType w:val="hybridMultilevel"/>
    <w:tmpl w:val="632872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E53F93"/>
    <w:multiLevelType w:val="hybridMultilevel"/>
    <w:tmpl w:val="3500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CF1783"/>
    <w:multiLevelType w:val="hybridMultilevel"/>
    <w:tmpl w:val="66FC4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784673"/>
    <w:multiLevelType w:val="hybridMultilevel"/>
    <w:tmpl w:val="DE60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225A29"/>
    <w:multiLevelType w:val="hybridMultilevel"/>
    <w:tmpl w:val="60C4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FB2187"/>
    <w:multiLevelType w:val="hybridMultilevel"/>
    <w:tmpl w:val="038E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B12E1F"/>
    <w:multiLevelType w:val="hybridMultilevel"/>
    <w:tmpl w:val="3740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34"/>
  </w:num>
  <w:num w:numId="15">
    <w:abstractNumId w:val="24"/>
  </w:num>
  <w:num w:numId="16">
    <w:abstractNumId w:val="15"/>
  </w:num>
  <w:num w:numId="17">
    <w:abstractNumId w:val="38"/>
  </w:num>
  <w:num w:numId="18">
    <w:abstractNumId w:val="17"/>
  </w:num>
  <w:num w:numId="19">
    <w:abstractNumId w:val="43"/>
  </w:num>
  <w:num w:numId="20">
    <w:abstractNumId w:val="18"/>
  </w:num>
  <w:num w:numId="21">
    <w:abstractNumId w:val="12"/>
  </w:num>
  <w:num w:numId="22">
    <w:abstractNumId w:val="23"/>
  </w:num>
  <w:num w:numId="23">
    <w:abstractNumId w:val="36"/>
  </w:num>
  <w:num w:numId="24">
    <w:abstractNumId w:val="39"/>
  </w:num>
  <w:num w:numId="25">
    <w:abstractNumId w:val="31"/>
  </w:num>
  <w:num w:numId="26">
    <w:abstractNumId w:val="28"/>
  </w:num>
  <w:num w:numId="27">
    <w:abstractNumId w:val="41"/>
  </w:num>
  <w:num w:numId="28">
    <w:abstractNumId w:val="35"/>
  </w:num>
  <w:num w:numId="29">
    <w:abstractNumId w:val="13"/>
  </w:num>
  <w:num w:numId="30">
    <w:abstractNumId w:val="30"/>
  </w:num>
  <w:num w:numId="31">
    <w:abstractNumId w:val="32"/>
  </w:num>
  <w:num w:numId="32">
    <w:abstractNumId w:val="10"/>
  </w:num>
  <w:num w:numId="33">
    <w:abstractNumId w:val="26"/>
  </w:num>
  <w:num w:numId="34">
    <w:abstractNumId w:val="11"/>
  </w:num>
  <w:num w:numId="35">
    <w:abstractNumId w:val="21"/>
  </w:num>
  <w:num w:numId="36">
    <w:abstractNumId w:val="29"/>
  </w:num>
  <w:num w:numId="37">
    <w:abstractNumId w:val="42"/>
  </w:num>
  <w:num w:numId="38">
    <w:abstractNumId w:val="20"/>
  </w:num>
  <w:num w:numId="39">
    <w:abstractNumId w:val="27"/>
  </w:num>
  <w:num w:numId="40">
    <w:abstractNumId w:val="19"/>
  </w:num>
  <w:num w:numId="41">
    <w:abstractNumId w:val="25"/>
  </w:num>
  <w:num w:numId="42">
    <w:abstractNumId w:val="16"/>
  </w:num>
  <w:num w:numId="43">
    <w:abstractNumId w:val="14"/>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5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2C"/>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6C4"/>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795"/>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8E2"/>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707"/>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5681"/>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755777953">
                  <w:marLeft w:val="0"/>
                  <w:marRight w:val="0"/>
                  <w:marTop w:val="0"/>
                  <w:marBottom w:val="0"/>
                  <w:divBdr>
                    <w:top w:val="none" w:sz="0" w:space="0" w:color="auto"/>
                    <w:left w:val="none" w:sz="0" w:space="0" w:color="auto"/>
                    <w:bottom w:val="none" w:sz="0" w:space="0" w:color="auto"/>
                    <w:right w:val="none" w:sz="0" w:space="0" w:color="auto"/>
                  </w:divBdr>
                </w:div>
                <w:div w:id="1037853005">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73091786">
          <w:marLeft w:val="0"/>
          <w:marRight w:val="0"/>
          <w:marTop w:val="0"/>
          <w:marBottom w:val="0"/>
          <w:divBdr>
            <w:top w:val="none" w:sz="0" w:space="0" w:color="auto"/>
            <w:left w:val="none" w:sz="0" w:space="0" w:color="auto"/>
            <w:bottom w:val="none" w:sz="0" w:space="0" w:color="auto"/>
            <w:right w:val="none" w:sz="0" w:space="0" w:color="auto"/>
          </w:divBdr>
          <w:divsChild>
            <w:div w:id="632172227">
              <w:marLeft w:val="0"/>
              <w:marRight w:val="0"/>
              <w:marTop w:val="150"/>
              <w:marBottom w:val="75"/>
              <w:divBdr>
                <w:top w:val="none" w:sz="0" w:space="0" w:color="auto"/>
                <w:left w:val="none" w:sz="0" w:space="0" w:color="auto"/>
                <w:bottom w:val="none" w:sz="0" w:space="0" w:color="auto"/>
                <w:right w:val="none" w:sz="0" w:space="0" w:color="auto"/>
              </w:divBdr>
              <w:divsChild>
                <w:div w:id="197202772">
                  <w:marLeft w:val="0"/>
                  <w:marRight w:val="0"/>
                  <w:marTop w:val="0"/>
                  <w:marBottom w:val="0"/>
                  <w:divBdr>
                    <w:top w:val="none" w:sz="0" w:space="0" w:color="auto"/>
                    <w:left w:val="none" w:sz="0" w:space="0" w:color="auto"/>
                    <w:bottom w:val="none" w:sz="0" w:space="0" w:color="auto"/>
                    <w:right w:val="none" w:sz="0" w:space="0" w:color="auto"/>
                  </w:divBdr>
                </w:div>
                <w:div w:id="183905648">
                  <w:marLeft w:val="0"/>
                  <w:marRight w:val="0"/>
                  <w:marTop w:val="0"/>
                  <w:marBottom w:val="0"/>
                  <w:divBdr>
                    <w:top w:val="none" w:sz="0" w:space="0" w:color="auto"/>
                    <w:left w:val="none" w:sz="0" w:space="0" w:color="auto"/>
                    <w:bottom w:val="none" w:sz="0" w:space="0" w:color="auto"/>
                    <w:right w:val="none" w:sz="0" w:space="0" w:color="auto"/>
                  </w:divBdr>
                </w:div>
              </w:divsChild>
            </w:div>
            <w:div w:id="304822244">
              <w:marLeft w:val="0"/>
              <w:marRight w:val="0"/>
              <w:marTop w:val="0"/>
              <w:marBottom w:val="0"/>
              <w:divBdr>
                <w:top w:val="none" w:sz="0" w:space="0" w:color="auto"/>
                <w:left w:val="none" w:sz="0" w:space="0" w:color="auto"/>
                <w:bottom w:val="none" w:sz="0" w:space="0" w:color="auto"/>
                <w:right w:val="none" w:sz="0" w:space="0" w:color="auto"/>
              </w:divBdr>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1198394620">
                  <w:marLeft w:val="0"/>
                  <w:marRight w:val="0"/>
                  <w:marTop w:val="0"/>
                  <w:marBottom w:val="0"/>
                  <w:divBdr>
                    <w:top w:val="none" w:sz="0" w:space="0" w:color="auto"/>
                    <w:left w:val="none" w:sz="0" w:space="0" w:color="auto"/>
                    <w:bottom w:val="none" w:sz="0" w:space="0" w:color="auto"/>
                    <w:right w:val="none" w:sz="0" w:space="0" w:color="auto"/>
                  </w:divBdr>
                </w:div>
                <w:div w:id="529493685">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 w:id="412435073">
              <w:marLeft w:val="0"/>
              <w:marRight w:val="0"/>
              <w:marTop w:val="0"/>
              <w:marBottom w:val="0"/>
              <w:divBdr>
                <w:top w:val="none" w:sz="0" w:space="0" w:color="auto"/>
                <w:left w:val="none" w:sz="0" w:space="0" w:color="auto"/>
                <w:bottom w:val="none" w:sz="0" w:space="0" w:color="auto"/>
                <w:right w:val="none" w:sz="0" w:space="0" w:color="auto"/>
              </w:divBdr>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925795534">
                  <w:marLeft w:val="0"/>
                  <w:marRight w:val="0"/>
                  <w:marTop w:val="0"/>
                  <w:marBottom w:val="0"/>
                  <w:divBdr>
                    <w:top w:val="none" w:sz="0" w:space="0" w:color="auto"/>
                    <w:left w:val="none" w:sz="0" w:space="0" w:color="auto"/>
                    <w:bottom w:val="none" w:sz="0" w:space="0" w:color="auto"/>
                    <w:right w:val="none" w:sz="0" w:space="0" w:color="auto"/>
                  </w:divBdr>
                </w:div>
                <w:div w:id="1653096964">
                  <w:marLeft w:val="0"/>
                  <w:marRight w:val="0"/>
                  <w:marTop w:val="0"/>
                  <w:marBottom w:val="0"/>
                  <w:divBdr>
                    <w:top w:val="none" w:sz="0" w:space="0" w:color="auto"/>
                    <w:left w:val="none" w:sz="0" w:space="0" w:color="auto"/>
                    <w:bottom w:val="none" w:sz="0" w:space="0" w:color="auto"/>
                    <w:right w:val="none" w:sz="0" w:space="0" w:color="auto"/>
                  </w:divBdr>
                </w:div>
              </w:divsChild>
            </w:div>
            <w:div w:id="1851406332">
              <w:marLeft w:val="0"/>
              <w:marRight w:val="0"/>
              <w:marTop w:val="0"/>
              <w:marBottom w:val="0"/>
              <w:divBdr>
                <w:top w:val="none" w:sz="0" w:space="0" w:color="auto"/>
                <w:left w:val="none" w:sz="0" w:space="0" w:color="auto"/>
                <w:bottom w:val="none" w:sz="0" w:space="0" w:color="auto"/>
                <w:right w:val="none" w:sz="0" w:space="0" w:color="auto"/>
              </w:divBdr>
            </w:div>
            <w:div w:id="1354725483">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120953586">
                  <w:marLeft w:val="0"/>
                  <w:marRight w:val="0"/>
                  <w:marTop w:val="0"/>
                  <w:marBottom w:val="0"/>
                  <w:divBdr>
                    <w:top w:val="none" w:sz="0" w:space="0" w:color="auto"/>
                    <w:left w:val="none" w:sz="0" w:space="0" w:color="auto"/>
                    <w:bottom w:val="none" w:sz="0" w:space="0" w:color="auto"/>
                    <w:right w:val="none" w:sz="0" w:space="0" w:color="auto"/>
                  </w:divBdr>
                </w:div>
                <w:div w:id="285089778">
                  <w:marLeft w:val="0"/>
                  <w:marRight w:val="0"/>
                  <w:marTop w:val="0"/>
                  <w:marBottom w:val="0"/>
                  <w:divBdr>
                    <w:top w:val="none" w:sz="0" w:space="0" w:color="auto"/>
                    <w:left w:val="none" w:sz="0" w:space="0" w:color="auto"/>
                    <w:bottom w:val="none" w:sz="0" w:space="0" w:color="auto"/>
                    <w:right w:val="none" w:sz="0" w:space="0" w:color="auto"/>
                  </w:divBdr>
                </w:div>
              </w:divsChild>
            </w:div>
            <w:div w:id="1736851457">
              <w:marLeft w:val="0"/>
              <w:marRight w:val="0"/>
              <w:marTop w:val="0"/>
              <w:marBottom w:val="0"/>
              <w:divBdr>
                <w:top w:val="none" w:sz="0" w:space="0" w:color="auto"/>
                <w:left w:val="none" w:sz="0" w:space="0" w:color="auto"/>
                <w:bottom w:val="none" w:sz="0" w:space="0" w:color="auto"/>
                <w:right w:val="none" w:sz="0" w:space="0" w:color="auto"/>
              </w:divBdr>
            </w:div>
            <w:div w:id="197207507">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 w:id="1854221666">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 w:id="249391274">
              <w:marLeft w:val="0"/>
              <w:marRight w:val="0"/>
              <w:marTop w:val="0"/>
              <w:marBottom w:val="0"/>
              <w:divBdr>
                <w:top w:val="none" w:sz="0" w:space="0" w:color="auto"/>
                <w:left w:val="none" w:sz="0" w:space="0" w:color="auto"/>
                <w:bottom w:val="none" w:sz="0" w:space="0" w:color="auto"/>
                <w:right w:val="none" w:sz="0" w:space="0" w:color="auto"/>
              </w:divBdr>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4325164">
                  <w:marLeft w:val="0"/>
                  <w:marRight w:val="0"/>
                  <w:marTop w:val="0"/>
                  <w:marBottom w:val="0"/>
                  <w:divBdr>
                    <w:top w:val="none" w:sz="0" w:space="0" w:color="auto"/>
                    <w:left w:val="none" w:sz="0" w:space="0" w:color="auto"/>
                    <w:bottom w:val="none" w:sz="0" w:space="0" w:color="auto"/>
                    <w:right w:val="none" w:sz="0" w:space="0" w:color="auto"/>
                  </w:divBdr>
                </w:div>
                <w:div w:id="1380713410">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 w:id="682978775">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sites/default/files/2020-07/covid-19_and_face_masks_-_information_for_consumers.pdf" TargetMode="External"/><Relationship Id="rId39"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node/5725" TargetMode="External"/><Relationship Id="rId34" Type="http://schemas.openxmlformats.org/officeDocument/2006/relationships/image" Target="media/image3.jpeg"/><Relationship Id="rId42" Type="http://schemas.openxmlformats.org/officeDocument/2006/relationships/hyperlink" Target="https://www.aci.health.nsw.gov.au/covid-19/critical-intelligence-uni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hyperlink" Target="https://www.safetyandquality.gov.au/publications-and-resources/resource-library/covid-19-and-face-masks-information-consumers" TargetMode="External"/><Relationship Id="rId33" Type="http://schemas.openxmlformats.org/officeDocument/2006/relationships/hyperlink" Target="http://doi.org/10.1111/jpc.14989" TargetMode="External"/><Relationship Id="rId38" Type="http://schemas.openxmlformats.org/officeDocument/2006/relationships/hyperlink" Target="https://journals.sagepub.com/toc/jpxa/7/3"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4" TargetMode="External"/><Relationship Id="rId29" Type="http://schemas.openxmlformats.org/officeDocument/2006/relationships/hyperlink" Target="https://doi.org/10.1136/bmj.m2726" TargetMode="External"/><Relationship Id="rId41"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faqs-community-use-face-masks" TargetMode="External"/><Relationship Id="rId32" Type="http://schemas.openxmlformats.org/officeDocument/2006/relationships/hyperlink" Target="http://doi.org/10.33940/data/2020.6.3" TargetMode="External"/><Relationship Id="rId37" Type="http://schemas.openxmlformats.org/officeDocument/2006/relationships/hyperlink" Target="https://www.safetyandquality.gov.au/publications-and-resources/aura-reports-and-resources" TargetMode="External"/><Relationship Id="rId40" Type="http://schemas.openxmlformats.org/officeDocument/2006/relationships/hyperlink" Target="https://academic.oup.com/intqhc/advance-articl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special-precautions-covid-19-designated-zones" TargetMode="External"/><Relationship Id="rId28" Type="http://schemas.openxmlformats.org/officeDocument/2006/relationships/hyperlink" Target="https://www.immdsreview.org.uk/" TargetMode="External"/><Relationship Id="rId36" Type="http://schemas.openxmlformats.org/officeDocument/2006/relationships/hyperlink" Target="https://www.safetyandquality.gov.au/our-work/antimicrobial-stewardship"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covid-19-elective-surgery-and-infection-prevention-and-control-precautions" TargetMode="External"/><Relationship Id="rId31" Type="http://schemas.openxmlformats.org/officeDocument/2006/relationships/hyperlink" Target="https://doi.org/10.17226/25650" TargetMode="External"/><Relationship Id="rId44" Type="http://schemas.openxmlformats.org/officeDocument/2006/relationships/hyperlink" Target="https://www.nice.org.uk/guidance/qs193"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infection-prevention-and-control-covid-19-personal-protective-equipment" TargetMode="External"/><Relationship Id="rId27" Type="http://schemas.openxmlformats.org/officeDocument/2006/relationships/image" Target="media/image2.png"/><Relationship Id="rId30" Type="http://schemas.openxmlformats.org/officeDocument/2006/relationships/hyperlink" Target="https://www.nationalacademies.org/our-work/evidence-based-practices-for-public-health-emergency-preparedness-and-response-assessment-of-and-recommendations-for-the-field" TargetMode="External"/><Relationship Id="rId35" Type="http://schemas.openxmlformats.org/officeDocument/2006/relationships/hyperlink" Target="https://doi.org/10.1093/jacamr/dlaa041" TargetMode="External"/><Relationship Id="rId43" Type="http://schemas.openxmlformats.org/officeDocument/2006/relationships/hyperlink" Target="https://www.nice.org.uk/guidanc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A053-FAB3-4509-ABDE-A3091173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3293</Words>
  <Characters>21669</Characters>
  <Application>Microsoft Office Word</Application>
  <DocSecurity>0</DocSecurity>
  <Lines>442</Lines>
  <Paragraphs>213</Paragraphs>
  <ScaleCrop>false</ScaleCrop>
  <HeadingPairs>
    <vt:vector size="2" baseType="variant">
      <vt:variant>
        <vt:lpstr>Title</vt:lpstr>
      </vt:variant>
      <vt:variant>
        <vt:i4>1</vt:i4>
      </vt:variant>
    </vt:vector>
  </HeadingPairs>
  <TitlesOfParts>
    <vt:vector size="1" baseType="lpstr">
      <vt:lpstr>On the Radar Issue 473</vt:lpstr>
    </vt:vector>
  </TitlesOfParts>
  <Company>ACSQHC</Company>
  <LinksUpToDate>false</LinksUpToDate>
  <CharactersWithSpaces>24749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473</dc:title>
  <dc:subject/>
  <dc:creator>Dr Niall Johnson</dc:creator>
  <cp:keywords/>
  <dc:description/>
  <cp:lastModifiedBy>Johnson, Niall</cp:lastModifiedBy>
  <cp:revision>15</cp:revision>
  <cp:lastPrinted>2018-03-02T02:34:00Z</cp:lastPrinted>
  <dcterms:created xsi:type="dcterms:W3CDTF">2020-07-12T22:44:00Z</dcterms:created>
  <dcterms:modified xsi:type="dcterms:W3CDTF">2020-07-17T03:03:00Z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