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8F3909">
        <w:rPr>
          <w:rFonts w:ascii="Garamond" w:hAnsi="Garamond"/>
          <w:lang w:val="en-AU"/>
        </w:rPr>
        <w:t>83</w:t>
      </w:r>
    </w:p>
    <w:p w:rsidR="00755242" w:rsidRDefault="008F3909" w:rsidP="00F738B5">
      <w:pPr>
        <w:rPr>
          <w:rFonts w:ascii="Garamond" w:hAnsi="Garamond"/>
          <w:lang w:val="en-AU"/>
        </w:rPr>
      </w:pPr>
      <w:r>
        <w:rPr>
          <w:rFonts w:ascii="Garamond" w:hAnsi="Garamond"/>
          <w:lang w:val="en-AU"/>
        </w:rPr>
        <w:t>28</w:t>
      </w:r>
      <w:r w:rsidR="00872A09">
        <w:rPr>
          <w:rFonts w:ascii="Garamond" w:hAnsi="Garamond"/>
          <w:lang w:val="en-AU"/>
        </w:rPr>
        <w:t xml:space="preserve"> September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E671E7">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C54347">
      <w:pPr>
        <w:pStyle w:val="ListParagraph"/>
        <w:numPr>
          <w:ilvl w:val="1"/>
          <w:numId w:val="17"/>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5B54DD">
      <w:pPr>
        <w:pStyle w:val="ListParagraph"/>
        <w:numPr>
          <w:ilvl w:val="1"/>
          <w:numId w:val="17"/>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p>
    <w:p w:rsidR="00304786" w:rsidRDefault="00304786" w:rsidP="00E34A10">
      <w:pPr>
        <w:keepNext/>
        <w:keepLines/>
        <w:autoSpaceDE w:val="0"/>
        <w:autoSpaceDN w:val="0"/>
        <w:adjustRightInd w:val="0"/>
        <w:rPr>
          <w:rFonts w:ascii="Garamond" w:hAnsi="Garamond"/>
          <w:b/>
          <w:lang w:val="en-AU"/>
        </w:rPr>
      </w:pPr>
      <w:r w:rsidRPr="00304786">
        <w:rPr>
          <w:rFonts w:ascii="Garamond" w:hAnsi="Garamond"/>
          <w:b/>
          <w:lang w:val="en-AU"/>
        </w:rPr>
        <w:lastRenderedPageBreak/>
        <w:t>Antimicrobial medicines dispensing from 2013–14 to 2017–18</w:t>
      </w:r>
    </w:p>
    <w:p w:rsidR="00304786" w:rsidRPr="00304786" w:rsidRDefault="004A6731" w:rsidP="00E34A10">
      <w:pPr>
        <w:keepNext/>
        <w:keepLines/>
        <w:autoSpaceDE w:val="0"/>
        <w:autoSpaceDN w:val="0"/>
        <w:adjustRightInd w:val="0"/>
        <w:rPr>
          <w:rFonts w:ascii="Garamond" w:hAnsi="Garamond"/>
          <w:lang w:val="en-AU"/>
        </w:rPr>
      </w:pPr>
      <w:hyperlink r:id="rId35" w:history="1">
        <w:r w:rsidR="00304786" w:rsidRPr="00304786">
          <w:rPr>
            <w:rStyle w:val="Hyperlink"/>
            <w:rFonts w:ascii="Garamond" w:hAnsi="Garamond"/>
            <w:lang w:val="en-AU"/>
          </w:rPr>
          <w:t>https://www.safetyandquality.gov.au/our-work/healthcare-variation/antimicrobial-medicines-dispensing-2013-14-2017-18</w:t>
        </w:r>
      </w:hyperlink>
    </w:p>
    <w:p w:rsidR="00304786" w:rsidRDefault="00304786" w:rsidP="00E34A10">
      <w:pPr>
        <w:keepNext/>
        <w:keepLines/>
        <w:autoSpaceDE w:val="0"/>
        <w:autoSpaceDN w:val="0"/>
        <w:adjustRightInd w:val="0"/>
        <w:rPr>
          <w:rFonts w:ascii="Garamond" w:hAnsi="Garamond"/>
          <w:lang w:val="en-AU"/>
        </w:rPr>
      </w:pPr>
    </w:p>
    <w:p w:rsidR="009D5646" w:rsidRDefault="009D5646" w:rsidP="009D5646">
      <w:pPr>
        <w:keepNext/>
        <w:keepLines/>
        <w:autoSpaceDE w:val="0"/>
        <w:autoSpaceDN w:val="0"/>
        <w:adjustRightInd w:val="0"/>
        <w:rPr>
          <w:rFonts w:ascii="Garamond" w:hAnsi="Garamond"/>
          <w:lang w:val="en-AU"/>
        </w:rPr>
      </w:pPr>
      <w:r w:rsidRPr="009D5646">
        <w:rPr>
          <w:rFonts w:ascii="Garamond" w:hAnsi="Garamond"/>
          <w:lang w:val="en-AU"/>
        </w:rPr>
        <w:t>The Australian Commission on Safety and Quality in Health Care has released a new report on antimicrobial medicines use in Australia that has revealed a sustained pattern of high use in some of the most disadvantaged areas of major cities.</w:t>
      </w:r>
    </w:p>
    <w:p w:rsidR="009D5646" w:rsidRPr="009D5646" w:rsidRDefault="009D5646" w:rsidP="009D5646">
      <w:pPr>
        <w:keepNext/>
        <w:keepLines/>
        <w:autoSpaceDE w:val="0"/>
        <w:autoSpaceDN w:val="0"/>
        <w:adjustRightInd w:val="0"/>
        <w:rPr>
          <w:rFonts w:ascii="Garamond" w:hAnsi="Garamond"/>
          <w:lang w:val="en-AU"/>
        </w:rPr>
      </w:pPr>
    </w:p>
    <w:p w:rsidR="009D5646" w:rsidRDefault="009D5646" w:rsidP="009D5646">
      <w:pPr>
        <w:keepNext/>
        <w:keepLines/>
        <w:autoSpaceDE w:val="0"/>
        <w:autoSpaceDN w:val="0"/>
        <w:adjustRightInd w:val="0"/>
        <w:rPr>
          <w:rFonts w:ascii="Garamond" w:hAnsi="Garamond"/>
          <w:lang w:val="en-AU"/>
        </w:rPr>
      </w:pPr>
      <w:r w:rsidRPr="009D5646">
        <w:rPr>
          <w:rFonts w:ascii="Garamond" w:hAnsi="Garamond"/>
          <w:lang w:val="en-AU"/>
        </w:rPr>
        <w:t xml:space="preserve">The </w:t>
      </w:r>
      <w:r w:rsidRPr="009D5646">
        <w:rPr>
          <w:rFonts w:ascii="Garamond" w:hAnsi="Garamond"/>
          <w:i/>
          <w:lang w:val="en-AU"/>
        </w:rPr>
        <w:t>Antimicrobial Medicines Dispensing from 2013–14 to 2017–18</w:t>
      </w:r>
      <w:r w:rsidRPr="009D5646">
        <w:rPr>
          <w:rFonts w:ascii="Garamond" w:hAnsi="Garamond"/>
          <w:lang w:val="en-AU"/>
        </w:rPr>
        <w:t xml:space="preserve"> report also has some encouraging findings, with a downward trend in national antimicrobial dispensing rates, wh</w:t>
      </w:r>
      <w:r>
        <w:rPr>
          <w:rFonts w:ascii="Garamond" w:hAnsi="Garamond"/>
          <w:lang w:val="en-AU"/>
        </w:rPr>
        <w:t>ich fell 13.3% over five years.</w:t>
      </w:r>
    </w:p>
    <w:p w:rsidR="009D5646" w:rsidRPr="009D5646" w:rsidRDefault="009D5646" w:rsidP="009D5646">
      <w:pPr>
        <w:keepNext/>
        <w:keepLines/>
        <w:autoSpaceDE w:val="0"/>
        <w:autoSpaceDN w:val="0"/>
        <w:adjustRightInd w:val="0"/>
        <w:rPr>
          <w:rFonts w:ascii="Garamond" w:hAnsi="Garamond"/>
          <w:lang w:val="en-AU"/>
        </w:rPr>
      </w:pPr>
    </w:p>
    <w:p w:rsidR="00304786" w:rsidRDefault="009D5646" w:rsidP="009D5646">
      <w:pPr>
        <w:keepNext/>
        <w:keepLines/>
        <w:autoSpaceDE w:val="0"/>
        <w:autoSpaceDN w:val="0"/>
        <w:adjustRightInd w:val="0"/>
        <w:rPr>
          <w:rFonts w:ascii="Garamond" w:hAnsi="Garamond"/>
          <w:lang w:val="en-AU"/>
        </w:rPr>
      </w:pPr>
      <w:r w:rsidRPr="009D5646">
        <w:rPr>
          <w:rFonts w:ascii="Garamond" w:hAnsi="Garamond"/>
          <w:lang w:val="en-AU"/>
        </w:rPr>
        <w:t xml:space="preserve">For the first time, the new-format interactive report analyses antimicrobial dispensing over five years at a range of levels – national, state and territory, Primary Health Network (PHN) and local area. The report builds on the findings of the </w:t>
      </w:r>
      <w:r w:rsidRPr="009D5646">
        <w:rPr>
          <w:rFonts w:ascii="Garamond" w:hAnsi="Garamond"/>
          <w:i/>
          <w:lang w:val="en-AU"/>
        </w:rPr>
        <w:t>Third Australian Atlas of Healthcare Variation</w:t>
      </w:r>
      <w:r w:rsidRPr="009D5646">
        <w:rPr>
          <w:rFonts w:ascii="Garamond" w:hAnsi="Garamond"/>
          <w:lang w:val="en-AU"/>
        </w:rPr>
        <w:t>, which examined antimicrobial medicines dispensing from 2013–14 to 2016–17.</w:t>
      </w:r>
    </w:p>
    <w:p w:rsidR="00304786" w:rsidRDefault="00304786" w:rsidP="00E34A10">
      <w:pPr>
        <w:keepNext/>
        <w:keepLines/>
        <w:autoSpaceDE w:val="0"/>
        <w:autoSpaceDN w:val="0"/>
        <w:adjustRightInd w:val="0"/>
        <w:rPr>
          <w:rFonts w:ascii="Garamond" w:hAnsi="Garamond"/>
          <w:lang w:val="en-AU"/>
        </w:rPr>
      </w:pPr>
    </w:p>
    <w:p w:rsidR="009D5646" w:rsidRDefault="009D5646" w:rsidP="009D5646">
      <w:pPr>
        <w:keepNext/>
        <w:keepLines/>
        <w:autoSpaceDE w:val="0"/>
        <w:autoSpaceDN w:val="0"/>
        <w:adjustRightInd w:val="0"/>
        <w:rPr>
          <w:rFonts w:ascii="Garamond" w:hAnsi="Garamond"/>
          <w:lang w:val="en-AU"/>
        </w:rPr>
      </w:pPr>
      <w:r w:rsidRPr="009D5646">
        <w:rPr>
          <w:rFonts w:ascii="Garamond" w:hAnsi="Garamond"/>
          <w:lang w:val="en-AU"/>
        </w:rPr>
        <w:t>Data from the interactive report can be used by health service organisations, PHNs, general practitioners and other clinicians to review rates of antimicrobial dispensing in their local area and compare them wi</w:t>
      </w:r>
      <w:r>
        <w:rPr>
          <w:rFonts w:ascii="Garamond" w:hAnsi="Garamond"/>
          <w:lang w:val="en-AU"/>
        </w:rPr>
        <w:t>th the rates for similar areas.</w:t>
      </w:r>
    </w:p>
    <w:p w:rsidR="009D5646" w:rsidRPr="009D5646" w:rsidRDefault="009D5646" w:rsidP="009D5646">
      <w:pPr>
        <w:keepNext/>
        <w:keepLines/>
        <w:autoSpaceDE w:val="0"/>
        <w:autoSpaceDN w:val="0"/>
        <w:adjustRightInd w:val="0"/>
        <w:rPr>
          <w:rFonts w:ascii="Garamond" w:hAnsi="Garamond"/>
          <w:lang w:val="en-AU"/>
        </w:rPr>
      </w:pPr>
    </w:p>
    <w:p w:rsidR="009D5646" w:rsidRDefault="009D5646" w:rsidP="009D5646">
      <w:pPr>
        <w:keepNext/>
        <w:keepLines/>
        <w:autoSpaceDE w:val="0"/>
        <w:autoSpaceDN w:val="0"/>
        <w:adjustRightInd w:val="0"/>
        <w:rPr>
          <w:rFonts w:ascii="Garamond" w:hAnsi="Garamond"/>
          <w:lang w:val="en-AU"/>
        </w:rPr>
      </w:pPr>
      <w:r w:rsidRPr="009D5646">
        <w:rPr>
          <w:rFonts w:ascii="Garamond" w:hAnsi="Garamond"/>
          <w:lang w:val="en-AU"/>
        </w:rPr>
        <w:t>The report helps identify areas that may benefit from further investigation and targeted strategies to improve appropriate prescrib</w:t>
      </w:r>
      <w:r>
        <w:rPr>
          <w:rFonts w:ascii="Garamond" w:hAnsi="Garamond"/>
          <w:lang w:val="en-AU"/>
        </w:rPr>
        <w:t>ing of antimicrobial medicines.</w:t>
      </w:r>
    </w:p>
    <w:p w:rsidR="009D5646" w:rsidRPr="009D5646" w:rsidRDefault="009D5646" w:rsidP="009D5646">
      <w:pPr>
        <w:keepNext/>
        <w:keepLines/>
        <w:autoSpaceDE w:val="0"/>
        <w:autoSpaceDN w:val="0"/>
        <w:adjustRightInd w:val="0"/>
        <w:rPr>
          <w:rFonts w:ascii="Garamond" w:hAnsi="Garamond"/>
          <w:lang w:val="en-AU"/>
        </w:rPr>
      </w:pPr>
    </w:p>
    <w:p w:rsidR="009D5646" w:rsidRDefault="009D5646" w:rsidP="009D5646">
      <w:pPr>
        <w:keepNext/>
        <w:keepLines/>
        <w:autoSpaceDE w:val="0"/>
        <w:autoSpaceDN w:val="0"/>
        <w:adjustRightInd w:val="0"/>
        <w:rPr>
          <w:rFonts w:ascii="Garamond" w:hAnsi="Garamond"/>
          <w:lang w:val="en-AU"/>
        </w:rPr>
      </w:pPr>
      <w:r w:rsidRPr="009D5646">
        <w:rPr>
          <w:rFonts w:ascii="Garamond" w:hAnsi="Garamond"/>
          <w:lang w:val="en-AU"/>
        </w:rPr>
        <w:t>Australia’s antimicrobial prescription rate remains high by international standards, and is double that of comparable OECD countries such as The Netherlands and Sweden.</w:t>
      </w:r>
      <w:r>
        <w:rPr>
          <w:rFonts w:ascii="Garamond" w:hAnsi="Garamond"/>
          <w:lang w:val="en-AU"/>
        </w:rPr>
        <w:t xml:space="preserve"> </w:t>
      </w:r>
      <w:r w:rsidRPr="009D5646">
        <w:rPr>
          <w:rFonts w:ascii="Garamond" w:hAnsi="Garamond"/>
          <w:lang w:val="en-AU"/>
        </w:rPr>
        <w:t>While there has been a modest decline in antimicrobial use over the past five years, the report indicates potential overuse in some geographical areas. Outer areas of Sydney, Brisbane and Melbourne were found to have the highest rates of antimicrobi</w:t>
      </w:r>
      <w:r>
        <w:rPr>
          <w:rFonts w:ascii="Garamond" w:hAnsi="Garamond"/>
          <w:lang w:val="en-AU"/>
        </w:rPr>
        <w:t>al dispensing year after year.</w:t>
      </w:r>
    </w:p>
    <w:p w:rsidR="009D5646" w:rsidRDefault="009D5646" w:rsidP="009D5646">
      <w:pPr>
        <w:keepNext/>
        <w:keepLines/>
        <w:autoSpaceDE w:val="0"/>
        <w:autoSpaceDN w:val="0"/>
        <w:adjustRightInd w:val="0"/>
        <w:rPr>
          <w:rFonts w:ascii="Garamond" w:hAnsi="Garamond"/>
          <w:lang w:val="en-AU"/>
        </w:rPr>
      </w:pPr>
    </w:p>
    <w:p w:rsidR="009D5646" w:rsidRDefault="009D5646" w:rsidP="009D5646">
      <w:pPr>
        <w:keepNext/>
        <w:keepLines/>
        <w:autoSpaceDE w:val="0"/>
        <w:autoSpaceDN w:val="0"/>
        <w:adjustRightInd w:val="0"/>
        <w:jc w:val="center"/>
        <w:rPr>
          <w:rFonts w:ascii="Garamond" w:hAnsi="Garamond"/>
          <w:lang w:val="en-AU"/>
        </w:rPr>
      </w:pPr>
      <w:r>
        <w:rPr>
          <w:rFonts w:ascii="Garamond" w:hAnsi="Garamond"/>
          <w:noProof/>
          <w:lang w:val="en-AU" w:eastAsia="en-AU"/>
        </w:rPr>
        <w:drawing>
          <wp:inline distT="0" distB="0" distL="0" distR="0">
            <wp:extent cx="4134679" cy="3712953"/>
            <wp:effectExtent l="0" t="0" r="0" b="1905"/>
            <wp:docPr id="6" name="Picture 6" title="Part of infographic on antimicrobial medicines dispensi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ownloads\Antimicrobials.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53288" cy="3729664"/>
                    </a:xfrm>
                    <a:prstGeom prst="rect">
                      <a:avLst/>
                    </a:prstGeom>
                    <a:noFill/>
                    <a:ln>
                      <a:noFill/>
                    </a:ln>
                  </pic:spPr>
                </pic:pic>
              </a:graphicData>
            </a:graphic>
          </wp:inline>
        </w:drawing>
      </w:r>
    </w:p>
    <w:p w:rsidR="008F3909" w:rsidRPr="00EF0B67"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Reports</w:t>
      </w:r>
    </w:p>
    <w:p w:rsidR="008F3909" w:rsidRDefault="008F3909" w:rsidP="008F3909">
      <w:pPr>
        <w:keepNext/>
        <w:keepLines/>
        <w:autoSpaceDE w:val="0"/>
        <w:autoSpaceDN w:val="0"/>
        <w:adjustRightInd w:val="0"/>
        <w:rPr>
          <w:rFonts w:ascii="Garamond" w:hAnsi="Garamond"/>
          <w:i/>
          <w:lang w:val="en-AU"/>
        </w:rPr>
      </w:pPr>
    </w:p>
    <w:p w:rsidR="00441A98" w:rsidRDefault="00441A98" w:rsidP="008F3909">
      <w:pPr>
        <w:keepNext/>
        <w:keepLines/>
        <w:autoSpaceDE w:val="0"/>
        <w:autoSpaceDN w:val="0"/>
        <w:adjustRightInd w:val="0"/>
        <w:rPr>
          <w:rFonts w:ascii="Garamond" w:hAnsi="Garamond"/>
          <w:i/>
          <w:lang w:val="en-AU"/>
        </w:rPr>
      </w:pPr>
      <w:r w:rsidRPr="00441A98">
        <w:rPr>
          <w:rFonts w:ascii="Garamond" w:hAnsi="Garamond"/>
          <w:i/>
          <w:lang w:val="en-AU"/>
        </w:rPr>
        <w:t>What influences improvement processes in healthcare? A rapid evidence review</w:t>
      </w:r>
    </w:p>
    <w:p w:rsidR="00B13FDC" w:rsidRDefault="00B13FDC" w:rsidP="008F3909">
      <w:pPr>
        <w:keepNext/>
        <w:keepLines/>
        <w:autoSpaceDE w:val="0"/>
        <w:autoSpaceDN w:val="0"/>
        <w:adjustRightInd w:val="0"/>
        <w:rPr>
          <w:rFonts w:ascii="Garamond" w:hAnsi="Garamond"/>
          <w:lang w:val="en-AU"/>
        </w:rPr>
      </w:pPr>
      <w:r w:rsidRPr="00B13FDC">
        <w:rPr>
          <w:rFonts w:ascii="Garamond" w:hAnsi="Garamond"/>
          <w:lang w:val="en-AU"/>
        </w:rPr>
        <w:t>Ali G-C, Altenhofer M, Gloinson ER, Marjanovic S</w:t>
      </w:r>
    </w:p>
    <w:p w:rsidR="00441A98" w:rsidRPr="00B13FDC" w:rsidRDefault="00B13FDC" w:rsidP="008F3909">
      <w:pPr>
        <w:keepNext/>
        <w:keepLines/>
        <w:autoSpaceDE w:val="0"/>
        <w:autoSpaceDN w:val="0"/>
        <w:adjustRightInd w:val="0"/>
        <w:rPr>
          <w:rFonts w:ascii="Garamond" w:hAnsi="Garamond"/>
          <w:lang w:val="en-AU"/>
        </w:rPr>
      </w:pPr>
      <w:r w:rsidRPr="00B13FDC">
        <w:rPr>
          <w:rFonts w:ascii="Garamond" w:hAnsi="Garamond"/>
          <w:lang w:val="en-AU"/>
        </w:rPr>
        <w:t>Santa Monica and Cambridge: RAND Corporation; 2020. p. 106.</w:t>
      </w:r>
    </w:p>
    <w:tbl>
      <w:tblPr>
        <w:tblStyle w:val="TableGrid"/>
        <w:tblW w:w="9360" w:type="dxa"/>
        <w:tblInd w:w="288" w:type="dxa"/>
        <w:tblLayout w:type="fixed"/>
        <w:tblLook w:val="01E0" w:firstRow="1" w:lastRow="1" w:firstColumn="1" w:lastColumn="1" w:noHBand="0" w:noVBand="0"/>
      </w:tblPr>
      <w:tblGrid>
        <w:gridCol w:w="1080"/>
        <w:gridCol w:w="8280"/>
      </w:tblGrid>
      <w:tr w:rsidR="00441A98"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441A98" w:rsidRPr="000170DA" w:rsidRDefault="00441A98" w:rsidP="002151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52D7B" w:rsidRPr="000170DA" w:rsidRDefault="004A6731" w:rsidP="00352D7B">
            <w:pPr>
              <w:keepNext/>
              <w:rPr>
                <w:rStyle w:val="Hyperlink"/>
                <w:rFonts w:ascii="Garamond" w:hAnsi="Garamond"/>
                <w:color w:val="auto"/>
                <w:u w:val="none"/>
                <w:lang w:val="en-AU"/>
              </w:rPr>
            </w:pPr>
            <w:hyperlink r:id="rId38" w:history="1">
              <w:r w:rsidR="00B13FDC" w:rsidRPr="00946E91">
                <w:rPr>
                  <w:rStyle w:val="Hyperlink"/>
                  <w:rFonts w:ascii="Garamond" w:hAnsi="Garamond"/>
                  <w:lang w:val="en-AU"/>
                </w:rPr>
                <w:t>https://www.rand.org/pubs/research_reports/RRA440-1.html</w:t>
              </w:r>
            </w:hyperlink>
          </w:p>
        </w:tc>
      </w:tr>
      <w:tr w:rsidR="00441A98"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441A98" w:rsidRPr="000170DA" w:rsidRDefault="00441A98" w:rsidP="002151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3FDC" w:rsidRPr="00B13FDC" w:rsidRDefault="00B13FDC" w:rsidP="00B13FDC">
            <w:pPr>
              <w:rPr>
                <w:rFonts w:ascii="Garamond" w:hAnsi="Garamond"/>
                <w:lang w:val="en-AU"/>
              </w:rPr>
            </w:pPr>
            <w:r w:rsidRPr="00B13FDC">
              <w:rPr>
                <w:rFonts w:ascii="Garamond" w:hAnsi="Garamond"/>
                <w:lang w:val="en-AU"/>
              </w:rPr>
              <w:t>The</w:t>
            </w:r>
            <w:r>
              <w:rPr>
                <w:rFonts w:ascii="Garamond" w:hAnsi="Garamond"/>
                <w:lang w:val="en-AU"/>
              </w:rPr>
              <w:t xml:space="preserve"> </w:t>
            </w:r>
            <w:r w:rsidRPr="00B13FDC">
              <w:rPr>
                <w:rFonts w:ascii="Garamond" w:hAnsi="Garamond"/>
                <w:lang w:val="en-AU"/>
              </w:rPr>
              <w:t>Healthcare Improvement Studies (THIS)</w:t>
            </w:r>
            <w:r>
              <w:rPr>
                <w:rFonts w:ascii="Garamond" w:hAnsi="Garamond"/>
                <w:lang w:val="en-AU"/>
              </w:rPr>
              <w:t xml:space="preserve"> </w:t>
            </w:r>
            <w:r w:rsidRPr="00B13FDC">
              <w:rPr>
                <w:rFonts w:ascii="Garamond" w:hAnsi="Garamond"/>
                <w:lang w:val="en-AU"/>
              </w:rPr>
              <w:t>Institute at the University of Cambridg</w:t>
            </w:r>
            <w:r>
              <w:rPr>
                <w:rFonts w:ascii="Garamond" w:hAnsi="Garamond"/>
                <w:lang w:val="en-AU"/>
              </w:rPr>
              <w:t xml:space="preserve">e commissioned </w:t>
            </w:r>
            <w:r w:rsidR="00D65744">
              <w:rPr>
                <w:rFonts w:ascii="Garamond" w:hAnsi="Garamond"/>
                <w:lang w:val="en-AU"/>
              </w:rPr>
              <w:t xml:space="preserve">RAND Europe </w:t>
            </w:r>
            <w:r>
              <w:rPr>
                <w:rFonts w:ascii="Garamond" w:hAnsi="Garamond"/>
                <w:lang w:val="en-AU"/>
              </w:rPr>
              <w:t xml:space="preserve">to </w:t>
            </w:r>
            <w:r w:rsidRPr="00B13FDC">
              <w:rPr>
                <w:rFonts w:ascii="Garamond" w:hAnsi="Garamond"/>
                <w:lang w:val="en-AU"/>
              </w:rPr>
              <w:t>conduct a rapid review of academic reviews</w:t>
            </w:r>
            <w:r>
              <w:rPr>
                <w:rFonts w:ascii="Garamond" w:hAnsi="Garamond"/>
                <w:lang w:val="en-AU"/>
              </w:rPr>
              <w:t xml:space="preserve"> </w:t>
            </w:r>
            <w:r w:rsidRPr="00B13FDC">
              <w:rPr>
                <w:rFonts w:ascii="Garamond" w:hAnsi="Garamond"/>
                <w:lang w:val="en-AU"/>
              </w:rPr>
              <w:t>and grey literature covering the influences on</w:t>
            </w:r>
            <w:r>
              <w:rPr>
                <w:rFonts w:ascii="Garamond" w:hAnsi="Garamond"/>
                <w:lang w:val="en-AU"/>
              </w:rPr>
              <w:t xml:space="preserve"> </w:t>
            </w:r>
            <w:r w:rsidRPr="00B13FDC">
              <w:rPr>
                <w:rFonts w:ascii="Garamond" w:hAnsi="Garamond"/>
                <w:lang w:val="en-AU"/>
              </w:rPr>
              <w:t>improvement processes in healthcare</w:t>
            </w:r>
            <w:r>
              <w:rPr>
                <w:rFonts w:ascii="Garamond" w:hAnsi="Garamond"/>
                <w:lang w:val="en-AU"/>
              </w:rPr>
              <w:t xml:space="preserve">. Based on 38 academic and 16 grey literature publications, the review found </w:t>
            </w:r>
            <w:r w:rsidRPr="00B13FDC">
              <w:rPr>
                <w:rFonts w:ascii="Garamond" w:hAnsi="Garamond"/>
                <w:lang w:val="en-AU"/>
              </w:rPr>
              <w:t>six key factors influence the implementation of improvement efforts:</w:t>
            </w:r>
          </w:p>
          <w:p w:rsidR="00B13FDC" w:rsidRPr="00B13FDC" w:rsidRDefault="00B13FDC" w:rsidP="00B13FDC">
            <w:pPr>
              <w:pStyle w:val="ListParagraph"/>
              <w:numPr>
                <w:ilvl w:val="0"/>
                <w:numId w:val="31"/>
              </w:numPr>
              <w:rPr>
                <w:rFonts w:ascii="Garamond" w:hAnsi="Garamond"/>
                <w:lang w:val="en-AU"/>
              </w:rPr>
            </w:pPr>
            <w:r w:rsidRPr="00B13FDC">
              <w:rPr>
                <w:rFonts w:ascii="Garamond" w:hAnsi="Garamond"/>
                <w:lang w:val="en-AU"/>
              </w:rPr>
              <w:t>Leadership</w:t>
            </w:r>
          </w:p>
          <w:p w:rsidR="00B13FDC" w:rsidRPr="00B13FDC" w:rsidRDefault="00B13FDC" w:rsidP="00B13FDC">
            <w:pPr>
              <w:pStyle w:val="ListParagraph"/>
              <w:numPr>
                <w:ilvl w:val="0"/>
                <w:numId w:val="31"/>
              </w:numPr>
              <w:rPr>
                <w:rFonts w:ascii="Garamond" w:hAnsi="Garamond"/>
                <w:lang w:val="en-AU"/>
              </w:rPr>
            </w:pPr>
            <w:r w:rsidRPr="00B13FDC">
              <w:rPr>
                <w:rFonts w:ascii="Garamond" w:hAnsi="Garamond"/>
                <w:lang w:val="en-AU"/>
              </w:rPr>
              <w:t>Relationships and interactions that support an improvement culture</w:t>
            </w:r>
          </w:p>
          <w:p w:rsidR="00B13FDC" w:rsidRPr="00B13FDC" w:rsidRDefault="00B13FDC" w:rsidP="00B13FDC">
            <w:pPr>
              <w:pStyle w:val="ListParagraph"/>
              <w:numPr>
                <w:ilvl w:val="0"/>
                <w:numId w:val="31"/>
              </w:numPr>
              <w:rPr>
                <w:rFonts w:ascii="Garamond" w:hAnsi="Garamond"/>
                <w:lang w:val="en-AU"/>
              </w:rPr>
            </w:pPr>
            <w:r w:rsidRPr="00B13FDC">
              <w:rPr>
                <w:rFonts w:ascii="Garamond" w:hAnsi="Garamond"/>
                <w:lang w:val="en-AU"/>
              </w:rPr>
              <w:t>Skills and competencies</w:t>
            </w:r>
          </w:p>
          <w:p w:rsidR="00B13FDC" w:rsidRPr="00B13FDC" w:rsidRDefault="00B13FDC" w:rsidP="00B13FDC">
            <w:pPr>
              <w:pStyle w:val="ListParagraph"/>
              <w:numPr>
                <w:ilvl w:val="0"/>
                <w:numId w:val="31"/>
              </w:numPr>
              <w:rPr>
                <w:rFonts w:ascii="Garamond" w:hAnsi="Garamond"/>
                <w:lang w:val="en-AU"/>
              </w:rPr>
            </w:pPr>
            <w:r w:rsidRPr="00B13FDC">
              <w:rPr>
                <w:rFonts w:ascii="Garamond" w:hAnsi="Garamond"/>
                <w:lang w:val="en-AU"/>
              </w:rPr>
              <w:t>Use of data</w:t>
            </w:r>
          </w:p>
          <w:p w:rsidR="00B13FDC" w:rsidRPr="00B13FDC" w:rsidRDefault="00B13FDC" w:rsidP="00B13FDC">
            <w:pPr>
              <w:pStyle w:val="ListParagraph"/>
              <w:numPr>
                <w:ilvl w:val="0"/>
                <w:numId w:val="31"/>
              </w:numPr>
              <w:rPr>
                <w:rFonts w:ascii="Garamond" w:hAnsi="Garamond"/>
                <w:lang w:val="en-AU"/>
              </w:rPr>
            </w:pPr>
            <w:r w:rsidRPr="00B13FDC">
              <w:rPr>
                <w:rFonts w:ascii="Garamond" w:hAnsi="Garamond"/>
                <w:lang w:val="en-AU"/>
              </w:rPr>
              <w:t>Patient and public involvement, engagement and participation</w:t>
            </w:r>
          </w:p>
          <w:p w:rsidR="00B13FDC" w:rsidRPr="00B13FDC" w:rsidRDefault="00B13FDC" w:rsidP="00B13FDC">
            <w:pPr>
              <w:pStyle w:val="ListParagraph"/>
              <w:numPr>
                <w:ilvl w:val="0"/>
                <w:numId w:val="31"/>
              </w:numPr>
              <w:rPr>
                <w:rFonts w:ascii="Garamond" w:hAnsi="Garamond"/>
                <w:lang w:val="en-AU"/>
              </w:rPr>
            </w:pPr>
            <w:r w:rsidRPr="00B13FDC">
              <w:rPr>
                <w:rFonts w:ascii="Garamond" w:hAnsi="Garamond"/>
                <w:lang w:val="en-AU"/>
              </w:rPr>
              <w:t>Working as an interconnected system of individuals and organisations, influenced by internal and external contexts.</w:t>
            </w:r>
          </w:p>
        </w:tc>
      </w:tr>
    </w:tbl>
    <w:p w:rsidR="00441A98" w:rsidRDefault="00441A98" w:rsidP="008F3909">
      <w:pPr>
        <w:keepNext/>
        <w:keepLines/>
        <w:autoSpaceDE w:val="0"/>
        <w:autoSpaceDN w:val="0"/>
        <w:adjustRightInd w:val="0"/>
        <w:rPr>
          <w:rFonts w:ascii="Garamond" w:hAnsi="Garamond"/>
          <w:i/>
          <w:lang w:val="en-AU"/>
        </w:rPr>
      </w:pPr>
    </w:p>
    <w:p w:rsidR="00CC4F2C" w:rsidRDefault="00CC4F2C" w:rsidP="008F3909">
      <w:pPr>
        <w:keepNext/>
        <w:keepLines/>
        <w:autoSpaceDE w:val="0"/>
        <w:autoSpaceDN w:val="0"/>
        <w:adjustRightInd w:val="0"/>
        <w:rPr>
          <w:rFonts w:ascii="Garamond" w:hAnsi="Garamond"/>
          <w:i/>
          <w:lang w:val="en-AU"/>
        </w:rPr>
      </w:pPr>
      <w:r>
        <w:rPr>
          <w:rFonts w:ascii="Garamond" w:hAnsi="Garamond"/>
          <w:i/>
          <w:lang w:val="en-AU"/>
        </w:rPr>
        <w:t xml:space="preserve">Patient and Family Advisory Council </w:t>
      </w:r>
      <w:r w:rsidRPr="00CC4F2C">
        <w:rPr>
          <w:rFonts w:ascii="Garamond" w:hAnsi="Garamond"/>
          <w:i/>
          <w:lang w:val="en-AU"/>
        </w:rPr>
        <w:t>Leaders' Guide for Diagnostic Quality and Safety</w:t>
      </w:r>
    </w:p>
    <w:p w:rsidR="00303AA7" w:rsidRDefault="00B24AF1" w:rsidP="008F3909">
      <w:pPr>
        <w:keepNext/>
        <w:keepLines/>
        <w:autoSpaceDE w:val="0"/>
        <w:autoSpaceDN w:val="0"/>
        <w:adjustRightInd w:val="0"/>
        <w:rPr>
          <w:rFonts w:ascii="Garamond" w:hAnsi="Garamond"/>
          <w:lang w:val="en-AU"/>
        </w:rPr>
      </w:pPr>
      <w:r w:rsidRPr="00B24AF1">
        <w:rPr>
          <w:rFonts w:ascii="Garamond" w:hAnsi="Garamond"/>
          <w:lang w:val="en-AU"/>
        </w:rPr>
        <w:t>Society to Improve Diagnosis in Medicine</w:t>
      </w:r>
    </w:p>
    <w:p w:rsidR="00CC4F2C" w:rsidRPr="00B24AF1" w:rsidRDefault="00B24AF1" w:rsidP="008F3909">
      <w:pPr>
        <w:keepNext/>
        <w:keepLines/>
        <w:autoSpaceDE w:val="0"/>
        <w:autoSpaceDN w:val="0"/>
        <w:adjustRightInd w:val="0"/>
        <w:rPr>
          <w:rFonts w:ascii="Garamond" w:hAnsi="Garamond"/>
          <w:lang w:val="en-AU"/>
        </w:rPr>
      </w:pPr>
      <w:r w:rsidRPr="00B24AF1">
        <w:rPr>
          <w:rFonts w:ascii="Garamond" w:hAnsi="Garamond"/>
          <w:lang w:val="en-AU"/>
        </w:rPr>
        <w:t>Evanston: Society to Improve Diagnosis in Medicine; 2020. p. 17.</w:t>
      </w:r>
    </w:p>
    <w:p w:rsidR="00B24AF1" w:rsidRDefault="00B24AF1" w:rsidP="008F3909">
      <w:pPr>
        <w:keepNext/>
        <w:keepLines/>
        <w:autoSpaceDE w:val="0"/>
        <w:autoSpaceDN w:val="0"/>
        <w:adjustRightInd w:val="0"/>
        <w:rPr>
          <w:rFonts w:ascii="Garamond" w:hAnsi="Garamond"/>
          <w:i/>
          <w:lang w:val="en-AU"/>
        </w:rPr>
      </w:pPr>
    </w:p>
    <w:p w:rsidR="008F3909" w:rsidRPr="00B721DD" w:rsidRDefault="00CC4F2C" w:rsidP="008F3909">
      <w:pPr>
        <w:keepNext/>
        <w:keepLines/>
        <w:autoSpaceDE w:val="0"/>
        <w:autoSpaceDN w:val="0"/>
        <w:adjustRightInd w:val="0"/>
        <w:rPr>
          <w:rFonts w:ascii="Garamond" w:hAnsi="Garamond"/>
          <w:i/>
          <w:lang w:val="en-AU"/>
        </w:rPr>
      </w:pPr>
      <w:r>
        <w:rPr>
          <w:rFonts w:ascii="Garamond" w:hAnsi="Garamond"/>
          <w:i/>
          <w:lang w:val="en-AU"/>
        </w:rPr>
        <w:t xml:space="preserve">Patient and Family Advisory Council </w:t>
      </w:r>
      <w:r w:rsidR="00B721DD" w:rsidRPr="00B721DD">
        <w:rPr>
          <w:rFonts w:ascii="Garamond" w:hAnsi="Garamond"/>
          <w:i/>
          <w:lang w:val="en-AU"/>
        </w:rPr>
        <w:t>Guide for Hospital and Health System Leaders for Diagnostic Quality and Safety</w:t>
      </w:r>
    </w:p>
    <w:p w:rsidR="00B24AF1" w:rsidRDefault="00B24AF1" w:rsidP="008F3909">
      <w:pPr>
        <w:keepNext/>
        <w:keepLines/>
        <w:autoSpaceDE w:val="0"/>
        <w:autoSpaceDN w:val="0"/>
        <w:adjustRightInd w:val="0"/>
        <w:rPr>
          <w:rFonts w:ascii="Garamond" w:hAnsi="Garamond"/>
          <w:lang w:val="en-AU"/>
        </w:rPr>
      </w:pPr>
      <w:r w:rsidRPr="00B24AF1">
        <w:rPr>
          <w:rFonts w:ascii="Garamond" w:hAnsi="Garamond"/>
          <w:lang w:val="en-AU"/>
        </w:rPr>
        <w:t>Society to Improve Diagnosis in Medicine</w:t>
      </w:r>
    </w:p>
    <w:p w:rsidR="00B721DD" w:rsidRDefault="00B24AF1" w:rsidP="008F3909">
      <w:pPr>
        <w:keepNext/>
        <w:keepLines/>
        <w:autoSpaceDE w:val="0"/>
        <w:autoSpaceDN w:val="0"/>
        <w:adjustRightInd w:val="0"/>
        <w:rPr>
          <w:rFonts w:ascii="Garamond" w:hAnsi="Garamond"/>
          <w:lang w:val="en-AU"/>
        </w:rPr>
      </w:pPr>
      <w:r w:rsidRPr="00B24AF1">
        <w:rPr>
          <w:rFonts w:ascii="Garamond" w:hAnsi="Garamond"/>
          <w:lang w:val="en-AU"/>
        </w:rPr>
        <w:t>Evanston: Society to Improve Diagnosis in Medicine; 2020. p. 16.</w:t>
      </w:r>
    </w:p>
    <w:tbl>
      <w:tblPr>
        <w:tblStyle w:val="TableGrid"/>
        <w:tblW w:w="9360" w:type="dxa"/>
        <w:tblInd w:w="288" w:type="dxa"/>
        <w:tblLayout w:type="fixed"/>
        <w:tblLook w:val="01E0" w:firstRow="1" w:lastRow="1" w:firstColumn="1" w:lastColumn="1" w:noHBand="0" w:noVBand="0"/>
      </w:tblPr>
      <w:tblGrid>
        <w:gridCol w:w="1080"/>
        <w:gridCol w:w="8280"/>
      </w:tblGrid>
      <w:tr w:rsidR="008F3909"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8F3909" w:rsidRPr="000170DA" w:rsidRDefault="00612776" w:rsidP="002151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F3909" w:rsidRPr="000170DA" w:rsidRDefault="004A6731" w:rsidP="00B721DD">
            <w:pPr>
              <w:keepNext/>
              <w:rPr>
                <w:rStyle w:val="Hyperlink"/>
                <w:rFonts w:ascii="Garamond" w:hAnsi="Garamond"/>
                <w:color w:val="auto"/>
                <w:u w:val="none"/>
                <w:lang w:val="en-AU"/>
              </w:rPr>
            </w:pPr>
            <w:hyperlink r:id="rId39" w:history="1">
              <w:r w:rsidR="00B721DD" w:rsidRPr="00094E38">
                <w:rPr>
                  <w:rStyle w:val="Hyperlink"/>
                  <w:rFonts w:ascii="Garamond" w:hAnsi="Garamond"/>
                  <w:lang w:val="en-AU"/>
                </w:rPr>
                <w:t>https://www.improvediagnosis.org/pfac-guides/</w:t>
              </w:r>
            </w:hyperlink>
          </w:p>
        </w:tc>
      </w:tr>
      <w:tr w:rsidR="008F3909"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8F3909" w:rsidRPr="000170DA" w:rsidRDefault="008F3909" w:rsidP="002151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3909" w:rsidRPr="009A7AA8" w:rsidRDefault="00CC4F2C" w:rsidP="00B24AF1">
            <w:pPr>
              <w:rPr>
                <w:rFonts w:ascii="Garamond" w:hAnsi="Garamond"/>
                <w:lang w:val="en-AU"/>
              </w:rPr>
            </w:pPr>
            <w:r>
              <w:rPr>
                <w:rFonts w:ascii="Garamond" w:hAnsi="Garamond"/>
                <w:lang w:val="en-AU"/>
              </w:rPr>
              <w:t xml:space="preserve">With the continuing interest in issues around diagnosis (see below for some of the </w:t>
            </w:r>
            <w:r w:rsidR="00303AA7">
              <w:rPr>
                <w:rFonts w:ascii="Garamond" w:hAnsi="Garamond"/>
                <w:lang w:val="en-AU"/>
              </w:rPr>
              <w:t xml:space="preserve">most </w:t>
            </w:r>
            <w:r>
              <w:rPr>
                <w:rFonts w:ascii="Garamond" w:hAnsi="Garamond"/>
                <w:lang w:val="en-AU"/>
              </w:rPr>
              <w:t xml:space="preserve">recent literature), these two guides have been produced by the (US) </w:t>
            </w:r>
            <w:r w:rsidRPr="00A927E3">
              <w:rPr>
                <w:rFonts w:ascii="Garamond" w:hAnsi="Garamond"/>
                <w:lang w:val="en-AU"/>
              </w:rPr>
              <w:t>Society to Improve Diagnosis in Medicine</w:t>
            </w:r>
            <w:r>
              <w:rPr>
                <w:rFonts w:ascii="Garamond" w:hAnsi="Garamond"/>
                <w:lang w:val="en-AU"/>
              </w:rPr>
              <w:t xml:space="preserve">. </w:t>
            </w:r>
            <w:r w:rsidR="00B24AF1">
              <w:rPr>
                <w:rFonts w:ascii="Garamond" w:hAnsi="Garamond"/>
                <w:lang w:val="en-AU"/>
              </w:rPr>
              <w:t xml:space="preserve">According to the Society’s webpage, these guides are </w:t>
            </w:r>
            <w:r w:rsidR="00B24AF1" w:rsidRPr="00B24AF1">
              <w:rPr>
                <w:rFonts w:ascii="Garamond" w:hAnsi="Garamond"/>
                <w:lang w:val="en-AU"/>
              </w:rPr>
              <w:t xml:space="preserve">intended to serve as compendia of best and promising practices for use by </w:t>
            </w:r>
            <w:r w:rsidR="00B24AF1">
              <w:rPr>
                <w:rFonts w:ascii="Garamond" w:hAnsi="Garamond"/>
                <w:lang w:val="en-AU"/>
              </w:rPr>
              <w:t>Patient and Family Advisory Councils (</w:t>
            </w:r>
            <w:r w:rsidR="00B24AF1" w:rsidRPr="00B24AF1">
              <w:rPr>
                <w:rFonts w:ascii="Garamond" w:hAnsi="Garamond"/>
                <w:lang w:val="en-AU"/>
              </w:rPr>
              <w:t>PFACs</w:t>
            </w:r>
            <w:r w:rsidR="00B24AF1">
              <w:rPr>
                <w:rFonts w:ascii="Garamond" w:hAnsi="Garamond"/>
                <w:lang w:val="en-AU"/>
              </w:rPr>
              <w:t>)</w:t>
            </w:r>
            <w:r w:rsidR="00B24AF1" w:rsidRPr="00B24AF1">
              <w:rPr>
                <w:rFonts w:ascii="Garamond" w:hAnsi="Garamond"/>
                <w:lang w:val="en-AU"/>
              </w:rPr>
              <w:t xml:space="preserve"> and for leadership in the hospitals and health systems </w:t>
            </w:r>
            <w:r w:rsidR="00B24AF1">
              <w:rPr>
                <w:rFonts w:ascii="Garamond" w:hAnsi="Garamond"/>
                <w:lang w:val="en-AU"/>
              </w:rPr>
              <w:t xml:space="preserve">that have </w:t>
            </w:r>
            <w:r w:rsidR="00B24AF1" w:rsidRPr="00B24AF1">
              <w:rPr>
                <w:rFonts w:ascii="Garamond" w:hAnsi="Garamond"/>
                <w:lang w:val="en-AU"/>
              </w:rPr>
              <w:t>PFACs. Each guide provides foundational education about diagnostic errors and tangible ideas and suggestions for PFACs and their hospital or health system leadership to employ as they work to tackle diagnostic quality and safety.</w:t>
            </w:r>
          </w:p>
        </w:tc>
      </w:tr>
    </w:tbl>
    <w:p w:rsidR="008F3909" w:rsidRDefault="008F3909" w:rsidP="008F3909">
      <w:pPr>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Pr="00E64D82" w:rsidRDefault="00E64D82" w:rsidP="00E34A10">
      <w:pPr>
        <w:keepNext/>
        <w:keepLines/>
        <w:autoSpaceDE w:val="0"/>
        <w:autoSpaceDN w:val="0"/>
        <w:adjustRightInd w:val="0"/>
        <w:rPr>
          <w:rFonts w:ascii="Garamond" w:hAnsi="Garamond"/>
          <w:b/>
          <w:lang w:val="en-AU"/>
        </w:rPr>
      </w:pPr>
    </w:p>
    <w:p w:rsidR="00303AA7" w:rsidRPr="00B721DD" w:rsidRDefault="00303AA7" w:rsidP="00303AA7">
      <w:pPr>
        <w:keepNext/>
        <w:keepLines/>
        <w:autoSpaceDE w:val="0"/>
        <w:autoSpaceDN w:val="0"/>
        <w:adjustRightInd w:val="0"/>
        <w:rPr>
          <w:rFonts w:ascii="Garamond" w:hAnsi="Garamond"/>
          <w:i/>
          <w:lang w:val="en-AU"/>
        </w:rPr>
      </w:pPr>
      <w:r w:rsidRPr="00B721DD">
        <w:rPr>
          <w:rFonts w:ascii="Garamond" w:hAnsi="Garamond"/>
          <w:i/>
          <w:lang w:val="en-AU"/>
        </w:rPr>
        <w:t>Prevalence and characterisation of diagnostic error among 7-day all-cause hospital medicine readmissions: a retrospective cohort study</w:t>
      </w:r>
    </w:p>
    <w:p w:rsidR="00303AA7" w:rsidRDefault="00303AA7" w:rsidP="00303AA7">
      <w:pPr>
        <w:keepNext/>
        <w:keepLines/>
        <w:autoSpaceDE w:val="0"/>
        <w:autoSpaceDN w:val="0"/>
        <w:adjustRightInd w:val="0"/>
        <w:rPr>
          <w:rFonts w:ascii="Garamond" w:hAnsi="Garamond"/>
          <w:lang w:val="en-AU"/>
        </w:rPr>
      </w:pPr>
      <w:r w:rsidRPr="00D73C90">
        <w:rPr>
          <w:rFonts w:ascii="Garamond" w:hAnsi="Garamond"/>
          <w:lang w:val="en-AU"/>
        </w:rPr>
        <w:t>Raffel KE, Kantor MA, Barish P, Esmaili A, Lim H, Xue F, et al</w:t>
      </w:r>
    </w:p>
    <w:p w:rsidR="00303AA7" w:rsidRDefault="00303AA7" w:rsidP="00303AA7">
      <w:pPr>
        <w:keepNext/>
        <w:keepLines/>
        <w:autoSpaceDE w:val="0"/>
        <w:autoSpaceDN w:val="0"/>
        <w:adjustRightInd w:val="0"/>
        <w:rPr>
          <w:rFonts w:ascii="Garamond" w:hAnsi="Garamond"/>
          <w:lang w:val="en-AU"/>
        </w:rPr>
      </w:pPr>
      <w:r w:rsidRPr="00D73C90">
        <w:rPr>
          <w:rFonts w:ascii="Garamond" w:hAnsi="Garamond"/>
          <w:lang w:val="en-AU"/>
        </w:rPr>
        <w:t>BMJ Quality &amp; Safety. 2020</w:t>
      </w:r>
      <w:r>
        <w:rPr>
          <w:rFonts w:ascii="Garamond" w:hAnsi="Garamond"/>
          <w:lang w:val="en-AU"/>
        </w:rPr>
        <w:t xml:space="preserve"> [epub]</w:t>
      </w:r>
      <w:r w:rsidRPr="00D73C90">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03AA7" w:rsidRPr="000170DA" w:rsidRDefault="004A6731" w:rsidP="004C3BF5">
            <w:pPr>
              <w:keepNext/>
              <w:rPr>
                <w:rStyle w:val="Hyperlink"/>
                <w:rFonts w:ascii="Garamond" w:hAnsi="Garamond"/>
                <w:color w:val="auto"/>
                <w:u w:val="none"/>
                <w:lang w:val="en-AU"/>
              </w:rPr>
            </w:pPr>
            <w:hyperlink r:id="rId40" w:history="1">
              <w:r w:rsidR="00303AA7" w:rsidRPr="00094E38">
                <w:rPr>
                  <w:rStyle w:val="Hyperlink"/>
                  <w:rFonts w:ascii="Garamond" w:hAnsi="Garamond"/>
                  <w:lang w:val="en-AU"/>
                </w:rPr>
                <w:t>http://doi.org/10.1136/bmjqs-2020-010896</w:t>
              </w:r>
            </w:hyperlink>
          </w:p>
        </w:tc>
      </w:tr>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03AA7" w:rsidRPr="009A7AA8" w:rsidRDefault="00303AA7" w:rsidP="00612776">
            <w:pPr>
              <w:rPr>
                <w:rFonts w:ascii="Garamond" w:hAnsi="Garamond"/>
                <w:lang w:val="en-AU"/>
              </w:rPr>
            </w:pPr>
            <w:r>
              <w:rPr>
                <w:rFonts w:ascii="Garamond" w:hAnsi="Garamond"/>
                <w:lang w:val="en-AU"/>
              </w:rPr>
              <w:t xml:space="preserve">This addition to diagnostic error literature used a </w:t>
            </w:r>
            <w:r w:rsidRPr="00215163">
              <w:rPr>
                <w:rFonts w:ascii="Garamond" w:hAnsi="Garamond"/>
                <w:lang w:val="en-AU"/>
              </w:rPr>
              <w:t>retrospective cohort study</w:t>
            </w:r>
            <w:r>
              <w:rPr>
                <w:rFonts w:ascii="Garamond" w:hAnsi="Garamond"/>
                <w:lang w:val="en-AU"/>
              </w:rPr>
              <w:t xml:space="preserve"> to examine 376 </w:t>
            </w:r>
            <w:r w:rsidRPr="00215163">
              <w:rPr>
                <w:rFonts w:ascii="Garamond" w:hAnsi="Garamond"/>
                <w:lang w:val="en-AU"/>
              </w:rPr>
              <w:t xml:space="preserve">adult patients readmitted to </w:t>
            </w:r>
            <w:r>
              <w:rPr>
                <w:rFonts w:ascii="Garamond" w:hAnsi="Garamond"/>
                <w:lang w:val="en-AU"/>
              </w:rPr>
              <w:t xml:space="preserve">a US teaching </w:t>
            </w:r>
            <w:r w:rsidRPr="00215163">
              <w:rPr>
                <w:rFonts w:ascii="Garamond" w:hAnsi="Garamond"/>
                <w:lang w:val="en-AU"/>
              </w:rPr>
              <w:t xml:space="preserve">hospital within 7 days of hospital discharge. </w:t>
            </w:r>
            <w:r>
              <w:rPr>
                <w:rFonts w:ascii="Garamond" w:hAnsi="Garamond"/>
                <w:lang w:val="en-AU"/>
              </w:rPr>
              <w:t>The study found that o</w:t>
            </w:r>
            <w:r w:rsidRPr="00215163">
              <w:rPr>
                <w:rFonts w:ascii="Garamond" w:hAnsi="Garamond"/>
                <w:lang w:val="en-AU"/>
              </w:rPr>
              <w:t xml:space="preserve">ver a </w:t>
            </w:r>
            <w:r>
              <w:rPr>
                <w:rFonts w:ascii="Garamond" w:hAnsi="Garamond"/>
                <w:lang w:val="en-AU"/>
              </w:rPr>
              <w:t>year (2018)</w:t>
            </w:r>
            <w:r w:rsidRPr="00215163">
              <w:rPr>
                <w:rFonts w:ascii="Garamond" w:hAnsi="Garamond"/>
                <w:lang w:val="en-AU"/>
              </w:rPr>
              <w:t xml:space="preserve">, 5.6% of readmissions </w:t>
            </w:r>
            <w:r>
              <w:rPr>
                <w:rFonts w:ascii="Garamond" w:hAnsi="Garamond"/>
                <w:lang w:val="en-AU"/>
              </w:rPr>
              <w:t xml:space="preserve">had </w:t>
            </w:r>
            <w:r w:rsidRPr="00215163">
              <w:rPr>
                <w:rFonts w:ascii="Garamond" w:hAnsi="Garamond"/>
                <w:lang w:val="en-AU"/>
              </w:rPr>
              <w:t xml:space="preserve">at least one diagnostic error during the index admissions. The diagnostic errors were </w:t>
            </w:r>
            <w:r>
              <w:rPr>
                <w:rFonts w:ascii="Garamond" w:hAnsi="Garamond"/>
                <w:lang w:val="en-AU"/>
              </w:rPr>
              <w:t xml:space="preserve">largely </w:t>
            </w:r>
            <w:r w:rsidRPr="00215163">
              <w:rPr>
                <w:rFonts w:ascii="Garamond" w:hAnsi="Garamond"/>
                <w:lang w:val="en-AU"/>
              </w:rPr>
              <w:t>to diagnostic reasoning, including failure to order needed tests, erroneous interpretation of tests, and failure to consider the correct diagnosis. The majority of the diagnostic errors resulted in some form of clinical impact, including short-term morbidity and readmissions.</w:t>
            </w:r>
          </w:p>
        </w:tc>
      </w:tr>
    </w:tbl>
    <w:p w:rsidR="00E34A10" w:rsidRPr="00A927E3" w:rsidRDefault="00A927E3" w:rsidP="00E34A10">
      <w:pPr>
        <w:keepNext/>
        <w:keepLines/>
        <w:autoSpaceDE w:val="0"/>
        <w:autoSpaceDN w:val="0"/>
        <w:adjustRightInd w:val="0"/>
        <w:rPr>
          <w:rFonts w:ascii="Garamond" w:hAnsi="Garamond"/>
          <w:i/>
          <w:lang w:val="en-AU"/>
        </w:rPr>
      </w:pPr>
      <w:r w:rsidRPr="00A927E3">
        <w:rPr>
          <w:rFonts w:ascii="Garamond" w:hAnsi="Garamond"/>
          <w:i/>
          <w:lang w:val="en-AU"/>
        </w:rPr>
        <w:lastRenderedPageBreak/>
        <w:t>Diagnostic error: incidence, impacts, causes and preventive strategies</w:t>
      </w:r>
    </w:p>
    <w:p w:rsidR="00F241AB" w:rsidRDefault="00F241AB" w:rsidP="00E34A10">
      <w:pPr>
        <w:keepNext/>
        <w:keepLines/>
        <w:autoSpaceDE w:val="0"/>
        <w:autoSpaceDN w:val="0"/>
        <w:adjustRightInd w:val="0"/>
        <w:rPr>
          <w:rFonts w:ascii="Garamond" w:hAnsi="Garamond"/>
          <w:lang w:val="en-AU"/>
        </w:rPr>
      </w:pPr>
      <w:r w:rsidRPr="00F241AB">
        <w:rPr>
          <w:rFonts w:ascii="Garamond" w:hAnsi="Garamond"/>
          <w:lang w:val="en-AU"/>
        </w:rPr>
        <w:t>Scott IA, Crock C</w:t>
      </w:r>
    </w:p>
    <w:p w:rsidR="00A927E3" w:rsidRDefault="00F241AB" w:rsidP="00E34A10">
      <w:pPr>
        <w:keepNext/>
        <w:keepLines/>
        <w:autoSpaceDE w:val="0"/>
        <w:autoSpaceDN w:val="0"/>
        <w:adjustRightInd w:val="0"/>
        <w:rPr>
          <w:rFonts w:ascii="Garamond" w:hAnsi="Garamond"/>
          <w:lang w:val="en-AU"/>
        </w:rPr>
      </w:pPr>
      <w:r w:rsidRPr="00F241AB">
        <w:rPr>
          <w:rFonts w:ascii="Garamond" w:hAnsi="Garamond"/>
          <w:lang w:val="en-AU"/>
        </w:rPr>
        <w:t>Medical Journal of Australia. 2020</w:t>
      </w:r>
      <w:r>
        <w:rPr>
          <w:rFonts w:ascii="Garamond" w:hAnsi="Garamond"/>
          <w:lang w:val="en-AU"/>
        </w:rPr>
        <w:t xml:space="preserve"> [epub]</w:t>
      </w:r>
      <w:r w:rsidRPr="00F241AB">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2429A4"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2429A4" w:rsidRPr="000170DA" w:rsidRDefault="002429A4" w:rsidP="00E671E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34A10" w:rsidRPr="000170DA" w:rsidRDefault="004A6731" w:rsidP="00E34A10">
            <w:pPr>
              <w:keepNext/>
              <w:rPr>
                <w:rStyle w:val="Hyperlink"/>
                <w:rFonts w:ascii="Garamond" w:hAnsi="Garamond"/>
                <w:color w:val="auto"/>
                <w:u w:val="none"/>
                <w:lang w:val="en-AU"/>
              </w:rPr>
            </w:pPr>
            <w:hyperlink r:id="rId41" w:history="1">
              <w:r w:rsidR="00A927E3" w:rsidRPr="00094E38">
                <w:rPr>
                  <w:rStyle w:val="Hyperlink"/>
                  <w:rFonts w:ascii="Garamond" w:hAnsi="Garamond"/>
                  <w:lang w:val="en-AU"/>
                </w:rPr>
                <w:t>https://doi.org/10.5694/mja2.50771</w:t>
              </w:r>
            </w:hyperlink>
          </w:p>
        </w:tc>
      </w:tr>
      <w:tr w:rsidR="002429A4"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2429A4" w:rsidRPr="000170DA" w:rsidRDefault="002429A4"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785B" w:rsidRDefault="00A927E3" w:rsidP="008539B9">
            <w:pPr>
              <w:rPr>
                <w:rFonts w:ascii="Garamond" w:hAnsi="Garamond"/>
                <w:lang w:val="en-AU"/>
              </w:rPr>
            </w:pPr>
            <w:r>
              <w:rPr>
                <w:rFonts w:ascii="Garamond" w:hAnsi="Garamond"/>
                <w:lang w:val="en-AU"/>
              </w:rPr>
              <w:t>This Perspectives piece summarises the current thinking around diagnostic error</w:t>
            </w:r>
            <w:r w:rsidR="00D65744">
              <w:rPr>
                <w:rFonts w:ascii="Garamond" w:hAnsi="Garamond"/>
                <w:lang w:val="en-AU"/>
              </w:rPr>
              <w:t>, and starts by c</w:t>
            </w:r>
            <w:r w:rsidR="00FF785B">
              <w:rPr>
                <w:rFonts w:ascii="Garamond" w:hAnsi="Garamond"/>
                <w:lang w:val="en-AU"/>
              </w:rPr>
              <w:t xml:space="preserve">iting some of the more </w:t>
            </w:r>
            <w:r w:rsidR="00D65744">
              <w:rPr>
                <w:rFonts w:ascii="Garamond" w:hAnsi="Garamond"/>
                <w:lang w:val="en-AU"/>
              </w:rPr>
              <w:t>eye-catching figures f</w:t>
            </w:r>
            <w:r w:rsidR="00B721DD">
              <w:rPr>
                <w:rFonts w:ascii="Garamond" w:hAnsi="Garamond"/>
                <w:lang w:val="en-AU"/>
              </w:rPr>
              <w:t>r</w:t>
            </w:r>
            <w:r w:rsidR="00D65744">
              <w:rPr>
                <w:rFonts w:ascii="Garamond" w:hAnsi="Garamond"/>
                <w:lang w:val="en-AU"/>
              </w:rPr>
              <w:t>o</w:t>
            </w:r>
            <w:r w:rsidR="00B721DD">
              <w:rPr>
                <w:rFonts w:ascii="Garamond" w:hAnsi="Garamond"/>
                <w:lang w:val="en-AU"/>
              </w:rPr>
              <w:t>m the literature</w:t>
            </w:r>
            <w:r w:rsidR="00B366C2">
              <w:rPr>
                <w:rFonts w:ascii="Garamond" w:hAnsi="Garamond"/>
                <w:lang w:val="en-AU"/>
              </w:rPr>
              <w:t>. For example:</w:t>
            </w:r>
          </w:p>
          <w:p w:rsidR="009D5646" w:rsidRPr="009D5646" w:rsidRDefault="009D5646" w:rsidP="009D5646">
            <w:pPr>
              <w:pStyle w:val="ListParagraph"/>
              <w:numPr>
                <w:ilvl w:val="0"/>
                <w:numId w:val="30"/>
              </w:numPr>
              <w:rPr>
                <w:rFonts w:ascii="Garamond" w:hAnsi="Garamond"/>
                <w:lang w:val="en-AU"/>
              </w:rPr>
            </w:pPr>
            <w:r w:rsidRPr="009D5646">
              <w:rPr>
                <w:rFonts w:ascii="Garamond" w:hAnsi="Garamond"/>
                <w:lang w:val="en-AU"/>
              </w:rPr>
              <w:t>Some form of diagnostic error occurs in up to one in seven clinical encounters, and most are preventable</w:t>
            </w:r>
            <w:r w:rsidR="00D65744">
              <w:rPr>
                <w:rFonts w:ascii="Garamond" w:hAnsi="Garamond"/>
                <w:lang w:val="en-AU"/>
              </w:rPr>
              <w:t>.</w:t>
            </w:r>
          </w:p>
          <w:p w:rsidR="009D5646" w:rsidRPr="009D5646" w:rsidRDefault="009D5646" w:rsidP="009D5646">
            <w:pPr>
              <w:pStyle w:val="ListParagraph"/>
              <w:numPr>
                <w:ilvl w:val="0"/>
                <w:numId w:val="30"/>
              </w:numPr>
              <w:rPr>
                <w:rFonts w:ascii="Garamond" w:hAnsi="Garamond"/>
                <w:lang w:val="en-AU"/>
              </w:rPr>
            </w:pPr>
            <w:r w:rsidRPr="009D5646">
              <w:rPr>
                <w:rFonts w:ascii="Garamond" w:hAnsi="Garamond"/>
                <w:lang w:val="en-AU"/>
              </w:rPr>
              <w:t>Diagnostic error comprising missed, wrong or delayed diagnoses affects between 8% and 15% of all hospital admissions in the United States, with similar rates among patients with common diseases attending outpatient clinics.</w:t>
            </w:r>
          </w:p>
          <w:p w:rsidR="009D5646" w:rsidRPr="009D5646" w:rsidRDefault="009D5646" w:rsidP="009D5646">
            <w:pPr>
              <w:pStyle w:val="ListParagraph"/>
              <w:numPr>
                <w:ilvl w:val="0"/>
                <w:numId w:val="30"/>
              </w:numPr>
              <w:rPr>
                <w:rFonts w:ascii="Garamond" w:hAnsi="Garamond"/>
                <w:lang w:val="en-AU"/>
              </w:rPr>
            </w:pPr>
            <w:r w:rsidRPr="009D5646">
              <w:rPr>
                <w:rFonts w:ascii="Garamond" w:hAnsi="Garamond"/>
                <w:lang w:val="en-AU"/>
              </w:rPr>
              <w:t>As many as 1.1% of adult hospital admissions will involve diagnostic error that causes harm to patients.</w:t>
            </w:r>
          </w:p>
          <w:p w:rsidR="009D5646" w:rsidRPr="009D5646" w:rsidRDefault="009D5646" w:rsidP="009D5646">
            <w:pPr>
              <w:pStyle w:val="ListParagraph"/>
              <w:numPr>
                <w:ilvl w:val="0"/>
                <w:numId w:val="30"/>
              </w:numPr>
              <w:rPr>
                <w:rFonts w:ascii="Garamond" w:hAnsi="Garamond"/>
                <w:lang w:val="en-AU"/>
              </w:rPr>
            </w:pPr>
            <w:r w:rsidRPr="009D5646">
              <w:rPr>
                <w:rFonts w:ascii="Garamond" w:hAnsi="Garamond"/>
                <w:lang w:val="en-AU"/>
              </w:rPr>
              <w:t>Nearly a third of all preventable deaths in acute hospitals in the United Kingdom are attributed to diagnostic error.</w:t>
            </w:r>
          </w:p>
          <w:p w:rsidR="009D5646" w:rsidRPr="009D5646" w:rsidRDefault="009D5646" w:rsidP="009D5646">
            <w:pPr>
              <w:pStyle w:val="ListParagraph"/>
              <w:numPr>
                <w:ilvl w:val="0"/>
                <w:numId w:val="30"/>
              </w:numPr>
              <w:rPr>
                <w:rFonts w:ascii="Garamond" w:hAnsi="Garamond"/>
                <w:lang w:val="en-AU"/>
              </w:rPr>
            </w:pPr>
            <w:r w:rsidRPr="009D5646">
              <w:rPr>
                <w:rFonts w:ascii="Garamond" w:hAnsi="Garamond"/>
                <w:lang w:val="en-AU"/>
              </w:rPr>
              <w:t>In Australia, an estimated 140 000 cases of diagnostic error occur each year, with 21 000 cases of serious harm and 2000–4000 deaths.</w:t>
            </w:r>
          </w:p>
          <w:p w:rsidR="009D5646" w:rsidRDefault="009D5646" w:rsidP="009D5646">
            <w:pPr>
              <w:pStyle w:val="ListParagraph"/>
              <w:numPr>
                <w:ilvl w:val="0"/>
                <w:numId w:val="30"/>
              </w:numPr>
              <w:rPr>
                <w:rFonts w:ascii="Garamond" w:hAnsi="Garamond"/>
                <w:lang w:val="en-AU"/>
              </w:rPr>
            </w:pPr>
            <w:r w:rsidRPr="009D5646">
              <w:rPr>
                <w:rFonts w:ascii="Garamond" w:hAnsi="Garamond"/>
                <w:lang w:val="en-AU"/>
              </w:rPr>
              <w:t>A</w:t>
            </w:r>
            <w:r>
              <w:rPr>
                <w:rFonts w:ascii="Garamond" w:hAnsi="Garamond"/>
                <w:lang w:val="en-AU"/>
              </w:rPr>
              <w:t>l</w:t>
            </w:r>
            <w:r w:rsidRPr="009D5646">
              <w:rPr>
                <w:rFonts w:ascii="Garamond" w:hAnsi="Garamond"/>
                <w:lang w:val="en-AU"/>
              </w:rPr>
              <w:t>most one in two malpractice claims against general practitioners involves diagnostic error.</w:t>
            </w:r>
          </w:p>
          <w:p w:rsidR="00B721DD" w:rsidRDefault="009D5646" w:rsidP="009D5646">
            <w:pPr>
              <w:pStyle w:val="ListParagraph"/>
              <w:numPr>
                <w:ilvl w:val="0"/>
                <w:numId w:val="30"/>
              </w:numPr>
              <w:rPr>
                <w:rFonts w:ascii="Garamond" w:hAnsi="Garamond"/>
                <w:lang w:val="en-AU"/>
              </w:rPr>
            </w:pPr>
            <w:r w:rsidRPr="009D5646">
              <w:rPr>
                <w:rFonts w:ascii="Garamond" w:hAnsi="Garamond"/>
                <w:lang w:val="en-AU"/>
              </w:rPr>
              <w:t>More than 80% of diagnostic</w:t>
            </w:r>
            <w:r>
              <w:rPr>
                <w:rFonts w:ascii="Garamond" w:hAnsi="Garamond"/>
                <w:lang w:val="en-AU"/>
              </w:rPr>
              <w:t xml:space="preserve"> errors are deemed preventable.</w:t>
            </w:r>
          </w:p>
          <w:p w:rsidR="00A927E3" w:rsidRPr="009A7AA8" w:rsidRDefault="009D5646" w:rsidP="00612776">
            <w:pPr>
              <w:rPr>
                <w:rFonts w:ascii="Garamond" w:hAnsi="Garamond"/>
                <w:lang w:val="en-AU"/>
              </w:rPr>
            </w:pPr>
            <w:r>
              <w:rPr>
                <w:rFonts w:ascii="Garamond" w:hAnsi="Garamond"/>
                <w:lang w:val="en-AU"/>
              </w:rPr>
              <w:t xml:space="preserve">The piece proceeds to provide brief statements on types of diagnostic error, theories of diagnostic reasoning, </w:t>
            </w:r>
            <w:r w:rsidR="00D65744">
              <w:rPr>
                <w:rFonts w:ascii="Garamond" w:hAnsi="Garamond"/>
                <w:lang w:val="en-AU"/>
              </w:rPr>
              <w:t xml:space="preserve">and </w:t>
            </w:r>
            <w:r w:rsidR="00441A98">
              <w:rPr>
                <w:rFonts w:ascii="Garamond" w:hAnsi="Garamond"/>
                <w:lang w:val="en-AU"/>
              </w:rPr>
              <w:t xml:space="preserve">strategies for preventing diagnostic error. </w:t>
            </w:r>
            <w:r w:rsidR="00A927E3">
              <w:rPr>
                <w:rFonts w:ascii="Garamond" w:hAnsi="Garamond"/>
                <w:lang w:val="en-AU"/>
              </w:rPr>
              <w:t>The piece also notes th</w:t>
            </w:r>
            <w:r w:rsidR="00612776">
              <w:rPr>
                <w:rFonts w:ascii="Garamond" w:hAnsi="Garamond"/>
                <w:lang w:val="en-AU"/>
              </w:rPr>
              <w:t>e</w:t>
            </w:r>
            <w:r w:rsidR="00A927E3">
              <w:rPr>
                <w:rFonts w:ascii="Garamond" w:hAnsi="Garamond"/>
                <w:lang w:val="en-AU"/>
              </w:rPr>
              <w:t xml:space="preserve"> establishment of an </w:t>
            </w:r>
            <w:r w:rsidR="00A927E3" w:rsidRPr="00A927E3">
              <w:rPr>
                <w:rFonts w:ascii="Garamond" w:hAnsi="Garamond"/>
                <w:lang w:val="en-AU"/>
              </w:rPr>
              <w:t>Australian and New Zealand Affiliate of the US Society to Improve Diagnosis in Medicine</w:t>
            </w:r>
            <w:r w:rsidR="00D65744">
              <w:rPr>
                <w:rFonts w:ascii="Garamond" w:hAnsi="Garamond"/>
                <w:lang w:val="en-AU"/>
              </w:rPr>
              <w:t xml:space="preserve"> (</w:t>
            </w:r>
            <w:r w:rsidR="00D65744" w:rsidRPr="00D65744">
              <w:rPr>
                <w:rFonts w:ascii="Garamond" w:hAnsi="Garamond"/>
                <w:lang w:val="en-AU"/>
              </w:rPr>
              <w:t>ANZA-SIDM</w:t>
            </w:r>
            <w:r w:rsidR="00D65744">
              <w:rPr>
                <w:rFonts w:ascii="Garamond" w:hAnsi="Garamond"/>
                <w:lang w:val="en-AU"/>
              </w:rPr>
              <w:t>)</w:t>
            </w:r>
            <w:r w:rsidR="00A927E3" w:rsidRPr="00A927E3">
              <w:rPr>
                <w:rFonts w:ascii="Garamond" w:hAnsi="Garamond"/>
                <w:lang w:val="en-AU"/>
              </w:rPr>
              <w:t>.</w:t>
            </w:r>
          </w:p>
        </w:tc>
      </w:tr>
    </w:tbl>
    <w:p w:rsidR="008F3909" w:rsidRDefault="008F3909" w:rsidP="008F3909">
      <w:pPr>
        <w:keepNext/>
        <w:keepLines/>
        <w:autoSpaceDE w:val="0"/>
        <w:autoSpaceDN w:val="0"/>
        <w:adjustRightInd w:val="0"/>
        <w:rPr>
          <w:rFonts w:ascii="Garamond" w:hAnsi="Garamond"/>
          <w:i/>
          <w:lang w:val="en-AU"/>
        </w:rPr>
      </w:pPr>
    </w:p>
    <w:p w:rsidR="00303AA7" w:rsidRPr="00B721DD" w:rsidRDefault="00303AA7" w:rsidP="00303AA7">
      <w:pPr>
        <w:keepNext/>
        <w:keepLines/>
        <w:autoSpaceDE w:val="0"/>
        <w:autoSpaceDN w:val="0"/>
        <w:adjustRightInd w:val="0"/>
        <w:rPr>
          <w:rFonts w:ascii="Garamond" w:hAnsi="Garamond"/>
          <w:i/>
          <w:lang w:val="en-AU"/>
        </w:rPr>
      </w:pPr>
      <w:r w:rsidRPr="00B721DD">
        <w:rPr>
          <w:rFonts w:ascii="Garamond" w:hAnsi="Garamond"/>
          <w:i/>
          <w:lang w:val="en-AU"/>
        </w:rPr>
        <w:t>Communication tools in the COVID-19 era and beyond which can optimise professional practice and patient care</w:t>
      </w:r>
    </w:p>
    <w:p w:rsidR="00303AA7" w:rsidRDefault="00303AA7" w:rsidP="00303AA7">
      <w:pPr>
        <w:keepNext/>
        <w:keepLines/>
        <w:autoSpaceDE w:val="0"/>
        <w:autoSpaceDN w:val="0"/>
        <w:adjustRightInd w:val="0"/>
        <w:rPr>
          <w:rFonts w:ascii="Garamond" w:hAnsi="Garamond"/>
          <w:lang w:val="en-AU"/>
        </w:rPr>
      </w:pPr>
      <w:r w:rsidRPr="00303AA7">
        <w:rPr>
          <w:rFonts w:ascii="Garamond" w:hAnsi="Garamond"/>
          <w:lang w:val="en-AU"/>
        </w:rPr>
        <w:t>Clement KD, Zimmermann EF, Bhatt NR, Light A, Gao C, Kulkarni M, et al</w:t>
      </w:r>
    </w:p>
    <w:p w:rsidR="00303AA7" w:rsidRDefault="00303AA7" w:rsidP="00303AA7">
      <w:pPr>
        <w:keepNext/>
        <w:keepLines/>
        <w:autoSpaceDE w:val="0"/>
        <w:autoSpaceDN w:val="0"/>
        <w:adjustRightInd w:val="0"/>
        <w:rPr>
          <w:rFonts w:ascii="Garamond" w:hAnsi="Garamond"/>
          <w:lang w:val="en-AU"/>
        </w:rPr>
      </w:pPr>
      <w:r w:rsidRPr="00303AA7">
        <w:rPr>
          <w:rFonts w:ascii="Garamond" w:hAnsi="Garamond"/>
          <w:lang w:val="en-AU"/>
        </w:rPr>
        <w:t>BMJ Innovations. 2020</w:t>
      </w:r>
      <w:r>
        <w:rPr>
          <w:rFonts w:ascii="Garamond" w:hAnsi="Garamond"/>
          <w:lang w:val="en-AU"/>
        </w:rPr>
        <w:t xml:space="preserve"> [epub]</w:t>
      </w:r>
      <w:r w:rsidRPr="00303AA7">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03AA7" w:rsidRPr="000170DA" w:rsidRDefault="004A6731" w:rsidP="004C3BF5">
            <w:pPr>
              <w:keepNext/>
              <w:rPr>
                <w:rStyle w:val="Hyperlink"/>
                <w:rFonts w:ascii="Garamond" w:hAnsi="Garamond"/>
                <w:color w:val="auto"/>
                <w:u w:val="none"/>
                <w:lang w:val="en-AU"/>
              </w:rPr>
            </w:pPr>
            <w:hyperlink r:id="rId42" w:history="1">
              <w:r w:rsidR="00303AA7" w:rsidRPr="00094E38">
                <w:rPr>
                  <w:rStyle w:val="Hyperlink"/>
                  <w:rFonts w:ascii="Garamond" w:hAnsi="Garamond"/>
                  <w:lang w:val="en-AU"/>
                </w:rPr>
                <w:t>https://doi.org/10.1136/bmjinnov-2020-000465</w:t>
              </w:r>
            </w:hyperlink>
          </w:p>
        </w:tc>
      </w:tr>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366C2" w:rsidRDefault="00303AA7" w:rsidP="00B366C2">
            <w:pPr>
              <w:rPr>
                <w:rFonts w:ascii="Garamond" w:hAnsi="Garamond"/>
                <w:lang w:val="en-AU"/>
              </w:rPr>
            </w:pPr>
            <w:r>
              <w:rPr>
                <w:rFonts w:ascii="Garamond" w:hAnsi="Garamond"/>
                <w:lang w:val="en-AU"/>
              </w:rPr>
              <w:t>The COVID-19 pandemic has seen many changes brought in rapidly. This piece looks at how communications has changed and may continue to be changed. The authors aim to ‘</w:t>
            </w:r>
            <w:r w:rsidRPr="00303AA7">
              <w:rPr>
                <w:rFonts w:ascii="Garamond" w:hAnsi="Garamond"/>
                <w:lang w:val="en-AU"/>
              </w:rPr>
              <w:t>summarise the variety of electronic communication platforms and tools available for clinicians and patients, detailing their utility, pros and cons, and some 'tips and tricks' from our experience</w:t>
            </w:r>
            <w:r>
              <w:rPr>
                <w:rFonts w:ascii="Garamond" w:hAnsi="Garamond"/>
                <w:lang w:val="en-AU"/>
              </w:rPr>
              <w:t>’.</w:t>
            </w:r>
            <w:r w:rsidR="00B366C2">
              <w:rPr>
                <w:rFonts w:ascii="Garamond" w:hAnsi="Garamond"/>
                <w:lang w:val="en-AU"/>
              </w:rPr>
              <w:t xml:space="preserve"> Among the observations and advice, the authors offer their ‘Seven Ps for a successful virtual clinic’: Practice, Patient-centred, Professional, Plan and prepare, Perform the consultation, Perfect and Precision’.</w:t>
            </w:r>
          </w:p>
          <w:p w:rsidR="00303AA7" w:rsidRPr="009A7AA8" w:rsidRDefault="00B366C2" w:rsidP="00B366C2">
            <w:pPr>
              <w:jc w:val="center"/>
              <w:rPr>
                <w:rFonts w:ascii="Garamond" w:hAnsi="Garamond"/>
                <w:lang w:val="en-AU"/>
              </w:rPr>
            </w:pPr>
            <w:r>
              <w:rPr>
                <w:rFonts w:ascii="Garamond" w:hAnsi="Garamond"/>
                <w:noProof/>
                <w:lang w:val="en-AU" w:eastAsia="en-AU"/>
              </w:rPr>
              <w:drawing>
                <wp:inline distT="0" distB="0" distL="0" distR="0">
                  <wp:extent cx="4386469" cy="2397421"/>
                  <wp:effectExtent l="0" t="0" r="0" b="3175"/>
                  <wp:docPr id="7" name="Picture 7" title="Table 1. Seven Ps for a successful virtual clinic’: Practice, Patient-centred, Professional, Plan and prepare, Perform the consultation, Perfect and Precisio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Pictures\7Ps.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26297" cy="2419189"/>
                          </a:xfrm>
                          <a:prstGeom prst="rect">
                            <a:avLst/>
                          </a:prstGeom>
                          <a:noFill/>
                          <a:ln>
                            <a:noFill/>
                          </a:ln>
                        </pic:spPr>
                      </pic:pic>
                    </a:graphicData>
                  </a:graphic>
                </wp:inline>
              </w:drawing>
            </w:r>
          </w:p>
        </w:tc>
      </w:tr>
    </w:tbl>
    <w:p w:rsidR="009D5646" w:rsidRPr="00EF0B67" w:rsidRDefault="009D5646" w:rsidP="009D5646">
      <w:pPr>
        <w:rPr>
          <w:rFonts w:ascii="Garamond" w:hAnsi="Garamond"/>
          <w:i/>
          <w:lang w:val="en-AU"/>
        </w:rPr>
      </w:pPr>
      <w:r w:rsidRPr="00EF0B67">
        <w:rPr>
          <w:rFonts w:ascii="Garamond" w:hAnsi="Garamond"/>
          <w:i/>
          <w:lang w:val="en-AU"/>
        </w:rPr>
        <w:lastRenderedPageBreak/>
        <w:t>Well spotted: but now you need to do something</w:t>
      </w:r>
    </w:p>
    <w:p w:rsidR="009D5646" w:rsidRDefault="009D5646" w:rsidP="009D5646">
      <w:pPr>
        <w:rPr>
          <w:rFonts w:ascii="Garamond" w:hAnsi="Garamond"/>
          <w:lang w:val="en-AU"/>
        </w:rPr>
      </w:pPr>
      <w:r w:rsidRPr="00304786">
        <w:rPr>
          <w:rFonts w:ascii="Garamond" w:hAnsi="Garamond"/>
          <w:lang w:val="en-AU"/>
        </w:rPr>
        <w:t>Hamblin R, Shuker C</w:t>
      </w:r>
    </w:p>
    <w:p w:rsidR="009D5646" w:rsidRDefault="009D5646" w:rsidP="009D5646">
      <w:pPr>
        <w:rPr>
          <w:rFonts w:ascii="Garamond" w:hAnsi="Garamond"/>
          <w:lang w:val="en-AU"/>
        </w:rPr>
      </w:pPr>
      <w:r w:rsidRPr="00304786">
        <w:rPr>
          <w:rFonts w:ascii="Garamond" w:hAnsi="Garamond"/>
          <w:lang w:val="en-AU"/>
        </w:rPr>
        <w:t>BMJ Quality &amp; Safety. 2020</w:t>
      </w:r>
      <w:r>
        <w:rPr>
          <w:rFonts w:ascii="Garamond" w:hAnsi="Garamond"/>
          <w:lang w:val="en-AU"/>
        </w:rPr>
        <w:t xml:space="preserve"> [epub]</w:t>
      </w:r>
      <w:r w:rsidRPr="00304786">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9D5646"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9D5646" w:rsidRPr="000170DA" w:rsidRDefault="009D5646" w:rsidP="0021516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D5646" w:rsidRPr="000170DA" w:rsidRDefault="004A6731" w:rsidP="00215163">
            <w:pPr>
              <w:keepNext/>
              <w:rPr>
                <w:rStyle w:val="Hyperlink"/>
                <w:rFonts w:ascii="Garamond" w:hAnsi="Garamond"/>
                <w:color w:val="auto"/>
                <w:u w:val="none"/>
                <w:lang w:val="en-AU"/>
              </w:rPr>
            </w:pPr>
            <w:hyperlink r:id="rId44" w:history="1">
              <w:r w:rsidR="009D5646" w:rsidRPr="00946E91">
                <w:rPr>
                  <w:rStyle w:val="Hyperlink"/>
                  <w:rFonts w:ascii="Garamond" w:hAnsi="Garamond"/>
                  <w:lang w:val="en-AU"/>
                </w:rPr>
                <w:t>https://doi.org/10.1136/bmjqs-2019-010659</w:t>
              </w:r>
            </w:hyperlink>
          </w:p>
        </w:tc>
      </w:tr>
      <w:tr w:rsidR="009D5646"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9D5646" w:rsidRPr="000170DA" w:rsidRDefault="009D5646" w:rsidP="002151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5646" w:rsidRDefault="00612776" w:rsidP="00215163">
            <w:pPr>
              <w:rPr>
                <w:rFonts w:ascii="Garamond" w:hAnsi="Garamond"/>
                <w:lang w:val="en-AU"/>
              </w:rPr>
            </w:pPr>
            <w:r>
              <w:rPr>
                <w:rFonts w:ascii="Garamond" w:hAnsi="Garamond"/>
                <w:lang w:val="en-AU"/>
              </w:rPr>
              <w:t>E</w:t>
            </w:r>
            <w:r w:rsidR="00B366C2">
              <w:rPr>
                <w:rFonts w:ascii="Garamond" w:hAnsi="Garamond"/>
                <w:lang w:val="en-AU"/>
              </w:rPr>
              <w:t xml:space="preserve">ditorial that in </w:t>
            </w:r>
            <w:r w:rsidR="002F2E3F">
              <w:rPr>
                <w:rFonts w:ascii="Garamond" w:hAnsi="Garamond"/>
                <w:lang w:val="en-AU"/>
              </w:rPr>
              <w:t xml:space="preserve">reflecting on </w:t>
            </w:r>
            <w:r w:rsidR="00B366C2">
              <w:rPr>
                <w:rFonts w:ascii="Garamond" w:hAnsi="Garamond"/>
                <w:lang w:val="en-AU"/>
              </w:rPr>
              <w:t>an article on using routinely available data for early warning of service failure then proceeds to consider not only the causes of safety and quality lapses, how to detect them but also the need to be able to adequately understand and respond to (or prevent) such failure</w:t>
            </w:r>
            <w:r w:rsidR="002F2E3F">
              <w:rPr>
                <w:rFonts w:ascii="Garamond" w:hAnsi="Garamond"/>
                <w:lang w:val="en-AU"/>
              </w:rPr>
              <w:t>s.</w:t>
            </w:r>
          </w:p>
          <w:p w:rsidR="002F2E3F" w:rsidRDefault="002F2E3F" w:rsidP="00215163">
            <w:pPr>
              <w:rPr>
                <w:rFonts w:ascii="Garamond" w:hAnsi="Garamond"/>
                <w:lang w:val="en-AU"/>
              </w:rPr>
            </w:pPr>
          </w:p>
          <w:p w:rsidR="009D5646" w:rsidRDefault="009D5646" w:rsidP="00215163">
            <w:pPr>
              <w:rPr>
                <w:rFonts w:ascii="Garamond" w:hAnsi="Garamond"/>
                <w:lang w:val="en-AU"/>
              </w:rPr>
            </w:pPr>
            <w:r>
              <w:rPr>
                <w:rFonts w:ascii="Garamond" w:hAnsi="Garamond"/>
                <w:noProof/>
                <w:lang w:val="en-AU" w:eastAsia="en-AU"/>
              </w:rPr>
              <w:drawing>
                <wp:inline distT="0" distB="0" distL="0" distR="0" wp14:anchorId="131EF58D" wp14:editId="25BEE7C2">
                  <wp:extent cx="5116733" cy="2332383"/>
                  <wp:effectExtent l="0" t="0" r="8255" b="0"/>
                  <wp:docPr id="5" name="Picture 5" title="Figure 1 from Hambin and Shuker: Why things go wrong and how to address them.">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Hamblin bmjqs-2019-010659-F1.large.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31581" cy="2339151"/>
                          </a:xfrm>
                          <a:prstGeom prst="rect">
                            <a:avLst/>
                          </a:prstGeom>
                          <a:noFill/>
                          <a:ln>
                            <a:noFill/>
                          </a:ln>
                        </pic:spPr>
                      </pic:pic>
                    </a:graphicData>
                  </a:graphic>
                </wp:inline>
              </w:drawing>
            </w:r>
          </w:p>
          <w:p w:rsidR="009D5646" w:rsidRPr="009A7AA8" w:rsidRDefault="009D5646" w:rsidP="00215163">
            <w:pPr>
              <w:rPr>
                <w:rFonts w:ascii="Garamond" w:hAnsi="Garamond"/>
                <w:lang w:val="en-AU"/>
              </w:rPr>
            </w:pPr>
          </w:p>
        </w:tc>
      </w:tr>
    </w:tbl>
    <w:p w:rsidR="009D5646" w:rsidRDefault="009D5646" w:rsidP="009D5646">
      <w:pPr>
        <w:rPr>
          <w:rFonts w:ascii="Garamond" w:hAnsi="Garamond"/>
          <w:lang w:val="en-AU"/>
        </w:rPr>
      </w:pPr>
    </w:p>
    <w:p w:rsidR="00303AA7" w:rsidRPr="00FF785B" w:rsidRDefault="00303AA7" w:rsidP="00303AA7">
      <w:pPr>
        <w:keepNext/>
        <w:keepLines/>
        <w:autoSpaceDE w:val="0"/>
        <w:autoSpaceDN w:val="0"/>
        <w:adjustRightInd w:val="0"/>
        <w:rPr>
          <w:rFonts w:ascii="Garamond" w:hAnsi="Garamond"/>
          <w:i/>
          <w:lang w:val="en-AU"/>
        </w:rPr>
      </w:pPr>
      <w:r w:rsidRPr="00FF785B">
        <w:rPr>
          <w:rFonts w:ascii="Garamond" w:hAnsi="Garamond"/>
          <w:i/>
          <w:lang w:val="en-AU"/>
        </w:rPr>
        <w:t xml:space="preserve">Hospital- and system-wide interventions for health care-associated infections: </w:t>
      </w:r>
      <w:r w:rsidR="00612776">
        <w:rPr>
          <w:rFonts w:ascii="Garamond" w:hAnsi="Garamond"/>
          <w:i/>
          <w:lang w:val="en-AU"/>
        </w:rPr>
        <w:t>A</w:t>
      </w:r>
      <w:r w:rsidRPr="00FF785B">
        <w:rPr>
          <w:rFonts w:ascii="Garamond" w:hAnsi="Garamond"/>
          <w:i/>
          <w:lang w:val="en-AU"/>
        </w:rPr>
        <w:t xml:space="preserve"> systematic review</w:t>
      </w:r>
    </w:p>
    <w:p w:rsidR="00E64D82" w:rsidRDefault="00E64D82" w:rsidP="00303AA7">
      <w:pPr>
        <w:keepNext/>
        <w:keepLines/>
        <w:autoSpaceDE w:val="0"/>
        <w:autoSpaceDN w:val="0"/>
        <w:adjustRightInd w:val="0"/>
        <w:rPr>
          <w:rFonts w:ascii="Garamond" w:hAnsi="Garamond"/>
          <w:lang w:val="en-AU"/>
        </w:rPr>
      </w:pPr>
      <w:r w:rsidRPr="00E64D82">
        <w:rPr>
          <w:rFonts w:ascii="Garamond" w:hAnsi="Garamond"/>
          <w:lang w:val="en-AU"/>
        </w:rPr>
        <w:t>Maurer NR, Hogan TH, Walker DM</w:t>
      </w:r>
    </w:p>
    <w:p w:rsidR="00303AA7" w:rsidRDefault="00E64D82" w:rsidP="00303AA7">
      <w:pPr>
        <w:keepNext/>
        <w:keepLines/>
        <w:autoSpaceDE w:val="0"/>
        <w:autoSpaceDN w:val="0"/>
        <w:adjustRightInd w:val="0"/>
        <w:rPr>
          <w:rFonts w:ascii="Garamond" w:hAnsi="Garamond"/>
          <w:lang w:val="en-AU"/>
        </w:rPr>
      </w:pPr>
      <w:r w:rsidRPr="00E64D82">
        <w:rPr>
          <w:rFonts w:ascii="Garamond" w:hAnsi="Garamond"/>
          <w:lang w:val="en-AU"/>
        </w:rPr>
        <w:t>Medical Care Research and Review. 2020:1077558720952921.</w:t>
      </w:r>
    </w:p>
    <w:tbl>
      <w:tblPr>
        <w:tblStyle w:val="TableGrid"/>
        <w:tblW w:w="9360" w:type="dxa"/>
        <w:tblInd w:w="288" w:type="dxa"/>
        <w:tblLayout w:type="fixed"/>
        <w:tblLook w:val="01E0" w:firstRow="1" w:lastRow="1" w:firstColumn="1" w:lastColumn="1" w:noHBand="0" w:noVBand="0"/>
      </w:tblPr>
      <w:tblGrid>
        <w:gridCol w:w="1080"/>
        <w:gridCol w:w="8280"/>
      </w:tblGrid>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03AA7" w:rsidRPr="000170DA" w:rsidRDefault="004A6731" w:rsidP="004C3BF5">
            <w:pPr>
              <w:keepNext/>
              <w:rPr>
                <w:rStyle w:val="Hyperlink"/>
                <w:rFonts w:ascii="Garamond" w:hAnsi="Garamond"/>
                <w:color w:val="auto"/>
                <w:u w:val="none"/>
                <w:lang w:val="en-AU"/>
              </w:rPr>
            </w:pPr>
            <w:hyperlink r:id="rId46" w:history="1">
              <w:r w:rsidR="00303AA7" w:rsidRPr="00094E38">
                <w:rPr>
                  <w:rStyle w:val="Hyperlink"/>
                  <w:rFonts w:ascii="Garamond" w:hAnsi="Garamond"/>
                  <w:lang w:val="en-AU"/>
                </w:rPr>
                <w:t>http://doi.org/10.1177/1077558720952921</w:t>
              </w:r>
            </w:hyperlink>
          </w:p>
        </w:tc>
      </w:tr>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64D82" w:rsidRPr="009A7AA8" w:rsidRDefault="00303AA7" w:rsidP="00596405">
            <w:pPr>
              <w:rPr>
                <w:rFonts w:ascii="Garamond" w:hAnsi="Garamond"/>
                <w:lang w:val="en-AU"/>
              </w:rPr>
            </w:pPr>
            <w:r>
              <w:rPr>
                <w:rFonts w:ascii="Garamond" w:hAnsi="Garamond"/>
                <w:lang w:val="en-AU"/>
              </w:rPr>
              <w:t xml:space="preserve">Paper reporting on a systematic review </w:t>
            </w:r>
            <w:r w:rsidR="002F2E3F">
              <w:rPr>
                <w:rFonts w:ascii="Garamond" w:hAnsi="Garamond"/>
                <w:lang w:val="en-AU"/>
              </w:rPr>
              <w:t xml:space="preserve">of interventions to address healthcare-associated infections (HAI). </w:t>
            </w:r>
            <w:r w:rsidR="00C54631">
              <w:rPr>
                <w:rFonts w:ascii="Garamond" w:hAnsi="Garamond"/>
                <w:lang w:val="en-AU"/>
              </w:rPr>
              <w:t xml:space="preserve">Based on </w:t>
            </w:r>
            <w:r w:rsidR="00596405">
              <w:rPr>
                <w:rFonts w:ascii="Garamond" w:hAnsi="Garamond"/>
                <w:lang w:val="en-AU"/>
              </w:rPr>
              <w:t>96 studies published between 2008 and 2019, the review found the ‘</w:t>
            </w:r>
            <w:r w:rsidR="00596405" w:rsidRPr="00596405">
              <w:rPr>
                <w:rFonts w:ascii="Garamond" w:hAnsi="Garamond"/>
                <w:lang w:val="en-AU"/>
              </w:rPr>
              <w:t>literature’s methodologic and reporting quality was generally poor</w:t>
            </w:r>
            <w:r w:rsidR="00596405">
              <w:rPr>
                <w:rFonts w:ascii="Garamond" w:hAnsi="Garamond"/>
                <w:lang w:val="en-AU"/>
              </w:rPr>
              <w:t>’. However, the review did identify</w:t>
            </w:r>
            <w:r w:rsidR="00596405" w:rsidRPr="00596405">
              <w:rPr>
                <w:rFonts w:ascii="Garamond" w:hAnsi="Garamond"/>
                <w:lang w:val="en-AU"/>
              </w:rPr>
              <w:t xml:space="preserve"> </w:t>
            </w:r>
            <w:r w:rsidR="00596405">
              <w:rPr>
                <w:rFonts w:ascii="Garamond" w:hAnsi="Garamond"/>
                <w:lang w:val="en-AU"/>
              </w:rPr>
              <w:t xml:space="preserve">a number of </w:t>
            </w:r>
            <w:r w:rsidR="00596405" w:rsidRPr="00596405">
              <w:rPr>
                <w:rFonts w:ascii="Garamond" w:hAnsi="Garamond"/>
                <w:lang w:val="en-AU"/>
              </w:rPr>
              <w:t xml:space="preserve">strategies for reducing HAIs, including enhanced environmental cleaning; </w:t>
            </w:r>
            <w:r w:rsidR="00596405">
              <w:rPr>
                <w:rFonts w:ascii="Garamond" w:hAnsi="Garamond"/>
                <w:lang w:val="en-AU"/>
              </w:rPr>
              <w:t xml:space="preserve">electronic health record </w:t>
            </w:r>
            <w:r w:rsidR="00596405" w:rsidRPr="00596405">
              <w:rPr>
                <w:rFonts w:ascii="Garamond" w:hAnsi="Garamond"/>
                <w:lang w:val="en-AU"/>
              </w:rPr>
              <w:t>implementation; infection control programs; hand hygiene promotion; and hospital-wide cultural transformations</w:t>
            </w:r>
            <w:r w:rsidR="00596405">
              <w:rPr>
                <w:rFonts w:ascii="Garamond" w:hAnsi="Garamond"/>
                <w:lang w:val="en-AU"/>
              </w:rPr>
              <w:t>.</w:t>
            </w:r>
          </w:p>
        </w:tc>
      </w:tr>
    </w:tbl>
    <w:p w:rsidR="00303AA7" w:rsidRDefault="00303AA7" w:rsidP="00303AA7">
      <w:pPr>
        <w:rPr>
          <w:rFonts w:ascii="Garamond" w:hAnsi="Garamond"/>
          <w:lang w:val="en-AU"/>
        </w:rPr>
      </w:pPr>
    </w:p>
    <w:p w:rsidR="007A3EB2" w:rsidRDefault="007A3EB2" w:rsidP="00303AA7">
      <w:pPr>
        <w:rPr>
          <w:rFonts w:ascii="Garamond" w:hAnsi="Garamond"/>
          <w:lang w:val="en-AU"/>
        </w:rPr>
      </w:pPr>
      <w:r w:rsidRPr="007A3EB2">
        <w:rPr>
          <w:rFonts w:ascii="Garamond" w:hAnsi="Garamond"/>
          <w:lang w:val="en-AU"/>
        </w:rPr>
        <w:t xml:space="preserve">For information on the Commission’s work on healthcare-associated infection, see </w:t>
      </w:r>
      <w:hyperlink r:id="rId47" w:history="1">
        <w:r w:rsidRPr="00946E91">
          <w:rPr>
            <w:rStyle w:val="Hyperlink"/>
            <w:rFonts w:ascii="Garamond" w:hAnsi="Garamond"/>
            <w:lang w:val="en-AU"/>
          </w:rPr>
          <w:t>https://www.safetyandquality.gov.au/our-work/healthcare-associated-infection</w:t>
        </w:r>
      </w:hyperlink>
    </w:p>
    <w:p w:rsidR="007A3EB2" w:rsidRDefault="007A3EB2" w:rsidP="00303AA7">
      <w:pPr>
        <w:rPr>
          <w:rFonts w:ascii="Garamond" w:hAnsi="Garamond"/>
          <w:lang w:val="en-AU"/>
        </w:rPr>
      </w:pPr>
    </w:p>
    <w:p w:rsidR="00612776" w:rsidRPr="00612776" w:rsidRDefault="00612776" w:rsidP="00612776">
      <w:pPr>
        <w:keepNext/>
        <w:keepLines/>
        <w:autoSpaceDE w:val="0"/>
        <w:autoSpaceDN w:val="0"/>
        <w:adjustRightInd w:val="0"/>
        <w:rPr>
          <w:rFonts w:ascii="Garamond" w:hAnsi="Garamond"/>
          <w:i/>
          <w:lang w:val="en-AU"/>
        </w:rPr>
      </w:pPr>
      <w:r w:rsidRPr="00612776">
        <w:rPr>
          <w:rFonts w:ascii="Garamond" w:hAnsi="Garamond"/>
          <w:i/>
          <w:lang w:val="en-AU"/>
        </w:rPr>
        <w:t>Opioid Stewardship Program and Postoperative Adverse Events: A Difference-in-differences Cohort Study</w:t>
      </w:r>
    </w:p>
    <w:p w:rsidR="00612776" w:rsidRDefault="00612776" w:rsidP="00303AA7">
      <w:pPr>
        <w:keepNext/>
        <w:keepLines/>
        <w:autoSpaceDE w:val="0"/>
        <w:autoSpaceDN w:val="0"/>
        <w:adjustRightInd w:val="0"/>
        <w:rPr>
          <w:rFonts w:ascii="Garamond" w:hAnsi="Garamond"/>
          <w:lang w:val="en-AU"/>
        </w:rPr>
      </w:pPr>
      <w:r w:rsidRPr="00612776">
        <w:rPr>
          <w:rFonts w:ascii="Garamond" w:hAnsi="Garamond"/>
          <w:lang w:val="en-AU"/>
        </w:rPr>
        <w:t>Barreveld AM, McCarthy RJ, Elkassabany N, Mariano ER, Sites B, Ghosh R, et al</w:t>
      </w:r>
    </w:p>
    <w:p w:rsidR="00303AA7" w:rsidRDefault="00612776" w:rsidP="00303AA7">
      <w:pPr>
        <w:keepNext/>
        <w:keepLines/>
        <w:autoSpaceDE w:val="0"/>
        <w:autoSpaceDN w:val="0"/>
        <w:adjustRightInd w:val="0"/>
        <w:rPr>
          <w:rFonts w:ascii="Garamond" w:hAnsi="Garamond"/>
          <w:lang w:val="en-AU"/>
        </w:rPr>
      </w:pPr>
      <w:r w:rsidRPr="00612776">
        <w:rPr>
          <w:rFonts w:ascii="Garamond" w:hAnsi="Garamond"/>
          <w:lang w:val="en-AU"/>
        </w:rPr>
        <w:t>Anesthesiology. 2020;132(6):1558-1568.</w:t>
      </w:r>
    </w:p>
    <w:tbl>
      <w:tblPr>
        <w:tblStyle w:val="TableGrid"/>
        <w:tblW w:w="9360" w:type="dxa"/>
        <w:tblInd w:w="288" w:type="dxa"/>
        <w:tblLayout w:type="fixed"/>
        <w:tblLook w:val="01E0" w:firstRow="1" w:lastRow="1" w:firstColumn="1" w:lastColumn="1" w:noHBand="0" w:noVBand="0"/>
      </w:tblPr>
      <w:tblGrid>
        <w:gridCol w:w="1080"/>
        <w:gridCol w:w="8280"/>
      </w:tblGrid>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03AA7" w:rsidRPr="000170DA" w:rsidRDefault="004A6731" w:rsidP="004C3BF5">
            <w:pPr>
              <w:keepNext/>
              <w:rPr>
                <w:rStyle w:val="Hyperlink"/>
                <w:rFonts w:ascii="Garamond" w:hAnsi="Garamond"/>
                <w:color w:val="auto"/>
                <w:u w:val="none"/>
                <w:lang w:val="en-AU"/>
              </w:rPr>
            </w:pPr>
            <w:hyperlink r:id="rId48" w:history="1">
              <w:r w:rsidR="00303AA7" w:rsidRPr="00094E38">
                <w:rPr>
                  <w:rStyle w:val="Hyperlink"/>
                  <w:rFonts w:ascii="Garamond" w:hAnsi="Garamond"/>
                  <w:lang w:val="en-AU"/>
                </w:rPr>
                <w:t>http://doi.org/10.1097/aln.0000000000003238</w:t>
              </w:r>
            </w:hyperlink>
          </w:p>
        </w:tc>
      </w:tr>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03AA7" w:rsidRPr="009A7AA8" w:rsidRDefault="00596405" w:rsidP="00B40BCF">
            <w:pPr>
              <w:rPr>
                <w:rFonts w:ascii="Garamond" w:hAnsi="Garamond"/>
                <w:lang w:val="en-AU"/>
              </w:rPr>
            </w:pPr>
            <w:r>
              <w:rPr>
                <w:rFonts w:ascii="Garamond" w:hAnsi="Garamond"/>
                <w:lang w:val="en-AU"/>
              </w:rPr>
              <w:t xml:space="preserve">Paper reporting on the implementation and impact of an opioid stewardship program. The </w:t>
            </w:r>
            <w:r w:rsidR="00B40BCF" w:rsidRPr="00B40BCF">
              <w:rPr>
                <w:rFonts w:ascii="Garamond" w:hAnsi="Garamond"/>
                <w:lang w:val="en-AU"/>
              </w:rPr>
              <w:t>6-month opioid use educational program consisting of webinars on pain assessment, postoperative and multimodal pain opioid management, safer opioid use, and preventing addiction coupled with on-site coaching and monthly assessments reports was implemented in 31 hospitals</w:t>
            </w:r>
            <w:r w:rsidR="00B40BCF">
              <w:rPr>
                <w:rFonts w:ascii="Garamond" w:hAnsi="Garamond"/>
                <w:lang w:val="en-AU"/>
              </w:rPr>
              <w:t xml:space="preserve"> with outcomes compared with 33 control hospitals for 12 months before and after the intervention. The study found the ‘</w:t>
            </w:r>
            <w:r w:rsidR="00B40BCF" w:rsidRPr="00B40BCF">
              <w:rPr>
                <w:rFonts w:ascii="Garamond" w:hAnsi="Garamond"/>
                <w:lang w:val="en-AU"/>
              </w:rPr>
              <w:t>intervention did not reduce opioid adverse events or alter opioid use in hospitalized patients</w:t>
            </w:r>
            <w:r w:rsidR="00B40BCF">
              <w:rPr>
                <w:rFonts w:ascii="Garamond" w:hAnsi="Garamond"/>
                <w:lang w:val="en-AU"/>
              </w:rPr>
              <w:t>’</w:t>
            </w:r>
            <w:r w:rsidR="00CF14F7">
              <w:rPr>
                <w:rFonts w:ascii="Garamond" w:hAnsi="Garamond"/>
                <w:lang w:val="en-AU"/>
              </w:rPr>
              <w:t>.</w:t>
            </w:r>
          </w:p>
        </w:tc>
      </w:tr>
    </w:tbl>
    <w:p w:rsidR="007A3EB2" w:rsidRDefault="007A3EB2" w:rsidP="00303AA7">
      <w:pPr>
        <w:rPr>
          <w:rFonts w:ascii="Garamond" w:hAnsi="Garamond"/>
          <w:lang w:val="en-AU"/>
        </w:rPr>
      </w:pPr>
      <w:r w:rsidRPr="007A3EB2">
        <w:rPr>
          <w:rFonts w:ascii="Garamond" w:hAnsi="Garamond"/>
          <w:lang w:val="en-AU"/>
        </w:rPr>
        <w:lastRenderedPageBreak/>
        <w:t xml:space="preserve">For information on the Commission’s work on </w:t>
      </w:r>
      <w:r>
        <w:rPr>
          <w:rFonts w:ascii="Garamond" w:hAnsi="Garamond"/>
          <w:lang w:val="en-AU"/>
        </w:rPr>
        <w:t>medication safety</w:t>
      </w:r>
      <w:r w:rsidRPr="007A3EB2">
        <w:rPr>
          <w:rFonts w:ascii="Garamond" w:hAnsi="Garamond"/>
          <w:lang w:val="en-AU"/>
        </w:rPr>
        <w:t>, see</w:t>
      </w:r>
      <w:r>
        <w:rPr>
          <w:rFonts w:ascii="Garamond" w:hAnsi="Garamond"/>
          <w:lang w:val="en-AU"/>
        </w:rPr>
        <w:t xml:space="preserve"> </w:t>
      </w:r>
      <w:hyperlink r:id="rId49" w:history="1">
        <w:r w:rsidRPr="00946E91">
          <w:rPr>
            <w:rStyle w:val="Hyperlink"/>
            <w:rFonts w:ascii="Garamond" w:hAnsi="Garamond"/>
            <w:lang w:val="en-AU"/>
          </w:rPr>
          <w:t>https://www.safetyandquality.gov.au/our-work/medication-safety</w:t>
        </w:r>
      </w:hyperlink>
    </w:p>
    <w:p w:rsidR="007A3EB2" w:rsidRDefault="007A3EB2" w:rsidP="00303AA7">
      <w:pPr>
        <w:rPr>
          <w:rFonts w:ascii="Garamond" w:hAnsi="Garamond"/>
          <w:lang w:val="en-AU"/>
        </w:rPr>
      </w:pPr>
    </w:p>
    <w:p w:rsidR="00303AA7" w:rsidRPr="00B721DD" w:rsidRDefault="00303AA7" w:rsidP="00303AA7">
      <w:pPr>
        <w:keepNext/>
        <w:keepLines/>
        <w:autoSpaceDE w:val="0"/>
        <w:autoSpaceDN w:val="0"/>
        <w:adjustRightInd w:val="0"/>
        <w:rPr>
          <w:rFonts w:ascii="Garamond" w:hAnsi="Garamond"/>
          <w:i/>
          <w:lang w:val="en-AU"/>
        </w:rPr>
      </w:pPr>
      <w:r w:rsidRPr="00B721DD">
        <w:rPr>
          <w:rFonts w:ascii="Garamond" w:hAnsi="Garamond"/>
          <w:i/>
          <w:lang w:val="en-AU"/>
        </w:rPr>
        <w:t xml:space="preserve">Emergency department monitor alarms rarely change clinical management: </w:t>
      </w:r>
      <w:r w:rsidR="00612776">
        <w:rPr>
          <w:rFonts w:ascii="Garamond" w:hAnsi="Garamond"/>
          <w:i/>
          <w:lang w:val="en-AU"/>
        </w:rPr>
        <w:t>A</w:t>
      </w:r>
      <w:r w:rsidRPr="00B721DD">
        <w:rPr>
          <w:rFonts w:ascii="Garamond" w:hAnsi="Garamond"/>
          <w:i/>
          <w:lang w:val="en-AU"/>
        </w:rPr>
        <w:t>n observational study</w:t>
      </w:r>
    </w:p>
    <w:p w:rsidR="00E64D82" w:rsidRDefault="00E64D82" w:rsidP="00303AA7">
      <w:pPr>
        <w:keepNext/>
        <w:keepLines/>
        <w:autoSpaceDE w:val="0"/>
        <w:autoSpaceDN w:val="0"/>
        <w:adjustRightInd w:val="0"/>
        <w:rPr>
          <w:rFonts w:ascii="Garamond" w:hAnsi="Garamond"/>
          <w:lang w:val="en-AU"/>
        </w:rPr>
      </w:pPr>
      <w:r w:rsidRPr="00E64D82">
        <w:rPr>
          <w:rFonts w:ascii="Garamond" w:hAnsi="Garamond"/>
          <w:lang w:val="en-AU"/>
        </w:rPr>
        <w:t>Fleischman W, Ciliberto B, Rozanski N, Parwani V, Bernstein SL</w:t>
      </w:r>
    </w:p>
    <w:p w:rsidR="00303AA7" w:rsidRDefault="00E64D82" w:rsidP="00303AA7">
      <w:pPr>
        <w:keepNext/>
        <w:keepLines/>
        <w:autoSpaceDE w:val="0"/>
        <w:autoSpaceDN w:val="0"/>
        <w:adjustRightInd w:val="0"/>
        <w:rPr>
          <w:rFonts w:ascii="Garamond" w:hAnsi="Garamond"/>
          <w:lang w:val="en-AU"/>
        </w:rPr>
      </w:pPr>
      <w:r w:rsidRPr="00E64D82">
        <w:rPr>
          <w:rFonts w:ascii="Garamond" w:hAnsi="Garamond"/>
          <w:lang w:val="en-AU"/>
        </w:rPr>
        <w:t>The American Journal of Emergency Medicine. 2020;38(6):1072-1076.</w:t>
      </w:r>
    </w:p>
    <w:tbl>
      <w:tblPr>
        <w:tblStyle w:val="TableGrid"/>
        <w:tblW w:w="9360" w:type="dxa"/>
        <w:tblInd w:w="288" w:type="dxa"/>
        <w:tblLayout w:type="fixed"/>
        <w:tblLook w:val="01E0" w:firstRow="1" w:lastRow="1" w:firstColumn="1" w:lastColumn="1" w:noHBand="0" w:noVBand="0"/>
      </w:tblPr>
      <w:tblGrid>
        <w:gridCol w:w="1080"/>
        <w:gridCol w:w="8280"/>
      </w:tblGrid>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03AA7" w:rsidRPr="000170DA" w:rsidRDefault="004A6731" w:rsidP="004C3BF5">
            <w:pPr>
              <w:keepNext/>
              <w:rPr>
                <w:rStyle w:val="Hyperlink"/>
                <w:rFonts w:ascii="Garamond" w:hAnsi="Garamond"/>
                <w:color w:val="auto"/>
                <w:u w:val="none"/>
                <w:lang w:val="en-AU"/>
              </w:rPr>
            </w:pPr>
            <w:hyperlink r:id="rId50" w:history="1">
              <w:r w:rsidR="00303AA7" w:rsidRPr="00094E38">
                <w:rPr>
                  <w:rStyle w:val="Hyperlink"/>
                  <w:rFonts w:ascii="Garamond" w:hAnsi="Garamond"/>
                  <w:lang w:val="en-AU"/>
                </w:rPr>
                <w:t>http://doi.org/10.1016/j.ajem.2019.158370</w:t>
              </w:r>
            </w:hyperlink>
          </w:p>
        </w:tc>
      </w:tr>
      <w:tr w:rsidR="00303AA7" w:rsidRPr="000170DA" w:rsidTr="004C3BF5">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4C3B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0957" w:rsidRPr="009A7AA8" w:rsidRDefault="003F0957" w:rsidP="003F0957">
            <w:pPr>
              <w:rPr>
                <w:rFonts w:ascii="Garamond" w:hAnsi="Garamond"/>
                <w:lang w:val="en-AU"/>
              </w:rPr>
            </w:pPr>
            <w:r>
              <w:rPr>
                <w:rFonts w:ascii="Garamond" w:hAnsi="Garamond"/>
                <w:lang w:val="en-AU"/>
              </w:rPr>
              <w:t xml:space="preserve">Paper reporting on a </w:t>
            </w:r>
            <w:r w:rsidRPr="003F0957">
              <w:rPr>
                <w:rFonts w:ascii="Garamond" w:hAnsi="Garamond"/>
                <w:lang w:val="en-AU"/>
              </w:rPr>
              <w:t xml:space="preserve">prospective, observational study conducted in an urban, academic </w:t>
            </w:r>
            <w:r>
              <w:rPr>
                <w:rFonts w:ascii="Garamond" w:hAnsi="Garamond"/>
                <w:lang w:val="en-AU"/>
              </w:rPr>
              <w:t>emergency department (</w:t>
            </w:r>
            <w:r w:rsidRPr="003F0957">
              <w:rPr>
                <w:rFonts w:ascii="Garamond" w:hAnsi="Garamond"/>
                <w:lang w:val="en-AU"/>
              </w:rPr>
              <w:t>ED</w:t>
            </w:r>
            <w:r>
              <w:rPr>
                <w:rFonts w:ascii="Garamond" w:hAnsi="Garamond"/>
                <w:lang w:val="en-AU"/>
              </w:rPr>
              <w:t>) in which a</w:t>
            </w:r>
            <w:r w:rsidRPr="003F0957">
              <w:rPr>
                <w:rFonts w:ascii="Garamond" w:hAnsi="Garamond"/>
                <w:lang w:val="en-AU"/>
              </w:rPr>
              <w:t>n ED physician completed 53</w:t>
            </w:r>
            <w:r w:rsidRPr="003F0957">
              <w:rPr>
                <w:lang w:val="en-AU"/>
              </w:rPr>
              <w:t> </w:t>
            </w:r>
            <w:r w:rsidRPr="003F0957">
              <w:rPr>
                <w:rFonts w:ascii="Garamond" w:hAnsi="Garamond"/>
                <w:lang w:val="en-AU"/>
              </w:rPr>
              <w:t>h</w:t>
            </w:r>
            <w:r>
              <w:rPr>
                <w:rFonts w:ascii="Garamond" w:hAnsi="Garamond"/>
                <w:lang w:val="en-AU"/>
              </w:rPr>
              <w:t>ours</w:t>
            </w:r>
            <w:r w:rsidRPr="003F0957">
              <w:rPr>
                <w:rFonts w:ascii="Garamond" w:hAnsi="Garamond"/>
                <w:lang w:val="en-AU"/>
              </w:rPr>
              <w:t xml:space="preserve"> of observation, recording patient characteristics, alarm type, staff response, whether the alarm was likely real or false, and whether it changed clinical management</w:t>
            </w:r>
            <w:r>
              <w:rPr>
                <w:rFonts w:ascii="Garamond" w:hAnsi="Garamond"/>
                <w:lang w:val="en-AU"/>
              </w:rPr>
              <w:t>. In the 53 hours, there were 1049 alarms associated with 146 patients and these a</w:t>
            </w:r>
            <w:r w:rsidRPr="003F0957">
              <w:rPr>
                <w:rFonts w:ascii="Garamond" w:hAnsi="Garamond"/>
                <w:lang w:val="en-AU"/>
              </w:rPr>
              <w:t xml:space="preserve">larms changed clinical management in </w:t>
            </w:r>
            <w:r>
              <w:rPr>
                <w:rFonts w:ascii="Garamond" w:hAnsi="Garamond"/>
                <w:lang w:val="en-AU"/>
              </w:rPr>
              <w:t xml:space="preserve">just </w:t>
            </w:r>
            <w:r w:rsidRPr="003F0957">
              <w:rPr>
                <w:rFonts w:ascii="Garamond" w:hAnsi="Garamond"/>
                <w:lang w:val="en-AU"/>
              </w:rPr>
              <w:t>8 out of 1049 observed alarms in 5 out of the 146 patients</w:t>
            </w:r>
            <w:r>
              <w:rPr>
                <w:rFonts w:ascii="Garamond" w:hAnsi="Garamond"/>
                <w:lang w:val="en-AU"/>
              </w:rPr>
              <w:t xml:space="preserve">. </w:t>
            </w:r>
            <w:r w:rsidRPr="003F0957">
              <w:rPr>
                <w:rFonts w:ascii="Garamond" w:hAnsi="Garamond"/>
                <w:lang w:val="en-AU"/>
              </w:rPr>
              <w:t xml:space="preserve"> Staff did not observably respond to most alarms (63%).</w:t>
            </w:r>
          </w:p>
        </w:tc>
      </w:tr>
    </w:tbl>
    <w:p w:rsidR="00303AA7" w:rsidRDefault="00303AA7" w:rsidP="00303AA7">
      <w:pPr>
        <w:rPr>
          <w:rFonts w:ascii="Garamond" w:hAnsi="Garamond"/>
          <w:lang w:val="en-AU"/>
        </w:rPr>
      </w:pPr>
    </w:p>
    <w:p w:rsidR="00B721DD" w:rsidRPr="00B721DD" w:rsidRDefault="00B721DD" w:rsidP="00B721DD">
      <w:pPr>
        <w:rPr>
          <w:rFonts w:ascii="Garamond" w:hAnsi="Garamond"/>
          <w:i/>
          <w:lang w:val="en-AU"/>
        </w:rPr>
      </w:pPr>
      <w:r w:rsidRPr="00B721DD">
        <w:rPr>
          <w:rFonts w:ascii="Garamond" w:hAnsi="Garamond"/>
          <w:i/>
          <w:lang w:val="en-AU"/>
        </w:rPr>
        <w:t>Association of Intra-arrest Transport vs Continued On-Scene Resuscitation With Survival to Hospital Discharge Among Patients With Out-of-Hospital Cardiac Arrest</w:t>
      </w:r>
    </w:p>
    <w:p w:rsidR="00B721DD" w:rsidRDefault="00B721DD" w:rsidP="008F3909">
      <w:pPr>
        <w:rPr>
          <w:rFonts w:ascii="Garamond" w:hAnsi="Garamond"/>
          <w:lang w:val="en-AU"/>
        </w:rPr>
      </w:pPr>
      <w:r w:rsidRPr="00B721DD">
        <w:rPr>
          <w:rFonts w:ascii="Garamond" w:hAnsi="Garamond"/>
          <w:lang w:val="en-AU"/>
        </w:rPr>
        <w:t>Grunau B, Kime N, Leroux B, Rea T, Van Belle G, Menegazzi JJ, et al</w:t>
      </w:r>
    </w:p>
    <w:p w:rsidR="00B721DD" w:rsidRDefault="00B721DD" w:rsidP="008F3909">
      <w:pPr>
        <w:rPr>
          <w:rFonts w:ascii="Garamond" w:hAnsi="Garamond"/>
          <w:lang w:val="en-AU"/>
        </w:rPr>
      </w:pPr>
      <w:r w:rsidRPr="00B721DD">
        <w:rPr>
          <w:rFonts w:ascii="Garamond" w:hAnsi="Garamond"/>
          <w:lang w:val="en-AU"/>
        </w:rPr>
        <w:t>JAMA. 2020;324(11):1058-1067.</w:t>
      </w:r>
    </w:p>
    <w:tbl>
      <w:tblPr>
        <w:tblStyle w:val="TableGrid"/>
        <w:tblW w:w="9360" w:type="dxa"/>
        <w:tblInd w:w="288" w:type="dxa"/>
        <w:tblLayout w:type="fixed"/>
        <w:tblLook w:val="01E0" w:firstRow="1" w:lastRow="1" w:firstColumn="1" w:lastColumn="1" w:noHBand="0" w:noVBand="0"/>
      </w:tblPr>
      <w:tblGrid>
        <w:gridCol w:w="1080"/>
        <w:gridCol w:w="8280"/>
      </w:tblGrid>
      <w:tr w:rsidR="00B721DD"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B721DD" w:rsidRPr="000170DA" w:rsidRDefault="00B721DD" w:rsidP="0021516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21DD" w:rsidRPr="000170DA" w:rsidRDefault="004A6731" w:rsidP="00215163">
            <w:pPr>
              <w:keepNext/>
              <w:rPr>
                <w:rStyle w:val="Hyperlink"/>
                <w:rFonts w:ascii="Garamond" w:hAnsi="Garamond"/>
                <w:color w:val="auto"/>
                <w:u w:val="none"/>
                <w:lang w:val="en-AU"/>
              </w:rPr>
            </w:pPr>
            <w:hyperlink r:id="rId51" w:history="1">
              <w:r w:rsidR="00B721DD" w:rsidRPr="00094E38">
                <w:rPr>
                  <w:rStyle w:val="Hyperlink"/>
                  <w:rFonts w:ascii="Garamond" w:hAnsi="Garamond"/>
                  <w:lang w:val="en-AU"/>
                </w:rPr>
                <w:t>https://doi.org/10.1001/jama.2020.14185</w:t>
              </w:r>
            </w:hyperlink>
          </w:p>
        </w:tc>
      </w:tr>
      <w:tr w:rsidR="00B721DD"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B721DD" w:rsidRPr="000170DA" w:rsidRDefault="00B721DD" w:rsidP="002151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21DD" w:rsidRPr="009A7AA8" w:rsidRDefault="002F2E3F" w:rsidP="004A6731">
            <w:pPr>
              <w:rPr>
                <w:rFonts w:ascii="Garamond" w:hAnsi="Garamond"/>
                <w:lang w:val="en-AU"/>
              </w:rPr>
            </w:pPr>
            <w:r>
              <w:rPr>
                <w:rFonts w:ascii="Garamond" w:hAnsi="Garamond"/>
                <w:lang w:val="en-AU"/>
              </w:rPr>
              <w:t>Apparently</w:t>
            </w:r>
            <w:r w:rsidR="004A6731">
              <w:rPr>
                <w:rFonts w:ascii="Garamond" w:hAnsi="Garamond"/>
                <w:lang w:val="en-AU"/>
              </w:rPr>
              <w:t>,</w:t>
            </w:r>
            <w:r>
              <w:rPr>
                <w:rFonts w:ascii="Garamond" w:hAnsi="Garamond"/>
                <w:lang w:val="en-AU"/>
              </w:rPr>
              <w:t xml:space="preserve"> different </w:t>
            </w:r>
            <w:r w:rsidR="004A6731">
              <w:rPr>
                <w:rFonts w:ascii="Garamond" w:hAnsi="Garamond"/>
                <w:lang w:val="en-AU"/>
              </w:rPr>
              <w:t>locations</w:t>
            </w:r>
            <w:r>
              <w:rPr>
                <w:rFonts w:ascii="Garamond" w:hAnsi="Garamond"/>
                <w:lang w:val="en-AU"/>
              </w:rPr>
              <w:t xml:space="preserve"> have differing approaches to handling cardiac arrests that happen in the community. In some </w:t>
            </w:r>
            <w:r w:rsidR="004A6731">
              <w:rPr>
                <w:rFonts w:ascii="Garamond" w:hAnsi="Garamond"/>
                <w:lang w:val="en-AU"/>
              </w:rPr>
              <w:t xml:space="preserve">locations </w:t>
            </w:r>
            <w:r>
              <w:rPr>
                <w:rFonts w:ascii="Garamond" w:hAnsi="Garamond"/>
                <w:lang w:val="en-AU"/>
              </w:rPr>
              <w:t xml:space="preserve">emergency responders will take little action on the spot, opting </w:t>
            </w:r>
            <w:r w:rsidR="003F0957">
              <w:rPr>
                <w:rFonts w:ascii="Garamond" w:hAnsi="Garamond"/>
                <w:lang w:val="en-AU"/>
              </w:rPr>
              <w:t xml:space="preserve">for rapid </w:t>
            </w:r>
            <w:r>
              <w:rPr>
                <w:rFonts w:ascii="Garamond" w:hAnsi="Garamond"/>
                <w:lang w:val="en-AU"/>
              </w:rPr>
              <w:t>transport</w:t>
            </w:r>
            <w:r w:rsidR="003F0957">
              <w:rPr>
                <w:rFonts w:ascii="Garamond" w:hAnsi="Garamond"/>
                <w:lang w:val="en-AU"/>
              </w:rPr>
              <w:t>ation</w:t>
            </w:r>
            <w:r>
              <w:rPr>
                <w:rFonts w:ascii="Garamond" w:hAnsi="Garamond"/>
                <w:lang w:val="en-AU"/>
              </w:rPr>
              <w:t xml:space="preserve"> to hospital (the “scoop and run” approach) while in others the standard response is to </w:t>
            </w:r>
            <w:r w:rsidR="003F0957">
              <w:rPr>
                <w:rFonts w:ascii="Garamond" w:hAnsi="Garamond"/>
                <w:lang w:val="en-AU"/>
              </w:rPr>
              <w:t>treat the patient at the scene</w:t>
            </w:r>
            <w:r>
              <w:rPr>
                <w:rFonts w:ascii="Garamond" w:hAnsi="Garamond"/>
                <w:lang w:val="en-AU"/>
              </w:rPr>
              <w:t xml:space="preserve"> (“stay and play’). This article </w:t>
            </w:r>
            <w:r w:rsidR="003F0957">
              <w:rPr>
                <w:rFonts w:ascii="Garamond" w:hAnsi="Garamond"/>
                <w:lang w:val="en-AU"/>
              </w:rPr>
              <w:t xml:space="preserve">reports on a cohort study that </w:t>
            </w:r>
            <w:r>
              <w:rPr>
                <w:rFonts w:ascii="Garamond" w:hAnsi="Garamond"/>
                <w:lang w:val="en-AU"/>
              </w:rPr>
              <w:t xml:space="preserve">examined </w:t>
            </w:r>
            <w:r w:rsidR="003F0957">
              <w:rPr>
                <w:rFonts w:ascii="Garamond" w:hAnsi="Garamond"/>
                <w:lang w:val="en-AU"/>
              </w:rPr>
              <w:t>27,705 patients who suffered out-of-hospital cardiac arrests in the USA and Canada. The study found that ‘</w:t>
            </w:r>
            <w:r w:rsidR="003F0957" w:rsidRPr="003F0957">
              <w:rPr>
                <w:rFonts w:ascii="Garamond" w:hAnsi="Garamond"/>
                <w:lang w:val="en-AU"/>
              </w:rPr>
              <w:t>intra-arrest transport compared with continued on-scene resuscitation had a probability of survival to hospital discharge of 4.0% vs 8.5%, a difference that was statistically significant.</w:t>
            </w:r>
            <w:r w:rsidR="003F0957">
              <w:rPr>
                <w:rFonts w:ascii="Garamond" w:hAnsi="Garamond"/>
                <w:lang w:val="en-AU"/>
              </w:rPr>
              <w:t>’</w:t>
            </w:r>
          </w:p>
        </w:tc>
      </w:tr>
    </w:tbl>
    <w:p w:rsidR="00B721DD" w:rsidRDefault="00B721DD" w:rsidP="00B721DD">
      <w:pPr>
        <w:rPr>
          <w:rFonts w:ascii="Garamond" w:hAnsi="Garamond"/>
          <w:lang w:val="en-AU"/>
        </w:rPr>
      </w:pPr>
    </w:p>
    <w:p w:rsidR="008E0E79" w:rsidRDefault="008E0E79" w:rsidP="00303AA7">
      <w:pPr>
        <w:keepNext/>
        <w:rPr>
          <w:rFonts w:ascii="Garamond" w:hAnsi="Garamond"/>
          <w:i/>
          <w:lang w:val="en-AU"/>
        </w:rPr>
      </w:pPr>
      <w:r>
        <w:rPr>
          <w:rFonts w:ascii="Garamond" w:hAnsi="Garamond"/>
          <w:i/>
          <w:lang w:val="en-AU"/>
        </w:rPr>
        <w:t>BMJ Quality &amp; Safety</w:t>
      </w:r>
    </w:p>
    <w:p w:rsidR="008E0E79" w:rsidRPr="00D65371" w:rsidRDefault="008E0E79" w:rsidP="00303AA7">
      <w:pPr>
        <w:keepNext/>
        <w:rPr>
          <w:rFonts w:ascii="Garamond" w:hAnsi="Garamond"/>
          <w:lang w:val="en-AU"/>
        </w:rPr>
      </w:pPr>
      <w:r>
        <w:rPr>
          <w:rFonts w:ascii="Garamond" w:hAnsi="Garamond"/>
          <w:lang w:val="en-AU"/>
        </w:rPr>
        <w:t>October 2020 - Volume 29 - 10</w:t>
      </w:r>
    </w:p>
    <w:tbl>
      <w:tblPr>
        <w:tblStyle w:val="TableGrid"/>
        <w:tblW w:w="0" w:type="auto"/>
        <w:tblInd w:w="288" w:type="dxa"/>
        <w:tblLayout w:type="fixed"/>
        <w:tblLook w:val="01E0" w:firstRow="1" w:lastRow="1" w:firstColumn="1" w:lastColumn="1" w:noHBand="0" w:noVBand="0"/>
      </w:tblPr>
      <w:tblGrid>
        <w:gridCol w:w="1080"/>
        <w:gridCol w:w="8280"/>
      </w:tblGrid>
      <w:tr w:rsidR="008E0E79"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8E0E79" w:rsidRPr="000170DA" w:rsidRDefault="008E0E79" w:rsidP="00303AA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0E79" w:rsidRPr="000170DA" w:rsidRDefault="004A6731" w:rsidP="00303AA7">
            <w:pPr>
              <w:keepNext/>
              <w:rPr>
                <w:rStyle w:val="Hyperlink"/>
                <w:rFonts w:ascii="Garamond" w:hAnsi="Garamond"/>
                <w:color w:val="auto"/>
                <w:u w:val="none"/>
                <w:lang w:val="en-AU"/>
              </w:rPr>
            </w:pPr>
            <w:hyperlink r:id="rId52" w:history="1">
              <w:r w:rsidR="008E0E79" w:rsidRPr="00094E38">
                <w:rPr>
                  <w:rStyle w:val="Hyperlink"/>
                  <w:rFonts w:ascii="Garamond" w:hAnsi="Garamond"/>
                  <w:lang w:val="en-AU"/>
                </w:rPr>
                <w:t>https://qualitysafety.bmj.com/content/29/10</w:t>
              </w:r>
            </w:hyperlink>
          </w:p>
        </w:tc>
      </w:tr>
      <w:tr w:rsidR="008E0E79"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8E0E79" w:rsidRPr="000170DA" w:rsidRDefault="008E0E79" w:rsidP="002151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0E79" w:rsidRPr="007C3778" w:rsidRDefault="008E0E79" w:rsidP="00215163">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lang w:val="en-AU"/>
              </w:rPr>
              <w:t xml:space="preserve">Editorial: </w:t>
            </w:r>
            <w:r w:rsidRPr="008E0E79">
              <w:rPr>
                <w:rFonts w:ascii="Garamond" w:hAnsi="Garamond"/>
                <w:b/>
                <w:lang w:val="en-AU"/>
              </w:rPr>
              <w:t>Whiteboards</w:t>
            </w:r>
            <w:r w:rsidRPr="008E0E79">
              <w:rPr>
                <w:rFonts w:ascii="Garamond" w:hAnsi="Garamond"/>
                <w:lang w:val="en-AU"/>
              </w:rPr>
              <w:t xml:space="preserve">: important part of the toolbox for improving </w:t>
            </w:r>
            <w:r w:rsidRPr="008E0E79">
              <w:rPr>
                <w:rFonts w:ascii="Garamond" w:hAnsi="Garamond"/>
                <w:b/>
                <w:lang w:val="en-AU"/>
              </w:rPr>
              <w:t>patient understanding during hospitalisation</w:t>
            </w:r>
            <w:r w:rsidRPr="008E0E79">
              <w:rPr>
                <w:rFonts w:ascii="Garamond" w:hAnsi="Garamond"/>
                <w:lang w:val="en-AU"/>
              </w:rPr>
              <w:t xml:space="preserve"> (Sara Dunbar, Kathlyn E Fletcher</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lang w:val="en-AU"/>
              </w:rPr>
              <w:t xml:space="preserve">Editorial: </w:t>
            </w:r>
            <w:r w:rsidRPr="008E0E79">
              <w:rPr>
                <w:rFonts w:ascii="Garamond" w:hAnsi="Garamond"/>
                <w:b/>
                <w:lang w:val="en-AU"/>
              </w:rPr>
              <w:t>Social emotion and patient safety</w:t>
            </w:r>
            <w:r w:rsidRPr="008E0E79">
              <w:rPr>
                <w:rFonts w:ascii="Garamond" w:hAnsi="Garamond"/>
                <w:lang w:val="en-AU"/>
              </w:rPr>
              <w:t>: an important and understudied intersection (Jane Heyhoe, Rebecca Lawton</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lang w:val="en-AU"/>
              </w:rPr>
              <w:t xml:space="preserve">Editorial: Choosing quality problems wisely: identifying </w:t>
            </w:r>
            <w:r w:rsidRPr="008E0E79">
              <w:rPr>
                <w:rFonts w:ascii="Garamond" w:hAnsi="Garamond"/>
                <w:b/>
                <w:lang w:val="en-AU"/>
              </w:rPr>
              <w:t>improvements worth developing and sustaining</w:t>
            </w:r>
            <w:r w:rsidRPr="008E0E79">
              <w:rPr>
                <w:rFonts w:ascii="Garamond" w:hAnsi="Garamond"/>
                <w:lang w:val="en-AU"/>
              </w:rPr>
              <w:t xml:space="preserve"> (Christine Soong, Hyung J Cho, K G Shojania</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b/>
                <w:lang w:val="en-AU"/>
              </w:rPr>
              <w:t>Do bedside whiteboards enhance communication in hospitals?</w:t>
            </w:r>
            <w:r w:rsidRPr="008E0E79">
              <w:rPr>
                <w:rFonts w:ascii="Garamond" w:hAnsi="Garamond"/>
                <w:lang w:val="en-AU"/>
              </w:rPr>
              <w:t xml:space="preserve"> An exploratory multimethod study of patient and nurse perspectives (Anupama Goyal, Hanna Glanzman, Martha Quinn, Komalpreet Tur, Sweta Singh, Suzanne Winter, Ashley Snyder, Vineet Chopra</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b/>
                <w:lang w:val="en-AU"/>
              </w:rPr>
              <w:t>Emotionally evocative patients in the emergency department</w:t>
            </w:r>
            <w:r w:rsidRPr="008E0E79">
              <w:rPr>
                <w:rFonts w:ascii="Garamond" w:hAnsi="Garamond"/>
                <w:lang w:val="en-AU"/>
              </w:rPr>
              <w:t>: a mixed methods investigation of providers’ reported emotions and implications for patient safety (Linda M Isbell, Julia Tager, Kendall Beals, Guanyu Liu</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b/>
                <w:lang w:val="en-AU"/>
              </w:rPr>
              <w:t>What do emergency department physicians and nurses feel?</w:t>
            </w:r>
            <w:r w:rsidRPr="008E0E79">
              <w:rPr>
                <w:rFonts w:ascii="Garamond" w:hAnsi="Garamond"/>
                <w:lang w:val="en-AU"/>
              </w:rPr>
              <w:t xml:space="preserve"> A qualitative study of emotions, triggers, regulation strategies, and effects on patient care </w:t>
            </w:r>
            <w:r w:rsidRPr="008E0E79">
              <w:rPr>
                <w:rFonts w:ascii="Garamond" w:hAnsi="Garamond"/>
                <w:lang w:val="en-AU"/>
              </w:rPr>
              <w:lastRenderedPageBreak/>
              <w:t>(Linda M Isbell, Edwin D Boudreaux, Hannah Chimowitz, Guanyu Liu, Emma Cyr, Ezekiel Kimball</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lang w:val="en-AU"/>
              </w:rPr>
              <w:t xml:space="preserve">Impact of an education and multilevel social comparison–based intervention bundle on </w:t>
            </w:r>
            <w:r w:rsidRPr="008E0E79">
              <w:rPr>
                <w:rFonts w:ascii="Garamond" w:hAnsi="Garamond"/>
                <w:b/>
                <w:lang w:val="en-AU"/>
              </w:rPr>
              <w:t>use of routine blood tests in hospitalised patients</w:t>
            </w:r>
            <w:r w:rsidRPr="008E0E79">
              <w:rPr>
                <w:rFonts w:ascii="Garamond" w:hAnsi="Garamond"/>
                <w:lang w:val="en-AU"/>
              </w:rPr>
              <w:t xml:space="preserve"> at an academic tertiary care hospital: a controlled pre-intervention post-intervention study (Anshula Ambasta, Irene Wai Yan Ma, Stephen Woo, Kevin Lonergan, Elizabeth Mackay, Tyler Williamson</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lang w:val="en-AU"/>
              </w:rPr>
              <w:t xml:space="preserve">The discontinuation of contact precautions for </w:t>
            </w:r>
            <w:r w:rsidRPr="008E0E79">
              <w:rPr>
                <w:rFonts w:ascii="Garamond" w:hAnsi="Garamond"/>
                <w:b/>
                <w:lang w:val="en-AU"/>
              </w:rPr>
              <w:t xml:space="preserve">methicillin-resistant </w:t>
            </w:r>
            <w:r w:rsidRPr="008E0E79">
              <w:rPr>
                <w:rFonts w:ascii="Garamond" w:hAnsi="Garamond"/>
                <w:b/>
                <w:i/>
                <w:lang w:val="en-AU"/>
              </w:rPr>
              <w:t>Staphylococcus aureus</w:t>
            </w:r>
            <w:r w:rsidRPr="008E0E79">
              <w:rPr>
                <w:rFonts w:ascii="Garamond" w:hAnsi="Garamond"/>
                <w:b/>
                <w:lang w:val="en-AU"/>
              </w:rPr>
              <w:t xml:space="preserve"> and vancomycin-resistant Enterococcus</w:t>
            </w:r>
            <w:r w:rsidRPr="008E0E79">
              <w:rPr>
                <w:rFonts w:ascii="Garamond" w:hAnsi="Garamond"/>
                <w:lang w:val="en-AU"/>
              </w:rPr>
              <w:t>: Impact upon patient adverse events and hospital operations (Gregory M Schrank, Graham M Snyder, Roger B Davis, Westyn Branch-Elliman, Sharon B Wright</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lang w:val="en-AU"/>
              </w:rPr>
              <w:t xml:space="preserve">Impact </w:t>
            </w:r>
            <w:r w:rsidRPr="008E0E79">
              <w:rPr>
                <w:rFonts w:ascii="Garamond" w:hAnsi="Garamond"/>
                <w:b/>
                <w:lang w:val="en-AU"/>
              </w:rPr>
              <w:t>of multidisciplinary team huddles on patient safety</w:t>
            </w:r>
            <w:r w:rsidRPr="008E0E79">
              <w:rPr>
                <w:rFonts w:ascii="Garamond" w:hAnsi="Garamond"/>
                <w:lang w:val="en-AU"/>
              </w:rPr>
              <w:t>: a systematic review and proposed taxonomy (Brian J Franklin, Tejal K Gandhi, David W Bates, Nadia Huancahuari, Charles A Morris, Madelyn Pearson, Michelle Beth Bass, Eric Goralnick</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b/>
                <w:lang w:val="en-AU"/>
              </w:rPr>
              <w:t>Effects of CPOE-based medication ordering on outcomes</w:t>
            </w:r>
            <w:r w:rsidRPr="008E0E79">
              <w:rPr>
                <w:rFonts w:ascii="Garamond" w:hAnsi="Garamond"/>
                <w:lang w:val="en-AU"/>
              </w:rPr>
              <w:t>: an overview of systematic reviews (Joanna Abraham, Spyros Kitsiou, Alicia Meng, Shirley Burton, Haleh Vatani, Thomas Kannampallil</w:t>
            </w:r>
            <w:r>
              <w:rPr>
                <w:rFonts w:ascii="Garamond" w:hAnsi="Garamond"/>
                <w:lang w:val="en-AU"/>
              </w:rPr>
              <w:t>)</w:t>
            </w:r>
          </w:p>
          <w:p w:rsidR="008E0E79" w:rsidRPr="008E0E79" w:rsidRDefault="008E0E79" w:rsidP="00215163">
            <w:pPr>
              <w:pStyle w:val="ListParagraph"/>
              <w:numPr>
                <w:ilvl w:val="0"/>
                <w:numId w:val="15"/>
              </w:numPr>
              <w:rPr>
                <w:rFonts w:ascii="Garamond" w:hAnsi="Garamond"/>
                <w:lang w:val="en-AU"/>
              </w:rPr>
            </w:pPr>
            <w:r w:rsidRPr="008E0E79">
              <w:rPr>
                <w:rFonts w:ascii="Garamond" w:hAnsi="Garamond"/>
                <w:b/>
                <w:lang w:val="en-AU"/>
              </w:rPr>
              <w:t>Empowering patients</w:t>
            </w:r>
            <w:r w:rsidRPr="008E0E79">
              <w:rPr>
                <w:rFonts w:ascii="Garamond" w:hAnsi="Garamond"/>
                <w:lang w:val="en-AU"/>
              </w:rPr>
              <w:t xml:space="preserve"> and reducing inequities: is there potential in </w:t>
            </w:r>
            <w:r w:rsidRPr="008E0E79">
              <w:rPr>
                <w:rFonts w:ascii="Garamond" w:hAnsi="Garamond"/>
                <w:b/>
                <w:lang w:val="en-AU"/>
              </w:rPr>
              <w:t>sharing clinical notes</w:t>
            </w:r>
            <w:r w:rsidRPr="008E0E79">
              <w:rPr>
                <w:rFonts w:ascii="Garamond" w:hAnsi="Garamond"/>
                <w:lang w:val="en-AU"/>
              </w:rPr>
              <w:t>? (Charlotte Blease, Leonor Fernandez, Sigall K Bell, Tom Delbanco, Catherine DesRoches</w:t>
            </w:r>
            <w:r>
              <w:rPr>
                <w:rFonts w:ascii="Garamond" w:hAnsi="Garamond"/>
                <w:lang w:val="en-AU"/>
              </w:rPr>
              <w:t>)</w:t>
            </w:r>
          </w:p>
          <w:p w:rsidR="008E0E79" w:rsidRPr="00292B57" w:rsidRDefault="008E0E79" w:rsidP="008E0E79">
            <w:pPr>
              <w:pStyle w:val="ListParagraph"/>
              <w:numPr>
                <w:ilvl w:val="0"/>
                <w:numId w:val="15"/>
              </w:numPr>
              <w:rPr>
                <w:rFonts w:ascii="Garamond" w:hAnsi="Garamond"/>
                <w:lang w:val="en-AU"/>
              </w:rPr>
            </w:pPr>
            <w:r w:rsidRPr="008E0E79">
              <w:rPr>
                <w:rFonts w:ascii="Garamond" w:hAnsi="Garamond"/>
                <w:b/>
                <w:lang w:val="en-AU"/>
              </w:rPr>
              <w:t>Resilience and regulation</w:t>
            </w:r>
            <w:r w:rsidRPr="008E0E79">
              <w:rPr>
                <w:rFonts w:ascii="Garamond" w:hAnsi="Garamond"/>
                <w:lang w:val="en-AU"/>
              </w:rPr>
              <w:t>, an odd couple? Consequences of Safety-II on governmental regulation of healthcare quality (Ian Leistikow, Roland A Bal</w:t>
            </w:r>
            <w:r>
              <w:rPr>
                <w:rFonts w:ascii="Garamond" w:hAnsi="Garamond"/>
                <w:lang w:val="en-AU"/>
              </w:rPr>
              <w:t>)</w:t>
            </w:r>
          </w:p>
        </w:tc>
      </w:tr>
    </w:tbl>
    <w:p w:rsidR="008E0E79" w:rsidRDefault="008E0E79" w:rsidP="00B721DD">
      <w:pPr>
        <w:rPr>
          <w:rFonts w:ascii="Garamond" w:hAnsi="Garamond"/>
          <w:lang w:val="en-AU"/>
        </w:rPr>
      </w:pPr>
    </w:p>
    <w:p w:rsidR="006D79F7" w:rsidRPr="006D79F7" w:rsidRDefault="006D79F7" w:rsidP="006D79F7">
      <w:pPr>
        <w:keepNext/>
        <w:rPr>
          <w:rFonts w:ascii="Garamond" w:hAnsi="Garamond"/>
          <w:i/>
          <w:lang w:val="en-AU"/>
        </w:rPr>
      </w:pPr>
      <w:r w:rsidRPr="006D79F7">
        <w:rPr>
          <w:rFonts w:ascii="Garamond" w:hAnsi="Garamond"/>
          <w:i/>
          <w:lang w:val="en-AU"/>
        </w:rPr>
        <w:t>Health</w:t>
      </w:r>
      <w:r w:rsidR="008A60B1">
        <w:rPr>
          <w:rFonts w:ascii="Garamond" w:hAnsi="Garamond"/>
          <w:i/>
          <w:lang w:val="en-AU"/>
        </w:rPr>
        <w:t xml:space="preserve"> Expectations</w:t>
      </w:r>
    </w:p>
    <w:p w:rsidR="006D79F7" w:rsidRPr="006D79F7" w:rsidRDefault="006D79F7" w:rsidP="006D79F7">
      <w:pPr>
        <w:keepNext/>
        <w:rPr>
          <w:rFonts w:ascii="Garamond" w:hAnsi="Garamond"/>
          <w:lang w:val="en-AU"/>
        </w:rPr>
      </w:pPr>
      <w:r w:rsidRPr="006D79F7">
        <w:rPr>
          <w:rFonts w:ascii="Garamond" w:hAnsi="Garamond"/>
          <w:lang w:val="en-AU"/>
        </w:rPr>
        <w:t xml:space="preserve">Vol. </w:t>
      </w:r>
      <w:r w:rsidR="008A60B1">
        <w:rPr>
          <w:rFonts w:ascii="Garamond" w:hAnsi="Garamond"/>
          <w:lang w:val="en-AU"/>
        </w:rPr>
        <w:t>23</w:t>
      </w:r>
      <w:r w:rsidRPr="006D79F7">
        <w:rPr>
          <w:rFonts w:ascii="Garamond" w:hAnsi="Garamond"/>
          <w:lang w:val="en-AU"/>
        </w:rPr>
        <w:t xml:space="preserve">, No. </w:t>
      </w:r>
      <w:r w:rsidR="008A60B1">
        <w:rPr>
          <w:rFonts w:ascii="Garamond" w:hAnsi="Garamond"/>
          <w:lang w:val="en-AU"/>
        </w:rPr>
        <w:t>4</w:t>
      </w:r>
      <w:r w:rsidRPr="006D79F7">
        <w:rPr>
          <w:rFonts w:ascii="Garamond" w:hAnsi="Garamond"/>
          <w:lang w:val="en-AU"/>
        </w:rPr>
        <w:t xml:space="preserve">, </w:t>
      </w:r>
      <w:r w:rsidR="008A60B1">
        <w:rPr>
          <w:rFonts w:ascii="Garamond" w:hAnsi="Garamond"/>
          <w:lang w:val="en-AU"/>
        </w:rPr>
        <w:t xml:space="preserve">August </w:t>
      </w:r>
      <w:r w:rsidRPr="006D79F7">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8A60B1" w:rsidRDefault="004A6731" w:rsidP="006D79F7">
            <w:pPr>
              <w:keepNext/>
              <w:rPr>
                <w:rStyle w:val="Hyperlink"/>
                <w:rFonts w:ascii="Garamond" w:hAnsi="Garamond"/>
                <w:color w:val="auto"/>
                <w:u w:val="none"/>
                <w:lang w:val="en-AU"/>
              </w:rPr>
            </w:pPr>
            <w:hyperlink r:id="rId53" w:history="1">
              <w:r w:rsidR="008A60B1" w:rsidRPr="008A60B1">
                <w:rPr>
                  <w:rStyle w:val="Hyperlink"/>
                  <w:rFonts w:ascii="Garamond" w:hAnsi="Garamond"/>
                </w:rPr>
                <w:t>https://onlinelibrary.wiley.com/toc/13697625/2020/23/4</w:t>
              </w:r>
            </w:hyperlink>
          </w:p>
        </w:tc>
      </w:tr>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6D79F7" w:rsidRDefault="006D79F7" w:rsidP="00303AA7">
            <w:pPr>
              <w:rPr>
                <w:rFonts w:ascii="Garamond" w:hAnsi="Garamond"/>
                <w:lang w:val="en-AU"/>
              </w:rPr>
            </w:pPr>
            <w:r w:rsidRPr="006D79F7">
              <w:rPr>
                <w:rFonts w:ascii="Garamond" w:hAnsi="Garamond"/>
                <w:lang w:val="en-AU"/>
              </w:rPr>
              <w:t xml:space="preserve">A new issue of </w:t>
            </w:r>
            <w:r w:rsidR="008A60B1" w:rsidRPr="006D79F7">
              <w:rPr>
                <w:rFonts w:ascii="Garamond" w:hAnsi="Garamond"/>
                <w:i/>
                <w:lang w:val="en-AU"/>
              </w:rPr>
              <w:t>Health</w:t>
            </w:r>
            <w:r w:rsidR="008A60B1">
              <w:rPr>
                <w:rFonts w:ascii="Garamond" w:hAnsi="Garamond"/>
                <w:i/>
                <w:lang w:val="en-AU"/>
              </w:rPr>
              <w:t xml:space="preserve"> Expectations </w:t>
            </w:r>
            <w:r w:rsidRPr="006D79F7">
              <w:rPr>
                <w:rFonts w:ascii="Garamond" w:hAnsi="Garamond"/>
                <w:lang w:val="en-AU"/>
              </w:rPr>
              <w:t xml:space="preserve">has been published. Articles in this issue of </w:t>
            </w:r>
            <w:r w:rsidR="008A60B1" w:rsidRPr="006D79F7">
              <w:rPr>
                <w:rFonts w:ascii="Garamond" w:hAnsi="Garamond"/>
                <w:i/>
                <w:lang w:val="en-AU"/>
              </w:rPr>
              <w:t>Health</w:t>
            </w:r>
            <w:r w:rsidR="008A60B1">
              <w:rPr>
                <w:rFonts w:ascii="Garamond" w:hAnsi="Garamond"/>
                <w:i/>
                <w:lang w:val="en-AU"/>
              </w:rPr>
              <w:t xml:space="preserve"> Expectations </w:t>
            </w:r>
            <w:r w:rsidRPr="006D79F7">
              <w:rPr>
                <w:rFonts w:ascii="Garamond" w:hAnsi="Garamond"/>
                <w:lang w:val="en-AU"/>
              </w:rPr>
              <w:t>include:</w:t>
            </w:r>
          </w:p>
          <w:p w:rsidR="00F241AB" w:rsidRDefault="00F241AB" w:rsidP="00303AA7">
            <w:pPr>
              <w:pStyle w:val="ListParagraph"/>
              <w:numPr>
                <w:ilvl w:val="0"/>
                <w:numId w:val="15"/>
              </w:numPr>
              <w:ind w:left="714" w:hanging="357"/>
              <w:rPr>
                <w:rFonts w:ascii="Garamond" w:hAnsi="Garamond"/>
                <w:lang w:val="en-AU"/>
              </w:rPr>
            </w:pPr>
            <w:r w:rsidRPr="00F241AB">
              <w:rPr>
                <w:rFonts w:ascii="Garamond" w:hAnsi="Garamond"/>
                <w:lang w:val="en-AU"/>
              </w:rPr>
              <w:t xml:space="preserve">Utilizing </w:t>
            </w:r>
            <w:r w:rsidRPr="00F241AB">
              <w:rPr>
                <w:rFonts w:ascii="Garamond" w:hAnsi="Garamond"/>
                <w:b/>
                <w:lang w:val="en-AU"/>
              </w:rPr>
              <w:t>patient advocates in Parkinson’s disease</w:t>
            </w:r>
            <w:r w:rsidRPr="00F241AB">
              <w:rPr>
                <w:rFonts w:ascii="Garamond" w:hAnsi="Garamond"/>
                <w:lang w:val="en-AU"/>
              </w:rPr>
              <w:t>: A proposed framework for patient engagement and the modern metrics that can determine its success (Megan Feeney, Christiana Evers, D Agpalo, L Cone, J Fleisher, K Schroeder</w:t>
            </w:r>
            <w:r>
              <w:rPr>
                <w:rFonts w:ascii="Garamond" w:hAnsi="Garamond"/>
                <w:lang w:val="en-AU"/>
              </w:rPr>
              <w:t>)</w:t>
            </w:r>
          </w:p>
          <w:p w:rsidR="00F241AB" w:rsidRDefault="00F241AB" w:rsidP="00303AA7">
            <w:pPr>
              <w:pStyle w:val="ListParagraph"/>
              <w:numPr>
                <w:ilvl w:val="0"/>
                <w:numId w:val="15"/>
              </w:numPr>
              <w:ind w:left="714" w:hanging="357"/>
              <w:rPr>
                <w:rFonts w:ascii="Garamond" w:hAnsi="Garamond"/>
                <w:lang w:val="en-AU"/>
              </w:rPr>
            </w:pPr>
            <w:r w:rsidRPr="00F241AB">
              <w:rPr>
                <w:rFonts w:ascii="Garamond" w:hAnsi="Garamond"/>
                <w:lang w:val="en-AU"/>
              </w:rPr>
              <w:t xml:space="preserve">A systematic review of factors associated with </w:t>
            </w:r>
            <w:r w:rsidRPr="00F241AB">
              <w:rPr>
                <w:rFonts w:ascii="Garamond" w:hAnsi="Garamond"/>
                <w:b/>
                <w:lang w:val="en-AU"/>
              </w:rPr>
              <w:t>side</w:t>
            </w:r>
            <w:r w:rsidRPr="00F241AB">
              <w:rPr>
                <w:b/>
                <w:lang w:val="en-AU"/>
              </w:rPr>
              <w:t>‐</w:t>
            </w:r>
            <w:r w:rsidRPr="00F241AB">
              <w:rPr>
                <w:rFonts w:ascii="Garamond" w:hAnsi="Garamond"/>
                <w:b/>
                <w:lang w:val="en-AU"/>
              </w:rPr>
              <w:t>effect expectations from medical interventions</w:t>
            </w:r>
            <w:r w:rsidRPr="00F241AB">
              <w:rPr>
                <w:rFonts w:ascii="Garamond" w:hAnsi="Garamond"/>
                <w:lang w:val="en-AU"/>
              </w:rPr>
              <w:t xml:space="preserve"> (Louise E Smith, Rebecca K Webster, G James Rubin</w:t>
            </w:r>
            <w:r>
              <w:rPr>
                <w:rFonts w:ascii="Garamond" w:hAnsi="Garamond"/>
                <w:lang w:val="en-AU"/>
              </w:rPr>
              <w:t>)</w:t>
            </w:r>
          </w:p>
          <w:p w:rsidR="00F241AB" w:rsidRDefault="00F241AB" w:rsidP="00303AA7">
            <w:pPr>
              <w:pStyle w:val="ListParagraph"/>
              <w:numPr>
                <w:ilvl w:val="0"/>
                <w:numId w:val="15"/>
              </w:numPr>
              <w:ind w:left="714" w:hanging="357"/>
              <w:rPr>
                <w:rFonts w:ascii="Garamond" w:hAnsi="Garamond"/>
                <w:lang w:val="en-AU"/>
              </w:rPr>
            </w:pPr>
            <w:r w:rsidRPr="00F241AB">
              <w:rPr>
                <w:rFonts w:ascii="Garamond" w:hAnsi="Garamond"/>
                <w:lang w:val="en-AU"/>
              </w:rPr>
              <w:t xml:space="preserve">The reported impact of </w:t>
            </w:r>
            <w:r w:rsidRPr="00F241AB">
              <w:rPr>
                <w:rFonts w:ascii="Garamond" w:hAnsi="Garamond"/>
                <w:b/>
                <w:lang w:val="en-AU"/>
              </w:rPr>
              <w:t>public involvement in biobanks</w:t>
            </w:r>
            <w:r w:rsidRPr="00F241AB">
              <w:rPr>
                <w:rFonts w:ascii="Garamond" w:hAnsi="Garamond"/>
                <w:lang w:val="en-AU"/>
              </w:rPr>
              <w:t>: A scoping review (Lidia Luna Puerta, Will Kendall, Bethan Davies, Sophie Day, Helen Ward</w:t>
            </w:r>
            <w:r>
              <w:rPr>
                <w:rFonts w:ascii="Garamond" w:hAnsi="Garamond"/>
                <w:lang w:val="en-AU"/>
              </w:rPr>
              <w:t>)</w:t>
            </w:r>
          </w:p>
          <w:p w:rsidR="00F241AB" w:rsidRDefault="00F241AB" w:rsidP="00303AA7">
            <w:pPr>
              <w:pStyle w:val="ListParagraph"/>
              <w:numPr>
                <w:ilvl w:val="0"/>
                <w:numId w:val="15"/>
              </w:numPr>
              <w:ind w:left="714" w:hanging="357"/>
              <w:rPr>
                <w:rFonts w:ascii="Garamond" w:hAnsi="Garamond"/>
                <w:lang w:val="en-AU"/>
              </w:rPr>
            </w:pPr>
            <w:r w:rsidRPr="00F241AB">
              <w:rPr>
                <w:rFonts w:ascii="Garamond" w:hAnsi="Garamond"/>
                <w:lang w:val="en-AU"/>
              </w:rPr>
              <w:t xml:space="preserve">Patient and Public </w:t>
            </w:r>
            <w:r w:rsidRPr="00181AA2">
              <w:rPr>
                <w:rFonts w:ascii="Garamond" w:hAnsi="Garamond"/>
                <w:b/>
                <w:lang w:val="en-AU"/>
              </w:rPr>
              <w:t>Involvement of young people with a chronic condition in projects in health</w:t>
            </w:r>
            <w:r w:rsidRPr="00F241AB">
              <w:rPr>
                <w:rFonts w:ascii="Garamond" w:hAnsi="Garamond"/>
                <w:lang w:val="en-AU"/>
              </w:rPr>
              <w:t xml:space="preserve"> </w:t>
            </w:r>
            <w:r w:rsidRPr="00181AA2">
              <w:rPr>
                <w:rFonts w:ascii="Garamond" w:hAnsi="Garamond"/>
                <w:b/>
                <w:lang w:val="en-AU"/>
              </w:rPr>
              <w:t>and social care</w:t>
            </w:r>
            <w:r w:rsidRPr="00F241AB">
              <w:rPr>
                <w:rFonts w:ascii="Garamond" w:hAnsi="Garamond"/>
                <w:lang w:val="en-AU"/>
              </w:rPr>
              <w:t>: A scoping review (Femke van Schelven, Hennie Boeije, Veerle Mariën, Jany Rademakers</w:t>
            </w:r>
            <w:r>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b/>
                <w:lang w:val="en-AU"/>
              </w:rPr>
              <w:t>Public acceptability of public health policy to improve population health</w:t>
            </w:r>
            <w:r w:rsidRPr="00181AA2">
              <w:rPr>
                <w:rFonts w:ascii="Garamond" w:hAnsi="Garamond"/>
                <w:lang w:val="en-AU"/>
              </w:rPr>
              <w:t>: A population</w:t>
            </w:r>
            <w:r w:rsidRPr="00181AA2">
              <w:rPr>
                <w:lang w:val="en-AU"/>
              </w:rPr>
              <w:t>‐</w:t>
            </w:r>
            <w:r w:rsidRPr="00181AA2">
              <w:rPr>
                <w:rFonts w:ascii="Garamond" w:hAnsi="Garamond"/>
                <w:lang w:val="en-AU"/>
              </w:rPr>
              <w:t>based survey</w:t>
            </w:r>
            <w:r w:rsidR="00181AA2" w:rsidRPr="00181AA2">
              <w:rPr>
                <w:rFonts w:ascii="Garamond" w:hAnsi="Garamond"/>
                <w:lang w:val="en-AU"/>
              </w:rPr>
              <w:t xml:space="preserve"> (</w:t>
            </w:r>
            <w:r w:rsidRPr="00181AA2">
              <w:rPr>
                <w:rFonts w:ascii="Garamond" w:hAnsi="Garamond"/>
                <w:lang w:val="en-AU"/>
              </w:rPr>
              <w:t>Catherine A Sharp, Mark A Bellis, Karen Hughes, Kat Ford, Lisa C G Di Lemma</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t xml:space="preserve">Appropriating and asserting </w:t>
            </w:r>
            <w:r w:rsidRPr="00181AA2">
              <w:rPr>
                <w:rFonts w:ascii="Garamond" w:hAnsi="Garamond"/>
                <w:b/>
                <w:lang w:val="en-AU"/>
              </w:rPr>
              <w:t>power on inflammatory arthritis teams</w:t>
            </w:r>
            <w:r w:rsidRPr="00181AA2">
              <w:rPr>
                <w:rFonts w:ascii="Garamond" w:hAnsi="Garamond"/>
                <w:lang w:val="en-AU"/>
              </w:rPr>
              <w:t>: A social network perspective</w:t>
            </w:r>
            <w:r w:rsidR="00181AA2" w:rsidRPr="00181AA2">
              <w:rPr>
                <w:rFonts w:ascii="Garamond" w:hAnsi="Garamond"/>
                <w:lang w:val="en-AU"/>
              </w:rPr>
              <w:t xml:space="preserve"> (</w:t>
            </w:r>
            <w:r w:rsidRPr="00181AA2">
              <w:rPr>
                <w:rFonts w:ascii="Garamond" w:hAnsi="Garamond"/>
                <w:lang w:val="en-AU"/>
              </w:rPr>
              <w:t>Wendy Hartford, Catherine Backman, Linda C Li, Annette McKinnon, Laura Nimmon</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t>A co</w:t>
            </w:r>
            <w:r w:rsidRPr="00181AA2">
              <w:rPr>
                <w:lang w:val="en-AU"/>
              </w:rPr>
              <w:t>‐</w:t>
            </w:r>
            <w:r w:rsidRPr="00181AA2">
              <w:rPr>
                <w:rFonts w:ascii="Garamond" w:hAnsi="Garamond"/>
                <w:lang w:val="en-AU"/>
              </w:rPr>
              <w:t xml:space="preserve">designed framework to support and sustain </w:t>
            </w:r>
            <w:r w:rsidRPr="00181AA2">
              <w:rPr>
                <w:rFonts w:ascii="Garamond" w:hAnsi="Garamond"/>
                <w:b/>
                <w:lang w:val="en-AU"/>
              </w:rPr>
              <w:t>patient and family engagement in health</w:t>
            </w:r>
            <w:r w:rsidRPr="00181AA2">
              <w:rPr>
                <w:b/>
                <w:lang w:val="en-AU"/>
              </w:rPr>
              <w:t>‐</w:t>
            </w:r>
            <w:r w:rsidRPr="00181AA2">
              <w:rPr>
                <w:rFonts w:ascii="Garamond" w:hAnsi="Garamond"/>
                <w:b/>
                <w:lang w:val="en-AU"/>
              </w:rPr>
              <w:t>care decision making</w:t>
            </w:r>
            <w:r w:rsidR="00181AA2" w:rsidRPr="00181AA2">
              <w:rPr>
                <w:rFonts w:ascii="Garamond" w:hAnsi="Garamond"/>
                <w:lang w:val="en-AU"/>
              </w:rPr>
              <w:t xml:space="preserve"> (</w:t>
            </w:r>
            <w:r w:rsidRPr="00181AA2">
              <w:rPr>
                <w:rFonts w:ascii="Garamond" w:hAnsi="Garamond"/>
                <w:lang w:val="en-AU"/>
              </w:rPr>
              <w:t>Tamara L McCarron, Thomas Noseworthy, Karen Moffat, Gloria Wilkinson, Sandra Zelinsky, Deborah White, Derek Hassay, Diane L Lorenzetti, Nancy J Marlett</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lastRenderedPageBreak/>
              <w:t xml:space="preserve">Falling into a deep dark hole: </w:t>
            </w:r>
            <w:r w:rsidRPr="00181AA2">
              <w:rPr>
                <w:rFonts w:ascii="Garamond" w:hAnsi="Garamond"/>
                <w:b/>
                <w:lang w:val="en-AU"/>
              </w:rPr>
              <w:t>Tongan people’s perceptions of being at risk of developing type 2 diabetes</w:t>
            </w:r>
            <w:r w:rsidR="00181AA2" w:rsidRPr="00181AA2">
              <w:rPr>
                <w:rFonts w:ascii="Garamond" w:hAnsi="Garamond"/>
                <w:lang w:val="en-AU"/>
              </w:rPr>
              <w:t xml:space="preserve"> (</w:t>
            </w:r>
            <w:r w:rsidRPr="00181AA2">
              <w:rPr>
                <w:rFonts w:ascii="Garamond" w:hAnsi="Garamond"/>
                <w:lang w:val="en-AU"/>
              </w:rPr>
              <w:t>Julienne Faletau, Vili Nosa, Rosie Dobson, Maryann Heather, Judith McCool</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t xml:space="preserve">Patient and clinician perspectives on a </w:t>
            </w:r>
            <w:r w:rsidRPr="00181AA2">
              <w:rPr>
                <w:rFonts w:ascii="Garamond" w:hAnsi="Garamond"/>
                <w:b/>
                <w:lang w:val="en-AU"/>
              </w:rPr>
              <w:t>patient</w:t>
            </w:r>
            <w:r w:rsidRPr="00181AA2">
              <w:rPr>
                <w:b/>
                <w:lang w:val="en-AU"/>
              </w:rPr>
              <w:t>‐</w:t>
            </w:r>
            <w:r w:rsidRPr="00181AA2">
              <w:rPr>
                <w:rFonts w:ascii="Garamond" w:hAnsi="Garamond"/>
                <w:b/>
                <w:lang w:val="en-AU"/>
              </w:rPr>
              <w:t>facing dashboard that visualizes patient reported outcomes in rheumatoid arthritis</w:t>
            </w:r>
            <w:r w:rsidR="00181AA2" w:rsidRPr="00181AA2">
              <w:rPr>
                <w:rFonts w:ascii="Garamond" w:hAnsi="Garamond"/>
                <w:lang w:val="en-AU"/>
              </w:rPr>
              <w:t xml:space="preserve"> (</w:t>
            </w:r>
            <w:r w:rsidRPr="00181AA2">
              <w:rPr>
                <w:rFonts w:ascii="Garamond" w:hAnsi="Garamond"/>
                <w:lang w:val="en-AU"/>
              </w:rPr>
              <w:t>Lucy H Liu, Sarah B Garrett, Jing Li, Dana Ragouzeos, Beth Berrean, Daniel Dohan, Patricia P Katz, Jennifer L Barton, Jinoos Yazdany, Gabriela Schmajuk</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b/>
                <w:lang w:val="en-AU"/>
              </w:rPr>
              <w:t>Children's rights</w:t>
            </w:r>
            <w:r w:rsidRPr="00181AA2">
              <w:rPr>
                <w:rFonts w:ascii="Garamond" w:hAnsi="Garamond"/>
                <w:lang w:val="en-AU"/>
              </w:rPr>
              <w:t xml:space="preserve"> as law in Sweden–every health</w:t>
            </w:r>
            <w:r w:rsidRPr="00181AA2">
              <w:rPr>
                <w:lang w:val="en-AU"/>
              </w:rPr>
              <w:t>‐</w:t>
            </w:r>
            <w:r w:rsidRPr="00181AA2">
              <w:rPr>
                <w:rFonts w:ascii="Garamond" w:hAnsi="Garamond"/>
                <w:lang w:val="en-AU"/>
              </w:rPr>
              <w:t>care encounter needs to meet the child's needs</w:t>
            </w:r>
            <w:r w:rsidR="00181AA2" w:rsidRPr="00181AA2">
              <w:rPr>
                <w:rFonts w:ascii="Garamond" w:hAnsi="Garamond"/>
                <w:lang w:val="en-AU"/>
              </w:rPr>
              <w:t xml:space="preserve"> (</w:t>
            </w:r>
            <w:r w:rsidRPr="00181AA2">
              <w:rPr>
                <w:rFonts w:ascii="Garamond" w:hAnsi="Garamond"/>
                <w:lang w:val="en-AU"/>
              </w:rPr>
              <w:t>Sofia Sahlberg, Katarina Karlsson, Laura Darcy</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t xml:space="preserve">'It just wasn’t going to be heard’: A mixed methods study to compare different ways of </w:t>
            </w:r>
            <w:r w:rsidRPr="00181AA2">
              <w:rPr>
                <w:rFonts w:ascii="Garamond" w:hAnsi="Garamond"/>
                <w:b/>
                <w:lang w:val="en-AU"/>
              </w:rPr>
              <w:t>involving people with diabetes and health</w:t>
            </w:r>
            <w:r w:rsidRPr="00181AA2">
              <w:rPr>
                <w:b/>
                <w:lang w:val="en-AU"/>
              </w:rPr>
              <w:t>‐</w:t>
            </w:r>
            <w:r w:rsidRPr="00181AA2">
              <w:rPr>
                <w:rFonts w:ascii="Garamond" w:hAnsi="Garamond"/>
                <w:b/>
                <w:lang w:val="en-AU"/>
              </w:rPr>
              <w:t>care professionals in health intervention research</w:t>
            </w:r>
            <w:r w:rsidR="00181AA2" w:rsidRPr="00181AA2">
              <w:rPr>
                <w:rFonts w:ascii="Garamond" w:hAnsi="Garamond"/>
                <w:lang w:val="en-AU"/>
              </w:rPr>
              <w:t xml:space="preserve"> (</w:t>
            </w:r>
            <w:r w:rsidRPr="00181AA2">
              <w:rPr>
                <w:rFonts w:ascii="Garamond" w:hAnsi="Garamond"/>
                <w:lang w:val="en-AU"/>
              </w:rPr>
              <w:t>Emmy Racine, Fiona Riordan, Eunice Phillip, Grainne Flynn, Sheena McHugh, Patricia M Kearney</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b/>
                <w:lang w:val="en-AU"/>
              </w:rPr>
              <w:t>Genetic testing for hereditary cancer syndromes</w:t>
            </w:r>
            <w:r w:rsidRPr="00181AA2">
              <w:rPr>
                <w:rFonts w:ascii="Garamond" w:hAnsi="Garamond"/>
                <w:lang w:val="en-AU"/>
              </w:rPr>
              <w:t>: patient recommendations for improved risk communication</w:t>
            </w:r>
            <w:r w:rsidR="00181AA2" w:rsidRPr="00181AA2">
              <w:rPr>
                <w:rFonts w:ascii="Garamond" w:hAnsi="Garamond"/>
                <w:lang w:val="en-AU"/>
              </w:rPr>
              <w:t xml:space="preserve"> (</w:t>
            </w:r>
            <w:r w:rsidRPr="00181AA2">
              <w:rPr>
                <w:rFonts w:ascii="Garamond" w:hAnsi="Garamond"/>
                <w:lang w:val="en-AU"/>
              </w:rPr>
              <w:t>Samantha Pollard, Steve Kalloger, Deirdre Weymann, Sophie Sun, Jennifer Nuk, Kasmintan A Schrader, Dean A Regier</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b/>
                <w:lang w:val="en-AU"/>
              </w:rPr>
              <w:t>Patient participation in gastrointestinal endoscopy</w:t>
            </w:r>
            <w:r w:rsidRPr="00181AA2">
              <w:rPr>
                <w:rFonts w:ascii="Garamond" w:hAnsi="Garamond"/>
                <w:lang w:val="en-AU"/>
              </w:rPr>
              <w:t xml:space="preserve"> — From patients' perspectives</w:t>
            </w:r>
            <w:r w:rsidR="00181AA2" w:rsidRPr="00181AA2">
              <w:rPr>
                <w:rFonts w:ascii="Garamond" w:hAnsi="Garamond"/>
                <w:lang w:val="en-AU"/>
              </w:rPr>
              <w:t xml:space="preserve"> (</w:t>
            </w:r>
            <w:r w:rsidRPr="00181AA2">
              <w:rPr>
                <w:rFonts w:ascii="Garamond" w:hAnsi="Garamond"/>
                <w:lang w:val="en-AU"/>
              </w:rPr>
              <w:t>Hanna Dubois, Johan Creutzfeldt, M Törnqvist, M Bergenmar</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t xml:space="preserve">The revised </w:t>
            </w:r>
            <w:r w:rsidRPr="00181AA2">
              <w:rPr>
                <w:rFonts w:ascii="Garamond" w:hAnsi="Garamond"/>
                <w:b/>
                <w:lang w:val="en-AU"/>
              </w:rPr>
              <w:t>Patient Perception of Patient</w:t>
            </w:r>
            <w:r w:rsidRPr="00181AA2">
              <w:rPr>
                <w:b/>
                <w:lang w:val="en-AU"/>
              </w:rPr>
              <w:t>‐</w:t>
            </w:r>
            <w:r w:rsidRPr="00181AA2">
              <w:rPr>
                <w:rFonts w:ascii="Garamond" w:hAnsi="Garamond"/>
                <w:b/>
                <w:lang w:val="en-AU"/>
              </w:rPr>
              <w:t>Centeredness Questionnaire</w:t>
            </w:r>
            <w:r w:rsidRPr="00181AA2">
              <w:rPr>
                <w:rFonts w:ascii="Garamond" w:hAnsi="Garamond"/>
                <w:lang w:val="en-AU"/>
              </w:rPr>
              <w:t>: Exploring the factor structure in French</w:t>
            </w:r>
            <w:r w:rsidRPr="00181AA2">
              <w:rPr>
                <w:lang w:val="en-AU"/>
              </w:rPr>
              <w:t>‐</w:t>
            </w:r>
            <w:r w:rsidRPr="00181AA2">
              <w:rPr>
                <w:rFonts w:ascii="Garamond" w:hAnsi="Garamond"/>
                <w:lang w:val="en-AU"/>
              </w:rPr>
              <w:t>speaking patients with multimorbidity</w:t>
            </w:r>
            <w:r w:rsidR="00181AA2" w:rsidRPr="00181AA2">
              <w:rPr>
                <w:rFonts w:ascii="Garamond" w:hAnsi="Garamond"/>
                <w:lang w:val="en-AU"/>
              </w:rPr>
              <w:t xml:space="preserve"> (</w:t>
            </w:r>
            <w:r w:rsidRPr="00181AA2">
              <w:rPr>
                <w:rFonts w:ascii="Garamond" w:hAnsi="Garamond"/>
                <w:lang w:val="en-AU"/>
              </w:rPr>
              <w:t>Tu Ngoc Nguyen, Patrice Alain Ngangue, Bridget L Ryan, Moira Stewart, Judith Belle Brown, Tarek Bouhali, Martin Fortin</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t xml:space="preserve">Mainstreaming </w:t>
            </w:r>
            <w:r w:rsidRPr="00181AA2">
              <w:rPr>
                <w:rFonts w:ascii="Garamond" w:hAnsi="Garamond"/>
                <w:b/>
                <w:lang w:val="en-AU"/>
              </w:rPr>
              <w:t>public involvement in a complex research collaboration</w:t>
            </w:r>
            <w:r w:rsidRPr="00181AA2">
              <w:rPr>
                <w:rFonts w:ascii="Garamond" w:hAnsi="Garamond"/>
                <w:lang w:val="en-AU"/>
              </w:rPr>
              <w:t>: A theory</w:t>
            </w:r>
            <w:r w:rsidRPr="00181AA2">
              <w:rPr>
                <w:lang w:val="en-AU"/>
              </w:rPr>
              <w:t>‐</w:t>
            </w:r>
            <w:r w:rsidRPr="00181AA2">
              <w:rPr>
                <w:rFonts w:ascii="Garamond" w:hAnsi="Garamond"/>
                <w:lang w:val="en-AU"/>
              </w:rPr>
              <w:t>informed evaluation</w:t>
            </w:r>
            <w:r w:rsidR="00181AA2" w:rsidRPr="00181AA2">
              <w:rPr>
                <w:rFonts w:ascii="Garamond" w:hAnsi="Garamond"/>
                <w:lang w:val="en-AU"/>
              </w:rPr>
              <w:t xml:space="preserve"> (</w:t>
            </w:r>
            <w:r w:rsidRPr="00181AA2">
              <w:rPr>
                <w:rFonts w:ascii="Garamond" w:hAnsi="Garamond"/>
                <w:lang w:val="en-AU"/>
              </w:rPr>
              <w:t>Fiona Ward, Jennie Popay, Ana Porroche</w:t>
            </w:r>
            <w:r w:rsidRPr="00181AA2">
              <w:rPr>
                <w:lang w:val="en-AU"/>
              </w:rPr>
              <w:t>‐</w:t>
            </w:r>
            <w:r w:rsidRPr="00181AA2">
              <w:rPr>
                <w:rFonts w:ascii="Garamond" w:hAnsi="Garamond"/>
                <w:lang w:val="en-AU"/>
              </w:rPr>
              <w:t>Escudero, Dorcas Akeju, Saiqa Ahmed, Jane Cloke, Koser Khan, Shaima Hassan, Esmaeil Khedmati</w:t>
            </w:r>
            <w:r w:rsidRPr="00181AA2">
              <w:rPr>
                <w:lang w:val="en-AU"/>
              </w:rPr>
              <w:t>‐</w:t>
            </w:r>
            <w:r w:rsidRPr="00181AA2">
              <w:rPr>
                <w:rFonts w:ascii="Garamond" w:hAnsi="Garamond"/>
                <w:lang w:val="en-AU"/>
              </w:rPr>
              <w:t>Morasae</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t xml:space="preserve">Training in </w:t>
            </w:r>
            <w:r w:rsidRPr="00181AA2">
              <w:rPr>
                <w:rFonts w:ascii="Garamond" w:hAnsi="Garamond"/>
                <w:b/>
                <w:lang w:val="en-AU"/>
              </w:rPr>
              <w:t>health coaching skills for health professionals</w:t>
            </w:r>
            <w:r w:rsidRPr="00181AA2">
              <w:rPr>
                <w:rFonts w:ascii="Garamond" w:hAnsi="Garamond"/>
                <w:lang w:val="en-AU"/>
              </w:rPr>
              <w:t xml:space="preserve"> who work with people with progressive neurological conditions: A realist evaluation</w:t>
            </w:r>
            <w:r w:rsidR="00181AA2" w:rsidRPr="00181AA2">
              <w:rPr>
                <w:rFonts w:ascii="Garamond" w:hAnsi="Garamond"/>
                <w:lang w:val="en-AU"/>
              </w:rPr>
              <w:t xml:space="preserve"> (</w:t>
            </w:r>
            <w:r w:rsidRPr="00181AA2">
              <w:rPr>
                <w:rFonts w:ascii="Garamond" w:hAnsi="Garamond"/>
                <w:lang w:val="en-AU"/>
              </w:rPr>
              <w:t>Freya Davies, Fiona Wood, Alison Bullock, Carolyn Wallace, Adrian Edwards</w:t>
            </w:r>
            <w:r w:rsidR="00181AA2">
              <w:rPr>
                <w:rFonts w:ascii="Garamond" w:hAnsi="Garamond"/>
                <w:lang w:val="en-AU"/>
              </w:rPr>
              <w:t>)</w:t>
            </w:r>
          </w:p>
          <w:p w:rsidR="006D79F7" w:rsidRPr="00181AA2" w:rsidRDefault="00F241AB" w:rsidP="00303AA7">
            <w:pPr>
              <w:pStyle w:val="ListParagraph"/>
              <w:numPr>
                <w:ilvl w:val="0"/>
                <w:numId w:val="15"/>
              </w:numPr>
              <w:ind w:left="714" w:hanging="357"/>
              <w:rPr>
                <w:rFonts w:ascii="Garamond" w:hAnsi="Garamond"/>
                <w:lang w:val="en-AU"/>
              </w:rPr>
            </w:pPr>
            <w:r w:rsidRPr="00181AA2">
              <w:rPr>
                <w:rFonts w:ascii="Garamond" w:hAnsi="Garamond"/>
                <w:lang w:val="en-AU"/>
              </w:rPr>
              <w:t xml:space="preserve">A qualitative study of </w:t>
            </w:r>
            <w:r w:rsidRPr="00181AA2">
              <w:rPr>
                <w:rFonts w:ascii="Garamond" w:hAnsi="Garamond"/>
                <w:b/>
                <w:lang w:val="en-AU"/>
              </w:rPr>
              <w:t>health</w:t>
            </w:r>
            <w:r w:rsidRPr="00181AA2">
              <w:rPr>
                <w:b/>
                <w:lang w:val="en-AU"/>
              </w:rPr>
              <w:t>‐</w:t>
            </w:r>
            <w:r w:rsidRPr="00181AA2">
              <w:rPr>
                <w:rFonts w:ascii="Garamond" w:hAnsi="Garamond"/>
                <w:b/>
                <w:lang w:val="en-AU"/>
              </w:rPr>
              <w:t>care experiences and challenges faced by ageing homebound adults</w:t>
            </w:r>
            <w:r w:rsidR="00181AA2" w:rsidRPr="00181AA2">
              <w:rPr>
                <w:rFonts w:ascii="Garamond" w:hAnsi="Garamond"/>
                <w:lang w:val="en-AU"/>
              </w:rPr>
              <w:t xml:space="preserve"> (</w:t>
            </w:r>
            <w:r w:rsidRPr="00181AA2">
              <w:rPr>
                <w:rFonts w:ascii="Garamond" w:hAnsi="Garamond"/>
                <w:lang w:val="en-AU"/>
              </w:rPr>
              <w:t>Joyce M Cheng, George P Batten, Thomas Cornwell, Nengliang Yao</w:t>
            </w:r>
            <w:r w:rsidR="00181AA2">
              <w:rPr>
                <w:rFonts w:ascii="Garamond" w:hAnsi="Garamond"/>
                <w:lang w:val="en-AU"/>
              </w:rPr>
              <w:t>)</w:t>
            </w:r>
          </w:p>
          <w:p w:rsidR="00181AA2" w:rsidRDefault="00F241AB" w:rsidP="00303AA7">
            <w:pPr>
              <w:pStyle w:val="ListParagraph"/>
              <w:numPr>
                <w:ilvl w:val="0"/>
                <w:numId w:val="15"/>
              </w:numPr>
              <w:ind w:left="714" w:hanging="357"/>
              <w:rPr>
                <w:rFonts w:ascii="Garamond" w:hAnsi="Garamond"/>
                <w:lang w:val="en-AU"/>
              </w:rPr>
            </w:pPr>
            <w:r w:rsidRPr="00181AA2">
              <w:rPr>
                <w:rFonts w:ascii="Garamond" w:hAnsi="Garamond"/>
                <w:b/>
                <w:lang w:val="en-AU"/>
              </w:rPr>
              <w:t>Patient involvement in interprofessional education</w:t>
            </w:r>
            <w:r w:rsidRPr="00181AA2">
              <w:rPr>
                <w:rFonts w:ascii="Garamond" w:hAnsi="Garamond"/>
                <w:lang w:val="en-AU"/>
              </w:rPr>
              <w:t>: A qualitative study yielding recommendations on incorporating the patient’s perspective</w:t>
            </w:r>
            <w:r w:rsidR="00181AA2" w:rsidRPr="00181AA2">
              <w:rPr>
                <w:rFonts w:ascii="Garamond" w:hAnsi="Garamond"/>
                <w:lang w:val="en-AU"/>
              </w:rPr>
              <w:t xml:space="preserve"> (</w:t>
            </w:r>
            <w:r w:rsidRPr="00181AA2">
              <w:rPr>
                <w:rFonts w:ascii="Garamond" w:hAnsi="Garamond"/>
                <w:lang w:val="en-AU"/>
              </w:rPr>
              <w:t>Sjim Romme</w:t>
            </w:r>
            <w:r w:rsidR="00181AA2">
              <w:rPr>
                <w:rFonts w:ascii="Garamond" w:hAnsi="Garamond"/>
                <w:lang w:val="en-AU"/>
              </w:rPr>
              <w:t xml:space="preserve">, </w:t>
            </w:r>
            <w:r w:rsidRPr="00181AA2">
              <w:rPr>
                <w:rFonts w:ascii="Garamond" w:hAnsi="Garamond"/>
                <w:lang w:val="en-AU"/>
              </w:rPr>
              <w:t>Matthijs H Bosveld</w:t>
            </w:r>
            <w:r w:rsidR="00181AA2">
              <w:rPr>
                <w:rFonts w:ascii="Garamond" w:hAnsi="Garamond"/>
                <w:lang w:val="en-AU"/>
              </w:rPr>
              <w:t>,</w:t>
            </w:r>
            <w:r w:rsidRPr="00181AA2">
              <w:rPr>
                <w:rFonts w:ascii="Garamond" w:hAnsi="Garamond"/>
                <w:lang w:val="en-AU"/>
              </w:rPr>
              <w:t xml:space="preserve"> Marloes A Van Bokhoven</w:t>
            </w:r>
            <w:r w:rsidR="00181AA2">
              <w:rPr>
                <w:rFonts w:ascii="Garamond" w:hAnsi="Garamond"/>
                <w:lang w:val="en-AU"/>
              </w:rPr>
              <w:t>,</w:t>
            </w:r>
            <w:r w:rsidRPr="00181AA2">
              <w:rPr>
                <w:rFonts w:ascii="Garamond" w:hAnsi="Garamond"/>
                <w:lang w:val="en-AU"/>
              </w:rPr>
              <w:t xml:space="preserve"> Jascha De Nooijer</w:t>
            </w:r>
            <w:r w:rsidR="00181AA2">
              <w:rPr>
                <w:rFonts w:ascii="Garamond" w:hAnsi="Garamond"/>
                <w:lang w:val="en-AU"/>
              </w:rPr>
              <w:t>,</w:t>
            </w:r>
            <w:r w:rsidRPr="00181AA2">
              <w:rPr>
                <w:rFonts w:ascii="Garamond" w:hAnsi="Garamond"/>
                <w:lang w:val="en-AU"/>
              </w:rPr>
              <w:t xml:space="preserve"> Hélène Van den Besselaar</w:t>
            </w:r>
            <w:r w:rsidR="00181AA2">
              <w:rPr>
                <w:rFonts w:ascii="Garamond" w:hAnsi="Garamond"/>
                <w:lang w:val="en-AU"/>
              </w:rPr>
              <w:t xml:space="preserve">, </w:t>
            </w:r>
            <w:r w:rsidRPr="00181AA2">
              <w:rPr>
                <w:rFonts w:ascii="Garamond" w:hAnsi="Garamond"/>
                <w:lang w:val="en-AU"/>
              </w:rPr>
              <w:t>Jerôme J J Van Dongen</w:t>
            </w:r>
            <w:r w:rsidR="00181AA2">
              <w:rPr>
                <w:rFonts w:ascii="Garamond" w:hAnsi="Garamond"/>
                <w:lang w:val="en-AU"/>
              </w:rPr>
              <w:t>)</w:t>
            </w:r>
          </w:p>
          <w:p w:rsidR="00F241AB" w:rsidRPr="006D79F7" w:rsidRDefault="00F241AB" w:rsidP="00303AA7">
            <w:pPr>
              <w:pStyle w:val="ListParagraph"/>
              <w:numPr>
                <w:ilvl w:val="0"/>
                <w:numId w:val="15"/>
              </w:numPr>
              <w:ind w:left="714" w:hanging="357"/>
              <w:rPr>
                <w:rFonts w:ascii="Garamond" w:hAnsi="Garamond"/>
                <w:lang w:val="en-AU"/>
              </w:rPr>
            </w:pPr>
            <w:r w:rsidRPr="00F241AB">
              <w:rPr>
                <w:rFonts w:ascii="Garamond" w:hAnsi="Garamond"/>
                <w:lang w:val="en-AU"/>
              </w:rPr>
              <w:t xml:space="preserve">Engagement of community stakeholders to develop a framework to guide </w:t>
            </w:r>
            <w:r w:rsidRPr="00181AA2">
              <w:rPr>
                <w:rFonts w:ascii="Garamond" w:hAnsi="Garamond"/>
                <w:b/>
                <w:lang w:val="en-AU"/>
              </w:rPr>
              <w:t>research dissemination to communities</w:t>
            </w:r>
            <w:r w:rsidR="00181AA2">
              <w:rPr>
                <w:rFonts w:ascii="Garamond" w:hAnsi="Garamond"/>
                <w:lang w:val="en-AU"/>
              </w:rPr>
              <w:t xml:space="preserve"> (</w:t>
            </w:r>
            <w:r w:rsidRPr="00F241AB">
              <w:rPr>
                <w:rFonts w:ascii="Garamond" w:hAnsi="Garamond"/>
                <w:lang w:val="en-AU"/>
              </w:rPr>
              <w:t>Jennifer Cunningham</w:t>
            </w:r>
            <w:r w:rsidRPr="00F241AB">
              <w:rPr>
                <w:lang w:val="en-AU"/>
              </w:rPr>
              <w:t>‐</w:t>
            </w:r>
            <w:r w:rsidRPr="00F241AB">
              <w:rPr>
                <w:rFonts w:ascii="Garamond" w:hAnsi="Garamond"/>
                <w:lang w:val="en-AU"/>
              </w:rPr>
              <w:t>Erves, Tilicia Mayo</w:t>
            </w:r>
            <w:r w:rsidRPr="00F241AB">
              <w:rPr>
                <w:lang w:val="en-AU"/>
              </w:rPr>
              <w:t>‐</w:t>
            </w:r>
            <w:r w:rsidR="00181AA2">
              <w:rPr>
                <w:rFonts w:ascii="Garamond" w:hAnsi="Garamond"/>
                <w:lang w:val="en-AU"/>
              </w:rPr>
              <w:t xml:space="preserve">Gamble, </w:t>
            </w:r>
            <w:r w:rsidRPr="00F241AB">
              <w:rPr>
                <w:rFonts w:ascii="Garamond" w:hAnsi="Garamond"/>
                <w:lang w:val="en-AU"/>
              </w:rPr>
              <w:t>Yolanda Vaughn</w:t>
            </w:r>
            <w:r w:rsidR="00181AA2">
              <w:rPr>
                <w:rFonts w:ascii="Garamond" w:hAnsi="Garamond"/>
                <w:lang w:val="en-AU"/>
              </w:rPr>
              <w:t xml:space="preserve">, </w:t>
            </w:r>
            <w:r w:rsidRPr="00F241AB">
              <w:rPr>
                <w:rFonts w:ascii="Garamond" w:hAnsi="Garamond"/>
                <w:lang w:val="en-AU"/>
              </w:rPr>
              <w:t>Jim Hawk</w:t>
            </w:r>
            <w:r w:rsidR="00181AA2">
              <w:rPr>
                <w:rFonts w:ascii="Garamond" w:hAnsi="Garamond"/>
                <w:lang w:val="en-AU"/>
              </w:rPr>
              <w:t>,</w:t>
            </w:r>
            <w:r w:rsidRPr="00F241AB">
              <w:rPr>
                <w:rFonts w:ascii="Garamond" w:hAnsi="Garamond"/>
                <w:lang w:val="en-AU"/>
              </w:rPr>
              <w:t xml:space="preserve"> Mike Helms</w:t>
            </w:r>
            <w:r w:rsidR="00181AA2">
              <w:rPr>
                <w:rFonts w:ascii="Garamond" w:hAnsi="Garamond"/>
                <w:lang w:val="en-AU"/>
              </w:rPr>
              <w:t>,</w:t>
            </w:r>
            <w:r w:rsidRPr="00F241AB">
              <w:rPr>
                <w:rFonts w:ascii="Garamond" w:hAnsi="Garamond"/>
                <w:lang w:val="en-AU"/>
              </w:rPr>
              <w:t xml:space="preserve"> Claudia Barajas</w:t>
            </w:r>
            <w:r w:rsidR="006D38C1">
              <w:rPr>
                <w:rFonts w:ascii="Garamond" w:hAnsi="Garamond"/>
                <w:lang w:val="en-AU"/>
              </w:rPr>
              <w:t>,</w:t>
            </w:r>
            <w:r w:rsidRPr="00F241AB">
              <w:rPr>
                <w:rFonts w:ascii="Garamond" w:hAnsi="Garamond"/>
                <w:lang w:val="en-AU"/>
              </w:rPr>
              <w:t xml:space="preserve"> Yvonne Joosten</w:t>
            </w:r>
            <w:r w:rsidR="006D38C1">
              <w:rPr>
                <w:rFonts w:ascii="Garamond" w:hAnsi="Garamond"/>
                <w:lang w:val="en-AU"/>
              </w:rPr>
              <w:t>)</w:t>
            </w:r>
          </w:p>
        </w:tc>
      </w:tr>
    </w:tbl>
    <w:p w:rsidR="006D79F7" w:rsidRDefault="006D79F7" w:rsidP="006D79F7">
      <w:pPr>
        <w:rPr>
          <w:rFonts w:ascii="Garamond" w:hAnsi="Garamond"/>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4A6731" w:rsidP="00DC09BF">
            <w:pPr>
              <w:keepNext/>
              <w:rPr>
                <w:rFonts w:ascii="Garamond" w:hAnsi="Garamond"/>
                <w:lang w:val="en-AU"/>
              </w:rPr>
            </w:pPr>
            <w:hyperlink r:id="rId54"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74420D" w:rsidRDefault="008F3909" w:rsidP="008F3909">
            <w:pPr>
              <w:pStyle w:val="ListParagraph"/>
              <w:numPr>
                <w:ilvl w:val="0"/>
                <w:numId w:val="14"/>
              </w:numPr>
              <w:rPr>
                <w:rFonts w:ascii="Garamond" w:hAnsi="Garamond"/>
                <w:lang w:val="en-AU"/>
              </w:rPr>
            </w:pPr>
            <w:r w:rsidRPr="008F3909">
              <w:rPr>
                <w:rFonts w:ascii="Garamond" w:hAnsi="Garamond"/>
                <w:lang w:val="en-AU"/>
              </w:rPr>
              <w:t xml:space="preserve">Editorial: </w:t>
            </w:r>
            <w:r w:rsidRPr="008F3909">
              <w:rPr>
                <w:rFonts w:ascii="Garamond" w:hAnsi="Garamond"/>
                <w:b/>
                <w:lang w:val="en-AU"/>
              </w:rPr>
              <w:t>Well spotted: but now you need to do something</w:t>
            </w:r>
            <w:r w:rsidRPr="008F3909">
              <w:rPr>
                <w:rFonts w:ascii="Garamond" w:hAnsi="Garamond"/>
                <w:lang w:val="en-AU"/>
              </w:rPr>
              <w:t xml:space="preserve"> </w:t>
            </w:r>
            <w:r>
              <w:rPr>
                <w:rFonts w:ascii="Garamond" w:hAnsi="Garamond"/>
                <w:lang w:val="en-AU"/>
              </w:rPr>
              <w:t>(</w:t>
            </w:r>
            <w:r w:rsidRPr="008F3909">
              <w:rPr>
                <w:rFonts w:ascii="Garamond" w:hAnsi="Garamond"/>
                <w:lang w:val="en-AU"/>
              </w:rPr>
              <w:t>Richard Hamblin, Carl Shuker</w:t>
            </w:r>
            <w:r>
              <w:rPr>
                <w:rFonts w:ascii="Garamond" w:hAnsi="Garamond"/>
                <w:lang w:val="en-AU"/>
              </w:rPr>
              <w:t>)</w:t>
            </w:r>
          </w:p>
          <w:p w:rsidR="001A0B3A" w:rsidRDefault="001A0B3A" w:rsidP="001A0B3A">
            <w:pPr>
              <w:pStyle w:val="ListParagraph"/>
              <w:numPr>
                <w:ilvl w:val="0"/>
                <w:numId w:val="14"/>
              </w:numPr>
              <w:rPr>
                <w:rFonts w:ascii="Garamond" w:hAnsi="Garamond"/>
                <w:lang w:val="en-AU"/>
              </w:rPr>
            </w:pPr>
            <w:r w:rsidRPr="001A0B3A">
              <w:rPr>
                <w:rFonts w:ascii="Garamond" w:hAnsi="Garamond"/>
                <w:lang w:val="en-AU"/>
              </w:rPr>
              <w:t>Differences in t</w:t>
            </w:r>
            <w:r w:rsidRPr="001A0B3A">
              <w:rPr>
                <w:rFonts w:ascii="Garamond" w:hAnsi="Garamond"/>
                <w:b/>
                <w:lang w:val="en-AU"/>
              </w:rPr>
              <w:t>ransitional care processes</w:t>
            </w:r>
            <w:r w:rsidRPr="001A0B3A">
              <w:rPr>
                <w:rFonts w:ascii="Garamond" w:hAnsi="Garamond"/>
                <w:lang w:val="en-AU"/>
              </w:rPr>
              <w:t xml:space="preserve"> among high-performing and low-performing hospital-SNF pairs: a rapid ethnographic approach</w:t>
            </w:r>
            <w:r>
              <w:rPr>
                <w:rFonts w:ascii="Garamond" w:hAnsi="Garamond"/>
                <w:lang w:val="en-AU"/>
              </w:rPr>
              <w:t xml:space="preserve"> (</w:t>
            </w:r>
            <w:r w:rsidRPr="001A0B3A">
              <w:rPr>
                <w:rFonts w:ascii="Garamond" w:hAnsi="Garamond"/>
                <w:lang w:val="en-AU"/>
              </w:rPr>
              <w:t>Kirstin A Manges, Roman Ayele, Chelsea Leonard, Marcie Lee, Emily Galenbeck, Robert E Burke</w:t>
            </w:r>
            <w:r>
              <w:rPr>
                <w:rFonts w:ascii="Garamond" w:hAnsi="Garamond"/>
                <w:lang w:val="en-AU"/>
              </w:rPr>
              <w:t>)</w:t>
            </w:r>
          </w:p>
          <w:p w:rsidR="00E64D82" w:rsidRPr="00543B3B" w:rsidRDefault="00EF0B67" w:rsidP="003F0957">
            <w:pPr>
              <w:pStyle w:val="ListParagraph"/>
              <w:numPr>
                <w:ilvl w:val="0"/>
                <w:numId w:val="14"/>
              </w:numPr>
              <w:rPr>
                <w:rFonts w:ascii="Garamond" w:hAnsi="Garamond"/>
                <w:lang w:val="en-AU"/>
              </w:rPr>
            </w:pPr>
            <w:r w:rsidRPr="00EF0B67">
              <w:rPr>
                <w:rFonts w:ascii="Garamond" w:hAnsi="Garamond"/>
                <w:lang w:val="en-AU"/>
              </w:rPr>
              <w:lastRenderedPageBreak/>
              <w:t xml:space="preserve">International recommendations for a </w:t>
            </w:r>
            <w:r w:rsidRPr="00EF0B67">
              <w:rPr>
                <w:rFonts w:ascii="Garamond" w:hAnsi="Garamond"/>
                <w:b/>
                <w:lang w:val="en-AU"/>
              </w:rPr>
              <w:t>vascular access minimum dataset</w:t>
            </w:r>
            <w:r w:rsidRPr="00EF0B67">
              <w:rPr>
                <w:rFonts w:ascii="Garamond" w:hAnsi="Garamond"/>
                <w:lang w:val="en-AU"/>
              </w:rPr>
              <w:t xml:space="preserve">: a Delphi consensus-building study </w:t>
            </w:r>
            <w:r>
              <w:rPr>
                <w:rFonts w:ascii="Garamond" w:hAnsi="Garamond"/>
                <w:lang w:val="en-AU"/>
              </w:rPr>
              <w:t>(</w:t>
            </w:r>
            <w:r w:rsidRPr="00EF0B67">
              <w:rPr>
                <w:rFonts w:ascii="Garamond" w:hAnsi="Garamond"/>
                <w:lang w:val="en-AU"/>
              </w:rPr>
              <w:t>Jessica Schults, Tricia Kleidon, Vineet Chopra, Marie Cooke, Rebecca Paterson, Amanda J Ullman, Nicole Marsh, Gillian Ray-Barruel, Jocelyn Hill, İlker Devrim, Fredrik Hammarskjold, Mavilde L Pedreira, Sergio Bertoglio, Gail Egan, Olivier Mimoz, Ton van Boxtel, Michelle DeVries, M Magalhaes, C Hallum, S Oakley, C M Rickard</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4A6731" w:rsidP="002C5882">
            <w:pPr>
              <w:keepNext/>
              <w:rPr>
                <w:rFonts w:ascii="Garamond" w:hAnsi="Garamond"/>
                <w:lang w:val="en-AU"/>
              </w:rPr>
            </w:pPr>
            <w:hyperlink r:id="rId55" w:history="1">
              <w:r w:rsidR="00977E92" w:rsidRPr="00D31E10">
                <w:rPr>
                  <w:rStyle w:val="Hyperlink"/>
                  <w:rFonts w:ascii="Garamond" w:hAnsi="Garamond"/>
                  <w:lang w:val="en-AU"/>
                </w:rPr>
                <w:t>https://academic.oup.com/intqhc/advance-articles</w:t>
              </w:r>
            </w:hyperlink>
          </w:p>
        </w:tc>
      </w:tr>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E64D82" w:rsidRPr="00721A1B" w:rsidRDefault="001A0B3A" w:rsidP="006344D4">
            <w:pPr>
              <w:pStyle w:val="ListParagraph"/>
              <w:numPr>
                <w:ilvl w:val="0"/>
                <w:numId w:val="14"/>
              </w:numPr>
              <w:jc w:val="both"/>
              <w:rPr>
                <w:rFonts w:ascii="Garamond" w:hAnsi="Garamond"/>
                <w:lang w:val="en-AU"/>
              </w:rPr>
            </w:pPr>
            <w:r w:rsidRPr="001A0B3A">
              <w:rPr>
                <w:rFonts w:ascii="Garamond" w:hAnsi="Garamond"/>
                <w:lang w:val="en-AU"/>
              </w:rPr>
              <w:t xml:space="preserve">Effect of referral systems on </w:t>
            </w:r>
            <w:r w:rsidRPr="001A0B3A">
              <w:rPr>
                <w:rFonts w:ascii="Garamond" w:hAnsi="Garamond"/>
                <w:b/>
                <w:lang w:val="en-AU"/>
              </w:rPr>
              <w:t>costs and outcomes after hip fracture surgery</w:t>
            </w:r>
            <w:r w:rsidRPr="001A0B3A">
              <w:rPr>
                <w:rFonts w:ascii="Garamond" w:hAnsi="Garamond"/>
                <w:lang w:val="en-AU"/>
              </w:rPr>
              <w:t xml:space="preserve"> in Taiwan</w:t>
            </w:r>
            <w:r>
              <w:rPr>
                <w:rFonts w:ascii="Garamond" w:hAnsi="Garamond"/>
                <w:lang w:val="en-AU"/>
              </w:rPr>
              <w:t xml:space="preserve"> (</w:t>
            </w:r>
            <w:r w:rsidRPr="001A0B3A">
              <w:rPr>
                <w:rFonts w:ascii="Garamond" w:hAnsi="Garamond"/>
                <w:lang w:val="en-AU"/>
              </w:rPr>
              <w:t>Bo-Lin Chiou, Yu-Fu Chen, Hong-Yaw Chen, Cheng-Yen Chen, Shu-Chuan Jennifer Yeh, Hon-Yi Shi</w:t>
            </w:r>
            <w:r>
              <w:rPr>
                <w:rFonts w:ascii="Garamond" w:hAnsi="Garamond"/>
                <w:lang w:val="en-AU"/>
              </w:rPr>
              <w:t>)</w:t>
            </w:r>
          </w:p>
        </w:tc>
      </w:tr>
    </w:tbl>
    <w:p w:rsidR="00B24501" w:rsidRDefault="00B24501"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4A6731" w:rsidP="00310503">
      <w:pPr>
        <w:keepNext/>
        <w:keepLines/>
        <w:rPr>
          <w:rFonts w:ascii="Garamond" w:hAnsi="Garamond"/>
          <w:lang w:val="en-AU"/>
        </w:rPr>
      </w:pPr>
      <w:hyperlink r:id="rId56"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bookmarkStart w:id="1" w:name="_GoBack"/>
      <w:bookmarkEnd w:id="1"/>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4A6731" w:rsidP="00603C16">
      <w:pPr>
        <w:keepNext/>
        <w:keepLines/>
        <w:rPr>
          <w:rFonts w:ascii="Garamond" w:hAnsi="Garamond"/>
          <w:lang w:val="en-AU"/>
        </w:rPr>
      </w:pPr>
      <w:hyperlink r:id="rId57" w:history="1">
        <w:r w:rsidR="00603C16" w:rsidRPr="00E11CC6">
          <w:rPr>
            <w:rStyle w:val="Hyperlink"/>
            <w:rFonts w:ascii="Garamond" w:hAnsi="Garamond"/>
            <w:lang w:val="en-AU"/>
          </w:rPr>
          <w:t>https://www.aci.health.nsw.gov.au/covid-19/critical-intelligence-unit</w:t>
        </w:r>
      </w:hyperlink>
    </w:p>
    <w:p w:rsidR="00E05778" w:rsidRDefault="00603C16" w:rsidP="00D74DCC">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p>
    <w:p w:rsidR="009A7AA8" w:rsidRDefault="009A7AA8" w:rsidP="00510D89">
      <w:pPr>
        <w:keepLines/>
        <w:rPr>
          <w:rFonts w:ascii="Garamond" w:hAnsi="Garamond"/>
          <w:i/>
          <w:lang w:val="en-AU"/>
        </w:rPr>
      </w:pPr>
    </w:p>
    <w:p w:rsidR="008F3909" w:rsidRPr="008F3909" w:rsidRDefault="008F3909" w:rsidP="008F3909">
      <w:pPr>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8F3909" w:rsidRPr="008F3909" w:rsidRDefault="004A6731" w:rsidP="008F3909">
      <w:pPr>
        <w:rPr>
          <w:rFonts w:ascii="Garamond" w:hAnsi="Garamond"/>
          <w:lang w:val="en-AU"/>
        </w:rPr>
      </w:pPr>
      <w:hyperlink r:id="rId58" w:history="1">
        <w:r w:rsidR="008F3909" w:rsidRPr="00B91B4F">
          <w:rPr>
            <w:rStyle w:val="Hyperlink"/>
            <w:rFonts w:ascii="Garamond" w:hAnsi="Garamond"/>
            <w:lang w:val="en-AU"/>
          </w:rPr>
          <w:t>https://www.nice.org.uk/guidance</w:t>
        </w:r>
      </w:hyperlink>
      <w:r w:rsidR="008F3909">
        <w:rPr>
          <w:rFonts w:ascii="Garamond" w:hAnsi="Garamond"/>
          <w:lang w:val="en-AU"/>
        </w:rPr>
        <w:t xml:space="preserve"> </w:t>
      </w:r>
    </w:p>
    <w:p w:rsidR="008F3909" w:rsidRPr="008F3909" w:rsidRDefault="008F3909" w:rsidP="008F3909">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EF0B67" w:rsidRDefault="00EF0B67" w:rsidP="00EF0B67">
      <w:pPr>
        <w:pStyle w:val="ListParagraph"/>
        <w:numPr>
          <w:ilvl w:val="0"/>
          <w:numId w:val="14"/>
        </w:numPr>
        <w:rPr>
          <w:rFonts w:ascii="Garamond" w:hAnsi="Garamond"/>
          <w:lang w:val="en-AU"/>
        </w:rPr>
      </w:pPr>
      <w:r>
        <w:rPr>
          <w:rFonts w:ascii="Garamond" w:hAnsi="Garamond"/>
          <w:lang w:val="en-AU"/>
        </w:rPr>
        <w:t xml:space="preserve">NICE Guideline NG59 </w:t>
      </w:r>
      <w:r w:rsidRPr="00230D79">
        <w:rPr>
          <w:rFonts w:ascii="Garamond" w:hAnsi="Garamond"/>
          <w:b/>
          <w:i/>
          <w:lang w:val="en-AU"/>
        </w:rPr>
        <w:t>Low back pain</w:t>
      </w:r>
      <w:r w:rsidRPr="00230D79">
        <w:rPr>
          <w:rFonts w:ascii="Garamond" w:hAnsi="Garamond"/>
          <w:i/>
          <w:lang w:val="en-AU"/>
        </w:rPr>
        <w:t xml:space="preserve"> and </w:t>
      </w:r>
      <w:r w:rsidRPr="00230D79">
        <w:rPr>
          <w:rFonts w:ascii="Garamond" w:hAnsi="Garamond"/>
          <w:b/>
          <w:i/>
          <w:lang w:val="en-AU"/>
        </w:rPr>
        <w:t>sciatica</w:t>
      </w:r>
      <w:r w:rsidRPr="00230D79">
        <w:rPr>
          <w:rFonts w:ascii="Garamond" w:hAnsi="Garamond"/>
          <w:i/>
          <w:lang w:val="en-AU"/>
        </w:rPr>
        <w:t xml:space="preserve"> in over 16s: assessment and management </w:t>
      </w:r>
      <w:hyperlink r:id="rId59" w:history="1">
        <w:r w:rsidRPr="00094E38">
          <w:rPr>
            <w:rStyle w:val="Hyperlink"/>
            <w:rFonts w:ascii="Garamond" w:hAnsi="Garamond"/>
            <w:lang w:val="en-AU"/>
          </w:rPr>
          <w:t>https://www.nice.org.uk/guidance/ng59</w:t>
        </w:r>
      </w:hyperlink>
    </w:p>
    <w:p w:rsidR="00EF0B67" w:rsidRPr="00230D79" w:rsidRDefault="00EF0B67" w:rsidP="00EF0B67">
      <w:pPr>
        <w:pStyle w:val="ListParagraph"/>
        <w:numPr>
          <w:ilvl w:val="0"/>
          <w:numId w:val="14"/>
        </w:numPr>
        <w:rPr>
          <w:rFonts w:ascii="Garamond" w:hAnsi="Garamond"/>
          <w:lang w:val="en-AU"/>
        </w:rPr>
      </w:pPr>
      <w:r>
        <w:rPr>
          <w:rFonts w:ascii="Garamond" w:hAnsi="Garamond"/>
          <w:lang w:val="en-AU"/>
        </w:rPr>
        <w:t xml:space="preserve">NICE Guideline NG182 </w:t>
      </w:r>
      <w:r w:rsidRPr="00230D79">
        <w:rPr>
          <w:rFonts w:ascii="Garamond" w:hAnsi="Garamond"/>
          <w:b/>
          <w:i/>
          <w:lang w:val="en-AU"/>
        </w:rPr>
        <w:t>Insect bites</w:t>
      </w:r>
      <w:r w:rsidRPr="00230D79">
        <w:rPr>
          <w:rFonts w:ascii="Garamond" w:hAnsi="Garamond"/>
          <w:i/>
          <w:lang w:val="en-AU"/>
        </w:rPr>
        <w:t xml:space="preserve"> and stings: </w:t>
      </w:r>
      <w:r w:rsidRPr="00230D79">
        <w:rPr>
          <w:rFonts w:ascii="Garamond" w:hAnsi="Garamond"/>
          <w:b/>
          <w:i/>
          <w:lang w:val="en-AU"/>
        </w:rPr>
        <w:t>antimicrobial prescribing</w:t>
      </w:r>
      <w:r>
        <w:rPr>
          <w:rFonts w:ascii="Garamond" w:hAnsi="Garamond"/>
          <w:lang w:val="en-AU"/>
        </w:rPr>
        <w:t xml:space="preserve"> </w:t>
      </w:r>
      <w:hyperlink r:id="rId60" w:history="1">
        <w:r w:rsidRPr="00094E38">
          <w:rPr>
            <w:rStyle w:val="Hyperlink"/>
            <w:rFonts w:ascii="Garamond" w:hAnsi="Garamond"/>
            <w:lang w:val="en-AU"/>
          </w:rPr>
          <w:t>https://www.nice.org.uk/guidance/ng182</w:t>
        </w:r>
      </w:hyperlink>
    </w:p>
    <w:p w:rsidR="00BB06B5" w:rsidRDefault="00BB06B5"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1"/>
      <w:footerReference w:type="default" r:id="rId6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63" w:rsidRDefault="00215163">
      <w:r>
        <w:separator/>
      </w:r>
    </w:p>
  </w:endnote>
  <w:endnote w:type="continuationSeparator" w:id="0">
    <w:p w:rsidR="00215163" w:rsidRDefault="0021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63" w:rsidRDefault="00215163"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A6731">
      <w:rPr>
        <w:rStyle w:val="PageNumber"/>
        <w:noProof/>
      </w:rPr>
      <w:t>12</w:t>
    </w:r>
    <w:r>
      <w:rPr>
        <w:rStyle w:val="PageNumber"/>
      </w:rPr>
      <w:fldChar w:fldCharType="end"/>
    </w:r>
  </w:p>
  <w:p w:rsidR="00215163" w:rsidRPr="001E78F0" w:rsidRDefault="00215163"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483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63" w:rsidRPr="001E78F0" w:rsidRDefault="00215163"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A6731">
      <w:rPr>
        <w:rStyle w:val="PageNumber"/>
        <w:rFonts w:ascii="Garamond" w:hAnsi="Garamond"/>
        <w:noProof/>
      </w:rPr>
      <w:t>11</w:t>
    </w:r>
    <w:r w:rsidRPr="001E78F0">
      <w:rPr>
        <w:rStyle w:val="PageNumber"/>
        <w:rFonts w:ascii="Garamond" w:hAnsi="Garamond"/>
      </w:rPr>
      <w:fldChar w:fldCharType="end"/>
    </w:r>
  </w:p>
  <w:p w:rsidR="00215163" w:rsidRPr="001E78F0" w:rsidRDefault="00215163"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63" w:rsidRDefault="00215163">
      <w:r>
        <w:separator/>
      </w:r>
    </w:p>
  </w:footnote>
  <w:footnote w:type="continuationSeparator" w:id="0">
    <w:p w:rsidR="00215163" w:rsidRDefault="00215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44275"/>
    <w:multiLevelType w:val="hybridMultilevel"/>
    <w:tmpl w:val="CA745D7E"/>
    <w:lvl w:ilvl="0" w:tplc="469A06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A41CBB"/>
    <w:multiLevelType w:val="hybridMultilevel"/>
    <w:tmpl w:val="F268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3144EF"/>
    <w:multiLevelType w:val="hybridMultilevel"/>
    <w:tmpl w:val="9BE2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9B1F11"/>
    <w:multiLevelType w:val="hybridMultilevel"/>
    <w:tmpl w:val="1F04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95FC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303EDB"/>
    <w:multiLevelType w:val="hybridMultilevel"/>
    <w:tmpl w:val="0CF2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C053D"/>
    <w:multiLevelType w:val="hybridMultilevel"/>
    <w:tmpl w:val="3A2C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4"/>
  </w:num>
  <w:num w:numId="15">
    <w:abstractNumId w:val="19"/>
  </w:num>
  <w:num w:numId="16">
    <w:abstractNumId w:val="14"/>
  </w:num>
  <w:num w:numId="17">
    <w:abstractNumId w:val="26"/>
  </w:num>
  <w:num w:numId="18">
    <w:abstractNumId w:val="13"/>
  </w:num>
  <w:num w:numId="19">
    <w:abstractNumId w:val="20"/>
  </w:num>
  <w:num w:numId="20">
    <w:abstractNumId w:val="10"/>
  </w:num>
  <w:num w:numId="21">
    <w:abstractNumId w:val="18"/>
  </w:num>
  <w:num w:numId="22">
    <w:abstractNumId w:val="28"/>
  </w:num>
  <w:num w:numId="23">
    <w:abstractNumId w:val="12"/>
  </w:num>
  <w:num w:numId="24">
    <w:abstractNumId w:val="21"/>
  </w:num>
  <w:num w:numId="25">
    <w:abstractNumId w:val="15"/>
  </w:num>
  <w:num w:numId="26">
    <w:abstractNumId w:val="16"/>
  </w:num>
  <w:num w:numId="27">
    <w:abstractNumId w:val="17"/>
  </w:num>
  <w:num w:numId="28">
    <w:abstractNumId w:val="11"/>
  </w:num>
  <w:num w:numId="29">
    <w:abstractNumId w:val="30"/>
  </w:num>
  <w:num w:numId="30">
    <w:abstractNumId w:val="22"/>
  </w:num>
  <w:num w:numId="3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3E"/>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15EE5563"/>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improvediagnosis.org/pfac-guides/"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doi.org/10.1136/bmjinnov-2020-000465" TargetMode="External"/><Relationship Id="rId47" Type="http://schemas.openxmlformats.org/officeDocument/2006/relationships/hyperlink" Target="https://www.safetyandquality.gov.au/our-work/healthcare-associated-infection" TargetMode="External"/><Relationship Id="rId50" Type="http://schemas.openxmlformats.org/officeDocument/2006/relationships/hyperlink" Target="http://doi.org/10.1016/j.ajem.2019.158370" TargetMode="External"/><Relationship Id="rId55" Type="http://schemas.openxmlformats.org/officeDocument/2006/relationships/hyperlink" Target="https://academic.oup.com/intqhc/advance-article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doi.org/10.5694/mja2.50771" TargetMode="External"/><Relationship Id="rId54" Type="http://schemas.openxmlformats.org/officeDocument/2006/relationships/hyperlink" Target="https://qualitysafety.bmj.com/content/early/recent"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image" Target="media/image5.png"/><Relationship Id="rId40" Type="http://schemas.openxmlformats.org/officeDocument/2006/relationships/hyperlink" Target="http://doi.org/10.1136/bmjqs-2020-010896" TargetMode="External"/><Relationship Id="rId45" Type="http://schemas.openxmlformats.org/officeDocument/2006/relationships/image" Target="media/image7.jpeg"/><Relationship Id="rId53" Type="http://schemas.openxmlformats.org/officeDocument/2006/relationships/hyperlink" Target="https://onlinelibrary.wiley.com/toc/13697625/2020/23/4" TargetMode="External"/><Relationship Id="rId58" Type="http://schemas.openxmlformats.org/officeDocument/2006/relationships/hyperlink" Target="https://www.nice.org.uk/guidance"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safetyandquality.cmail20.com/t/j-l-aoltly-zkylhjic-j/" TargetMode="External"/><Relationship Id="rId49" Type="http://schemas.openxmlformats.org/officeDocument/2006/relationships/hyperlink" Target="https://www.safetyandquality.gov.au/our-work/medication-safety" TargetMode="External"/><Relationship Id="rId57" Type="http://schemas.openxmlformats.org/officeDocument/2006/relationships/hyperlink" Target="https://www.aci.health.nsw.gov.au/covid-19/critical-intelligence-unit" TargetMode="External"/><Relationship Id="rId61"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doi.org/10.1136/bmjqs-2019-010659" TargetMode="External"/><Relationship Id="rId52" Type="http://schemas.openxmlformats.org/officeDocument/2006/relationships/hyperlink" Target="https://qualitysafety.bmj.com/content/29/10" TargetMode="External"/><Relationship Id="rId60" Type="http://schemas.openxmlformats.org/officeDocument/2006/relationships/hyperlink" Target="https://www.nice.org.uk/guidance/ng182"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hyperlink" Target="https://www.safetyandquality.gov.au/our-work/healthcare-variation/antimicrobial-medicines-dispensing-2013-14-2017-18" TargetMode="External"/><Relationship Id="rId43" Type="http://schemas.openxmlformats.org/officeDocument/2006/relationships/image" Target="media/image6.png"/><Relationship Id="rId48" Type="http://schemas.openxmlformats.org/officeDocument/2006/relationships/hyperlink" Target="http://doi.org/10.1097/aln.0000000000003238" TargetMode="External"/><Relationship Id="rId56" Type="http://schemas.openxmlformats.org/officeDocument/2006/relationships/hyperlink" Target="https://covid19evidence.net.au/"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doi.org/10.1001/jama.2020.14185"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www.rand.org/pubs/research_reports/RRA440-1.html" TargetMode="External"/><Relationship Id="rId46" Type="http://schemas.openxmlformats.org/officeDocument/2006/relationships/hyperlink" Target="http://doi.org/10.1177/1077558720952921" TargetMode="External"/><Relationship Id="rId59" Type="http://schemas.openxmlformats.org/officeDocument/2006/relationships/hyperlink" Target="https://www.nice.org.uk/guidance/ng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5641-4037-4820-8DB8-59729713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12</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Draft On the Radar Issue 483</vt:lpstr>
    </vt:vector>
  </TitlesOfParts>
  <Company>ACSQHC</Company>
  <LinksUpToDate>false</LinksUpToDate>
  <CharactersWithSpaces>30315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483</dc:title>
  <dc:subject/>
  <dc:creator>Dr Niall Johnson</dc:creator>
  <cp:keywords/>
  <dc:description/>
  <cp:lastModifiedBy>Johnson, Niall</cp:lastModifiedBy>
  <cp:revision>22</cp:revision>
  <cp:lastPrinted>2018-03-02T02:34:00Z</cp:lastPrinted>
  <dcterms:created xsi:type="dcterms:W3CDTF">2020-09-20T21:27:00Z</dcterms:created>
  <dcterms:modified xsi:type="dcterms:W3CDTF">2020-09-25T00:40:00Z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