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9B7CF3">
        <w:rPr>
          <w:rFonts w:ascii="Garamond" w:hAnsi="Garamond"/>
          <w:color w:val="000000" w:themeColor="text1"/>
          <w:lang w:val="en-AU"/>
        </w:rPr>
        <w:t>508</w:t>
      </w:r>
    </w:p>
    <w:p w:rsidR="00755242" w:rsidRDefault="009B7CF3" w:rsidP="00F738B5">
      <w:pPr>
        <w:rPr>
          <w:rFonts w:ascii="Garamond" w:hAnsi="Garamond"/>
          <w:lang w:val="en-AU"/>
        </w:rPr>
      </w:pPr>
      <w:r>
        <w:rPr>
          <w:rFonts w:ascii="Garamond" w:hAnsi="Garamond"/>
          <w:lang w:val="en-AU"/>
        </w:rPr>
        <w:t>26</w:t>
      </w:r>
      <w:r w:rsidR="00D574D3">
        <w:rPr>
          <w:rFonts w:ascii="Garamond" w:hAnsi="Garamond"/>
          <w:lang w:val="en-AU"/>
        </w:rPr>
        <w:t xml:space="preserve"> April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C80066">
        <w:rPr>
          <w:rFonts w:ascii="Garamond" w:hAnsi="Garamond"/>
          <w:bCs/>
          <w:lang w:val="en-AU"/>
        </w:rPr>
        <w:t>, Gillian Giles, Alice Bhasale</w:t>
      </w:r>
      <w:r w:rsidR="00E94756">
        <w:rPr>
          <w:rFonts w:ascii="Garamond" w:hAnsi="Garamond"/>
          <w:bCs/>
          <w:lang w:val="en-AU"/>
        </w:rPr>
        <w:t>, Meredith Page</w:t>
      </w:r>
    </w:p>
    <w:p w:rsidR="009D34ED" w:rsidRDefault="009D34ED" w:rsidP="00275FD0">
      <w:pPr>
        <w:rPr>
          <w:rFonts w:ascii="Garamond" w:hAnsi="Garamond"/>
          <w:lang w:val="en-AU"/>
        </w:rPr>
      </w:pPr>
    </w:p>
    <w:p w:rsidR="00E94756" w:rsidRDefault="00E94756">
      <w:pPr>
        <w:rPr>
          <w:rFonts w:ascii="Garamond" w:hAnsi="Garamond"/>
          <w:lang w:val="en-AU"/>
        </w:rPr>
      </w:pPr>
    </w:p>
    <w:p w:rsidR="00C80066" w:rsidRDefault="00C80066" w:rsidP="00C80066">
      <w:pPr>
        <w:jc w:val="center"/>
        <w:rPr>
          <w:rFonts w:ascii="Garamond" w:hAnsi="Garamond"/>
          <w:b/>
          <w:lang w:val="en-AU"/>
        </w:rPr>
      </w:pPr>
      <w:r>
        <w:rPr>
          <w:rFonts w:ascii="Arial" w:hAnsi="Arial" w:cs="Arial"/>
          <w:noProof/>
          <w:color w:val="5C91AD"/>
          <w:sz w:val="18"/>
          <w:szCs w:val="18"/>
          <w:lang w:val="en-AU" w:eastAsia="en-AU"/>
        </w:rPr>
        <w:drawing>
          <wp:inline distT="0" distB="0" distL="0" distR="0">
            <wp:extent cx="5715000" cy="1295400"/>
            <wp:effectExtent l="0" t="0" r="0" b="0"/>
            <wp:docPr id="5" name="Picture 5" descr="The Australian Commission on Safety and Quality in Health Care, in consultation with consumers and health professionals working in maternity care, has developed the Third and Fourth Degree Perineal Tears Clinical Care Standard." title="The Australian Commission on Safety and Quality in Health Care, in consultation with consumers and health professionals working in maternity care, has developed the Third and Fourth Degree Perineal Tears Clinical Care Standar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j/6E/DE0/510/013829/csfinal/Newsletter-Banner-Graphic-Perineal-Tears-CCS-600x11-9900000000079e3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rsidR="00C80066" w:rsidRDefault="00C80066" w:rsidP="00C80066">
      <w:pPr>
        <w:jc w:val="center"/>
        <w:rPr>
          <w:rFonts w:ascii="Garamond" w:hAnsi="Garamond"/>
          <w:b/>
          <w:lang w:val="en-AU"/>
        </w:rPr>
      </w:pPr>
    </w:p>
    <w:p w:rsidR="00C80066" w:rsidRDefault="00C80066">
      <w:pPr>
        <w:rPr>
          <w:rFonts w:ascii="Garamond" w:hAnsi="Garamond"/>
          <w:b/>
          <w:lang w:val="en-AU"/>
        </w:rPr>
      </w:pPr>
      <w:r w:rsidRPr="00C80066">
        <w:rPr>
          <w:rFonts w:ascii="Garamond" w:hAnsi="Garamond"/>
          <w:b/>
          <w:lang w:val="en-AU"/>
        </w:rPr>
        <w:t>Third and Fourth Degree Perine</w:t>
      </w:r>
      <w:r>
        <w:rPr>
          <w:rFonts w:ascii="Garamond" w:hAnsi="Garamond"/>
          <w:b/>
          <w:lang w:val="en-AU"/>
        </w:rPr>
        <w:t>al Tears Clinical Care Standard</w:t>
      </w:r>
    </w:p>
    <w:p w:rsidR="00C80066" w:rsidRDefault="00C80066">
      <w:pPr>
        <w:rPr>
          <w:rFonts w:ascii="Garamond" w:hAnsi="Garamond"/>
          <w:lang w:val="en-AU"/>
        </w:rPr>
      </w:pPr>
      <w:r w:rsidRPr="00C80066">
        <w:rPr>
          <w:rFonts w:ascii="Garamond" w:hAnsi="Garamond"/>
          <w:lang w:val="en-AU"/>
        </w:rPr>
        <w:t>Australian Commission on Safety and Quality in Health Care</w:t>
      </w:r>
    </w:p>
    <w:p w:rsidR="00C80066" w:rsidRDefault="00C80066">
      <w:pPr>
        <w:rPr>
          <w:rFonts w:ascii="Garamond" w:hAnsi="Garamond"/>
          <w:lang w:val="en-AU"/>
        </w:rPr>
      </w:pPr>
      <w:r w:rsidRPr="00C80066">
        <w:rPr>
          <w:rFonts w:ascii="Garamond" w:hAnsi="Garamond"/>
          <w:lang w:val="en-AU"/>
        </w:rPr>
        <w:t>Sydney: ACSQHC; 2021. p. 46.</w:t>
      </w:r>
    </w:p>
    <w:p w:rsidR="00C80066" w:rsidRDefault="0066625C">
      <w:pPr>
        <w:rPr>
          <w:rFonts w:ascii="Garamond" w:hAnsi="Garamond"/>
          <w:lang w:val="en-AU"/>
        </w:rPr>
      </w:pPr>
      <w:hyperlink r:id="rId17" w:history="1">
        <w:r w:rsidR="00C80066" w:rsidRPr="00EA44C0">
          <w:rPr>
            <w:rStyle w:val="Hyperlink"/>
            <w:rFonts w:ascii="Garamond" w:hAnsi="Garamond"/>
            <w:lang w:val="en-AU"/>
          </w:rPr>
          <w:t>https://www.safetyandquality.gov.au/standards/clinical-care-standards/third-and-fourth-degree-perineal-tears-clinical-care-standard</w:t>
        </w:r>
      </w:hyperlink>
    </w:p>
    <w:p w:rsidR="00C80066" w:rsidRDefault="00C80066">
      <w:pPr>
        <w:rPr>
          <w:rFonts w:ascii="Garamond" w:hAnsi="Garamond"/>
          <w:lang w:val="en-AU"/>
        </w:rPr>
      </w:pPr>
    </w:p>
    <w:p w:rsidR="00C80066" w:rsidRDefault="00C80066">
      <w:pPr>
        <w:rPr>
          <w:rFonts w:ascii="Garamond" w:hAnsi="Garamond"/>
          <w:lang w:val="en-AU"/>
        </w:rPr>
      </w:pPr>
      <w:r>
        <w:rPr>
          <w:rFonts w:ascii="Garamond" w:hAnsi="Garamond"/>
          <w:lang w:val="en-AU"/>
        </w:rPr>
        <w:t xml:space="preserve">The Australian Commission on Safety and Quality in Health Care, </w:t>
      </w:r>
      <w:r w:rsidRPr="00C80066">
        <w:rPr>
          <w:rFonts w:ascii="Garamond" w:hAnsi="Garamond"/>
          <w:lang w:val="en-AU"/>
        </w:rPr>
        <w:t>in consultation with consumers and health professionals working in maternity care</w:t>
      </w:r>
      <w:r>
        <w:rPr>
          <w:rFonts w:ascii="Garamond" w:hAnsi="Garamond"/>
          <w:lang w:val="en-AU"/>
        </w:rPr>
        <w:t xml:space="preserve">, has developed the </w:t>
      </w:r>
      <w:r w:rsidRPr="00C80066">
        <w:rPr>
          <w:rFonts w:ascii="Garamond" w:hAnsi="Garamond"/>
          <w:i/>
          <w:lang w:val="en-AU"/>
        </w:rPr>
        <w:t>Third and Fourth Degree Perineal Tears Clinical Care Standard</w:t>
      </w:r>
      <w:r>
        <w:rPr>
          <w:rFonts w:ascii="Garamond" w:hAnsi="Garamond"/>
          <w:lang w:val="en-AU"/>
        </w:rPr>
        <w:t>.</w:t>
      </w:r>
    </w:p>
    <w:p w:rsidR="00C80066" w:rsidRPr="00C80066" w:rsidRDefault="00C80066" w:rsidP="00C80066">
      <w:pPr>
        <w:rPr>
          <w:rFonts w:ascii="Garamond" w:hAnsi="Garamond"/>
          <w:lang w:val="en-AU"/>
        </w:rPr>
      </w:pPr>
      <w:r w:rsidRPr="00C80066">
        <w:rPr>
          <w:rFonts w:ascii="Garamond" w:hAnsi="Garamond"/>
          <w:lang w:val="en-AU"/>
        </w:rPr>
        <w:t>Perineal tears are common among women giving birth in Australia. While most perineal tears heal well, some women experience more serious tears that can have significant physical and psychological impact.</w:t>
      </w:r>
    </w:p>
    <w:p w:rsidR="00C80066" w:rsidRDefault="00C80066" w:rsidP="00C80066">
      <w:pPr>
        <w:rPr>
          <w:rFonts w:ascii="Garamond" w:hAnsi="Garamond"/>
          <w:lang w:val="en-AU"/>
        </w:rPr>
      </w:pPr>
    </w:p>
    <w:p w:rsidR="00C80066" w:rsidRDefault="00C80066" w:rsidP="00C80066">
      <w:pPr>
        <w:rPr>
          <w:rFonts w:ascii="Garamond" w:hAnsi="Garamond"/>
          <w:lang w:val="en-AU"/>
        </w:rPr>
      </w:pPr>
      <w:r w:rsidRPr="00C80066">
        <w:rPr>
          <w:rFonts w:ascii="Garamond" w:hAnsi="Garamond"/>
          <w:lang w:val="en-AU"/>
        </w:rPr>
        <w:t>The new standard will help to reduce the risk of a serious tear and ensure that women receive appropriate treatment and support throughout their birthing experience.</w:t>
      </w:r>
    </w:p>
    <w:p w:rsidR="00C80066" w:rsidRDefault="00C80066" w:rsidP="00C80066">
      <w:pPr>
        <w:rPr>
          <w:rFonts w:ascii="Garamond" w:hAnsi="Garamond"/>
          <w:lang w:val="en-AU"/>
        </w:rPr>
      </w:pPr>
    </w:p>
    <w:p w:rsidR="00C80066" w:rsidRDefault="00C80066" w:rsidP="00C80066">
      <w:pPr>
        <w:rPr>
          <w:rFonts w:ascii="Garamond" w:hAnsi="Garamond"/>
          <w:lang w:val="en-AU"/>
        </w:rPr>
      </w:pPr>
      <w:r w:rsidRPr="00C80066">
        <w:rPr>
          <w:rFonts w:ascii="Garamond" w:hAnsi="Garamond"/>
          <w:lang w:val="en-AU"/>
        </w:rPr>
        <w:t xml:space="preserve">The </w:t>
      </w:r>
      <w:r w:rsidRPr="00C80066">
        <w:rPr>
          <w:rFonts w:ascii="Garamond" w:hAnsi="Garamond"/>
          <w:i/>
          <w:lang w:val="en-AU"/>
        </w:rPr>
        <w:t>Third and Fourth Degree Perineal Tears Clinical Care Standard</w:t>
      </w:r>
      <w:r w:rsidRPr="00C80066">
        <w:rPr>
          <w:rFonts w:ascii="Garamond" w:hAnsi="Garamond"/>
          <w:lang w:val="en-AU"/>
        </w:rPr>
        <w:t xml:space="preserve"> includes seven quality statements and a set of indicators for safe and appropriate care.</w:t>
      </w:r>
    </w:p>
    <w:p w:rsidR="00C80066" w:rsidRDefault="00C80066">
      <w:pPr>
        <w:rPr>
          <w:rFonts w:ascii="Garamond" w:hAnsi="Garamond"/>
          <w:lang w:val="en-AU"/>
        </w:rPr>
      </w:pPr>
    </w:p>
    <w:p w:rsidR="0023773C" w:rsidRDefault="0023773C" w:rsidP="0023773C">
      <w:pPr>
        <w:rPr>
          <w:rFonts w:ascii="Garamond" w:hAnsi="Garamond"/>
          <w:lang w:val="en-AU"/>
        </w:rPr>
      </w:pPr>
      <w:r>
        <w:rPr>
          <w:rFonts w:ascii="Garamond" w:hAnsi="Garamond"/>
          <w:noProof/>
          <w:lang w:val="en-AU" w:eastAsia="en-AU"/>
        </w:rPr>
        <w:lastRenderedPageBreak/>
        <w:drawing>
          <wp:inline distT="0" distB="0" distL="0" distR="0" wp14:anchorId="6D2EAB04" wp14:editId="3263984A">
            <wp:extent cx="6115050" cy="2181225"/>
            <wp:effectExtent l="0" t="0" r="0" b="9525"/>
            <wp:docPr id="6" name="Picture 6" descr="Join us for the online launch of our Fourth Australian Atlas of Healthcare Variation." title="Join us for the online launch of our Fourth Australian Atlas of Healthcare Vari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tlas launch bann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181225"/>
                    </a:xfrm>
                    <a:prstGeom prst="rect">
                      <a:avLst/>
                    </a:prstGeom>
                    <a:noFill/>
                    <a:ln>
                      <a:noFill/>
                    </a:ln>
                  </pic:spPr>
                </pic:pic>
              </a:graphicData>
            </a:graphic>
          </wp:inline>
        </w:drawing>
      </w:r>
    </w:p>
    <w:p w:rsidR="0023773C" w:rsidRDefault="0023773C" w:rsidP="0023773C">
      <w:pPr>
        <w:rPr>
          <w:rFonts w:ascii="Garamond" w:hAnsi="Garamond"/>
          <w:b/>
          <w:lang w:val="en-AU"/>
        </w:rPr>
      </w:pPr>
    </w:p>
    <w:p w:rsidR="0023773C" w:rsidRPr="00335238" w:rsidRDefault="0023773C" w:rsidP="0023773C">
      <w:pPr>
        <w:rPr>
          <w:rFonts w:ascii="Garamond" w:hAnsi="Garamond"/>
          <w:b/>
          <w:lang w:val="en-AU"/>
        </w:rPr>
      </w:pPr>
      <w:r w:rsidRPr="00335238">
        <w:rPr>
          <w:rFonts w:ascii="Garamond" w:hAnsi="Garamond"/>
          <w:b/>
          <w:lang w:val="en-AU"/>
        </w:rPr>
        <w:t>Fourth Australian Atlas of Healthcare Variation launch</w:t>
      </w:r>
    </w:p>
    <w:p w:rsidR="00E94756" w:rsidRPr="00E94756" w:rsidRDefault="00E94756" w:rsidP="00E94756">
      <w:pPr>
        <w:rPr>
          <w:rFonts w:ascii="Garamond" w:hAnsi="Garamond"/>
          <w:lang w:val="en-AU"/>
        </w:rPr>
      </w:pPr>
      <w:r w:rsidRPr="00E94756">
        <w:rPr>
          <w:rFonts w:ascii="Garamond" w:hAnsi="Garamond"/>
          <w:lang w:val="en-AU"/>
        </w:rPr>
        <w:t>Do all Australians receive the same evidence-based health care, no matter where they live? If not, where does it vary, and why?</w:t>
      </w:r>
    </w:p>
    <w:p w:rsidR="00E94756" w:rsidRPr="00E94756" w:rsidRDefault="00E94756" w:rsidP="00E94756">
      <w:pPr>
        <w:rPr>
          <w:rFonts w:ascii="Garamond" w:hAnsi="Garamond"/>
          <w:lang w:val="en-AU"/>
        </w:rPr>
      </w:pPr>
    </w:p>
    <w:p w:rsidR="00E94756" w:rsidRPr="00E94756" w:rsidRDefault="00E94756" w:rsidP="00E94756">
      <w:pPr>
        <w:rPr>
          <w:rFonts w:ascii="Garamond" w:hAnsi="Garamond"/>
          <w:lang w:val="en-AU"/>
        </w:rPr>
      </w:pPr>
      <w:r w:rsidRPr="00E94756">
        <w:rPr>
          <w:rFonts w:ascii="Garamond" w:hAnsi="Garamond"/>
          <w:lang w:val="en-AU"/>
        </w:rPr>
        <w:t xml:space="preserve">Join us for the online launch of </w:t>
      </w:r>
      <w:r>
        <w:rPr>
          <w:rFonts w:ascii="Garamond" w:hAnsi="Garamond"/>
          <w:lang w:val="en-AU"/>
        </w:rPr>
        <w:t xml:space="preserve">the </w:t>
      </w:r>
      <w:r w:rsidRPr="00E94756">
        <w:rPr>
          <w:rFonts w:ascii="Garamond" w:hAnsi="Garamond"/>
          <w:i/>
          <w:lang w:val="en-AU"/>
        </w:rPr>
        <w:t>Fourth Australian Atlas of Healthcare Variation</w:t>
      </w:r>
      <w:r w:rsidRPr="00E94756">
        <w:rPr>
          <w:rFonts w:ascii="Garamond" w:hAnsi="Garamond"/>
          <w:lang w:val="en-AU"/>
        </w:rPr>
        <w:t>. Mapping healthcare use across the country, the new Atlas highlights variation across six clinical topics including early planned births and chronic disease and infection.</w:t>
      </w:r>
    </w:p>
    <w:p w:rsidR="00E94756" w:rsidRPr="00E94756" w:rsidRDefault="00E94756" w:rsidP="00E94756">
      <w:pPr>
        <w:rPr>
          <w:rFonts w:ascii="Garamond" w:hAnsi="Garamond"/>
          <w:lang w:val="en-AU"/>
        </w:rPr>
      </w:pPr>
    </w:p>
    <w:p w:rsidR="00E94756" w:rsidRPr="00E94756" w:rsidRDefault="00E94756" w:rsidP="00E94756">
      <w:pPr>
        <w:rPr>
          <w:rFonts w:ascii="Garamond" w:hAnsi="Garamond"/>
          <w:lang w:val="en-AU"/>
        </w:rPr>
      </w:pPr>
      <w:r w:rsidRPr="00E94756">
        <w:rPr>
          <w:rFonts w:ascii="Garamond" w:hAnsi="Garamond"/>
          <w:lang w:val="en-AU"/>
        </w:rPr>
        <w:t>The Hon Greg Hunt MP will officially launch the Atlas and speak about what it means for the Australian health system. Professor John Newnham AM, 2020 Senior Australian of the Year and Professor in Obstetrics &amp; Gynaecology at The University of Western Australia, will speak about the findings on early caesarean section births, and why reducing avoidable early births should be a national priority. Professor Paul Kelly, Chief Medical Officer, Australian Government Department of Health, will speak on the significant differences in hospitalisation rates for people with chronic diseases across Australia.</w:t>
      </w:r>
    </w:p>
    <w:p w:rsidR="00E94756" w:rsidRPr="00E94756" w:rsidRDefault="00E94756" w:rsidP="00E94756">
      <w:pPr>
        <w:rPr>
          <w:rFonts w:ascii="Garamond" w:hAnsi="Garamond"/>
          <w:lang w:val="en-AU"/>
        </w:rPr>
      </w:pPr>
    </w:p>
    <w:p w:rsidR="00E94756" w:rsidRPr="00E94756" w:rsidRDefault="00E94756" w:rsidP="00E94756">
      <w:pPr>
        <w:rPr>
          <w:rFonts w:ascii="Garamond" w:hAnsi="Garamond"/>
          <w:lang w:val="en-AU"/>
        </w:rPr>
      </w:pPr>
      <w:r w:rsidRPr="00E94756">
        <w:rPr>
          <w:rFonts w:ascii="Garamond" w:hAnsi="Garamond"/>
          <w:lang w:val="en-AU"/>
        </w:rPr>
        <w:t xml:space="preserve">Date: Wednesday </w:t>
      </w:r>
      <w:r w:rsidRPr="00E94756">
        <w:rPr>
          <w:rFonts w:ascii="Garamond" w:hAnsi="Garamond"/>
          <w:b/>
          <w:lang w:val="en-AU"/>
        </w:rPr>
        <w:t>28 April 2021</w:t>
      </w:r>
    </w:p>
    <w:p w:rsidR="00E94756" w:rsidRPr="00E94756" w:rsidRDefault="00E94756" w:rsidP="00E94756">
      <w:pPr>
        <w:rPr>
          <w:rFonts w:ascii="Garamond" w:hAnsi="Garamond"/>
          <w:lang w:val="en-AU"/>
        </w:rPr>
      </w:pPr>
      <w:r w:rsidRPr="00E94756">
        <w:rPr>
          <w:rFonts w:ascii="Garamond" w:hAnsi="Garamond"/>
          <w:lang w:val="en-AU"/>
        </w:rPr>
        <w:t xml:space="preserve">Time: </w:t>
      </w:r>
      <w:r w:rsidRPr="00E94756">
        <w:rPr>
          <w:rFonts w:ascii="Garamond" w:hAnsi="Garamond"/>
          <w:b/>
          <w:lang w:val="en-AU"/>
        </w:rPr>
        <w:t>12.00–1.00pm</w:t>
      </w:r>
      <w:r w:rsidRPr="00E94756">
        <w:rPr>
          <w:rFonts w:ascii="Garamond" w:hAnsi="Garamond"/>
          <w:lang w:val="en-AU"/>
        </w:rPr>
        <w:t xml:space="preserve"> (AEST)</w:t>
      </w:r>
    </w:p>
    <w:p w:rsidR="00E94756" w:rsidRPr="00E94756" w:rsidRDefault="00E94756" w:rsidP="00E94756">
      <w:pPr>
        <w:rPr>
          <w:rFonts w:ascii="Garamond" w:hAnsi="Garamond"/>
          <w:lang w:val="en-AU"/>
        </w:rPr>
      </w:pPr>
      <w:r w:rsidRPr="00E94756">
        <w:rPr>
          <w:rFonts w:ascii="Garamond" w:hAnsi="Garamond"/>
          <w:lang w:val="en-AU"/>
        </w:rPr>
        <w:t>Location: Online</w:t>
      </w:r>
    </w:p>
    <w:p w:rsidR="00E94756" w:rsidRPr="00E94756" w:rsidRDefault="00E94756" w:rsidP="00E94756">
      <w:pPr>
        <w:rPr>
          <w:rFonts w:ascii="Garamond" w:hAnsi="Garamond"/>
          <w:lang w:val="en-AU"/>
        </w:rPr>
      </w:pPr>
    </w:p>
    <w:p w:rsidR="0023773C" w:rsidRDefault="0023773C" w:rsidP="0023773C">
      <w:pPr>
        <w:rPr>
          <w:rFonts w:ascii="Garamond" w:hAnsi="Garamond"/>
          <w:lang w:val="en-AU"/>
        </w:rPr>
      </w:pPr>
      <w:r w:rsidRPr="00335238">
        <w:rPr>
          <w:rFonts w:ascii="Garamond" w:hAnsi="Garamond"/>
          <w:lang w:val="en-AU"/>
        </w:rPr>
        <w:t xml:space="preserve">Click </w:t>
      </w:r>
      <w:hyperlink r:id="rId20" w:history="1">
        <w:r w:rsidRPr="00335238">
          <w:rPr>
            <w:rStyle w:val="Hyperlink"/>
            <w:rFonts w:ascii="Garamond" w:hAnsi="Garamond"/>
            <w:lang w:val="en-AU"/>
          </w:rPr>
          <w:t>here</w:t>
        </w:r>
      </w:hyperlink>
      <w:r w:rsidRPr="00335238">
        <w:rPr>
          <w:rFonts w:ascii="Garamond" w:hAnsi="Garamond"/>
          <w:lang w:val="en-AU"/>
        </w:rPr>
        <w:t xml:space="preserve"> to register.</w:t>
      </w:r>
    </w:p>
    <w:p w:rsidR="0023773C" w:rsidRPr="00335238" w:rsidRDefault="0023773C" w:rsidP="0023773C">
      <w:pPr>
        <w:rPr>
          <w:rFonts w:ascii="Garamond" w:hAnsi="Garamond"/>
          <w:lang w:val="en-AU"/>
        </w:rPr>
      </w:pPr>
    </w:p>
    <w:p w:rsidR="00710DE5" w:rsidRDefault="0023773C">
      <w:pPr>
        <w:rPr>
          <w:rFonts w:ascii="Garamond" w:hAnsi="Garamond"/>
          <w:lang w:val="en-AU"/>
        </w:rPr>
      </w:pPr>
      <w:r w:rsidRPr="00335238">
        <w:rPr>
          <w:rFonts w:ascii="Garamond" w:hAnsi="Garamond"/>
          <w:lang w:val="en-AU"/>
        </w:rPr>
        <w:t>Produced in partnership with the Australian Institute of Health and Welfare, our Atlas series identifies variation for a range of procedures, investigations, treatments and hospitalisations. With recommendations to reduce unwarranted variation, it provides opportunities to minimise low value care, improve the equity of care and improve patient outcomes.</w:t>
      </w:r>
      <w:r w:rsidR="00710DE5">
        <w:rPr>
          <w:rFonts w:ascii="Garamond" w:hAnsi="Garamond"/>
          <w:lang w:val="en-AU"/>
        </w:rPr>
        <w:br/>
      </w:r>
    </w:p>
    <w:p w:rsidR="00710DE5" w:rsidRDefault="0023773C">
      <w:pPr>
        <w:rPr>
          <w:rStyle w:val="Hyperlink"/>
          <w:rFonts w:ascii="Garamond" w:hAnsi="Garamond"/>
          <w:lang w:val="en-AU"/>
        </w:rPr>
      </w:pPr>
      <w:r w:rsidRPr="00335238">
        <w:rPr>
          <w:rFonts w:ascii="Garamond" w:hAnsi="Garamond"/>
          <w:lang w:val="en-AU"/>
        </w:rPr>
        <w:t xml:space="preserve">Find out more about the Atlas series and healthcare variation on our website or email us at </w:t>
      </w:r>
      <w:hyperlink r:id="rId21" w:history="1">
        <w:r w:rsidRPr="006836E7">
          <w:rPr>
            <w:rStyle w:val="Hyperlink"/>
            <w:rFonts w:ascii="Garamond" w:hAnsi="Garamond"/>
            <w:lang w:val="en-AU"/>
          </w:rPr>
          <w:t>atlas@safetyandquality.gov.au</w:t>
        </w:r>
      </w:hyperlink>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2A323B" w:rsidRDefault="002A323B" w:rsidP="00E34A10">
      <w:pPr>
        <w:keepNext/>
        <w:keepLines/>
        <w:autoSpaceDE w:val="0"/>
        <w:autoSpaceDN w:val="0"/>
        <w:adjustRightInd w:val="0"/>
        <w:rPr>
          <w:rFonts w:ascii="Garamond" w:hAnsi="Garamond"/>
          <w:b/>
          <w:lang w:val="en-AU"/>
        </w:rPr>
      </w:pPr>
    </w:p>
    <w:p w:rsidR="009B7CF3" w:rsidRPr="00211B7F" w:rsidRDefault="00211B7F" w:rsidP="009B7CF3">
      <w:pPr>
        <w:keepNext/>
        <w:keepLines/>
        <w:autoSpaceDE w:val="0"/>
        <w:autoSpaceDN w:val="0"/>
        <w:adjustRightInd w:val="0"/>
        <w:rPr>
          <w:rFonts w:ascii="Garamond" w:hAnsi="Garamond"/>
          <w:i/>
          <w:lang w:val="en-AU"/>
        </w:rPr>
      </w:pPr>
      <w:r w:rsidRPr="00211B7F">
        <w:rPr>
          <w:rFonts w:ascii="Garamond" w:hAnsi="Garamond"/>
          <w:i/>
          <w:lang w:val="en-AU"/>
        </w:rPr>
        <w:t>Better understanding the downsides of low value healthcare could reduce harm</w:t>
      </w:r>
    </w:p>
    <w:p w:rsidR="00A47E11" w:rsidRDefault="00A47E11" w:rsidP="009B7CF3">
      <w:pPr>
        <w:keepNext/>
        <w:keepLines/>
        <w:autoSpaceDE w:val="0"/>
        <w:autoSpaceDN w:val="0"/>
        <w:adjustRightInd w:val="0"/>
        <w:rPr>
          <w:rFonts w:ascii="Garamond" w:hAnsi="Garamond"/>
          <w:lang w:val="en-AU"/>
        </w:rPr>
      </w:pPr>
      <w:r w:rsidRPr="00A47E11">
        <w:rPr>
          <w:rFonts w:ascii="Garamond" w:hAnsi="Garamond"/>
          <w:lang w:val="en-AU"/>
        </w:rPr>
        <w:t>Brownlee SM, Korenstein D</w:t>
      </w:r>
    </w:p>
    <w:p w:rsidR="00211B7F" w:rsidRPr="00BC1B53" w:rsidRDefault="00A47E11" w:rsidP="009B7CF3">
      <w:pPr>
        <w:keepNext/>
        <w:keepLines/>
        <w:autoSpaceDE w:val="0"/>
        <w:autoSpaceDN w:val="0"/>
        <w:adjustRightInd w:val="0"/>
        <w:rPr>
          <w:rFonts w:ascii="Garamond" w:hAnsi="Garamond"/>
          <w:lang w:val="en-AU"/>
        </w:rPr>
      </w:pPr>
      <w:r w:rsidRPr="00A47E11">
        <w:rPr>
          <w:rFonts w:ascii="Garamond" w:hAnsi="Garamond"/>
          <w:lang w:val="en-AU"/>
        </w:rPr>
        <w:t>BMJ. 2021;372:n117.</w:t>
      </w:r>
    </w:p>
    <w:tbl>
      <w:tblPr>
        <w:tblStyle w:val="TableGrid"/>
        <w:tblW w:w="9360" w:type="dxa"/>
        <w:tblInd w:w="288" w:type="dxa"/>
        <w:tblLayout w:type="fixed"/>
        <w:tblLook w:val="01E0" w:firstRow="1" w:lastRow="1" w:firstColumn="1" w:lastColumn="1" w:noHBand="0" w:noVBand="0"/>
      </w:tblPr>
      <w:tblGrid>
        <w:gridCol w:w="1080"/>
        <w:gridCol w:w="8280"/>
      </w:tblGrid>
      <w:tr w:rsidR="009B7CF3" w:rsidRPr="000170DA" w:rsidTr="00B74957">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B7495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7CF3" w:rsidRPr="000170DA" w:rsidRDefault="0066625C" w:rsidP="00B74957">
            <w:pPr>
              <w:keepNext/>
              <w:rPr>
                <w:rStyle w:val="Hyperlink"/>
                <w:rFonts w:ascii="Garamond" w:hAnsi="Garamond"/>
                <w:color w:val="auto"/>
                <w:u w:val="none"/>
                <w:lang w:val="en-AU"/>
              </w:rPr>
            </w:pPr>
            <w:hyperlink r:id="rId22" w:history="1">
              <w:r w:rsidR="00A47E11" w:rsidRPr="00D126BB">
                <w:rPr>
                  <w:rStyle w:val="Hyperlink"/>
                  <w:rFonts w:ascii="Garamond" w:hAnsi="Garamond"/>
                  <w:lang w:val="en-AU"/>
                </w:rPr>
                <w:t>https://doi.org/10.1136/bmj.n117</w:t>
              </w:r>
            </w:hyperlink>
          </w:p>
        </w:tc>
      </w:tr>
      <w:tr w:rsidR="009B7CF3" w:rsidRPr="000170DA" w:rsidTr="00B74957">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B749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Default="00211B7F" w:rsidP="00B74957">
            <w:pPr>
              <w:rPr>
                <w:rFonts w:ascii="Garamond" w:hAnsi="Garamond"/>
                <w:lang w:val="en-AU"/>
              </w:rPr>
            </w:pPr>
            <w:r>
              <w:rPr>
                <w:rFonts w:ascii="Garamond" w:hAnsi="Garamond"/>
                <w:lang w:val="en-AU"/>
              </w:rPr>
              <w:t>The arguments against low value care</w:t>
            </w:r>
            <w:r w:rsidR="00A47E11">
              <w:rPr>
                <w:rFonts w:ascii="Garamond" w:hAnsi="Garamond"/>
                <w:lang w:val="en-AU"/>
              </w:rPr>
              <w:t xml:space="preserve"> are numerous. These include that lack of clinical benefit, the waste, the increased expenditure, the potential of harm to patients through unnecessary activity, the opportunity cost of unnecessary care that means patients who might otherwise be treated and benefit are not treated, etc. The authors of this piece in the </w:t>
            </w:r>
            <w:r w:rsidR="00A47E11" w:rsidRPr="00A47E11">
              <w:rPr>
                <w:rFonts w:ascii="Garamond" w:hAnsi="Garamond"/>
                <w:i/>
                <w:lang w:val="en-AU"/>
              </w:rPr>
              <w:t>BMJ</w:t>
            </w:r>
            <w:r w:rsidR="00A47E11">
              <w:rPr>
                <w:rFonts w:ascii="Garamond" w:hAnsi="Garamond"/>
                <w:lang w:val="en-AU"/>
              </w:rPr>
              <w:t xml:space="preserve"> consider that there has been a lack of ‘</w:t>
            </w:r>
            <w:r w:rsidR="00A47E11" w:rsidRPr="00A47E11">
              <w:rPr>
                <w:rFonts w:ascii="Garamond" w:hAnsi="Garamond"/>
                <w:lang w:val="en-AU"/>
              </w:rPr>
              <w:t>attention on the physical and psychological harms of overuse has hampered efforts to reduce it</w:t>
            </w:r>
            <w:r w:rsidR="00A47E11">
              <w:rPr>
                <w:rFonts w:ascii="Garamond" w:hAnsi="Garamond"/>
                <w:lang w:val="en-AU"/>
              </w:rPr>
              <w:t>’. They observed that ‘</w:t>
            </w:r>
            <w:r w:rsidR="00A47E11" w:rsidRPr="00A47E11">
              <w:rPr>
                <w:rFonts w:ascii="Garamond" w:hAnsi="Garamond"/>
                <w:lang w:val="en-AU"/>
              </w:rPr>
              <w:t>Harm from overuse of low value services is entirely preventable, at least theoretically: avoid delivering the ineffective or inappropriate service and it cannot hurt the patient</w:t>
            </w:r>
            <w:r w:rsidR="00A47E11">
              <w:rPr>
                <w:rFonts w:ascii="Garamond" w:hAnsi="Garamond"/>
                <w:lang w:val="en-AU"/>
              </w:rPr>
              <w:t xml:space="preserve">.’ </w:t>
            </w:r>
          </w:p>
          <w:p w:rsidR="00A47E11" w:rsidRDefault="00A47E11" w:rsidP="00B74957">
            <w:pPr>
              <w:rPr>
                <w:rFonts w:ascii="Garamond" w:hAnsi="Garamond"/>
                <w:lang w:val="en-AU"/>
              </w:rPr>
            </w:pPr>
            <w:r>
              <w:rPr>
                <w:rFonts w:ascii="Garamond" w:hAnsi="Garamond"/>
                <w:lang w:val="en-AU"/>
              </w:rPr>
              <w:t>The authors identify their key messages as being:</w:t>
            </w:r>
          </w:p>
          <w:p w:rsidR="00A47E11" w:rsidRPr="00A47E11" w:rsidRDefault="00A47E11" w:rsidP="00A47E11">
            <w:pPr>
              <w:pStyle w:val="ListParagraph"/>
              <w:numPr>
                <w:ilvl w:val="0"/>
                <w:numId w:val="25"/>
              </w:numPr>
              <w:rPr>
                <w:rFonts w:ascii="Garamond" w:hAnsi="Garamond"/>
                <w:lang w:val="en-AU"/>
              </w:rPr>
            </w:pPr>
            <w:r w:rsidRPr="00A47E11">
              <w:rPr>
                <w:rFonts w:ascii="Garamond" w:hAnsi="Garamond"/>
                <w:lang w:val="en-AU"/>
              </w:rPr>
              <w:lastRenderedPageBreak/>
              <w:t>Overuse of low value healthcare services has often been cast primarily as a problem of waste; it is also a source of preventable physical and psychological harm to patients</w:t>
            </w:r>
          </w:p>
          <w:p w:rsidR="00A47E11" w:rsidRPr="00A47E11" w:rsidRDefault="00A47E11" w:rsidP="00A47E11">
            <w:pPr>
              <w:pStyle w:val="ListParagraph"/>
              <w:numPr>
                <w:ilvl w:val="0"/>
                <w:numId w:val="25"/>
              </w:numPr>
              <w:rPr>
                <w:rFonts w:ascii="Garamond" w:hAnsi="Garamond"/>
                <w:lang w:val="en-AU"/>
              </w:rPr>
            </w:pPr>
            <w:r w:rsidRPr="00A47E11">
              <w:rPr>
                <w:rFonts w:ascii="Garamond" w:hAnsi="Garamond"/>
                <w:lang w:val="en-AU"/>
              </w:rPr>
              <w:t>Emphasising overuse as waste might signal to patients that efforts to avoid unnecessary services are an attempt to ration needed care</w:t>
            </w:r>
          </w:p>
          <w:p w:rsidR="00A47E11" w:rsidRPr="00A47E11" w:rsidRDefault="00A47E11" w:rsidP="00A47E11">
            <w:pPr>
              <w:pStyle w:val="ListParagraph"/>
              <w:numPr>
                <w:ilvl w:val="0"/>
                <w:numId w:val="25"/>
              </w:numPr>
              <w:rPr>
                <w:rFonts w:ascii="Garamond" w:hAnsi="Garamond"/>
                <w:lang w:val="en-AU"/>
              </w:rPr>
            </w:pPr>
            <w:r w:rsidRPr="00A47E11">
              <w:rPr>
                <w:rFonts w:ascii="Garamond" w:hAnsi="Garamond"/>
                <w:lang w:val="en-AU"/>
              </w:rPr>
              <w:t>Understanding the scope of preventable harm caused by overuse could provide both patients and clinicians with incentives to avoid it</w:t>
            </w:r>
          </w:p>
          <w:p w:rsidR="00A47E11" w:rsidRPr="00A47E11" w:rsidRDefault="00A47E11" w:rsidP="00A47E11">
            <w:pPr>
              <w:pStyle w:val="ListParagraph"/>
              <w:numPr>
                <w:ilvl w:val="0"/>
                <w:numId w:val="25"/>
              </w:numPr>
              <w:rPr>
                <w:rFonts w:ascii="Garamond" w:hAnsi="Garamond"/>
                <w:lang w:val="en-AU"/>
              </w:rPr>
            </w:pPr>
            <w:r w:rsidRPr="00A47E11">
              <w:rPr>
                <w:rFonts w:ascii="Garamond" w:hAnsi="Garamond"/>
                <w:lang w:val="en-AU"/>
              </w:rPr>
              <w:t>Few national or international databases collect data on how often adverse events occur during delivery of unnecessary services, how many patients are involved, or how serious the harms are</w:t>
            </w:r>
          </w:p>
          <w:p w:rsidR="00A47E11" w:rsidRDefault="00A47E11" w:rsidP="00A47E11">
            <w:pPr>
              <w:pStyle w:val="ListParagraph"/>
              <w:numPr>
                <w:ilvl w:val="0"/>
                <w:numId w:val="25"/>
              </w:numPr>
              <w:rPr>
                <w:rFonts w:ascii="Garamond" w:hAnsi="Garamond"/>
                <w:lang w:val="en-AU"/>
              </w:rPr>
            </w:pPr>
            <w:r w:rsidRPr="00A47E11">
              <w:rPr>
                <w:rFonts w:ascii="Garamond" w:hAnsi="Garamond"/>
                <w:lang w:val="en-AU"/>
              </w:rPr>
              <w:t>Quantifying harm from overuse will require new research methods and better collection of harms data from clinical studies</w:t>
            </w:r>
            <w:r>
              <w:rPr>
                <w:rFonts w:ascii="Garamond" w:hAnsi="Garamond"/>
                <w:lang w:val="en-AU"/>
              </w:rPr>
              <w:t>.</w:t>
            </w:r>
          </w:p>
          <w:p w:rsidR="00A47E11" w:rsidRDefault="00A47E11" w:rsidP="00A47E11">
            <w:pPr>
              <w:rPr>
                <w:rFonts w:ascii="Garamond" w:hAnsi="Garamond"/>
                <w:lang w:val="en-AU"/>
              </w:rPr>
            </w:pPr>
          </w:p>
          <w:p w:rsidR="00A47E11" w:rsidRPr="00A47E11" w:rsidRDefault="00A47E11" w:rsidP="003B6618">
            <w:pPr>
              <w:rPr>
                <w:rFonts w:ascii="Garamond" w:hAnsi="Garamond"/>
                <w:lang w:val="en-AU"/>
              </w:rPr>
            </w:pPr>
            <w:r>
              <w:rPr>
                <w:noProof/>
                <w:lang w:val="en-AU" w:eastAsia="en-AU"/>
              </w:rPr>
              <w:drawing>
                <wp:inline distT="0" distB="0" distL="0" distR="0">
                  <wp:extent cx="5081286" cy="3991638"/>
                  <wp:effectExtent l="0" t="0" r="5080" b="8890"/>
                  <wp:docPr id="7" name="Picture 7" descr="Information needed to determine harms of overused services" title="Information needed to determine harms of overused servic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F1.large (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6247" cy="4003391"/>
                          </a:xfrm>
                          <a:prstGeom prst="rect">
                            <a:avLst/>
                          </a:prstGeom>
                          <a:noFill/>
                          <a:ln>
                            <a:noFill/>
                          </a:ln>
                        </pic:spPr>
                      </pic:pic>
                    </a:graphicData>
                  </a:graphic>
                </wp:inline>
              </w:drawing>
            </w:r>
          </w:p>
        </w:tc>
      </w:tr>
    </w:tbl>
    <w:p w:rsidR="00A47E11" w:rsidRPr="001F55C0" w:rsidRDefault="00A47E11" w:rsidP="00A47E11">
      <w:pPr>
        <w:keepNext/>
        <w:keepLines/>
        <w:autoSpaceDE w:val="0"/>
        <w:autoSpaceDN w:val="0"/>
        <w:adjustRightInd w:val="0"/>
        <w:rPr>
          <w:rFonts w:ascii="Garamond" w:hAnsi="Garamond"/>
          <w:i/>
          <w:lang w:val="en-AU"/>
        </w:rPr>
      </w:pPr>
      <w:r w:rsidRPr="001F55C0">
        <w:rPr>
          <w:rFonts w:ascii="Garamond" w:hAnsi="Garamond"/>
          <w:i/>
          <w:lang w:val="en-AU"/>
        </w:rPr>
        <w:lastRenderedPageBreak/>
        <w:t>Promise and perils of patient decision aids for reducing low-value care</w:t>
      </w:r>
    </w:p>
    <w:p w:rsidR="00A47E11" w:rsidRDefault="00A47E11" w:rsidP="00A47E11">
      <w:pPr>
        <w:keepNext/>
        <w:keepLines/>
        <w:autoSpaceDE w:val="0"/>
        <w:autoSpaceDN w:val="0"/>
        <w:adjustRightInd w:val="0"/>
        <w:rPr>
          <w:rFonts w:ascii="Garamond" w:hAnsi="Garamond"/>
          <w:lang w:val="en-AU"/>
        </w:rPr>
      </w:pPr>
      <w:r w:rsidRPr="001F55C0">
        <w:rPr>
          <w:rFonts w:ascii="Garamond" w:hAnsi="Garamond"/>
          <w:lang w:val="en-AU"/>
        </w:rPr>
        <w:t>Thompson R, Muscat DM, Jansen J, Cox D, Zadro JR, Traeger AC, et al</w:t>
      </w:r>
    </w:p>
    <w:p w:rsidR="00A47E11" w:rsidRPr="00BC1B53" w:rsidRDefault="00A47E11" w:rsidP="00A47E11">
      <w:pPr>
        <w:keepNext/>
        <w:keepLines/>
        <w:autoSpaceDE w:val="0"/>
        <w:autoSpaceDN w:val="0"/>
        <w:adjustRightInd w:val="0"/>
        <w:rPr>
          <w:rFonts w:ascii="Garamond" w:hAnsi="Garamond"/>
          <w:lang w:val="en-AU"/>
        </w:rPr>
      </w:pPr>
      <w:r w:rsidRPr="001F55C0">
        <w:rPr>
          <w:rFonts w:ascii="Garamond" w:hAnsi="Garamond"/>
          <w:lang w:val="en-AU"/>
        </w:rPr>
        <w:t>BMJ Quality &amp; Safety. 2021;30(5):407-411.</w:t>
      </w:r>
    </w:p>
    <w:tbl>
      <w:tblPr>
        <w:tblStyle w:val="TableGrid"/>
        <w:tblW w:w="9360" w:type="dxa"/>
        <w:tblInd w:w="288" w:type="dxa"/>
        <w:tblLayout w:type="fixed"/>
        <w:tblLook w:val="01E0" w:firstRow="1" w:lastRow="1" w:firstColumn="1" w:lastColumn="1" w:noHBand="0" w:noVBand="0"/>
      </w:tblPr>
      <w:tblGrid>
        <w:gridCol w:w="1080"/>
        <w:gridCol w:w="8280"/>
      </w:tblGrid>
      <w:tr w:rsidR="00A47E11" w:rsidRPr="000170DA" w:rsidTr="00F16B7F">
        <w:tc>
          <w:tcPr>
            <w:tcW w:w="1080" w:type="dxa"/>
            <w:tcBorders>
              <w:top w:val="single" w:sz="4" w:space="0" w:color="auto"/>
              <w:left w:val="single" w:sz="4" w:space="0" w:color="auto"/>
              <w:bottom w:val="single" w:sz="4" w:space="0" w:color="auto"/>
              <w:right w:val="single" w:sz="4" w:space="0" w:color="auto"/>
            </w:tcBorders>
            <w:vAlign w:val="center"/>
          </w:tcPr>
          <w:p w:rsidR="00A47E11" w:rsidRPr="000170DA" w:rsidRDefault="00A47E11" w:rsidP="00F16B7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Pr="000170DA" w:rsidRDefault="0066625C" w:rsidP="00F16B7F">
            <w:pPr>
              <w:keepNext/>
              <w:rPr>
                <w:rStyle w:val="Hyperlink"/>
                <w:rFonts w:ascii="Garamond" w:hAnsi="Garamond"/>
                <w:color w:val="auto"/>
                <w:u w:val="none"/>
                <w:lang w:val="en-AU"/>
              </w:rPr>
            </w:pPr>
            <w:hyperlink r:id="rId24" w:history="1">
              <w:r w:rsidR="00A47E11" w:rsidRPr="00D126BB">
                <w:rPr>
                  <w:rStyle w:val="Hyperlink"/>
                  <w:rFonts w:ascii="Garamond" w:hAnsi="Garamond"/>
                  <w:lang w:val="en-AU"/>
                </w:rPr>
                <w:t>http://dx.doi.org/10.1136/bmjqs-2020-012312</w:t>
              </w:r>
            </w:hyperlink>
          </w:p>
        </w:tc>
      </w:tr>
      <w:tr w:rsidR="00A47E11" w:rsidRPr="000170DA" w:rsidTr="00F16B7F">
        <w:tc>
          <w:tcPr>
            <w:tcW w:w="1080" w:type="dxa"/>
            <w:tcBorders>
              <w:top w:val="single" w:sz="4" w:space="0" w:color="auto"/>
              <w:left w:val="single" w:sz="4" w:space="0" w:color="auto"/>
              <w:bottom w:val="single" w:sz="4" w:space="0" w:color="auto"/>
              <w:right w:val="single" w:sz="4" w:space="0" w:color="auto"/>
            </w:tcBorders>
            <w:vAlign w:val="center"/>
          </w:tcPr>
          <w:p w:rsidR="00A47E11" w:rsidRPr="000170DA" w:rsidRDefault="00A47E11" w:rsidP="00F1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Default="003F33DB" w:rsidP="00F16B7F">
            <w:pPr>
              <w:rPr>
                <w:rFonts w:ascii="Garamond" w:hAnsi="Garamond"/>
                <w:lang w:val="en-AU"/>
              </w:rPr>
            </w:pPr>
            <w:r>
              <w:rPr>
                <w:rFonts w:ascii="Garamond" w:hAnsi="Garamond"/>
                <w:lang w:val="en-AU"/>
              </w:rPr>
              <w:t>A means of addressing l</w:t>
            </w:r>
            <w:r w:rsidR="00A47E11">
              <w:rPr>
                <w:rFonts w:ascii="Garamond" w:hAnsi="Garamond"/>
                <w:lang w:val="en-AU"/>
              </w:rPr>
              <w:t>ow value care</w:t>
            </w:r>
            <w:r w:rsidR="001D7FB5">
              <w:rPr>
                <w:rFonts w:ascii="Garamond" w:hAnsi="Garamond"/>
                <w:lang w:val="en-AU"/>
              </w:rPr>
              <w:t xml:space="preserve"> </w:t>
            </w:r>
            <w:r>
              <w:rPr>
                <w:rFonts w:ascii="Garamond" w:hAnsi="Garamond"/>
                <w:lang w:val="en-AU"/>
              </w:rPr>
              <w:t xml:space="preserve">has been to attempt to make clinical decision making more sensitive to the issues. </w:t>
            </w:r>
            <w:r w:rsidR="00A47E11">
              <w:rPr>
                <w:rFonts w:ascii="Garamond" w:hAnsi="Garamond"/>
                <w:lang w:val="en-AU"/>
              </w:rPr>
              <w:t xml:space="preserve">This Australian study examined the </w:t>
            </w:r>
            <w:r>
              <w:rPr>
                <w:rFonts w:ascii="Garamond" w:hAnsi="Garamond"/>
                <w:lang w:val="en-AU"/>
              </w:rPr>
              <w:t xml:space="preserve">potential </w:t>
            </w:r>
            <w:r w:rsidR="00A47E11">
              <w:rPr>
                <w:rFonts w:ascii="Garamond" w:hAnsi="Garamond"/>
                <w:lang w:val="en-AU"/>
              </w:rPr>
              <w:t xml:space="preserve">role of shared decision making and patient decision aids. </w:t>
            </w:r>
            <w:r>
              <w:rPr>
                <w:rFonts w:ascii="Garamond" w:hAnsi="Garamond"/>
                <w:lang w:val="en-AU"/>
              </w:rPr>
              <w:t>P</w:t>
            </w:r>
            <w:r w:rsidR="00A47E11">
              <w:rPr>
                <w:rFonts w:ascii="Garamond" w:hAnsi="Garamond"/>
                <w:lang w:val="en-AU"/>
              </w:rPr>
              <w:t xml:space="preserve">atient decision aids provide patients information about the treatment options </w:t>
            </w:r>
            <w:r>
              <w:rPr>
                <w:rFonts w:ascii="Garamond" w:hAnsi="Garamond"/>
                <w:lang w:val="en-AU"/>
              </w:rPr>
              <w:t>Decision aids a</w:t>
            </w:r>
            <w:r w:rsidRPr="003F33DB">
              <w:rPr>
                <w:rFonts w:ascii="Garamond" w:hAnsi="Garamond"/>
                <w:lang w:val="en-AU"/>
              </w:rPr>
              <w:t>re not intended to encourage or discourage a particular option but rather to facilitate a choice based on a patient’s individual values and goal</w:t>
            </w:r>
            <w:r>
              <w:rPr>
                <w:rFonts w:ascii="Garamond" w:hAnsi="Garamond"/>
                <w:lang w:val="en-AU"/>
              </w:rPr>
              <w:t>.</w:t>
            </w:r>
          </w:p>
          <w:p w:rsidR="003F33DB" w:rsidRDefault="003F33DB" w:rsidP="00F16B7F">
            <w:pPr>
              <w:rPr>
                <w:rFonts w:ascii="Garamond" w:hAnsi="Garamond"/>
                <w:lang w:val="en-AU"/>
              </w:rPr>
            </w:pPr>
          </w:p>
          <w:p w:rsidR="00A47E11" w:rsidRDefault="003F33DB" w:rsidP="00F16B7F">
            <w:pPr>
              <w:rPr>
                <w:rFonts w:ascii="Garamond" w:hAnsi="Garamond"/>
                <w:lang w:val="en-AU"/>
              </w:rPr>
            </w:pPr>
            <w:r>
              <w:rPr>
                <w:rFonts w:ascii="Garamond" w:hAnsi="Garamond"/>
                <w:noProof/>
                <w:lang w:val="en-AU" w:eastAsia="en-AU"/>
              </w:rPr>
              <w:lastRenderedPageBreak/>
              <w:drawing>
                <wp:inline distT="0" distB="0" distL="0" distR="0">
                  <wp:extent cx="5070448" cy="1504709"/>
                  <wp:effectExtent l="0" t="0" r="0" b="635"/>
                  <wp:docPr id="8" name="Picture 8" descr="Recommendations for mitigating unintended consequences when a decision aid approach is thought to be worthwhile." title="Recommendations for mitigating unintended consequences when a decision aid approach is thought to be worthwhil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qhc-2021-May-30-5-407-F1.larg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01232" cy="1513844"/>
                          </a:xfrm>
                          <a:prstGeom prst="rect">
                            <a:avLst/>
                          </a:prstGeom>
                          <a:noFill/>
                          <a:ln>
                            <a:noFill/>
                          </a:ln>
                        </pic:spPr>
                      </pic:pic>
                    </a:graphicData>
                  </a:graphic>
                </wp:inline>
              </w:drawing>
            </w:r>
          </w:p>
          <w:p w:rsidR="003F33DB" w:rsidRPr="00623191" w:rsidRDefault="003F33DB" w:rsidP="00F16B7F">
            <w:pPr>
              <w:rPr>
                <w:rFonts w:ascii="Garamond" w:hAnsi="Garamond"/>
                <w:lang w:val="en-AU"/>
              </w:rPr>
            </w:pPr>
          </w:p>
        </w:tc>
      </w:tr>
    </w:tbl>
    <w:p w:rsidR="00A47E11" w:rsidRDefault="00A47E11" w:rsidP="009B7CF3">
      <w:pPr>
        <w:keepNext/>
        <w:keepLines/>
        <w:autoSpaceDE w:val="0"/>
        <w:autoSpaceDN w:val="0"/>
        <w:adjustRightInd w:val="0"/>
        <w:rPr>
          <w:rFonts w:ascii="Garamond" w:hAnsi="Garamond"/>
          <w:i/>
          <w:lang w:val="en-AU"/>
        </w:rPr>
      </w:pPr>
    </w:p>
    <w:p w:rsidR="001D7FB5" w:rsidRDefault="001D7FB5" w:rsidP="009B7CF3">
      <w:pPr>
        <w:keepNext/>
        <w:keepLines/>
        <w:autoSpaceDE w:val="0"/>
        <w:autoSpaceDN w:val="0"/>
        <w:adjustRightInd w:val="0"/>
        <w:rPr>
          <w:rFonts w:ascii="Garamond" w:hAnsi="Garamond"/>
          <w:lang w:val="en-AU"/>
        </w:rPr>
      </w:pPr>
      <w:r w:rsidRPr="001F176F">
        <w:rPr>
          <w:rFonts w:ascii="Garamond" w:hAnsi="Garamond"/>
          <w:lang w:val="en-AU"/>
        </w:rPr>
        <w:t xml:space="preserve">For information on the Commission’s work on </w:t>
      </w:r>
      <w:r>
        <w:rPr>
          <w:rFonts w:ascii="Garamond" w:hAnsi="Garamond"/>
          <w:lang w:val="en-AU"/>
        </w:rPr>
        <w:t>shared decision making</w:t>
      </w:r>
      <w:r w:rsidRPr="001F176F">
        <w:rPr>
          <w:rFonts w:ascii="Garamond" w:hAnsi="Garamond"/>
          <w:lang w:val="en-AU"/>
        </w:rPr>
        <w:t>, see</w:t>
      </w:r>
      <w:r>
        <w:rPr>
          <w:rFonts w:ascii="Garamond" w:hAnsi="Garamond"/>
          <w:lang w:val="en-AU"/>
        </w:rPr>
        <w:t xml:space="preserve"> </w:t>
      </w:r>
      <w:hyperlink r:id="rId26" w:history="1">
        <w:r w:rsidRPr="00D126BB">
          <w:rPr>
            <w:rStyle w:val="Hyperlink"/>
            <w:rFonts w:ascii="Garamond" w:hAnsi="Garamond"/>
            <w:lang w:val="en-AU"/>
          </w:rPr>
          <w:t>https://www.safetyandquality.gov.au/our-work/partnering-consumers/shared-decision-making</w:t>
        </w:r>
      </w:hyperlink>
    </w:p>
    <w:p w:rsidR="001D7FB5" w:rsidRDefault="001D7FB5" w:rsidP="009B7CF3">
      <w:pPr>
        <w:keepNext/>
        <w:keepLines/>
        <w:autoSpaceDE w:val="0"/>
        <w:autoSpaceDN w:val="0"/>
        <w:adjustRightInd w:val="0"/>
        <w:rPr>
          <w:rFonts w:ascii="Garamond" w:hAnsi="Garamond"/>
          <w:lang w:val="en-AU"/>
        </w:rPr>
      </w:pPr>
    </w:p>
    <w:p w:rsidR="001D7FB5" w:rsidRDefault="001D7FB5" w:rsidP="009B7CF3">
      <w:pPr>
        <w:keepNext/>
        <w:keepLines/>
        <w:autoSpaceDE w:val="0"/>
        <w:autoSpaceDN w:val="0"/>
        <w:adjustRightInd w:val="0"/>
        <w:rPr>
          <w:rFonts w:ascii="Garamond" w:hAnsi="Garamond"/>
          <w:i/>
          <w:lang w:val="en-AU"/>
        </w:rPr>
      </w:pPr>
      <w:r w:rsidRPr="001F176F">
        <w:rPr>
          <w:rFonts w:ascii="Garamond" w:hAnsi="Garamond"/>
          <w:lang w:val="en-AU"/>
        </w:rPr>
        <w:t xml:space="preserve">For information on the Commission’s work on </w:t>
      </w:r>
      <w:r>
        <w:rPr>
          <w:rFonts w:ascii="Garamond" w:hAnsi="Garamond"/>
          <w:lang w:val="en-AU"/>
        </w:rPr>
        <w:t>d</w:t>
      </w:r>
      <w:r w:rsidRPr="001D7FB5">
        <w:rPr>
          <w:rFonts w:ascii="Garamond" w:hAnsi="Garamond"/>
          <w:lang w:val="en-AU"/>
        </w:rPr>
        <w:t>ecision support tools for patients</w:t>
      </w:r>
      <w:r w:rsidRPr="001F176F">
        <w:rPr>
          <w:rFonts w:ascii="Garamond" w:hAnsi="Garamond"/>
          <w:lang w:val="en-AU"/>
        </w:rPr>
        <w:t>, see</w:t>
      </w:r>
      <w:r>
        <w:rPr>
          <w:rFonts w:ascii="Garamond" w:hAnsi="Garamond"/>
          <w:lang w:val="en-AU"/>
        </w:rPr>
        <w:t xml:space="preserve"> </w:t>
      </w:r>
      <w:hyperlink r:id="rId27" w:history="1">
        <w:r w:rsidRPr="00D126BB">
          <w:rPr>
            <w:rStyle w:val="Hyperlink"/>
            <w:rFonts w:ascii="Garamond" w:hAnsi="Garamond"/>
            <w:lang w:val="en-AU"/>
          </w:rPr>
          <w:t>https://www.safetyandquality.gov.au/our-work/partnering-consumers/shared-decision-making/decision-support-tools-patients</w:t>
        </w:r>
      </w:hyperlink>
    </w:p>
    <w:p w:rsidR="001D7FB5" w:rsidRDefault="001D7FB5" w:rsidP="009B7CF3">
      <w:pPr>
        <w:keepNext/>
        <w:keepLines/>
        <w:autoSpaceDE w:val="0"/>
        <w:autoSpaceDN w:val="0"/>
        <w:adjustRightInd w:val="0"/>
        <w:rPr>
          <w:rFonts w:ascii="Garamond" w:hAnsi="Garamond"/>
          <w:i/>
          <w:lang w:val="en-AU"/>
        </w:rPr>
      </w:pPr>
    </w:p>
    <w:p w:rsidR="003F33DB" w:rsidRPr="00836319" w:rsidRDefault="003F33DB" w:rsidP="003F33DB">
      <w:pPr>
        <w:keepNext/>
        <w:keepLines/>
        <w:autoSpaceDE w:val="0"/>
        <w:autoSpaceDN w:val="0"/>
        <w:adjustRightInd w:val="0"/>
        <w:rPr>
          <w:rFonts w:ascii="Garamond" w:hAnsi="Garamond"/>
          <w:i/>
          <w:lang w:val="en-AU"/>
        </w:rPr>
      </w:pPr>
      <w:r w:rsidRPr="00836319">
        <w:rPr>
          <w:rFonts w:ascii="Garamond" w:hAnsi="Garamond"/>
          <w:i/>
          <w:lang w:val="en-AU"/>
        </w:rPr>
        <w:t>Measuring the economic impact of hospital-acquired complications on an acute health service</w:t>
      </w:r>
    </w:p>
    <w:p w:rsidR="003F33DB" w:rsidRDefault="003F33DB" w:rsidP="003F33DB">
      <w:pPr>
        <w:keepNext/>
        <w:keepLines/>
        <w:autoSpaceDE w:val="0"/>
        <w:autoSpaceDN w:val="0"/>
        <w:adjustRightInd w:val="0"/>
        <w:rPr>
          <w:rFonts w:ascii="Garamond" w:hAnsi="Garamond"/>
          <w:lang w:val="en-AU"/>
        </w:rPr>
      </w:pPr>
      <w:r w:rsidRPr="00836319">
        <w:rPr>
          <w:rFonts w:ascii="Garamond" w:hAnsi="Garamond"/>
          <w:lang w:val="en-AU"/>
        </w:rPr>
        <w:t xml:space="preserve">Fernando-Canavan L, Gust A, Hsueh A, Tran-Duy A, Kirk M, Brooks P, et al. </w:t>
      </w:r>
    </w:p>
    <w:p w:rsidR="003F33DB" w:rsidRPr="00BC1B53" w:rsidRDefault="003F33DB" w:rsidP="003F33DB">
      <w:pPr>
        <w:keepNext/>
        <w:keepLines/>
        <w:autoSpaceDE w:val="0"/>
        <w:autoSpaceDN w:val="0"/>
        <w:adjustRightInd w:val="0"/>
        <w:rPr>
          <w:rFonts w:ascii="Garamond" w:hAnsi="Garamond"/>
          <w:lang w:val="en-AU"/>
        </w:rPr>
      </w:pPr>
      <w:r w:rsidRPr="00836319">
        <w:rPr>
          <w:rFonts w:ascii="Garamond" w:hAnsi="Garamond"/>
          <w:lang w:val="en-AU"/>
        </w:rPr>
        <w:t>Australian Health Review. 2021;45(2):135-142.</w:t>
      </w:r>
    </w:p>
    <w:tbl>
      <w:tblPr>
        <w:tblStyle w:val="TableGrid"/>
        <w:tblW w:w="9360" w:type="dxa"/>
        <w:tblInd w:w="288" w:type="dxa"/>
        <w:tblLayout w:type="fixed"/>
        <w:tblLook w:val="01E0" w:firstRow="1" w:lastRow="1" w:firstColumn="1" w:lastColumn="1" w:noHBand="0" w:noVBand="0"/>
      </w:tblPr>
      <w:tblGrid>
        <w:gridCol w:w="1080"/>
        <w:gridCol w:w="8280"/>
      </w:tblGrid>
      <w:tr w:rsidR="003F33DB" w:rsidRPr="000170DA" w:rsidTr="00B6372E">
        <w:tc>
          <w:tcPr>
            <w:tcW w:w="1080" w:type="dxa"/>
            <w:tcBorders>
              <w:top w:val="single" w:sz="4" w:space="0" w:color="auto"/>
              <w:left w:val="single" w:sz="4" w:space="0" w:color="auto"/>
              <w:bottom w:val="single" w:sz="4" w:space="0" w:color="auto"/>
              <w:right w:val="single" w:sz="4" w:space="0" w:color="auto"/>
            </w:tcBorders>
            <w:vAlign w:val="center"/>
          </w:tcPr>
          <w:p w:rsidR="003F33DB" w:rsidRPr="000170DA" w:rsidRDefault="003F33DB" w:rsidP="00B6372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33DB" w:rsidRPr="000170DA" w:rsidRDefault="0066625C" w:rsidP="00B6372E">
            <w:pPr>
              <w:keepNext/>
              <w:rPr>
                <w:rStyle w:val="Hyperlink"/>
                <w:rFonts w:ascii="Garamond" w:hAnsi="Garamond"/>
                <w:color w:val="auto"/>
                <w:u w:val="none"/>
                <w:lang w:val="en-AU"/>
              </w:rPr>
            </w:pPr>
            <w:hyperlink r:id="rId28" w:history="1">
              <w:r w:rsidR="003F33DB" w:rsidRPr="00D126BB">
                <w:rPr>
                  <w:rStyle w:val="Hyperlink"/>
                  <w:rFonts w:ascii="Garamond" w:hAnsi="Garamond"/>
                  <w:lang w:val="en-AU"/>
                </w:rPr>
                <w:t>https://doi.org/10.1071/AH20126</w:t>
              </w:r>
            </w:hyperlink>
          </w:p>
        </w:tc>
      </w:tr>
      <w:tr w:rsidR="003F33DB" w:rsidRPr="000170DA" w:rsidTr="00B6372E">
        <w:tc>
          <w:tcPr>
            <w:tcW w:w="1080" w:type="dxa"/>
            <w:tcBorders>
              <w:top w:val="single" w:sz="4" w:space="0" w:color="auto"/>
              <w:left w:val="single" w:sz="4" w:space="0" w:color="auto"/>
              <w:bottom w:val="single" w:sz="4" w:space="0" w:color="auto"/>
              <w:right w:val="single" w:sz="4" w:space="0" w:color="auto"/>
            </w:tcBorders>
            <w:vAlign w:val="center"/>
          </w:tcPr>
          <w:p w:rsidR="003F33DB" w:rsidRPr="000170DA" w:rsidRDefault="003F33DB" w:rsidP="00B6372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33DB" w:rsidRPr="00623191" w:rsidRDefault="003F33DB" w:rsidP="00B6372E">
            <w:pPr>
              <w:rPr>
                <w:rFonts w:ascii="Garamond" w:hAnsi="Garamond"/>
                <w:lang w:val="en-AU"/>
              </w:rPr>
            </w:pPr>
            <w:r>
              <w:rPr>
                <w:rFonts w:ascii="Garamond" w:hAnsi="Garamond"/>
                <w:lang w:val="en-AU"/>
              </w:rPr>
              <w:t xml:space="preserve">This paper presents the economic impact of 16 </w:t>
            </w:r>
            <w:r w:rsidRPr="001F176F">
              <w:rPr>
                <w:rFonts w:ascii="Garamond" w:hAnsi="Garamond"/>
                <w:lang w:val="en-AU"/>
              </w:rPr>
              <w:t>hospital-acquired complications (HACs)</w:t>
            </w:r>
            <w:r>
              <w:rPr>
                <w:rFonts w:ascii="Garamond" w:hAnsi="Garamond"/>
                <w:lang w:val="en-AU"/>
              </w:rPr>
              <w:t xml:space="preserve"> in one Australian health service for the period 1 July 2016 to 30 June 2017. </w:t>
            </w:r>
            <w:r w:rsidRPr="001F176F">
              <w:rPr>
                <w:rFonts w:ascii="Garamond" w:hAnsi="Garamond"/>
                <w:lang w:val="en-AU"/>
              </w:rPr>
              <w:t xml:space="preserve">A hospital-acquired complication (HAC) refers to a complication for which clinical risk mitigation strategies may reduce (but not necessarily eliminate) the risk of that complication occurring. </w:t>
            </w:r>
            <w:r>
              <w:rPr>
                <w:rFonts w:ascii="Garamond" w:hAnsi="Garamond"/>
                <w:lang w:val="en-AU"/>
              </w:rPr>
              <w:t>There are 16 agreed, high priority HACs. This paper reports on a r</w:t>
            </w:r>
            <w:r w:rsidRPr="001F176F">
              <w:rPr>
                <w:rFonts w:ascii="Garamond" w:hAnsi="Garamond"/>
                <w:lang w:val="en-AU"/>
              </w:rPr>
              <w:t>etrospective cohort study using a deidentified patient dataset containing 93</w:t>
            </w:r>
            <w:r w:rsidRPr="001F176F">
              <w:rPr>
                <w:lang w:val="en-AU"/>
              </w:rPr>
              <w:t> </w:t>
            </w:r>
            <w:r w:rsidRPr="001F176F">
              <w:rPr>
                <w:rFonts w:ascii="Garamond" w:hAnsi="Garamond"/>
                <w:lang w:val="en-AU"/>
              </w:rPr>
              <w:t xml:space="preserve">056 in-patient separations </w:t>
            </w:r>
            <w:r>
              <w:rPr>
                <w:rFonts w:ascii="Garamond" w:hAnsi="Garamond"/>
                <w:lang w:val="en-AU"/>
              </w:rPr>
              <w:t xml:space="preserve">(for 49 809 individuals) </w:t>
            </w:r>
            <w:r w:rsidRPr="001F176F">
              <w:rPr>
                <w:rFonts w:ascii="Garamond" w:hAnsi="Garamond"/>
                <w:lang w:val="en-AU"/>
              </w:rPr>
              <w:t>in Northern Health (Victoria, Australia)</w:t>
            </w:r>
            <w:r>
              <w:rPr>
                <w:rFonts w:ascii="Garamond" w:hAnsi="Garamond"/>
                <w:lang w:val="en-AU"/>
              </w:rPr>
              <w:t>. The authors report that ‘</w:t>
            </w:r>
            <w:r w:rsidRPr="001F176F">
              <w:rPr>
                <w:rFonts w:ascii="Garamond" w:hAnsi="Garamond"/>
                <w:b/>
                <w:lang w:val="en-AU"/>
              </w:rPr>
              <w:t>1700 separations involving HACs (1.83%) were identified</w:t>
            </w:r>
            <w:r w:rsidRPr="001F176F">
              <w:rPr>
                <w:rFonts w:ascii="Garamond" w:hAnsi="Garamond"/>
                <w:lang w:val="en-AU"/>
              </w:rPr>
              <w:t xml:space="preserve">. The </w:t>
            </w:r>
            <w:r w:rsidRPr="001F176F">
              <w:rPr>
                <w:rFonts w:ascii="Garamond" w:hAnsi="Garamond"/>
                <w:b/>
                <w:lang w:val="en-AU"/>
              </w:rPr>
              <w:t>most common HAC</w:t>
            </w:r>
            <w:r w:rsidRPr="001F176F">
              <w:rPr>
                <w:rFonts w:ascii="Garamond" w:hAnsi="Garamond"/>
                <w:lang w:val="en-AU"/>
              </w:rPr>
              <w:t xml:space="preserve"> was </w:t>
            </w:r>
            <w:r w:rsidRPr="001F176F">
              <w:rPr>
                <w:rFonts w:ascii="Garamond" w:hAnsi="Garamond"/>
                <w:b/>
                <w:lang w:val="en-AU"/>
              </w:rPr>
              <w:t>health care-associated infections</w:t>
            </w:r>
            <w:r w:rsidRPr="001F176F">
              <w:rPr>
                <w:rFonts w:ascii="Garamond" w:hAnsi="Garamond"/>
                <w:lang w:val="en-AU"/>
              </w:rPr>
              <w:t xml:space="preserve">. </w:t>
            </w:r>
            <w:r w:rsidRPr="001F176F">
              <w:rPr>
                <w:rFonts w:ascii="Garamond" w:hAnsi="Garamond"/>
                <w:b/>
                <w:lang w:val="en-AU"/>
              </w:rPr>
              <w:t>Most HACs were associated with a statistically significant risk of increased cost</w:t>
            </w:r>
            <w:r w:rsidRPr="001F176F">
              <w:rPr>
                <w:rFonts w:ascii="Garamond" w:hAnsi="Garamond"/>
                <w:lang w:val="en-AU"/>
              </w:rPr>
              <w:t xml:space="preserve"> (15/16 HACs) </w:t>
            </w:r>
            <w:r w:rsidRPr="00606651">
              <w:rPr>
                <w:rFonts w:ascii="Garamond" w:hAnsi="Garamond"/>
                <w:b/>
                <w:lang w:val="en-AU"/>
              </w:rPr>
              <w:t>and LOS</w:t>
            </w:r>
            <w:r w:rsidRPr="001F176F">
              <w:rPr>
                <w:rFonts w:ascii="Garamond" w:hAnsi="Garamond"/>
                <w:lang w:val="en-AU"/>
              </w:rPr>
              <w:t xml:space="preserve"> </w:t>
            </w:r>
            <w:r>
              <w:rPr>
                <w:rFonts w:ascii="Garamond" w:hAnsi="Garamond"/>
                <w:lang w:val="en-AU"/>
              </w:rPr>
              <w:t xml:space="preserve">[length of stay] </w:t>
            </w:r>
            <w:r w:rsidRPr="001F176F">
              <w:rPr>
                <w:rFonts w:ascii="Garamond" w:hAnsi="Garamond"/>
                <w:lang w:val="en-AU"/>
              </w:rPr>
              <w:t xml:space="preserve">(11/16 HACs). HACs involving </w:t>
            </w:r>
            <w:r w:rsidRPr="001F176F">
              <w:rPr>
                <w:rFonts w:ascii="Garamond" w:hAnsi="Garamond"/>
                <w:b/>
                <w:lang w:val="en-AU"/>
              </w:rPr>
              <w:t>falls</w:t>
            </w:r>
            <w:r w:rsidRPr="001F176F">
              <w:rPr>
                <w:rFonts w:ascii="Garamond" w:hAnsi="Garamond"/>
                <w:lang w:val="en-AU"/>
              </w:rPr>
              <w:t xml:space="preserve"> resulting in fracture or other intracranial injury were associated with the </w:t>
            </w:r>
            <w:r w:rsidRPr="001F176F">
              <w:rPr>
                <w:rFonts w:ascii="Garamond" w:hAnsi="Garamond"/>
                <w:b/>
                <w:lang w:val="en-AU"/>
              </w:rPr>
              <w:t>highest additional cost (</w:t>
            </w:r>
            <w:r w:rsidRPr="001F176F">
              <w:rPr>
                <w:rFonts w:ascii="Garamond" w:hAnsi="Garamond"/>
                <w:lang w:val="en-AU"/>
              </w:rPr>
              <w:t>A$17</w:t>
            </w:r>
            <w:r w:rsidRPr="001F176F">
              <w:rPr>
                <w:lang w:val="en-AU"/>
              </w:rPr>
              <w:t> </w:t>
            </w:r>
            <w:r w:rsidRPr="001F176F">
              <w:rPr>
                <w:rFonts w:ascii="Garamond" w:hAnsi="Garamond"/>
                <w:lang w:val="en-AU"/>
              </w:rPr>
              <w:t xml:space="preserve">173). The </w:t>
            </w:r>
            <w:r w:rsidRPr="001F176F">
              <w:rPr>
                <w:rFonts w:ascii="Garamond" w:hAnsi="Garamond"/>
                <w:b/>
                <w:lang w:val="en-AU"/>
              </w:rPr>
              <w:t>biggest increase in additional LOS was unplanned admissions to the intensive care unit</w:t>
            </w:r>
            <w:r w:rsidRPr="001F176F">
              <w:rPr>
                <w:rFonts w:ascii="Garamond" w:hAnsi="Garamond"/>
                <w:lang w:val="en-AU"/>
              </w:rPr>
              <w:t xml:space="preserve"> (5.42 days).</w:t>
            </w:r>
            <w:r>
              <w:rPr>
                <w:rFonts w:ascii="Garamond" w:hAnsi="Garamond"/>
                <w:lang w:val="en-AU"/>
              </w:rPr>
              <w:t xml:space="preserve">’ </w:t>
            </w:r>
          </w:p>
        </w:tc>
      </w:tr>
    </w:tbl>
    <w:p w:rsidR="00CE4220" w:rsidRDefault="00CE4220" w:rsidP="003F33DB">
      <w:pPr>
        <w:keepNext/>
        <w:keepLines/>
        <w:autoSpaceDE w:val="0"/>
        <w:autoSpaceDN w:val="0"/>
        <w:adjustRightInd w:val="0"/>
        <w:rPr>
          <w:rFonts w:ascii="Garamond" w:hAnsi="Garamond"/>
          <w:lang w:val="en-AU"/>
        </w:rPr>
      </w:pPr>
    </w:p>
    <w:p w:rsidR="003F33DB" w:rsidRPr="001F176F" w:rsidRDefault="003F33DB" w:rsidP="003F33DB">
      <w:pPr>
        <w:keepNext/>
        <w:keepLines/>
        <w:autoSpaceDE w:val="0"/>
        <w:autoSpaceDN w:val="0"/>
        <w:adjustRightInd w:val="0"/>
        <w:rPr>
          <w:rFonts w:ascii="Garamond" w:hAnsi="Garamond"/>
          <w:lang w:val="en-AU"/>
        </w:rPr>
      </w:pPr>
      <w:r w:rsidRPr="001F176F">
        <w:rPr>
          <w:rFonts w:ascii="Garamond" w:hAnsi="Garamond"/>
          <w:lang w:val="en-AU"/>
        </w:rPr>
        <w:t xml:space="preserve">For information on the Commission’s work on hospital-acquired complications (HACs), see </w:t>
      </w:r>
      <w:hyperlink r:id="rId29" w:history="1">
        <w:r w:rsidRPr="001F176F">
          <w:rPr>
            <w:rStyle w:val="Hyperlink"/>
            <w:rFonts w:ascii="Garamond" w:hAnsi="Garamond"/>
            <w:lang w:val="en-AU"/>
          </w:rPr>
          <w:t>https://www.safetyandquality.gov.au/our-work/indicators/hospital-acquired-complications</w:t>
        </w:r>
      </w:hyperlink>
    </w:p>
    <w:p w:rsidR="003F33DB" w:rsidRDefault="003F33DB" w:rsidP="00CE4220">
      <w:pPr>
        <w:keepLines/>
        <w:autoSpaceDE w:val="0"/>
        <w:autoSpaceDN w:val="0"/>
        <w:adjustRightInd w:val="0"/>
        <w:rPr>
          <w:rFonts w:ascii="Garamond" w:hAnsi="Garamond"/>
          <w:b/>
          <w:lang w:val="en-AU"/>
        </w:rPr>
      </w:pPr>
    </w:p>
    <w:p w:rsidR="00A47E11" w:rsidRPr="00904418" w:rsidRDefault="00A47E11" w:rsidP="00A47E11">
      <w:pPr>
        <w:keepNext/>
        <w:keepLines/>
        <w:autoSpaceDE w:val="0"/>
        <w:autoSpaceDN w:val="0"/>
        <w:adjustRightInd w:val="0"/>
        <w:rPr>
          <w:rFonts w:ascii="Garamond" w:hAnsi="Garamond"/>
          <w:i/>
          <w:lang w:val="en-AU"/>
        </w:rPr>
      </w:pPr>
      <w:r w:rsidRPr="00904418">
        <w:rPr>
          <w:rFonts w:ascii="Garamond" w:hAnsi="Garamond"/>
          <w:i/>
          <w:lang w:val="en-AU"/>
        </w:rPr>
        <w:t>Smartphone distraction during nursing care: Systematic literature review</w:t>
      </w:r>
    </w:p>
    <w:p w:rsidR="00A47E11" w:rsidRDefault="00A47E11" w:rsidP="00A47E11">
      <w:pPr>
        <w:keepNext/>
        <w:keepLines/>
        <w:autoSpaceDE w:val="0"/>
        <w:autoSpaceDN w:val="0"/>
        <w:adjustRightInd w:val="0"/>
        <w:rPr>
          <w:rFonts w:ascii="Garamond" w:hAnsi="Garamond"/>
          <w:lang w:val="en-AU"/>
        </w:rPr>
      </w:pPr>
      <w:r w:rsidRPr="00904418">
        <w:rPr>
          <w:rFonts w:ascii="Garamond" w:hAnsi="Garamond"/>
          <w:lang w:val="en-AU"/>
        </w:rPr>
        <w:t>Fiorinelli M, Di Mario S, Surace A, Mattei M, Russo C, Villa G, et al</w:t>
      </w:r>
    </w:p>
    <w:p w:rsidR="00A47E11" w:rsidRDefault="00A47E11" w:rsidP="00A47E11">
      <w:pPr>
        <w:keepNext/>
        <w:keepLines/>
        <w:autoSpaceDE w:val="0"/>
        <w:autoSpaceDN w:val="0"/>
        <w:adjustRightInd w:val="0"/>
        <w:rPr>
          <w:rFonts w:ascii="Garamond" w:hAnsi="Garamond"/>
          <w:lang w:val="en-AU"/>
        </w:rPr>
      </w:pPr>
      <w:r w:rsidRPr="00904418">
        <w:rPr>
          <w:rFonts w:ascii="Garamond" w:hAnsi="Garamond"/>
          <w:lang w:val="en-AU"/>
        </w:rPr>
        <w:t>Applied Nursing Research. 2021;58:151405.</w:t>
      </w:r>
    </w:p>
    <w:p w:rsidR="00A47E11" w:rsidRDefault="00A47E11" w:rsidP="00A47E11">
      <w:pPr>
        <w:keepNext/>
        <w:keepLines/>
        <w:autoSpaceDE w:val="0"/>
        <w:autoSpaceDN w:val="0"/>
        <w:adjustRightInd w:val="0"/>
        <w:rPr>
          <w:rFonts w:ascii="Garamond" w:hAnsi="Garamond"/>
          <w:lang w:val="en-AU"/>
        </w:rPr>
      </w:pPr>
    </w:p>
    <w:p w:rsidR="00A47E11" w:rsidRPr="004B4132" w:rsidRDefault="00A47E11" w:rsidP="00A47E11">
      <w:pPr>
        <w:keepNext/>
        <w:keepLines/>
        <w:autoSpaceDE w:val="0"/>
        <w:autoSpaceDN w:val="0"/>
        <w:adjustRightInd w:val="0"/>
        <w:rPr>
          <w:rFonts w:ascii="Garamond" w:hAnsi="Garamond"/>
          <w:i/>
          <w:lang w:val="en-AU"/>
        </w:rPr>
      </w:pPr>
      <w:r w:rsidRPr="004B4132">
        <w:rPr>
          <w:rFonts w:ascii="Garamond" w:hAnsi="Garamond"/>
          <w:i/>
          <w:lang w:val="en-AU"/>
        </w:rPr>
        <w:t>A mixed methods systematic review of the effects of patient online self-diagnosing in the 'smart-phone society' on the healthcare professional-patient relationship and medical authority</w:t>
      </w:r>
    </w:p>
    <w:p w:rsidR="00A47E11" w:rsidRDefault="00A47E11" w:rsidP="00A47E11">
      <w:pPr>
        <w:keepNext/>
        <w:keepLines/>
        <w:autoSpaceDE w:val="0"/>
        <w:autoSpaceDN w:val="0"/>
        <w:adjustRightInd w:val="0"/>
        <w:rPr>
          <w:rFonts w:ascii="Garamond" w:hAnsi="Garamond"/>
          <w:lang w:val="en-AU"/>
        </w:rPr>
      </w:pPr>
      <w:r w:rsidRPr="004B4132">
        <w:rPr>
          <w:rFonts w:ascii="Garamond" w:hAnsi="Garamond"/>
          <w:lang w:val="en-AU"/>
        </w:rPr>
        <w:t>Farnood A, Johnston B, Mair FS</w:t>
      </w:r>
    </w:p>
    <w:p w:rsidR="00A47E11" w:rsidRPr="00BC1B53" w:rsidRDefault="00A47E11" w:rsidP="00A47E11">
      <w:pPr>
        <w:keepNext/>
        <w:keepLines/>
        <w:autoSpaceDE w:val="0"/>
        <w:autoSpaceDN w:val="0"/>
        <w:adjustRightInd w:val="0"/>
        <w:rPr>
          <w:rFonts w:ascii="Garamond" w:hAnsi="Garamond"/>
          <w:lang w:val="en-AU"/>
        </w:rPr>
      </w:pPr>
      <w:r w:rsidRPr="004B4132">
        <w:rPr>
          <w:rFonts w:ascii="Garamond" w:hAnsi="Garamond"/>
          <w:lang w:val="en-AU"/>
        </w:rPr>
        <w:t>BMC Medical Informatics and Decision Making. 2020;20(1):253.</w:t>
      </w:r>
    </w:p>
    <w:tbl>
      <w:tblPr>
        <w:tblStyle w:val="TableGrid"/>
        <w:tblW w:w="9360" w:type="dxa"/>
        <w:tblInd w:w="288" w:type="dxa"/>
        <w:tblLayout w:type="fixed"/>
        <w:tblLook w:val="01E0" w:firstRow="1" w:lastRow="1" w:firstColumn="1" w:lastColumn="1" w:noHBand="0" w:noVBand="0"/>
      </w:tblPr>
      <w:tblGrid>
        <w:gridCol w:w="1080"/>
        <w:gridCol w:w="8280"/>
      </w:tblGrid>
      <w:tr w:rsidR="00A47E11" w:rsidRPr="000170DA" w:rsidTr="00F16B7F">
        <w:tc>
          <w:tcPr>
            <w:tcW w:w="1080" w:type="dxa"/>
            <w:tcBorders>
              <w:top w:val="single" w:sz="4" w:space="0" w:color="auto"/>
              <w:left w:val="single" w:sz="4" w:space="0" w:color="auto"/>
              <w:bottom w:val="single" w:sz="4" w:space="0" w:color="auto"/>
              <w:right w:val="single" w:sz="4" w:space="0" w:color="auto"/>
            </w:tcBorders>
            <w:vAlign w:val="center"/>
          </w:tcPr>
          <w:p w:rsidR="00A47E11" w:rsidRPr="000170DA" w:rsidRDefault="00A47E11" w:rsidP="00F16B7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Default="00A47E11" w:rsidP="00F16B7F">
            <w:pPr>
              <w:keepNext/>
              <w:rPr>
                <w:rFonts w:ascii="Garamond" w:hAnsi="Garamond"/>
                <w:lang w:val="en-AU"/>
              </w:rPr>
            </w:pPr>
            <w:r w:rsidRPr="00904418">
              <w:rPr>
                <w:rFonts w:ascii="Garamond" w:hAnsi="Garamond"/>
                <w:lang w:val="en-AU"/>
              </w:rPr>
              <w:t>Fiorinelli</w:t>
            </w:r>
            <w:r>
              <w:rPr>
                <w:rFonts w:ascii="Garamond" w:hAnsi="Garamond"/>
                <w:lang w:val="en-AU"/>
              </w:rPr>
              <w:t xml:space="preserve"> et al </w:t>
            </w:r>
            <w:hyperlink r:id="rId30" w:history="1">
              <w:r w:rsidRPr="00D126BB">
                <w:rPr>
                  <w:rStyle w:val="Hyperlink"/>
                  <w:rFonts w:ascii="Garamond" w:hAnsi="Garamond"/>
                  <w:lang w:val="en-AU"/>
                </w:rPr>
                <w:t>https://doi.org/10.1016/j.apnr.2021.151405</w:t>
              </w:r>
            </w:hyperlink>
          </w:p>
          <w:p w:rsidR="00A47E11" w:rsidRPr="000170DA" w:rsidRDefault="00A47E11" w:rsidP="00F16B7F">
            <w:pPr>
              <w:keepNext/>
              <w:rPr>
                <w:rStyle w:val="Hyperlink"/>
                <w:rFonts w:ascii="Garamond" w:hAnsi="Garamond"/>
                <w:color w:val="auto"/>
                <w:u w:val="none"/>
                <w:lang w:val="en-AU"/>
              </w:rPr>
            </w:pPr>
            <w:r>
              <w:rPr>
                <w:rStyle w:val="Hyperlink"/>
                <w:rFonts w:ascii="Garamond" w:hAnsi="Garamond"/>
                <w:color w:val="auto"/>
                <w:u w:val="none"/>
                <w:lang w:val="en-AU"/>
              </w:rPr>
              <w:t xml:space="preserve">Farnood et al </w:t>
            </w:r>
            <w:hyperlink r:id="rId31" w:history="1">
              <w:r w:rsidRPr="00D126BB">
                <w:rPr>
                  <w:rStyle w:val="Hyperlink"/>
                  <w:rFonts w:ascii="Garamond" w:hAnsi="Garamond"/>
                  <w:lang w:val="en-AU"/>
                </w:rPr>
                <w:t>https://doi.org/10.1186/s12911-020-01243-6</w:t>
              </w:r>
            </w:hyperlink>
          </w:p>
        </w:tc>
      </w:tr>
      <w:tr w:rsidR="00A47E11" w:rsidRPr="000170DA" w:rsidTr="00F16B7F">
        <w:tc>
          <w:tcPr>
            <w:tcW w:w="1080" w:type="dxa"/>
            <w:tcBorders>
              <w:top w:val="single" w:sz="4" w:space="0" w:color="auto"/>
              <w:left w:val="single" w:sz="4" w:space="0" w:color="auto"/>
              <w:bottom w:val="single" w:sz="4" w:space="0" w:color="auto"/>
              <w:right w:val="single" w:sz="4" w:space="0" w:color="auto"/>
            </w:tcBorders>
            <w:vAlign w:val="center"/>
          </w:tcPr>
          <w:p w:rsidR="00A47E11" w:rsidRPr="000170DA" w:rsidRDefault="00A47E11" w:rsidP="00F1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Default="00A47E11" w:rsidP="00F16B7F">
            <w:pPr>
              <w:rPr>
                <w:rFonts w:ascii="Garamond" w:hAnsi="Garamond"/>
                <w:lang w:val="en-AU"/>
              </w:rPr>
            </w:pPr>
            <w:r>
              <w:rPr>
                <w:rFonts w:ascii="Garamond" w:hAnsi="Garamond"/>
                <w:lang w:val="en-AU"/>
              </w:rPr>
              <w:t>Our phones are ubiquitous; we are rarely without them. These two pieces look at the role of the smartphone.</w:t>
            </w:r>
          </w:p>
          <w:p w:rsidR="00E42240" w:rsidRDefault="00A47E11" w:rsidP="00F16B7F">
            <w:pPr>
              <w:rPr>
                <w:rFonts w:ascii="Garamond" w:hAnsi="Garamond"/>
                <w:lang w:val="en-AU"/>
              </w:rPr>
            </w:pPr>
            <w:r>
              <w:rPr>
                <w:rFonts w:ascii="Garamond" w:hAnsi="Garamond"/>
                <w:lang w:val="en-AU"/>
              </w:rPr>
              <w:t xml:space="preserve">Fiorinelli et al examined the literature on the use of smartphones by nurses when working. Their review found pros and cons about smartphone use during nursing </w:t>
            </w:r>
            <w:r>
              <w:rPr>
                <w:rFonts w:ascii="Garamond" w:hAnsi="Garamond"/>
                <w:lang w:val="en-AU"/>
              </w:rPr>
              <w:lastRenderedPageBreak/>
              <w:t>care.</w:t>
            </w:r>
            <w:r w:rsidR="00E42240">
              <w:rPr>
                <w:rFonts w:ascii="Garamond" w:hAnsi="Garamond"/>
                <w:lang w:val="en-AU"/>
              </w:rPr>
              <w:t xml:space="preserve"> Based on 16 articles, the review found that ‘</w:t>
            </w:r>
            <w:r w:rsidR="00E42240" w:rsidRPr="00E42240">
              <w:rPr>
                <w:rFonts w:ascii="Garamond" w:hAnsi="Garamond"/>
                <w:lang w:val="en-AU"/>
              </w:rPr>
              <w:t>About 80% of nurses use the smartphone in the workplace both for personal purposes and as a useful support to improve the quality of care</w:t>
            </w:r>
            <w:r w:rsidR="00E42240">
              <w:rPr>
                <w:rFonts w:ascii="Garamond" w:hAnsi="Garamond"/>
                <w:lang w:val="en-AU"/>
              </w:rPr>
              <w:t>.’</w:t>
            </w:r>
          </w:p>
          <w:p w:rsidR="00E42240" w:rsidRPr="00E42240" w:rsidRDefault="00E42240" w:rsidP="00E42240">
            <w:pPr>
              <w:pStyle w:val="ListParagraph"/>
              <w:numPr>
                <w:ilvl w:val="0"/>
                <w:numId w:val="26"/>
              </w:numPr>
              <w:rPr>
                <w:rFonts w:ascii="Garamond" w:hAnsi="Garamond"/>
                <w:lang w:val="en-AU"/>
              </w:rPr>
            </w:pPr>
            <w:r w:rsidRPr="00E42240">
              <w:rPr>
                <w:rFonts w:ascii="Garamond" w:hAnsi="Garamond"/>
                <w:lang w:val="en-AU"/>
              </w:rPr>
              <w:t>Mobile devices support nurses in carrying out research, clinical activity and health education.</w:t>
            </w:r>
          </w:p>
          <w:p w:rsidR="00E42240" w:rsidRPr="00E42240" w:rsidRDefault="00E42240" w:rsidP="00E42240">
            <w:pPr>
              <w:pStyle w:val="ListParagraph"/>
              <w:numPr>
                <w:ilvl w:val="0"/>
                <w:numId w:val="26"/>
              </w:numPr>
              <w:rPr>
                <w:rFonts w:ascii="Garamond" w:hAnsi="Garamond"/>
                <w:lang w:val="en-AU"/>
              </w:rPr>
            </w:pPr>
            <w:r w:rsidRPr="00E42240">
              <w:rPr>
                <w:rFonts w:ascii="Garamond" w:hAnsi="Garamond"/>
                <w:lang w:val="en-AU"/>
              </w:rPr>
              <w:t>The smartphone can improve the quality of communication processes among nurses.</w:t>
            </w:r>
          </w:p>
          <w:p w:rsidR="00E42240" w:rsidRPr="00E42240" w:rsidRDefault="00E42240" w:rsidP="00E42240">
            <w:pPr>
              <w:pStyle w:val="ListParagraph"/>
              <w:numPr>
                <w:ilvl w:val="0"/>
                <w:numId w:val="26"/>
              </w:numPr>
              <w:rPr>
                <w:rFonts w:ascii="Garamond" w:hAnsi="Garamond"/>
                <w:lang w:val="en-AU"/>
              </w:rPr>
            </w:pPr>
            <w:r w:rsidRPr="00E42240">
              <w:rPr>
                <w:rFonts w:ascii="Garamond" w:hAnsi="Garamond"/>
                <w:lang w:val="en-AU"/>
              </w:rPr>
              <w:t>The smartphone can improve the exchange of information between team members.</w:t>
            </w:r>
          </w:p>
          <w:p w:rsidR="00E42240" w:rsidRPr="00E42240" w:rsidRDefault="00E42240" w:rsidP="00E42240">
            <w:pPr>
              <w:pStyle w:val="ListParagraph"/>
              <w:numPr>
                <w:ilvl w:val="0"/>
                <w:numId w:val="26"/>
              </w:numPr>
              <w:rPr>
                <w:rFonts w:ascii="Garamond" w:hAnsi="Garamond"/>
                <w:lang w:val="en-AU"/>
              </w:rPr>
            </w:pPr>
            <w:r w:rsidRPr="00E42240">
              <w:rPr>
                <w:rFonts w:ascii="Garamond" w:hAnsi="Garamond"/>
                <w:lang w:val="en-AU"/>
              </w:rPr>
              <w:t>Smartphones can have consequences on nurses-patients relationship: dehumanization and depersonalization of care</w:t>
            </w:r>
            <w:r>
              <w:rPr>
                <w:rFonts w:ascii="Garamond" w:hAnsi="Garamond"/>
                <w:lang w:val="en-AU"/>
              </w:rPr>
              <w:t xml:space="preserve"> and </w:t>
            </w:r>
            <w:r w:rsidRPr="00E42240">
              <w:rPr>
                <w:rFonts w:ascii="Garamond" w:hAnsi="Garamond"/>
                <w:lang w:val="en-AU"/>
              </w:rPr>
              <w:t>can have serious consequences on patient safety.</w:t>
            </w:r>
          </w:p>
          <w:p w:rsidR="00E42240" w:rsidRDefault="00E42240" w:rsidP="00F16B7F">
            <w:pPr>
              <w:rPr>
                <w:rFonts w:ascii="Garamond" w:hAnsi="Garamond"/>
                <w:lang w:val="en-AU"/>
              </w:rPr>
            </w:pPr>
            <w:r>
              <w:rPr>
                <w:rFonts w:ascii="Garamond" w:hAnsi="Garamond"/>
                <w:lang w:val="en-AU"/>
              </w:rPr>
              <w:t>The authors suggest ‘</w:t>
            </w:r>
            <w:r w:rsidRPr="00E42240">
              <w:rPr>
                <w:rFonts w:ascii="Garamond" w:hAnsi="Garamond"/>
                <w:lang w:val="en-AU"/>
              </w:rPr>
              <w:t>the application of regulations and policies by healthcare facilities is desirable to avoid inappropriate use of these devices by nurses.</w:t>
            </w:r>
            <w:r>
              <w:rPr>
                <w:rFonts w:ascii="Garamond" w:hAnsi="Garamond"/>
                <w:lang w:val="en-AU"/>
              </w:rPr>
              <w:t>’</w:t>
            </w:r>
          </w:p>
          <w:p w:rsidR="00A47E11" w:rsidRPr="00623191" w:rsidRDefault="00A47E11" w:rsidP="00E42240">
            <w:pPr>
              <w:rPr>
                <w:rFonts w:ascii="Garamond" w:hAnsi="Garamond"/>
                <w:lang w:val="en-AU"/>
              </w:rPr>
            </w:pPr>
            <w:r>
              <w:rPr>
                <w:rFonts w:ascii="Garamond" w:hAnsi="Garamond"/>
                <w:lang w:val="en-AU"/>
              </w:rPr>
              <w:t xml:space="preserve">Farnood et al. sought to examine the relationship between the patient and clinician and the impact of smartphone use by patients to self-diagnose. </w:t>
            </w:r>
            <w:r w:rsidR="00E42240">
              <w:rPr>
                <w:rFonts w:ascii="Garamond" w:hAnsi="Garamond"/>
                <w:lang w:val="en-AU"/>
              </w:rPr>
              <w:t>Based on 25 articles, the authors found that patients ‘</w:t>
            </w:r>
            <w:r w:rsidR="00E42240" w:rsidRPr="00E42240">
              <w:rPr>
                <w:rFonts w:ascii="Garamond" w:hAnsi="Garamond"/>
                <w:lang w:val="en-AU"/>
              </w:rPr>
              <w:t>value healthcare professionals as a source of medical advice more than the internet</w:t>
            </w:r>
            <w:r w:rsidR="00E42240">
              <w:rPr>
                <w:rFonts w:ascii="Garamond" w:hAnsi="Garamond"/>
                <w:lang w:val="en-AU"/>
              </w:rPr>
              <w:t>’ and that patients consider the internet ‘a complementary information source’. The authors suggest that ‘</w:t>
            </w:r>
            <w:r w:rsidR="00CE4220" w:rsidRPr="00E42240">
              <w:rPr>
                <w:rFonts w:ascii="Garamond" w:hAnsi="Garamond"/>
                <w:lang w:val="en-AU"/>
              </w:rPr>
              <w:t>online</w:t>
            </w:r>
            <w:r w:rsidR="00E42240" w:rsidRPr="00E42240">
              <w:rPr>
                <w:rFonts w:ascii="Garamond" w:hAnsi="Garamond"/>
                <w:lang w:val="en-AU"/>
              </w:rPr>
              <w:t xml:space="preserve"> health information seeking can potentially improve the patient-healthcare professional relationship as patients reported they usually conducted an online search to form a partnership with the healthcare professional as opposed to trying to prove them wrong.</w:t>
            </w:r>
            <w:r w:rsidR="00E42240">
              <w:rPr>
                <w:rFonts w:ascii="Garamond" w:hAnsi="Garamond"/>
                <w:lang w:val="en-AU"/>
              </w:rPr>
              <w:t>’</w:t>
            </w:r>
          </w:p>
        </w:tc>
      </w:tr>
    </w:tbl>
    <w:p w:rsidR="00A47E11" w:rsidRDefault="00A47E11" w:rsidP="00A47E11">
      <w:pPr>
        <w:keepNext/>
        <w:keepLines/>
        <w:autoSpaceDE w:val="0"/>
        <w:autoSpaceDN w:val="0"/>
        <w:adjustRightInd w:val="0"/>
        <w:rPr>
          <w:rFonts w:ascii="Garamond" w:hAnsi="Garamond"/>
          <w:i/>
          <w:lang w:val="en-AU"/>
        </w:rPr>
      </w:pPr>
    </w:p>
    <w:p w:rsidR="00A96E9F" w:rsidRDefault="00A96E9F" w:rsidP="00A96E9F">
      <w:pPr>
        <w:keepNext/>
        <w:rPr>
          <w:rFonts w:ascii="Garamond" w:hAnsi="Garamond"/>
          <w:i/>
          <w:lang w:val="en-AU"/>
        </w:rPr>
      </w:pPr>
      <w:r>
        <w:rPr>
          <w:rFonts w:ascii="Garamond" w:hAnsi="Garamond"/>
          <w:i/>
          <w:lang w:val="en-AU"/>
        </w:rPr>
        <w:t>BMJ Quality &amp; Safety</w:t>
      </w:r>
    </w:p>
    <w:p w:rsidR="00A96E9F" w:rsidRPr="00D65371" w:rsidRDefault="00A96E9F" w:rsidP="00A96E9F">
      <w:pPr>
        <w:keepNext/>
        <w:rPr>
          <w:rFonts w:ascii="Garamond" w:hAnsi="Garamond"/>
          <w:lang w:val="en-AU"/>
        </w:rPr>
      </w:pPr>
      <w:r>
        <w:rPr>
          <w:rFonts w:ascii="Garamond" w:hAnsi="Garamond"/>
          <w:lang w:val="en-AU"/>
        </w:rPr>
        <w:t>May 2021 - Volume 30 - 5</w:t>
      </w:r>
    </w:p>
    <w:tbl>
      <w:tblPr>
        <w:tblStyle w:val="TableGrid"/>
        <w:tblW w:w="9360" w:type="dxa"/>
        <w:tblInd w:w="288" w:type="dxa"/>
        <w:tblLayout w:type="fixed"/>
        <w:tblLook w:val="01E0" w:firstRow="1" w:lastRow="1" w:firstColumn="1" w:lastColumn="1" w:noHBand="0" w:noVBand="0"/>
      </w:tblPr>
      <w:tblGrid>
        <w:gridCol w:w="1080"/>
        <w:gridCol w:w="8280"/>
      </w:tblGrid>
      <w:tr w:rsidR="00A96E9F" w:rsidRPr="000170DA" w:rsidTr="00C26919">
        <w:tc>
          <w:tcPr>
            <w:tcW w:w="1080" w:type="dxa"/>
            <w:tcBorders>
              <w:top w:val="single" w:sz="4" w:space="0" w:color="auto"/>
              <w:left w:val="single" w:sz="4" w:space="0" w:color="auto"/>
              <w:bottom w:val="single" w:sz="4" w:space="0" w:color="auto"/>
              <w:right w:val="single" w:sz="4" w:space="0" w:color="auto"/>
            </w:tcBorders>
            <w:vAlign w:val="center"/>
          </w:tcPr>
          <w:p w:rsidR="00A96E9F" w:rsidRPr="000170DA" w:rsidRDefault="00A96E9F" w:rsidP="00C2691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96E9F" w:rsidRPr="000170DA" w:rsidRDefault="0066625C" w:rsidP="00A96E9F">
            <w:pPr>
              <w:keepNext/>
              <w:rPr>
                <w:rStyle w:val="Hyperlink"/>
                <w:rFonts w:ascii="Garamond" w:hAnsi="Garamond"/>
                <w:color w:val="auto"/>
                <w:u w:val="none"/>
                <w:lang w:val="en-AU"/>
              </w:rPr>
            </w:pPr>
            <w:hyperlink r:id="rId32" w:history="1">
              <w:r w:rsidR="00A96E9F" w:rsidRPr="00014F66">
                <w:rPr>
                  <w:rStyle w:val="Hyperlink"/>
                  <w:rFonts w:ascii="Garamond" w:hAnsi="Garamond"/>
                  <w:lang w:val="en-AU"/>
                </w:rPr>
                <w:t>https://qualitysafety.bmj.com/content/30/5</w:t>
              </w:r>
            </w:hyperlink>
          </w:p>
        </w:tc>
      </w:tr>
      <w:tr w:rsidR="00A96E9F" w:rsidRPr="000170DA" w:rsidTr="00C26919">
        <w:tc>
          <w:tcPr>
            <w:tcW w:w="1080" w:type="dxa"/>
            <w:tcBorders>
              <w:top w:val="single" w:sz="4" w:space="0" w:color="auto"/>
              <w:left w:val="single" w:sz="4" w:space="0" w:color="auto"/>
              <w:bottom w:val="single" w:sz="4" w:space="0" w:color="auto"/>
              <w:right w:val="single" w:sz="4" w:space="0" w:color="auto"/>
            </w:tcBorders>
            <w:vAlign w:val="center"/>
          </w:tcPr>
          <w:p w:rsidR="00A96E9F" w:rsidRPr="000170DA" w:rsidRDefault="00A96E9F" w:rsidP="00C2691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6E9F" w:rsidRPr="007C3778" w:rsidRDefault="00A96E9F" w:rsidP="00C2691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A96E9F" w:rsidRPr="00A96E9F" w:rsidRDefault="00A96E9F" w:rsidP="009418C1">
            <w:pPr>
              <w:pStyle w:val="ListParagraph"/>
              <w:numPr>
                <w:ilvl w:val="0"/>
                <w:numId w:val="15"/>
              </w:numPr>
              <w:rPr>
                <w:rFonts w:ascii="Garamond" w:hAnsi="Garamond"/>
                <w:lang w:val="en-AU"/>
              </w:rPr>
            </w:pPr>
            <w:r w:rsidRPr="00A96E9F">
              <w:rPr>
                <w:rFonts w:ascii="Garamond" w:hAnsi="Garamond"/>
                <w:lang w:val="en-AU"/>
              </w:rPr>
              <w:t xml:space="preserve">Editorial: Harnessing </w:t>
            </w:r>
            <w:r w:rsidRPr="00A96E9F">
              <w:rPr>
                <w:rFonts w:ascii="Garamond" w:hAnsi="Garamond"/>
                <w:b/>
                <w:lang w:val="en-AU"/>
              </w:rPr>
              <w:t>choice architecture</w:t>
            </w:r>
            <w:r w:rsidRPr="00A96E9F">
              <w:rPr>
                <w:rFonts w:ascii="Garamond" w:hAnsi="Garamond"/>
                <w:lang w:val="en-AU"/>
              </w:rPr>
              <w:t xml:space="preserve"> to improve medical care (Donald A Redelmeier, Mian-Mian Kao</w:t>
            </w:r>
            <w:r>
              <w:rPr>
                <w:rFonts w:ascii="Garamond" w:hAnsi="Garamond"/>
                <w:lang w:val="en-AU"/>
              </w:rPr>
              <w:t>)</w:t>
            </w:r>
          </w:p>
          <w:p w:rsidR="00A96E9F" w:rsidRPr="00A96E9F" w:rsidRDefault="00A96E9F" w:rsidP="00E1421A">
            <w:pPr>
              <w:pStyle w:val="ListParagraph"/>
              <w:numPr>
                <w:ilvl w:val="0"/>
                <w:numId w:val="15"/>
              </w:numPr>
              <w:rPr>
                <w:rFonts w:ascii="Garamond" w:hAnsi="Garamond"/>
                <w:lang w:val="en-AU"/>
              </w:rPr>
            </w:pPr>
            <w:r w:rsidRPr="00A96E9F">
              <w:rPr>
                <w:rFonts w:ascii="Garamond" w:hAnsi="Garamond"/>
                <w:lang w:val="en-AU"/>
              </w:rPr>
              <w:t xml:space="preserve">Editorial: Advancing </w:t>
            </w:r>
            <w:r w:rsidRPr="00A96E9F">
              <w:rPr>
                <w:rFonts w:ascii="Garamond" w:hAnsi="Garamond"/>
                <w:b/>
                <w:lang w:val="en-AU"/>
              </w:rPr>
              <w:t>health equity in patient safety</w:t>
            </w:r>
            <w:r w:rsidRPr="00A96E9F">
              <w:rPr>
                <w:rFonts w:ascii="Garamond" w:hAnsi="Garamond"/>
                <w:lang w:val="en-AU"/>
              </w:rPr>
              <w:t>: a reckoning, challenge and opportunity (Marshall H Chin</w:t>
            </w:r>
            <w:r>
              <w:rPr>
                <w:rFonts w:ascii="Garamond" w:hAnsi="Garamond"/>
                <w:lang w:val="en-AU"/>
              </w:rPr>
              <w:t>)</w:t>
            </w:r>
          </w:p>
          <w:p w:rsidR="00A96E9F" w:rsidRPr="00A96E9F" w:rsidRDefault="00A96E9F" w:rsidP="00873582">
            <w:pPr>
              <w:pStyle w:val="ListParagraph"/>
              <w:numPr>
                <w:ilvl w:val="0"/>
                <w:numId w:val="15"/>
              </w:numPr>
              <w:rPr>
                <w:rFonts w:ascii="Garamond" w:hAnsi="Garamond"/>
                <w:lang w:val="en-AU"/>
              </w:rPr>
            </w:pPr>
            <w:r w:rsidRPr="00A96E9F">
              <w:rPr>
                <w:rFonts w:ascii="Garamond" w:hAnsi="Garamond"/>
                <w:b/>
                <w:lang w:val="en-AU"/>
              </w:rPr>
              <w:t>Choice architecture in physician–patient communication</w:t>
            </w:r>
            <w:r w:rsidRPr="00A96E9F">
              <w:rPr>
                <w:rFonts w:ascii="Garamond" w:hAnsi="Garamond"/>
                <w:lang w:val="en-AU"/>
              </w:rPr>
              <w:t>: a mixed-methods assessments of physicians’ competency (Joanna Hart, Kuldeep Yadav, Stephanie Szymanski, Amy Summer, Aaron Tannenbaum, Julian Zlatev, David Daniels, Scott D Halpern</w:t>
            </w:r>
            <w:r>
              <w:rPr>
                <w:rFonts w:ascii="Garamond" w:hAnsi="Garamond"/>
                <w:lang w:val="en-AU"/>
              </w:rPr>
              <w:t>)</w:t>
            </w:r>
          </w:p>
          <w:p w:rsidR="00A96E9F" w:rsidRPr="00A96E9F" w:rsidRDefault="00A96E9F" w:rsidP="00446486">
            <w:pPr>
              <w:pStyle w:val="ListParagraph"/>
              <w:numPr>
                <w:ilvl w:val="0"/>
                <w:numId w:val="15"/>
              </w:numPr>
              <w:rPr>
                <w:rFonts w:ascii="Garamond" w:hAnsi="Garamond"/>
                <w:lang w:val="en-AU"/>
              </w:rPr>
            </w:pPr>
            <w:r w:rsidRPr="00A96E9F">
              <w:rPr>
                <w:rFonts w:ascii="Garamond" w:hAnsi="Garamond"/>
                <w:b/>
                <w:lang w:val="en-AU"/>
              </w:rPr>
              <w:t>Inpatient patient safety events in vulnerable populations</w:t>
            </w:r>
            <w:r w:rsidRPr="00A96E9F">
              <w:rPr>
                <w:rFonts w:ascii="Garamond" w:hAnsi="Garamond"/>
                <w:lang w:val="en-AU"/>
              </w:rPr>
              <w:t>: a retrospective cohort study (Lucy B Schulson, Victor Novack, Patricia H Folcarelli, Jennifer P Stevens, Bruce E Landon</w:t>
            </w:r>
            <w:r>
              <w:rPr>
                <w:rFonts w:ascii="Garamond" w:hAnsi="Garamond"/>
                <w:lang w:val="en-AU"/>
              </w:rPr>
              <w:t>)</w:t>
            </w:r>
          </w:p>
          <w:p w:rsidR="00A96E9F" w:rsidRPr="00A96E9F" w:rsidRDefault="00A96E9F" w:rsidP="00B056A0">
            <w:pPr>
              <w:pStyle w:val="ListParagraph"/>
              <w:numPr>
                <w:ilvl w:val="0"/>
                <w:numId w:val="15"/>
              </w:numPr>
              <w:rPr>
                <w:rFonts w:ascii="Garamond" w:hAnsi="Garamond"/>
                <w:lang w:val="en-AU"/>
              </w:rPr>
            </w:pPr>
            <w:r w:rsidRPr="00A96E9F">
              <w:rPr>
                <w:rFonts w:ascii="Garamond" w:hAnsi="Garamond"/>
                <w:lang w:val="en-AU"/>
              </w:rPr>
              <w:t xml:space="preserve">Reporting </w:t>
            </w:r>
            <w:r w:rsidRPr="00A96E9F">
              <w:rPr>
                <w:rFonts w:ascii="Garamond" w:hAnsi="Garamond"/>
                <w:b/>
                <w:lang w:val="en-AU"/>
              </w:rPr>
              <w:t>incidents involving the use of advanced medical technologies by nurses in home care</w:t>
            </w:r>
            <w:r w:rsidRPr="00A96E9F">
              <w:rPr>
                <w:rFonts w:ascii="Garamond" w:hAnsi="Garamond"/>
                <w:lang w:val="en-AU"/>
              </w:rPr>
              <w:t>: a cross-sectional survey and an analysis of registration data (Ingrid ten Haken, Somaya Ben Allouch, Wim H van Harten</w:t>
            </w:r>
            <w:r>
              <w:rPr>
                <w:rFonts w:ascii="Garamond" w:hAnsi="Garamond"/>
                <w:lang w:val="en-AU"/>
              </w:rPr>
              <w:t>)</w:t>
            </w:r>
          </w:p>
          <w:p w:rsidR="00A96E9F" w:rsidRPr="00A96E9F" w:rsidRDefault="00A96E9F" w:rsidP="003A66D0">
            <w:pPr>
              <w:pStyle w:val="ListParagraph"/>
              <w:numPr>
                <w:ilvl w:val="0"/>
                <w:numId w:val="15"/>
              </w:numPr>
              <w:rPr>
                <w:rFonts w:ascii="Garamond" w:hAnsi="Garamond"/>
                <w:lang w:val="en-AU"/>
              </w:rPr>
            </w:pPr>
            <w:r w:rsidRPr="00A96E9F">
              <w:rPr>
                <w:rFonts w:ascii="Garamond" w:hAnsi="Garamond"/>
                <w:b/>
                <w:lang w:val="en-AU"/>
              </w:rPr>
              <w:t>Variation in tonsillectomy</w:t>
            </w:r>
            <w:r w:rsidRPr="00A96E9F">
              <w:rPr>
                <w:rFonts w:ascii="Garamond" w:hAnsi="Garamond"/>
                <w:lang w:val="en-AU"/>
              </w:rPr>
              <w:t xml:space="preserve"> cost and revisit rates: analysis of administrative and billing data from US children’s hospitals (Sanjay Mahant, Troy Richardson, Ron Keren, Rajendu Srivastava, Jeremy Meier</w:t>
            </w:r>
            <w:r>
              <w:rPr>
                <w:rFonts w:ascii="Garamond" w:hAnsi="Garamond"/>
                <w:lang w:val="en-AU"/>
              </w:rPr>
              <w:t>)</w:t>
            </w:r>
          </w:p>
          <w:p w:rsidR="00A96E9F" w:rsidRPr="00A96E9F" w:rsidRDefault="00A96E9F" w:rsidP="00166244">
            <w:pPr>
              <w:pStyle w:val="ListParagraph"/>
              <w:numPr>
                <w:ilvl w:val="0"/>
                <w:numId w:val="15"/>
              </w:numPr>
              <w:rPr>
                <w:rFonts w:ascii="Garamond" w:hAnsi="Garamond"/>
                <w:lang w:val="en-AU"/>
              </w:rPr>
            </w:pPr>
            <w:r w:rsidRPr="00A96E9F">
              <w:rPr>
                <w:rFonts w:ascii="Garamond" w:hAnsi="Garamond"/>
                <w:b/>
                <w:lang w:val="en-AU"/>
              </w:rPr>
              <w:t>Distance travelled to hospital for emergency laparotomy</w:t>
            </w:r>
            <w:r w:rsidRPr="00A96E9F">
              <w:rPr>
                <w:rFonts w:ascii="Garamond" w:hAnsi="Garamond"/>
                <w:lang w:val="en-AU"/>
              </w:rPr>
              <w:t xml:space="preserve"> and the effect of travel time on mortality: cohort study (Tom Salih, Peter Martin, Tom Poulton, Charles M Oliver, Mike G Bassett, S Ramani Moonesinghe</w:t>
            </w:r>
            <w:r>
              <w:rPr>
                <w:rFonts w:ascii="Garamond" w:hAnsi="Garamond"/>
                <w:lang w:val="en-AU"/>
              </w:rPr>
              <w:t>)</w:t>
            </w:r>
          </w:p>
          <w:p w:rsidR="00A96E9F" w:rsidRPr="00A96E9F" w:rsidRDefault="00A96E9F" w:rsidP="0026000C">
            <w:pPr>
              <w:pStyle w:val="ListParagraph"/>
              <w:numPr>
                <w:ilvl w:val="0"/>
                <w:numId w:val="15"/>
              </w:numPr>
              <w:rPr>
                <w:rFonts w:ascii="Garamond" w:hAnsi="Garamond"/>
                <w:lang w:val="en-AU"/>
              </w:rPr>
            </w:pPr>
            <w:r w:rsidRPr="00A96E9F">
              <w:rPr>
                <w:rFonts w:ascii="Garamond" w:hAnsi="Garamond"/>
                <w:lang w:val="en-AU"/>
              </w:rPr>
              <w:lastRenderedPageBreak/>
              <w:t xml:space="preserve">Promise and perils of </w:t>
            </w:r>
            <w:r w:rsidRPr="00A96E9F">
              <w:rPr>
                <w:rFonts w:ascii="Garamond" w:hAnsi="Garamond"/>
                <w:b/>
                <w:lang w:val="en-AU"/>
              </w:rPr>
              <w:t>patient decision aids for reducing low-value care</w:t>
            </w:r>
            <w:r w:rsidRPr="00A96E9F">
              <w:rPr>
                <w:rFonts w:ascii="Garamond" w:hAnsi="Garamond"/>
                <w:lang w:val="en-AU"/>
              </w:rPr>
              <w:t xml:space="preserve"> (Rachel Thompson, Danielle M Muscat, Jesse Jansen, Darlene Cox, Joshua R Zadro, Adrian C Traeger, Kirsten McCaffery</w:t>
            </w:r>
            <w:r>
              <w:rPr>
                <w:rFonts w:ascii="Garamond" w:hAnsi="Garamond"/>
                <w:lang w:val="en-AU"/>
              </w:rPr>
              <w:t>)</w:t>
            </w:r>
          </w:p>
          <w:p w:rsidR="00A96E9F" w:rsidRPr="00A96E9F" w:rsidRDefault="00A96E9F" w:rsidP="00164FEF">
            <w:pPr>
              <w:pStyle w:val="ListParagraph"/>
              <w:numPr>
                <w:ilvl w:val="0"/>
                <w:numId w:val="15"/>
              </w:numPr>
              <w:rPr>
                <w:rFonts w:ascii="Garamond" w:hAnsi="Garamond"/>
                <w:lang w:val="en-AU"/>
              </w:rPr>
            </w:pPr>
            <w:r w:rsidRPr="00A96E9F">
              <w:rPr>
                <w:rFonts w:ascii="Garamond" w:hAnsi="Garamond"/>
                <w:lang w:val="en-AU"/>
              </w:rPr>
              <w:t xml:space="preserve">It’s time to consider </w:t>
            </w:r>
            <w:r w:rsidRPr="00A96E9F">
              <w:rPr>
                <w:rFonts w:ascii="Garamond" w:hAnsi="Garamond"/>
                <w:b/>
                <w:lang w:val="en-AU"/>
              </w:rPr>
              <w:t>national culture when designing team training</w:t>
            </w:r>
            <w:r w:rsidRPr="00A96E9F">
              <w:rPr>
                <w:rFonts w:ascii="Garamond" w:hAnsi="Garamond"/>
                <w:lang w:val="en-AU"/>
              </w:rPr>
              <w:t xml:space="preserve"> initiatives in healthcare (Julie Rice, Lina Daouk-Öyry, Eveline Hitti</w:t>
            </w:r>
            <w:r>
              <w:rPr>
                <w:rFonts w:ascii="Garamond" w:hAnsi="Garamond"/>
                <w:lang w:val="en-AU"/>
              </w:rPr>
              <w:t>)</w:t>
            </w:r>
          </w:p>
          <w:p w:rsidR="00A96E9F" w:rsidRPr="00A96E9F" w:rsidRDefault="00A96E9F" w:rsidP="00BF061D">
            <w:pPr>
              <w:pStyle w:val="ListParagraph"/>
              <w:numPr>
                <w:ilvl w:val="0"/>
                <w:numId w:val="15"/>
              </w:numPr>
              <w:rPr>
                <w:rFonts w:ascii="Garamond" w:hAnsi="Garamond"/>
                <w:lang w:val="en-AU"/>
              </w:rPr>
            </w:pPr>
            <w:r w:rsidRPr="00A96E9F">
              <w:rPr>
                <w:rFonts w:ascii="Garamond" w:hAnsi="Garamond"/>
                <w:lang w:val="en-AU"/>
              </w:rPr>
              <w:t xml:space="preserve">A realist synthesis of </w:t>
            </w:r>
            <w:r w:rsidRPr="00A96E9F">
              <w:rPr>
                <w:rFonts w:ascii="Garamond" w:hAnsi="Garamond"/>
                <w:b/>
                <w:lang w:val="en-AU"/>
              </w:rPr>
              <w:t xml:space="preserve">pharmacist-conducted medication reviews in primary care </w:t>
            </w:r>
            <w:r w:rsidRPr="00A96E9F">
              <w:rPr>
                <w:rFonts w:ascii="Garamond" w:hAnsi="Garamond"/>
                <w:lang w:val="en-AU"/>
              </w:rPr>
              <w:t>after leaving hospital: what works for whom and why? (Karen Luetsch, Debra Rowett, Michael J Twigg</w:t>
            </w:r>
            <w:r>
              <w:rPr>
                <w:rFonts w:ascii="Garamond" w:hAnsi="Garamond"/>
                <w:lang w:val="en-AU"/>
              </w:rPr>
              <w:t>)</w:t>
            </w:r>
          </w:p>
          <w:p w:rsidR="00A96E9F" w:rsidRPr="00292B57" w:rsidRDefault="00A96E9F" w:rsidP="00A96E9F">
            <w:pPr>
              <w:pStyle w:val="ListParagraph"/>
              <w:numPr>
                <w:ilvl w:val="0"/>
                <w:numId w:val="15"/>
              </w:numPr>
              <w:rPr>
                <w:rFonts w:ascii="Garamond" w:hAnsi="Garamond"/>
                <w:lang w:val="en-AU"/>
              </w:rPr>
            </w:pPr>
            <w:r w:rsidRPr="00A96E9F">
              <w:rPr>
                <w:rFonts w:ascii="Garamond" w:hAnsi="Garamond"/>
                <w:b/>
                <w:lang w:val="en-AU"/>
              </w:rPr>
              <w:t>Nurses and nursing support matter</w:t>
            </w:r>
            <w:r w:rsidRPr="00A96E9F">
              <w:rPr>
                <w:rFonts w:ascii="Garamond" w:hAnsi="Garamond"/>
                <w:lang w:val="en-AU"/>
              </w:rPr>
              <w:t>: interpreting the evidence (Jack Needleman, Patricia W Stone</w:t>
            </w:r>
            <w:r>
              <w:rPr>
                <w:rFonts w:ascii="Garamond" w:hAnsi="Garamond"/>
                <w:lang w:val="en-AU"/>
              </w:rPr>
              <w:t>)</w:t>
            </w:r>
          </w:p>
        </w:tc>
      </w:tr>
    </w:tbl>
    <w:p w:rsidR="00A96E9F" w:rsidRDefault="00A96E9F" w:rsidP="00A96E9F">
      <w:pPr>
        <w:keepLines/>
        <w:tabs>
          <w:tab w:val="left" w:pos="1065"/>
        </w:tabs>
        <w:autoSpaceDE w:val="0"/>
        <w:autoSpaceDN w:val="0"/>
        <w:adjustRightInd w:val="0"/>
        <w:rPr>
          <w:rFonts w:ascii="Garamond" w:hAnsi="Garamond"/>
          <w:lang w:val="en-AU"/>
        </w:rPr>
      </w:pPr>
    </w:p>
    <w:p w:rsidR="00C03046" w:rsidRDefault="00861960" w:rsidP="00C03046">
      <w:pPr>
        <w:keepNext/>
        <w:rPr>
          <w:rFonts w:ascii="Garamond" w:hAnsi="Garamond"/>
          <w:i/>
          <w:lang w:val="en-AU"/>
        </w:rPr>
      </w:pPr>
      <w:r w:rsidRPr="00861960">
        <w:rPr>
          <w:rFonts w:ascii="Garamond" w:hAnsi="Garamond"/>
          <w:i/>
          <w:lang w:val="en-AU"/>
        </w:rPr>
        <w:t>Pediatric Quality &amp; Safety</w:t>
      </w:r>
    </w:p>
    <w:p w:rsidR="00C03046" w:rsidRPr="00D65371" w:rsidRDefault="00C03046" w:rsidP="00C03046">
      <w:pPr>
        <w:keepNext/>
        <w:rPr>
          <w:rFonts w:ascii="Garamond" w:hAnsi="Garamond"/>
          <w:lang w:val="en-AU"/>
        </w:rPr>
      </w:pPr>
      <w:r w:rsidRPr="00C03046">
        <w:rPr>
          <w:rFonts w:ascii="Garamond" w:hAnsi="Garamond"/>
          <w:lang w:val="en-AU"/>
        </w:rPr>
        <w:t>Volume 6, Number 2</w:t>
      </w:r>
      <w:r w:rsidR="00861960">
        <w:rPr>
          <w:rFonts w:ascii="Garamond" w:hAnsi="Garamond"/>
          <w:lang w:val="en-AU"/>
        </w:rPr>
        <w:t>, March/</w:t>
      </w:r>
      <w:r w:rsidRPr="00C03046">
        <w:rPr>
          <w:rFonts w:ascii="Garamond" w:hAnsi="Garamond"/>
          <w:lang w:val="en-AU"/>
        </w:rPr>
        <w:t>April 2021)</w:t>
      </w:r>
    </w:p>
    <w:tbl>
      <w:tblPr>
        <w:tblStyle w:val="TableGrid"/>
        <w:tblW w:w="9360" w:type="dxa"/>
        <w:tblInd w:w="288" w:type="dxa"/>
        <w:tblLayout w:type="fixed"/>
        <w:tblLook w:val="01E0" w:firstRow="1" w:lastRow="1" w:firstColumn="1" w:lastColumn="1" w:noHBand="0" w:noVBand="0"/>
      </w:tblPr>
      <w:tblGrid>
        <w:gridCol w:w="1080"/>
        <w:gridCol w:w="8280"/>
      </w:tblGrid>
      <w:tr w:rsidR="00C03046" w:rsidRPr="000170DA" w:rsidTr="00262BE2">
        <w:tc>
          <w:tcPr>
            <w:tcW w:w="1080" w:type="dxa"/>
            <w:tcBorders>
              <w:top w:val="single" w:sz="4" w:space="0" w:color="auto"/>
              <w:left w:val="single" w:sz="4" w:space="0" w:color="auto"/>
              <w:bottom w:val="single" w:sz="4" w:space="0" w:color="auto"/>
              <w:right w:val="single" w:sz="4" w:space="0" w:color="auto"/>
            </w:tcBorders>
            <w:vAlign w:val="center"/>
          </w:tcPr>
          <w:p w:rsidR="00C03046" w:rsidRPr="000170DA" w:rsidRDefault="00C03046" w:rsidP="00262BE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3046" w:rsidRPr="000170DA" w:rsidRDefault="0066625C" w:rsidP="00262BE2">
            <w:pPr>
              <w:keepNext/>
              <w:rPr>
                <w:rStyle w:val="Hyperlink"/>
                <w:rFonts w:ascii="Garamond" w:hAnsi="Garamond"/>
                <w:color w:val="auto"/>
                <w:u w:val="none"/>
                <w:lang w:val="en-AU"/>
              </w:rPr>
            </w:pPr>
            <w:hyperlink r:id="rId33" w:history="1">
              <w:r w:rsidR="00861960" w:rsidRPr="00014F66">
                <w:rPr>
                  <w:rStyle w:val="Hyperlink"/>
                  <w:rFonts w:ascii="Garamond" w:hAnsi="Garamond"/>
                  <w:lang w:val="en-AU"/>
                </w:rPr>
                <w:t>https://journals.lww.com/pqs/toc/2021/03000</w:t>
              </w:r>
            </w:hyperlink>
          </w:p>
        </w:tc>
      </w:tr>
      <w:tr w:rsidR="00C03046" w:rsidRPr="000170DA" w:rsidTr="00262BE2">
        <w:tc>
          <w:tcPr>
            <w:tcW w:w="1080" w:type="dxa"/>
            <w:tcBorders>
              <w:top w:val="single" w:sz="4" w:space="0" w:color="auto"/>
              <w:left w:val="single" w:sz="4" w:space="0" w:color="auto"/>
              <w:bottom w:val="single" w:sz="4" w:space="0" w:color="auto"/>
              <w:right w:val="single" w:sz="4" w:space="0" w:color="auto"/>
            </w:tcBorders>
            <w:vAlign w:val="center"/>
          </w:tcPr>
          <w:p w:rsidR="00C03046" w:rsidRPr="000170DA" w:rsidRDefault="00C03046" w:rsidP="00262B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3046" w:rsidRPr="007C3778" w:rsidRDefault="00C03046" w:rsidP="00262BE2">
            <w:pPr>
              <w:rPr>
                <w:rFonts w:ascii="Garamond" w:hAnsi="Garamond"/>
                <w:lang w:val="en-AU"/>
              </w:rPr>
            </w:pPr>
            <w:r w:rsidRPr="00B440ED">
              <w:rPr>
                <w:rFonts w:ascii="Garamond" w:hAnsi="Garamond"/>
                <w:lang w:val="en-AU"/>
              </w:rPr>
              <w:t xml:space="preserve">A new issue of </w:t>
            </w:r>
            <w:r w:rsidR="00861960" w:rsidRPr="00861960">
              <w:rPr>
                <w:rFonts w:ascii="Garamond" w:hAnsi="Garamond"/>
                <w:i/>
                <w:lang w:val="en-AU"/>
              </w:rPr>
              <w:t>Pediatric Quality &amp; Safety</w:t>
            </w:r>
            <w:r w:rsidR="00861960" w:rsidRPr="00B440ED">
              <w:rPr>
                <w:rFonts w:ascii="Garamond" w:hAnsi="Garamond"/>
                <w:lang w:val="en-AU"/>
              </w:rPr>
              <w:t xml:space="preserve"> </w:t>
            </w:r>
            <w:r w:rsidRPr="00B440ED">
              <w:rPr>
                <w:rFonts w:ascii="Garamond" w:hAnsi="Garamond"/>
                <w:lang w:val="en-AU"/>
              </w:rPr>
              <w:t xml:space="preserve">has been published. Articles in this issue of </w:t>
            </w:r>
            <w:r w:rsidR="00861960" w:rsidRPr="00861960">
              <w:rPr>
                <w:rFonts w:ascii="Garamond" w:hAnsi="Garamond"/>
                <w:i/>
                <w:lang w:val="en-AU"/>
              </w:rPr>
              <w:t>Pediatric Quality &amp; Safety</w:t>
            </w:r>
            <w:r w:rsidR="00861960" w:rsidRPr="00B440ED">
              <w:rPr>
                <w:rFonts w:ascii="Garamond" w:hAnsi="Garamond"/>
                <w:lang w:val="en-AU"/>
              </w:rPr>
              <w:t xml:space="preserve"> </w:t>
            </w:r>
            <w:r w:rsidRPr="00B440ED">
              <w:rPr>
                <w:rFonts w:ascii="Garamond" w:hAnsi="Garamond"/>
                <w:lang w:val="en-AU"/>
              </w:rPr>
              <w:t>include:</w:t>
            </w:r>
          </w:p>
          <w:p w:rsidR="00861960" w:rsidRPr="00861960" w:rsidRDefault="00861960" w:rsidP="00220C64">
            <w:pPr>
              <w:pStyle w:val="ListParagraph"/>
              <w:numPr>
                <w:ilvl w:val="0"/>
                <w:numId w:val="15"/>
              </w:numPr>
              <w:rPr>
                <w:rFonts w:ascii="Garamond" w:hAnsi="Garamond"/>
                <w:lang w:val="en-AU"/>
              </w:rPr>
            </w:pPr>
            <w:r w:rsidRPr="00861960">
              <w:rPr>
                <w:rFonts w:ascii="Garamond" w:hAnsi="Garamond"/>
                <w:lang w:val="en-AU"/>
              </w:rPr>
              <w:t xml:space="preserve">Incremental Improvements Can Reduce </w:t>
            </w:r>
            <w:r w:rsidRPr="00861960">
              <w:rPr>
                <w:rFonts w:ascii="Garamond" w:hAnsi="Garamond"/>
                <w:b/>
                <w:lang w:val="en-AU"/>
              </w:rPr>
              <w:t>Alarm Fatigue in the Neonatal Intensive Care Unit</w:t>
            </w:r>
            <w:r w:rsidRPr="00861960">
              <w:rPr>
                <w:rFonts w:ascii="Garamond" w:hAnsi="Garamond"/>
                <w:lang w:val="en-AU"/>
              </w:rPr>
              <w:t xml:space="preserve"> (Schle</w:t>
            </w:r>
            <w:r>
              <w:rPr>
                <w:rFonts w:ascii="Garamond" w:hAnsi="Garamond"/>
                <w:lang w:val="en-AU"/>
              </w:rPr>
              <w:t>gel, Amy B; Shepherd, Edward G)</w:t>
            </w:r>
          </w:p>
          <w:p w:rsidR="00861960" w:rsidRDefault="00861960" w:rsidP="008E6F7F">
            <w:pPr>
              <w:pStyle w:val="ListParagraph"/>
              <w:numPr>
                <w:ilvl w:val="0"/>
                <w:numId w:val="15"/>
              </w:numPr>
              <w:rPr>
                <w:rFonts w:ascii="Garamond" w:hAnsi="Garamond"/>
                <w:lang w:val="en-AU"/>
              </w:rPr>
            </w:pPr>
            <w:r w:rsidRPr="00861960">
              <w:rPr>
                <w:rFonts w:ascii="Garamond" w:hAnsi="Garamond"/>
                <w:lang w:val="en-AU"/>
              </w:rPr>
              <w:t xml:space="preserve">Stewardship Intervention to Optimize </w:t>
            </w:r>
            <w:r w:rsidRPr="00861960">
              <w:rPr>
                <w:rFonts w:ascii="Garamond" w:hAnsi="Garamond"/>
                <w:b/>
                <w:lang w:val="en-AU"/>
              </w:rPr>
              <w:t>Central Venous Catheter Utilization in Critically Ill Children</w:t>
            </w:r>
            <w:r w:rsidRPr="00861960">
              <w:rPr>
                <w:rFonts w:ascii="Garamond" w:hAnsi="Garamond"/>
                <w:lang w:val="en-AU"/>
              </w:rPr>
              <w:t xml:space="preserve"> (</w:t>
            </w:r>
            <w:r>
              <w:rPr>
                <w:rFonts w:ascii="Garamond" w:hAnsi="Garamond"/>
                <w:lang w:val="en-AU"/>
              </w:rPr>
              <w:t>Blumenthal, Jennifer A</w:t>
            </w:r>
            <w:r w:rsidRPr="00861960">
              <w:rPr>
                <w:rFonts w:ascii="Garamond" w:hAnsi="Garamond"/>
                <w:lang w:val="en-AU"/>
              </w:rPr>
              <w:t>; Ormsby, Jennifer A; Mirchandani, Dimple; Petti, Chonel A; Carpenter, Jane; Geller, Maggie; Harding, Stephanie N; O’Brien, Mary; Sandora, Thomas J; Kleinman, Monica E; Priebe, Gregory P; Mehta, Nilesh M</w:t>
            </w:r>
            <w:r>
              <w:rPr>
                <w:rFonts w:ascii="Garamond" w:hAnsi="Garamond"/>
                <w:lang w:val="en-AU"/>
              </w:rPr>
              <w:t>)</w:t>
            </w:r>
          </w:p>
          <w:p w:rsidR="00861960" w:rsidRPr="00861960" w:rsidRDefault="00861960" w:rsidP="006113EB">
            <w:pPr>
              <w:pStyle w:val="ListParagraph"/>
              <w:numPr>
                <w:ilvl w:val="0"/>
                <w:numId w:val="15"/>
              </w:numPr>
              <w:rPr>
                <w:rFonts w:ascii="Garamond" w:hAnsi="Garamond"/>
                <w:lang w:val="en-AU"/>
              </w:rPr>
            </w:pPr>
            <w:r w:rsidRPr="00861960">
              <w:rPr>
                <w:rFonts w:ascii="Garamond" w:hAnsi="Garamond"/>
                <w:lang w:val="en-AU"/>
              </w:rPr>
              <w:t xml:space="preserve">The Impact of Demographics on </w:t>
            </w:r>
            <w:r w:rsidRPr="00861960">
              <w:rPr>
                <w:rFonts w:ascii="Garamond" w:hAnsi="Garamond"/>
                <w:b/>
                <w:lang w:val="en-AU"/>
              </w:rPr>
              <w:t>Child and Parent Ratings of Satisfaction with Hospital Care</w:t>
            </w:r>
            <w:r w:rsidRPr="00861960">
              <w:rPr>
                <w:rFonts w:ascii="Garamond" w:hAnsi="Garamond"/>
                <w:lang w:val="en-AU"/>
              </w:rPr>
              <w:t xml:space="preserve"> (Waldron, Mia K; Wathen, Kourtney; Houston, Sasha;</w:t>
            </w:r>
            <w:r>
              <w:rPr>
                <w:rFonts w:ascii="Garamond" w:hAnsi="Garamond"/>
                <w:lang w:val="en-AU"/>
              </w:rPr>
              <w:t xml:space="preserve"> Coleman, Lael; Mason, Janice J</w:t>
            </w:r>
            <w:r w:rsidRPr="00861960">
              <w:rPr>
                <w:rFonts w:ascii="Garamond" w:hAnsi="Garamond"/>
                <w:lang w:val="en-AU"/>
              </w:rPr>
              <w:t>; Wang, Yunfei; Hinds, Pamela S</w:t>
            </w:r>
            <w:r>
              <w:rPr>
                <w:rFonts w:ascii="Garamond" w:hAnsi="Garamond"/>
                <w:lang w:val="en-AU"/>
              </w:rPr>
              <w:t>)</w:t>
            </w:r>
          </w:p>
          <w:p w:rsidR="00861960" w:rsidRPr="00861960" w:rsidRDefault="00861960" w:rsidP="00F45949">
            <w:pPr>
              <w:pStyle w:val="ListParagraph"/>
              <w:numPr>
                <w:ilvl w:val="0"/>
                <w:numId w:val="15"/>
              </w:numPr>
              <w:rPr>
                <w:rFonts w:ascii="Garamond" w:hAnsi="Garamond"/>
                <w:lang w:val="en-AU"/>
              </w:rPr>
            </w:pPr>
            <w:r w:rsidRPr="00861960">
              <w:rPr>
                <w:rFonts w:ascii="Garamond" w:hAnsi="Garamond"/>
                <w:lang w:val="en-AU"/>
              </w:rPr>
              <w:t xml:space="preserve">Reducing Employee Injury Rates with a </w:t>
            </w:r>
            <w:r w:rsidRPr="00861960">
              <w:rPr>
                <w:rFonts w:ascii="Garamond" w:hAnsi="Garamond"/>
                <w:b/>
                <w:lang w:val="en-AU"/>
              </w:rPr>
              <w:t>Hospital-wide Employee Safety Program</w:t>
            </w:r>
            <w:r w:rsidRPr="00861960">
              <w:rPr>
                <w:rFonts w:ascii="Garamond" w:hAnsi="Garamond"/>
                <w:lang w:val="en-AU"/>
              </w:rPr>
              <w:t xml:space="preserve"> (Fink, Alia; Merkeley, Kathryn; Tolliver, Charika; McLeese, Raven; Mason, Janice J.; Mantasas, Nikolas; Cheng, Jenhao Jacob; Roberts-Turner, Reneè; Fahey, Lisbeth; Parra, Martha; Talley, Linda; Cady, R; Shah, R K</w:t>
            </w:r>
            <w:r>
              <w:rPr>
                <w:rFonts w:ascii="Garamond" w:hAnsi="Garamond"/>
                <w:lang w:val="en-AU"/>
              </w:rPr>
              <w:t>)</w:t>
            </w:r>
          </w:p>
          <w:p w:rsidR="00861960" w:rsidRPr="00861960" w:rsidRDefault="00861960" w:rsidP="00856CAA">
            <w:pPr>
              <w:pStyle w:val="ListParagraph"/>
              <w:numPr>
                <w:ilvl w:val="0"/>
                <w:numId w:val="15"/>
              </w:numPr>
              <w:rPr>
                <w:rFonts w:ascii="Garamond" w:hAnsi="Garamond"/>
                <w:lang w:val="en-AU"/>
              </w:rPr>
            </w:pPr>
            <w:r w:rsidRPr="00861960">
              <w:rPr>
                <w:rFonts w:ascii="Garamond" w:hAnsi="Garamond"/>
                <w:lang w:val="en-AU"/>
              </w:rPr>
              <w:t xml:space="preserve">Implementation and Maintenance of a </w:t>
            </w:r>
            <w:r w:rsidRPr="00861960">
              <w:rPr>
                <w:rFonts w:ascii="Garamond" w:hAnsi="Garamond"/>
                <w:b/>
                <w:lang w:val="en-AU"/>
              </w:rPr>
              <w:t>Pediatric Severe Burn Guidelines</w:t>
            </w:r>
            <w:r w:rsidRPr="00861960">
              <w:rPr>
                <w:rFonts w:ascii="Garamond" w:hAnsi="Garamond"/>
                <w:lang w:val="en-AU"/>
              </w:rPr>
              <w:t xml:space="preserve"> Quality Improvement Project (Dolan, Kristin J; Flint, Jennifer L; Benton, Tara C; Miller, Mikaela; Miller, Jenna O</w:t>
            </w:r>
            <w:r>
              <w:rPr>
                <w:rFonts w:ascii="Garamond" w:hAnsi="Garamond"/>
                <w:lang w:val="en-AU"/>
              </w:rPr>
              <w:t>)</w:t>
            </w:r>
          </w:p>
          <w:p w:rsidR="00861960" w:rsidRPr="00861960" w:rsidRDefault="00861960" w:rsidP="00E64B70">
            <w:pPr>
              <w:pStyle w:val="ListParagraph"/>
              <w:numPr>
                <w:ilvl w:val="0"/>
                <w:numId w:val="15"/>
              </w:numPr>
              <w:rPr>
                <w:rFonts w:ascii="Garamond" w:hAnsi="Garamond"/>
                <w:lang w:val="en-AU"/>
              </w:rPr>
            </w:pPr>
            <w:r w:rsidRPr="00861960">
              <w:rPr>
                <w:rFonts w:ascii="Garamond" w:hAnsi="Garamond"/>
                <w:lang w:val="en-AU"/>
              </w:rPr>
              <w:t xml:space="preserve">Comprehensive Care Improvement for </w:t>
            </w:r>
            <w:r w:rsidRPr="00861960">
              <w:rPr>
                <w:rFonts w:ascii="Garamond" w:hAnsi="Garamond"/>
                <w:b/>
                <w:lang w:val="en-AU"/>
              </w:rPr>
              <w:t xml:space="preserve">Oncologic Fever and Neutropenia </w:t>
            </w:r>
            <w:r w:rsidRPr="00861960">
              <w:rPr>
                <w:rFonts w:ascii="Garamond" w:hAnsi="Garamond"/>
                <w:lang w:val="en-AU"/>
              </w:rPr>
              <w:t>from a Pediatric Emergency Department (Kuehnel, Nicholas A; McCreary, Erin; Henderson, Sheryl L; Vanderloo, Joshua P; Hoover-Regan, Margo L; Sharp, Brian; Ross, Joshua</w:t>
            </w:r>
            <w:r>
              <w:rPr>
                <w:rFonts w:ascii="Garamond" w:hAnsi="Garamond"/>
                <w:lang w:val="en-AU"/>
              </w:rPr>
              <w:t>)</w:t>
            </w:r>
          </w:p>
          <w:p w:rsidR="00861960" w:rsidRPr="00861960" w:rsidRDefault="00861960" w:rsidP="00AD2AC6">
            <w:pPr>
              <w:pStyle w:val="ListParagraph"/>
              <w:numPr>
                <w:ilvl w:val="0"/>
                <w:numId w:val="15"/>
              </w:numPr>
              <w:rPr>
                <w:rFonts w:ascii="Garamond" w:hAnsi="Garamond"/>
                <w:lang w:val="en-AU"/>
              </w:rPr>
            </w:pPr>
            <w:r w:rsidRPr="00861960">
              <w:rPr>
                <w:rFonts w:ascii="Garamond" w:hAnsi="Garamond"/>
                <w:b/>
                <w:lang w:val="en-AU"/>
              </w:rPr>
              <w:t>Reducing Alarm Burden</w:t>
            </w:r>
            <w:r w:rsidRPr="00861960">
              <w:rPr>
                <w:rFonts w:ascii="Garamond" w:hAnsi="Garamond"/>
                <w:lang w:val="en-AU"/>
              </w:rPr>
              <w:t xml:space="preserve"> in a Level IV Neonatal Intensive Care Unit (McCauley, Kortany E; Schroeder, Alissa A; DeBoth, Tawney K; Wiebe, Alexander M; Bosley, Christopher L; Ballweg, Diane D; Fang, Jennifer L</w:t>
            </w:r>
            <w:r>
              <w:rPr>
                <w:rFonts w:ascii="Garamond" w:hAnsi="Garamond"/>
                <w:lang w:val="en-AU"/>
              </w:rPr>
              <w:t>)</w:t>
            </w:r>
          </w:p>
          <w:p w:rsidR="00861960" w:rsidRPr="00861960" w:rsidRDefault="00861960" w:rsidP="00320C99">
            <w:pPr>
              <w:pStyle w:val="ListParagraph"/>
              <w:numPr>
                <w:ilvl w:val="0"/>
                <w:numId w:val="15"/>
              </w:numPr>
              <w:rPr>
                <w:rFonts w:ascii="Garamond" w:hAnsi="Garamond"/>
                <w:lang w:val="en-AU"/>
              </w:rPr>
            </w:pPr>
            <w:r w:rsidRPr="00861960">
              <w:rPr>
                <w:rFonts w:ascii="Garamond" w:hAnsi="Garamond"/>
                <w:lang w:val="en-AU"/>
              </w:rPr>
              <w:t xml:space="preserve">Sustained Improvement in the Performance of </w:t>
            </w:r>
            <w:r w:rsidRPr="00861960">
              <w:rPr>
                <w:rFonts w:ascii="Garamond" w:hAnsi="Garamond"/>
                <w:b/>
                <w:lang w:val="en-AU"/>
              </w:rPr>
              <w:t>Rapid Sequence Intubation</w:t>
            </w:r>
            <w:r w:rsidRPr="00861960">
              <w:rPr>
                <w:rFonts w:ascii="Garamond" w:hAnsi="Garamond"/>
                <w:lang w:val="en-AU"/>
              </w:rPr>
              <w:t xml:space="preserve"> Five Years after a Quality Improvement Initiative (</w:t>
            </w:r>
            <w:r>
              <w:rPr>
                <w:rFonts w:ascii="Garamond" w:hAnsi="Garamond"/>
                <w:lang w:val="en-AU"/>
              </w:rPr>
              <w:t>Kerrey, Benjamin T</w:t>
            </w:r>
            <w:r w:rsidRPr="00861960">
              <w:rPr>
                <w:rFonts w:ascii="Garamond" w:hAnsi="Garamond"/>
                <w:lang w:val="en-AU"/>
              </w:rPr>
              <w:t>; Mittiga, Matthew R; Boyd, Stephanie; Frey, Mary; Geis, Gary L; Rinderknecht, Andrea S; Ahaus, Karen; Varadarajan, Kartik R; Luria, Joseph W; Iyer, S B</w:t>
            </w:r>
            <w:r>
              <w:rPr>
                <w:rFonts w:ascii="Garamond" w:hAnsi="Garamond"/>
                <w:lang w:val="en-AU"/>
              </w:rPr>
              <w:t>)</w:t>
            </w:r>
          </w:p>
          <w:p w:rsidR="00861960" w:rsidRPr="00861960" w:rsidRDefault="00861960" w:rsidP="00B952B6">
            <w:pPr>
              <w:pStyle w:val="ListParagraph"/>
              <w:numPr>
                <w:ilvl w:val="0"/>
                <w:numId w:val="15"/>
              </w:numPr>
              <w:rPr>
                <w:rFonts w:ascii="Garamond" w:hAnsi="Garamond"/>
                <w:lang w:val="en-AU"/>
              </w:rPr>
            </w:pPr>
            <w:r w:rsidRPr="00861960">
              <w:rPr>
                <w:rFonts w:ascii="Garamond" w:hAnsi="Garamond"/>
                <w:lang w:val="en-AU"/>
              </w:rPr>
              <w:t xml:space="preserve">Bladder and Bowel Dysfunction Network: Improving the Management of </w:t>
            </w:r>
            <w:r w:rsidRPr="00861960">
              <w:rPr>
                <w:rFonts w:ascii="Garamond" w:hAnsi="Garamond"/>
                <w:b/>
                <w:lang w:val="en-AU"/>
              </w:rPr>
              <w:t>Pediatric Bladder and Bowel Dysfunction</w:t>
            </w:r>
            <w:r w:rsidRPr="00861960">
              <w:rPr>
                <w:rFonts w:ascii="Garamond" w:hAnsi="Garamond"/>
                <w:lang w:val="en-AU"/>
              </w:rPr>
              <w:t xml:space="preserve"> (Pokarowski, Martha; Rickard, Mandy; Kanani, Ronik; Mistry, Niraj; Saunders, Megan; Rockman, Rebecca; Sam, Jonathan; Varghese, Abby; Malach, Jessica; Margolis, Ivor; Roushdi, Amani; Levin, Leo; Singh, Manbir; Lopes, Roberto Iglesias; Farhat, Walid A; Koyle, Martin A.; Dos Santos, Joana</w:t>
            </w:r>
            <w:r>
              <w:rPr>
                <w:rFonts w:ascii="Garamond" w:hAnsi="Garamond"/>
                <w:lang w:val="en-AU"/>
              </w:rPr>
              <w:t>)</w:t>
            </w:r>
          </w:p>
          <w:p w:rsidR="00861960" w:rsidRPr="00861960" w:rsidRDefault="00861960" w:rsidP="00135928">
            <w:pPr>
              <w:pStyle w:val="ListParagraph"/>
              <w:numPr>
                <w:ilvl w:val="0"/>
                <w:numId w:val="15"/>
              </w:numPr>
              <w:rPr>
                <w:rFonts w:ascii="Garamond" w:hAnsi="Garamond"/>
                <w:lang w:val="en-AU"/>
              </w:rPr>
            </w:pPr>
            <w:r w:rsidRPr="00861960">
              <w:rPr>
                <w:rFonts w:ascii="Garamond" w:hAnsi="Garamond"/>
                <w:lang w:val="en-AU"/>
              </w:rPr>
              <w:lastRenderedPageBreak/>
              <w:t xml:space="preserve">Integration of a Lean Daily Management System into an </w:t>
            </w:r>
            <w:r w:rsidRPr="00861960">
              <w:rPr>
                <w:rFonts w:ascii="Garamond" w:hAnsi="Garamond"/>
                <w:b/>
                <w:lang w:val="en-AU"/>
              </w:rPr>
              <w:t>Antimicrobial Stewardship</w:t>
            </w:r>
            <w:r w:rsidRPr="00861960">
              <w:rPr>
                <w:rFonts w:ascii="Garamond" w:hAnsi="Garamond"/>
                <w:lang w:val="en-AU"/>
              </w:rPr>
              <w:t xml:space="preserve"> Program (Wirtz, Ann L; Monsees, Elizabeth A; Gibbs, Kate A; Myers, Angela L; Burns, Alaina N; Lee, Brian R; El Feghaly, Rana E; Weddle, Gina M; Day, James C; Purandare, Amol V; Goldman, Jennifer L</w:t>
            </w:r>
            <w:r>
              <w:rPr>
                <w:rFonts w:ascii="Garamond" w:hAnsi="Garamond"/>
                <w:lang w:val="en-AU"/>
              </w:rPr>
              <w:t>)</w:t>
            </w:r>
          </w:p>
          <w:p w:rsidR="00861960" w:rsidRPr="00861960" w:rsidRDefault="00861960" w:rsidP="000C2DD3">
            <w:pPr>
              <w:pStyle w:val="ListParagraph"/>
              <w:numPr>
                <w:ilvl w:val="0"/>
                <w:numId w:val="15"/>
              </w:numPr>
              <w:rPr>
                <w:rFonts w:ascii="Garamond" w:hAnsi="Garamond"/>
                <w:lang w:val="en-AU"/>
              </w:rPr>
            </w:pPr>
            <w:r w:rsidRPr="00861960">
              <w:rPr>
                <w:rFonts w:ascii="Garamond" w:hAnsi="Garamond"/>
                <w:lang w:val="en-AU"/>
              </w:rPr>
              <w:t xml:space="preserve">A </w:t>
            </w:r>
            <w:r w:rsidRPr="00861960">
              <w:rPr>
                <w:rFonts w:ascii="Garamond" w:hAnsi="Garamond"/>
                <w:b/>
                <w:lang w:val="en-AU"/>
              </w:rPr>
              <w:t>Patient Navigator Intervention</w:t>
            </w:r>
            <w:r w:rsidRPr="00861960">
              <w:rPr>
                <w:rFonts w:ascii="Garamond" w:hAnsi="Garamond"/>
                <w:lang w:val="en-AU"/>
              </w:rPr>
              <w:t xml:space="preserve"> Supporting Timely Transfer Care of Adolescent and Young Adults of Hispanic Descents Attending an Urban Primary Care Pediatrics Clinic (Allende-Richter, Sophie; Glidden, Patricia; Maloyan, Mariam; Khoury, Zana; Ramirez, Melanie; O’Hare, Kitty</w:t>
            </w:r>
            <w:r>
              <w:rPr>
                <w:rFonts w:ascii="Garamond" w:hAnsi="Garamond"/>
                <w:lang w:val="en-AU"/>
              </w:rPr>
              <w:t>)</w:t>
            </w:r>
          </w:p>
          <w:p w:rsidR="00861960" w:rsidRPr="00861960" w:rsidRDefault="00861960" w:rsidP="00926C9B">
            <w:pPr>
              <w:pStyle w:val="ListParagraph"/>
              <w:numPr>
                <w:ilvl w:val="0"/>
                <w:numId w:val="15"/>
              </w:numPr>
              <w:rPr>
                <w:rFonts w:ascii="Garamond" w:hAnsi="Garamond"/>
                <w:lang w:val="en-AU"/>
              </w:rPr>
            </w:pPr>
            <w:r w:rsidRPr="00861960">
              <w:rPr>
                <w:rFonts w:ascii="Garamond" w:hAnsi="Garamond"/>
                <w:lang w:val="en-AU"/>
              </w:rPr>
              <w:t xml:space="preserve">Care Does Not Stop Following ROSC: A Quality Improvement Approach to </w:t>
            </w:r>
            <w:r w:rsidRPr="00861960">
              <w:rPr>
                <w:rFonts w:ascii="Garamond" w:hAnsi="Garamond"/>
                <w:b/>
                <w:lang w:val="en-AU"/>
              </w:rPr>
              <w:t>Postcardiac Arrest Care</w:t>
            </w:r>
            <w:r w:rsidRPr="00861960">
              <w:rPr>
                <w:rFonts w:ascii="Garamond" w:hAnsi="Garamond"/>
                <w:lang w:val="en-AU"/>
              </w:rPr>
              <w:t xml:space="preserve"> (Pfeiffer, Stephen; Zackoff, Matthew; Bramble, Katelyn; Jacobs, L; Ruehlmann, K; Stalets, E L; Tegtmeyer, K; Dewan, M</w:t>
            </w:r>
            <w:r>
              <w:rPr>
                <w:rFonts w:ascii="Garamond" w:hAnsi="Garamond"/>
                <w:lang w:val="en-AU"/>
              </w:rPr>
              <w:t>)</w:t>
            </w:r>
          </w:p>
          <w:p w:rsidR="00861960" w:rsidRPr="00861960" w:rsidRDefault="00861960" w:rsidP="003B0AF2">
            <w:pPr>
              <w:pStyle w:val="ListParagraph"/>
              <w:numPr>
                <w:ilvl w:val="0"/>
                <w:numId w:val="15"/>
              </w:numPr>
              <w:rPr>
                <w:rFonts w:ascii="Garamond" w:hAnsi="Garamond"/>
                <w:lang w:val="en-AU"/>
              </w:rPr>
            </w:pPr>
            <w:r w:rsidRPr="00861960">
              <w:rPr>
                <w:rFonts w:ascii="Garamond" w:hAnsi="Garamond"/>
                <w:lang w:val="en-AU"/>
              </w:rPr>
              <w:t xml:space="preserve">Utilizing a Behavioral Health Bundle to Improve </w:t>
            </w:r>
            <w:r w:rsidRPr="00861960">
              <w:rPr>
                <w:rFonts w:ascii="Garamond" w:hAnsi="Garamond"/>
                <w:b/>
                <w:lang w:val="en-AU"/>
              </w:rPr>
              <w:t>Patient and Clinician Safety for Hospitalized Children</w:t>
            </w:r>
            <w:r w:rsidRPr="00861960">
              <w:rPr>
                <w:rFonts w:ascii="Garamond" w:hAnsi="Garamond"/>
                <w:lang w:val="en-AU"/>
              </w:rPr>
              <w:t xml:space="preserve"> (Nicome, Roger; Lo, Huay-Ying; Gupta, Sheena; Khan, Adrita; Lee, Alice; Molchen, Wallis; Neubauer, Hannah; Ramgopal, Veena; Lyn, Michelle; Weber, Emily; Vachani, Joyee</w:t>
            </w:r>
            <w:r>
              <w:rPr>
                <w:rFonts w:ascii="Garamond" w:hAnsi="Garamond"/>
                <w:lang w:val="en-AU"/>
              </w:rPr>
              <w:t>)</w:t>
            </w:r>
          </w:p>
          <w:p w:rsidR="00861960" w:rsidRPr="00861960" w:rsidRDefault="00861960" w:rsidP="004A3408">
            <w:pPr>
              <w:pStyle w:val="ListParagraph"/>
              <w:numPr>
                <w:ilvl w:val="0"/>
                <w:numId w:val="15"/>
              </w:numPr>
              <w:rPr>
                <w:rFonts w:ascii="Garamond" w:hAnsi="Garamond"/>
                <w:lang w:val="en-AU"/>
              </w:rPr>
            </w:pPr>
            <w:r w:rsidRPr="00861960">
              <w:rPr>
                <w:rFonts w:ascii="Garamond" w:hAnsi="Garamond"/>
                <w:lang w:val="en-AU"/>
              </w:rPr>
              <w:t xml:space="preserve">Decreasing Inappropriate Use of Antireflux Medications by Standardizing </w:t>
            </w:r>
            <w:r w:rsidRPr="00861960">
              <w:rPr>
                <w:rFonts w:ascii="Garamond" w:hAnsi="Garamond"/>
                <w:b/>
                <w:lang w:val="en-AU"/>
              </w:rPr>
              <w:t>Gastroesophageal Reflux Disease Management in NICU</w:t>
            </w:r>
            <w:r w:rsidRPr="00861960">
              <w:rPr>
                <w:rFonts w:ascii="Garamond" w:hAnsi="Garamond"/>
                <w:lang w:val="en-AU"/>
              </w:rPr>
              <w:t xml:space="preserve"> (Shakeel, Fauzia M.; Crews, Jacquelyn; Jensen, Preceous; Ritchey, Andrea; Allen, Megan; Mateus, Jazmine; Machry, Joana</w:t>
            </w:r>
            <w:r>
              <w:rPr>
                <w:rFonts w:ascii="Garamond" w:hAnsi="Garamond"/>
                <w:lang w:val="en-AU"/>
              </w:rPr>
              <w:t>)</w:t>
            </w:r>
          </w:p>
          <w:p w:rsidR="00861960" w:rsidRPr="00933FB9" w:rsidRDefault="00861960" w:rsidP="005F47A0">
            <w:pPr>
              <w:pStyle w:val="ListParagraph"/>
              <w:numPr>
                <w:ilvl w:val="0"/>
                <w:numId w:val="15"/>
              </w:numPr>
              <w:rPr>
                <w:rFonts w:ascii="Garamond" w:hAnsi="Garamond"/>
                <w:lang w:val="en-AU"/>
              </w:rPr>
            </w:pPr>
            <w:r w:rsidRPr="00933FB9">
              <w:rPr>
                <w:rFonts w:ascii="Garamond" w:hAnsi="Garamond"/>
                <w:lang w:val="en-AU"/>
              </w:rPr>
              <w:t xml:space="preserve">Evidence-based Standardization of </w:t>
            </w:r>
            <w:r w:rsidRPr="00933FB9">
              <w:rPr>
                <w:rFonts w:ascii="Garamond" w:hAnsi="Garamond"/>
                <w:b/>
                <w:lang w:val="en-AU"/>
              </w:rPr>
              <w:t>Constipation Management in the Emergency Department</w:t>
            </w:r>
            <w:r w:rsidRPr="00933FB9">
              <w:rPr>
                <w:rFonts w:ascii="Garamond" w:hAnsi="Garamond"/>
                <w:lang w:val="en-AU"/>
              </w:rPr>
              <w:t>: A Quality Improvement Study</w:t>
            </w:r>
            <w:r w:rsidR="00933FB9" w:rsidRPr="00933FB9">
              <w:rPr>
                <w:rFonts w:ascii="Garamond" w:hAnsi="Garamond"/>
                <w:lang w:val="en-AU"/>
              </w:rPr>
              <w:t xml:space="preserve"> (</w:t>
            </w:r>
            <w:r w:rsidRPr="00933FB9">
              <w:rPr>
                <w:rFonts w:ascii="Garamond" w:hAnsi="Garamond"/>
                <w:lang w:val="en-AU"/>
              </w:rPr>
              <w:t>Lipshaw, Matthew J; Zamor, Ronine L; Carson, Rebecca; Mallon, Daniel; Sobolewski, Brad; Vukovic, Adam A; Kurowski, Eileen Murtagh</w:t>
            </w:r>
            <w:r w:rsidR="00933FB9">
              <w:rPr>
                <w:rFonts w:ascii="Garamond" w:hAnsi="Garamond"/>
                <w:lang w:val="en-AU"/>
              </w:rPr>
              <w:t>)</w:t>
            </w:r>
          </w:p>
          <w:p w:rsidR="00861960" w:rsidRPr="00933FB9" w:rsidRDefault="00861960" w:rsidP="00451C8E">
            <w:pPr>
              <w:pStyle w:val="ListParagraph"/>
              <w:numPr>
                <w:ilvl w:val="0"/>
                <w:numId w:val="15"/>
              </w:numPr>
              <w:rPr>
                <w:rFonts w:ascii="Garamond" w:hAnsi="Garamond"/>
                <w:lang w:val="en-AU"/>
              </w:rPr>
            </w:pPr>
            <w:r w:rsidRPr="00933FB9">
              <w:rPr>
                <w:rFonts w:ascii="Garamond" w:hAnsi="Garamond"/>
                <w:b/>
                <w:lang w:val="en-AU"/>
              </w:rPr>
              <w:t>Reducing Pediatric ED Length of Stay by Reducing Diagnostic Testing</w:t>
            </w:r>
            <w:r w:rsidRPr="00933FB9">
              <w:rPr>
                <w:rFonts w:ascii="Garamond" w:hAnsi="Garamond"/>
                <w:lang w:val="en-AU"/>
              </w:rPr>
              <w:t>: A Discrete Event Simulation Model</w:t>
            </w:r>
            <w:r w:rsidR="00933FB9" w:rsidRPr="00933FB9">
              <w:rPr>
                <w:rFonts w:ascii="Garamond" w:hAnsi="Garamond"/>
                <w:lang w:val="en-AU"/>
              </w:rPr>
              <w:t xml:space="preserve"> (</w:t>
            </w:r>
            <w:r w:rsidRPr="00933FB9">
              <w:rPr>
                <w:rFonts w:ascii="Garamond" w:hAnsi="Garamond"/>
                <w:lang w:val="en-AU"/>
              </w:rPr>
              <w:t>McKinley, Kenneth W; Chamberlain, James M; Doan, Quynh; Berkowitz, Deena</w:t>
            </w:r>
            <w:r w:rsidR="00933FB9">
              <w:rPr>
                <w:rFonts w:ascii="Garamond" w:hAnsi="Garamond"/>
                <w:lang w:val="en-AU"/>
              </w:rPr>
              <w:t>)</w:t>
            </w:r>
          </w:p>
          <w:p w:rsidR="00C03046" w:rsidRPr="00292B57" w:rsidRDefault="00861960" w:rsidP="00861960">
            <w:pPr>
              <w:pStyle w:val="ListParagraph"/>
              <w:numPr>
                <w:ilvl w:val="0"/>
                <w:numId w:val="15"/>
              </w:numPr>
              <w:rPr>
                <w:rFonts w:ascii="Garamond" w:hAnsi="Garamond"/>
                <w:lang w:val="en-AU"/>
              </w:rPr>
            </w:pPr>
            <w:r w:rsidRPr="00861960">
              <w:rPr>
                <w:rFonts w:ascii="Garamond" w:hAnsi="Garamond"/>
                <w:lang w:val="en-AU"/>
              </w:rPr>
              <w:t xml:space="preserve">Vaccinating in the Emergency Department, a Model to Overcome </w:t>
            </w:r>
            <w:r w:rsidRPr="00861960">
              <w:rPr>
                <w:rFonts w:ascii="Garamond" w:hAnsi="Garamond"/>
                <w:b/>
                <w:lang w:val="en-AU"/>
              </w:rPr>
              <w:t>Influenza Vaccine Hesitancy</w:t>
            </w:r>
            <w:r>
              <w:rPr>
                <w:rFonts w:ascii="Garamond" w:hAnsi="Garamond"/>
                <w:lang w:val="en-AU"/>
              </w:rPr>
              <w:t xml:space="preserve"> (</w:t>
            </w:r>
            <w:r w:rsidRPr="00861960">
              <w:rPr>
                <w:rFonts w:ascii="Garamond" w:hAnsi="Garamond"/>
                <w:lang w:val="en-AU"/>
              </w:rPr>
              <w:t>Baumer-Mouradian, Shannon H; Servi, Ashley; Kleinschmidt, Abigail; Nimmer, Mark; Lazarevic, Kimberly; Hanson, Thomas; Jastrow, Jena; Jaworski, Brian; Kopets</w:t>
            </w:r>
            <w:r>
              <w:rPr>
                <w:rFonts w:ascii="Garamond" w:hAnsi="Garamond"/>
                <w:lang w:val="en-AU"/>
              </w:rPr>
              <w:t>ky, Matthew; Drendel, Amy L)</w:t>
            </w:r>
          </w:p>
        </w:tc>
      </w:tr>
    </w:tbl>
    <w:p w:rsidR="004F4CFB" w:rsidRPr="004F4CFB" w:rsidRDefault="004F4CFB" w:rsidP="004F4CFB">
      <w:pPr>
        <w:keepNext/>
        <w:rPr>
          <w:rFonts w:ascii="Garamond" w:hAnsi="Garamond"/>
          <w:i/>
          <w:lang w:val="en-AU"/>
        </w:rPr>
      </w:pPr>
      <w:r w:rsidRPr="004F4CFB">
        <w:rPr>
          <w:rFonts w:ascii="Garamond" w:hAnsi="Garamond"/>
          <w:i/>
          <w:lang w:val="en-AU"/>
        </w:rPr>
        <w:lastRenderedPageBreak/>
        <w:t>Australian Journal of Primary Health</w:t>
      </w:r>
    </w:p>
    <w:p w:rsidR="009B7CF3" w:rsidRPr="004F4CFB" w:rsidRDefault="004F4CFB" w:rsidP="009B7CF3">
      <w:pPr>
        <w:keepNext/>
        <w:rPr>
          <w:rFonts w:ascii="Garamond" w:hAnsi="Garamond"/>
          <w:lang w:val="en-AU"/>
        </w:rPr>
      </w:pPr>
      <w:r w:rsidRPr="004F4CFB">
        <w:rPr>
          <w:rFonts w:ascii="Garamond" w:hAnsi="Garamond"/>
          <w:lang w:val="en-AU"/>
        </w:rPr>
        <w:t>Volume 27 Number 2 2021</w:t>
      </w:r>
    </w:p>
    <w:tbl>
      <w:tblPr>
        <w:tblStyle w:val="TableGrid"/>
        <w:tblW w:w="9360" w:type="dxa"/>
        <w:tblInd w:w="288" w:type="dxa"/>
        <w:tblLayout w:type="fixed"/>
        <w:tblLook w:val="01E0" w:firstRow="1" w:lastRow="1" w:firstColumn="1" w:lastColumn="1" w:noHBand="0" w:noVBand="0"/>
      </w:tblPr>
      <w:tblGrid>
        <w:gridCol w:w="1080"/>
        <w:gridCol w:w="8280"/>
      </w:tblGrid>
      <w:tr w:rsidR="009B7CF3" w:rsidRPr="000170DA" w:rsidTr="00B74957">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B749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7CF3" w:rsidRPr="000170DA" w:rsidRDefault="0066625C" w:rsidP="00B74957">
            <w:pPr>
              <w:keepNext/>
              <w:rPr>
                <w:rStyle w:val="Hyperlink"/>
                <w:rFonts w:ascii="Garamond" w:hAnsi="Garamond"/>
                <w:color w:val="auto"/>
                <w:u w:val="none"/>
                <w:lang w:val="en-AU"/>
              </w:rPr>
            </w:pPr>
            <w:hyperlink r:id="rId34" w:history="1">
              <w:r w:rsidR="004F4CFB" w:rsidRPr="00D268B9">
                <w:rPr>
                  <w:rStyle w:val="Hyperlink"/>
                  <w:rFonts w:ascii="Garamond" w:hAnsi="Garamond"/>
                  <w:lang w:val="en-AU"/>
                </w:rPr>
                <w:t>https://www.publish.csiro.au/py/issue/10183</w:t>
              </w:r>
            </w:hyperlink>
          </w:p>
        </w:tc>
      </w:tr>
      <w:tr w:rsidR="009B7CF3" w:rsidRPr="000170DA" w:rsidTr="00B74957">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B749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7CF3" w:rsidRPr="007C3778" w:rsidRDefault="009B7CF3" w:rsidP="00B74957">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4F4CFB" w:rsidRPr="004F4CFB">
              <w:rPr>
                <w:rFonts w:ascii="Garamond" w:hAnsi="Garamond"/>
                <w:i/>
                <w:lang w:val="en-AU"/>
              </w:rPr>
              <w:t>Australian Journal of Primary Health</w:t>
            </w:r>
            <w:r w:rsidR="004F4CFB" w:rsidRPr="00B440ED">
              <w:rPr>
                <w:rFonts w:ascii="Garamond" w:hAnsi="Garamond"/>
                <w:lang w:val="en-AU"/>
              </w:rPr>
              <w:t xml:space="preserve"> </w:t>
            </w:r>
            <w:r w:rsidRPr="00B440ED">
              <w:rPr>
                <w:rFonts w:ascii="Garamond" w:hAnsi="Garamond"/>
                <w:lang w:val="en-AU"/>
              </w:rPr>
              <w:t>has been published</w:t>
            </w:r>
            <w:r w:rsidR="004F4CFB">
              <w:rPr>
                <w:rFonts w:ascii="Garamond" w:hAnsi="Garamond"/>
                <w:lang w:val="en-AU"/>
              </w:rPr>
              <w:t xml:space="preserve"> with a theme of “</w:t>
            </w:r>
            <w:r w:rsidR="004F4CFB" w:rsidRPr="004F4CFB">
              <w:rPr>
                <w:rFonts w:ascii="Garamond" w:hAnsi="Garamond"/>
                <w:lang w:val="en-AU"/>
              </w:rPr>
              <w:t>School-based Models of Primary Health Care</w:t>
            </w:r>
            <w:r w:rsidR="004F4CFB">
              <w:rPr>
                <w:rFonts w:ascii="Garamond" w:hAnsi="Garamond"/>
                <w:lang w:val="en-AU"/>
              </w:rPr>
              <w:t>”</w:t>
            </w:r>
            <w:r w:rsidRPr="00B440ED">
              <w:rPr>
                <w:rFonts w:ascii="Garamond" w:hAnsi="Garamond"/>
                <w:lang w:val="en-AU"/>
              </w:rPr>
              <w:t xml:space="preserve">. Articles in this issue of </w:t>
            </w:r>
            <w:r>
              <w:rPr>
                <w:rFonts w:ascii="Garamond" w:hAnsi="Garamond"/>
                <w:lang w:val="en-AU"/>
              </w:rPr>
              <w:t xml:space="preserve">the </w:t>
            </w:r>
            <w:r w:rsidR="004F4CFB" w:rsidRPr="004F4CFB">
              <w:rPr>
                <w:rFonts w:ascii="Garamond" w:hAnsi="Garamond"/>
                <w:i/>
                <w:lang w:val="en-AU"/>
              </w:rPr>
              <w:t>Australian Journal of Primary Health</w:t>
            </w:r>
            <w:r w:rsidR="004F4CFB" w:rsidRPr="00B440ED">
              <w:rPr>
                <w:rFonts w:ascii="Garamond" w:hAnsi="Garamond"/>
                <w:lang w:val="en-AU"/>
              </w:rPr>
              <w:t xml:space="preserve"> </w:t>
            </w:r>
            <w:r w:rsidRPr="00B440ED">
              <w:rPr>
                <w:rFonts w:ascii="Garamond" w:hAnsi="Garamond"/>
                <w:lang w:val="en-AU"/>
              </w:rPr>
              <w:t>include:</w:t>
            </w:r>
          </w:p>
          <w:p w:rsidR="004F4CFB" w:rsidRPr="004F4CFB" w:rsidRDefault="004F4CFB" w:rsidP="00EF03C5">
            <w:pPr>
              <w:pStyle w:val="ListParagraph"/>
              <w:numPr>
                <w:ilvl w:val="0"/>
                <w:numId w:val="15"/>
              </w:numPr>
              <w:rPr>
                <w:rFonts w:ascii="Garamond" w:hAnsi="Garamond"/>
                <w:lang w:val="en-AU"/>
              </w:rPr>
            </w:pPr>
            <w:r w:rsidRPr="004F4CFB">
              <w:rPr>
                <w:rFonts w:ascii="Garamond" w:hAnsi="Garamond"/>
                <w:b/>
                <w:lang w:val="en-AU"/>
              </w:rPr>
              <w:t>Integrating primary health care and education</w:t>
            </w:r>
            <w:r w:rsidRPr="004F4CFB">
              <w:rPr>
                <w:rFonts w:ascii="Garamond" w:hAnsi="Garamond"/>
                <w:lang w:val="en-AU"/>
              </w:rPr>
              <w:t xml:space="preserve"> to improve outcomes for children (Sarah Dennis and Lauren Ball</w:t>
            </w:r>
            <w:r>
              <w:rPr>
                <w:rFonts w:ascii="Garamond" w:hAnsi="Garamond"/>
                <w:lang w:val="en-AU"/>
              </w:rPr>
              <w:t>)</w:t>
            </w:r>
          </w:p>
          <w:p w:rsidR="004F4CFB" w:rsidRPr="004F4CFB" w:rsidRDefault="004F4CFB" w:rsidP="00BA184A">
            <w:pPr>
              <w:pStyle w:val="ListParagraph"/>
              <w:numPr>
                <w:ilvl w:val="0"/>
                <w:numId w:val="15"/>
              </w:numPr>
              <w:rPr>
                <w:rFonts w:ascii="Garamond" w:hAnsi="Garamond"/>
                <w:lang w:val="en-AU"/>
              </w:rPr>
            </w:pPr>
            <w:r w:rsidRPr="004F4CFB">
              <w:rPr>
                <w:rFonts w:ascii="Garamond" w:hAnsi="Garamond"/>
                <w:lang w:val="en-AU"/>
              </w:rPr>
              <w:t xml:space="preserve">Embedding public health advocacy into the role of school-based nurses: addressing the </w:t>
            </w:r>
            <w:r w:rsidRPr="004F4CFB">
              <w:rPr>
                <w:rFonts w:ascii="Garamond" w:hAnsi="Garamond"/>
                <w:b/>
                <w:lang w:val="en-AU"/>
              </w:rPr>
              <w:t>health inequities confronted by vulnerable Australian children and adolescent populations</w:t>
            </w:r>
            <w:r w:rsidRPr="004F4CFB">
              <w:rPr>
                <w:rFonts w:ascii="Garamond" w:hAnsi="Garamond"/>
                <w:lang w:val="en-AU"/>
              </w:rPr>
              <w:t xml:space="preserve"> (Debra Jones, Sue Randall, Danielle White, Lisa-Marie Darley, Gabrielle Schaefer, Jennifer Wellington, Anu Thomas and David Lyle</w:t>
            </w:r>
            <w:r>
              <w:rPr>
                <w:rFonts w:ascii="Garamond" w:hAnsi="Garamond"/>
                <w:lang w:val="en-AU"/>
              </w:rPr>
              <w:t>)</w:t>
            </w:r>
          </w:p>
          <w:p w:rsidR="004F4CFB" w:rsidRPr="004F4CFB" w:rsidRDefault="004F4CFB" w:rsidP="006C7477">
            <w:pPr>
              <w:pStyle w:val="ListParagraph"/>
              <w:numPr>
                <w:ilvl w:val="0"/>
                <w:numId w:val="15"/>
              </w:numPr>
              <w:rPr>
                <w:rFonts w:ascii="Garamond" w:hAnsi="Garamond"/>
                <w:lang w:val="en-AU"/>
              </w:rPr>
            </w:pPr>
            <w:r w:rsidRPr="004F4CFB">
              <w:rPr>
                <w:rFonts w:ascii="Garamond" w:hAnsi="Garamond"/>
                <w:b/>
                <w:lang w:val="en-AU"/>
              </w:rPr>
              <w:t>School-based integrated healthcare</w:t>
            </w:r>
            <w:r w:rsidRPr="004F4CFB">
              <w:rPr>
                <w:rFonts w:ascii="Garamond" w:hAnsi="Garamond"/>
                <w:lang w:val="en-AU"/>
              </w:rPr>
              <w:t xml:space="preserve"> model: how Our Mia Mia is improving health and education outcomes for children and young people (Antonio Mendoza Diaz, Andrew Leslie, Charlotte Burman, James Best, Kristie Goldthorp and Valsamma Eapen</w:t>
            </w:r>
            <w:r>
              <w:rPr>
                <w:rFonts w:ascii="Garamond" w:hAnsi="Garamond"/>
                <w:lang w:val="en-AU"/>
              </w:rPr>
              <w:t>)</w:t>
            </w:r>
          </w:p>
          <w:p w:rsidR="004F4CFB" w:rsidRPr="004F4CFB" w:rsidRDefault="004F4CFB" w:rsidP="00CE2A16">
            <w:pPr>
              <w:pStyle w:val="ListParagraph"/>
              <w:numPr>
                <w:ilvl w:val="0"/>
                <w:numId w:val="15"/>
              </w:numPr>
              <w:rPr>
                <w:rFonts w:ascii="Garamond" w:hAnsi="Garamond"/>
                <w:lang w:val="en-AU"/>
              </w:rPr>
            </w:pPr>
            <w:r w:rsidRPr="004F4CFB">
              <w:rPr>
                <w:rFonts w:ascii="Garamond" w:hAnsi="Garamond"/>
                <w:lang w:val="en-AU"/>
              </w:rPr>
              <w:t xml:space="preserve"> ‘We’re definitely that link’: the role of </w:t>
            </w:r>
            <w:r w:rsidRPr="004F4CFB">
              <w:rPr>
                <w:rFonts w:ascii="Garamond" w:hAnsi="Garamond"/>
                <w:b/>
                <w:lang w:val="en-AU"/>
              </w:rPr>
              <w:t>school-based primary health care registered nurses</w:t>
            </w:r>
            <w:r w:rsidRPr="004F4CFB">
              <w:rPr>
                <w:rFonts w:ascii="Garamond" w:hAnsi="Garamond"/>
                <w:lang w:val="en-AU"/>
              </w:rPr>
              <w:t xml:space="preserve"> in a rural community (Catherine Sanford, Emily Saurman, Sarah Dennis and David Lyle</w:t>
            </w:r>
            <w:r>
              <w:rPr>
                <w:rFonts w:ascii="Garamond" w:hAnsi="Garamond"/>
                <w:lang w:val="en-AU"/>
              </w:rPr>
              <w:t>)</w:t>
            </w:r>
          </w:p>
          <w:p w:rsidR="004F4CFB" w:rsidRPr="004F4CFB" w:rsidRDefault="004F4CFB" w:rsidP="0010013B">
            <w:pPr>
              <w:pStyle w:val="ListParagraph"/>
              <w:numPr>
                <w:ilvl w:val="0"/>
                <w:numId w:val="15"/>
              </w:numPr>
              <w:rPr>
                <w:rFonts w:ascii="Garamond" w:hAnsi="Garamond"/>
                <w:lang w:val="en-AU"/>
              </w:rPr>
            </w:pPr>
            <w:r w:rsidRPr="004F4CFB">
              <w:rPr>
                <w:rFonts w:ascii="Garamond" w:hAnsi="Garamond"/>
                <w:lang w:val="en-AU"/>
              </w:rPr>
              <w:lastRenderedPageBreak/>
              <w:t xml:space="preserve">Incorporating a </w:t>
            </w:r>
            <w:r w:rsidRPr="004F4CFB">
              <w:rPr>
                <w:rFonts w:ascii="Garamond" w:hAnsi="Garamond"/>
                <w:b/>
                <w:lang w:val="en-AU"/>
              </w:rPr>
              <w:t>health team</w:t>
            </w:r>
            <w:r w:rsidRPr="004F4CFB">
              <w:rPr>
                <w:rFonts w:ascii="Garamond" w:hAnsi="Garamond"/>
                <w:lang w:val="en-AU"/>
              </w:rPr>
              <w:t xml:space="preserve"> as part of a disadvantaged high school’s </w:t>
            </w:r>
            <w:r w:rsidRPr="004F4CFB">
              <w:rPr>
                <w:rFonts w:ascii="Garamond" w:hAnsi="Garamond"/>
                <w:b/>
                <w:lang w:val="en-AU"/>
              </w:rPr>
              <w:t>interconnected community learning model</w:t>
            </w:r>
            <w:r w:rsidRPr="004F4CFB">
              <w:rPr>
                <w:rFonts w:ascii="Garamond" w:hAnsi="Garamond"/>
                <w:lang w:val="en-AU"/>
              </w:rPr>
              <w:t xml:space="preserve"> (Ted Noon and G Zadkovich</w:t>
            </w:r>
            <w:r>
              <w:rPr>
                <w:rFonts w:ascii="Garamond" w:hAnsi="Garamond"/>
                <w:lang w:val="en-AU"/>
              </w:rPr>
              <w:t>)</w:t>
            </w:r>
          </w:p>
          <w:p w:rsidR="004F4CFB" w:rsidRDefault="004F4CFB" w:rsidP="00ED7023">
            <w:pPr>
              <w:pStyle w:val="ListParagraph"/>
              <w:numPr>
                <w:ilvl w:val="0"/>
                <w:numId w:val="15"/>
              </w:numPr>
              <w:rPr>
                <w:rFonts w:ascii="Garamond" w:hAnsi="Garamond"/>
                <w:lang w:val="en-AU"/>
              </w:rPr>
            </w:pPr>
            <w:r w:rsidRPr="004F4CFB">
              <w:rPr>
                <w:rFonts w:ascii="Garamond" w:hAnsi="Garamond"/>
                <w:b/>
                <w:lang w:val="en-AU"/>
              </w:rPr>
              <w:t>Improving access to refugee-focused health services</w:t>
            </w:r>
            <w:r w:rsidRPr="004F4CFB">
              <w:rPr>
                <w:rFonts w:ascii="Garamond" w:hAnsi="Garamond"/>
                <w:lang w:val="en-AU"/>
              </w:rPr>
              <w:t xml:space="preserve"> for people from refugee-like backgrounds in south-eastern Melbourne through the education sector (Katrina M. Long, Shiva Vasi, Susannah Westbury, Sandy Shergill, Chloé Guilbert-Savary, Ashley Whitelaw, I-Hao Cheng and Grant Russell</w:t>
            </w:r>
            <w:r>
              <w:rPr>
                <w:rFonts w:ascii="Garamond" w:hAnsi="Garamond"/>
                <w:lang w:val="en-AU"/>
              </w:rPr>
              <w:t>)</w:t>
            </w:r>
          </w:p>
          <w:p w:rsidR="004F4CFB" w:rsidRPr="004F4CFB" w:rsidRDefault="004F4CFB" w:rsidP="008026CC">
            <w:pPr>
              <w:pStyle w:val="ListParagraph"/>
              <w:numPr>
                <w:ilvl w:val="0"/>
                <w:numId w:val="15"/>
              </w:numPr>
              <w:rPr>
                <w:rFonts w:ascii="Garamond" w:hAnsi="Garamond"/>
                <w:lang w:val="en-AU"/>
              </w:rPr>
            </w:pPr>
            <w:r w:rsidRPr="004F4CFB">
              <w:rPr>
                <w:rFonts w:ascii="Garamond" w:hAnsi="Garamond"/>
                <w:lang w:val="en-AU"/>
              </w:rPr>
              <w:t xml:space="preserve">Exploring </w:t>
            </w:r>
            <w:r w:rsidRPr="004F4CFB">
              <w:rPr>
                <w:rFonts w:ascii="Garamond" w:hAnsi="Garamond"/>
                <w:b/>
                <w:lang w:val="en-AU"/>
              </w:rPr>
              <w:t>adolescent and clinician perspectives on</w:t>
            </w:r>
            <w:r w:rsidRPr="004F4CFB">
              <w:rPr>
                <w:rFonts w:ascii="Garamond" w:hAnsi="Garamond"/>
                <w:lang w:val="en-AU"/>
              </w:rPr>
              <w:t xml:space="preserve"> Australia’s national digital health record, </w:t>
            </w:r>
            <w:r w:rsidRPr="004F4CFB">
              <w:rPr>
                <w:rFonts w:ascii="Garamond" w:hAnsi="Garamond"/>
                <w:b/>
                <w:lang w:val="en-AU"/>
              </w:rPr>
              <w:t>My Health Record</w:t>
            </w:r>
            <w:r w:rsidRPr="004F4CFB">
              <w:rPr>
                <w:rFonts w:ascii="Garamond" w:hAnsi="Garamond"/>
                <w:lang w:val="en-AU"/>
              </w:rPr>
              <w:t xml:space="preserve"> (L Beaton, I Williams and L Sanci</w:t>
            </w:r>
            <w:r>
              <w:rPr>
                <w:rFonts w:ascii="Garamond" w:hAnsi="Garamond"/>
                <w:lang w:val="en-AU"/>
              </w:rPr>
              <w:t>)</w:t>
            </w:r>
          </w:p>
          <w:p w:rsidR="004F4CFB" w:rsidRPr="004F4CFB" w:rsidRDefault="004F4CFB" w:rsidP="00F109FF">
            <w:pPr>
              <w:pStyle w:val="ListParagraph"/>
              <w:numPr>
                <w:ilvl w:val="0"/>
                <w:numId w:val="15"/>
              </w:numPr>
              <w:rPr>
                <w:rFonts w:ascii="Garamond" w:hAnsi="Garamond"/>
                <w:lang w:val="en-AU"/>
              </w:rPr>
            </w:pPr>
            <w:r w:rsidRPr="004F4CFB">
              <w:rPr>
                <w:rFonts w:ascii="Garamond" w:hAnsi="Garamond"/>
                <w:lang w:val="en-AU"/>
              </w:rPr>
              <w:t xml:space="preserve">Using the National Mental Health Service Planning Framework to support an </w:t>
            </w:r>
            <w:r w:rsidRPr="004F4CFB">
              <w:rPr>
                <w:rFonts w:ascii="Garamond" w:hAnsi="Garamond"/>
                <w:b/>
                <w:lang w:val="en-AU"/>
              </w:rPr>
              <w:t>integrated approach to regional mental health planning</w:t>
            </w:r>
            <w:r w:rsidRPr="004F4CFB">
              <w:rPr>
                <w:rFonts w:ascii="Garamond" w:hAnsi="Garamond"/>
                <w:lang w:val="en-AU"/>
              </w:rPr>
              <w:t xml:space="preserve"> in Queensland, Australia (Eryn Wright, Elizabeth Leitch, Kevin Fjeldsoe, Sandra Diminic, Kate Gossip, Patricia Hudson and Harvey Whiteford</w:t>
            </w:r>
            <w:r>
              <w:rPr>
                <w:rFonts w:ascii="Garamond" w:hAnsi="Garamond"/>
                <w:lang w:val="en-AU"/>
              </w:rPr>
              <w:t>)</w:t>
            </w:r>
          </w:p>
          <w:p w:rsidR="004F4CFB" w:rsidRPr="004F4CFB" w:rsidRDefault="004F4CFB" w:rsidP="00915F15">
            <w:pPr>
              <w:pStyle w:val="ListParagraph"/>
              <w:numPr>
                <w:ilvl w:val="0"/>
                <w:numId w:val="15"/>
              </w:numPr>
              <w:rPr>
                <w:rFonts w:ascii="Garamond" w:hAnsi="Garamond"/>
                <w:lang w:val="en-AU"/>
              </w:rPr>
            </w:pPr>
            <w:r w:rsidRPr="004F4CFB">
              <w:rPr>
                <w:rFonts w:ascii="Garamond" w:hAnsi="Garamond"/>
                <w:b/>
                <w:lang w:val="en-AU"/>
              </w:rPr>
              <w:t>Producing health information in consultation with health workers and the hepatitis B-affected</w:t>
            </w:r>
            <w:r w:rsidRPr="004F4CFB">
              <w:rPr>
                <w:rFonts w:ascii="Garamond" w:hAnsi="Garamond"/>
                <w:lang w:val="en-AU"/>
              </w:rPr>
              <w:t xml:space="preserve"> communities is worthwhile (Gabrielle Bennett, Jacqueline Richmond and Alexander J Thompson</w:t>
            </w:r>
            <w:r>
              <w:rPr>
                <w:rFonts w:ascii="Garamond" w:hAnsi="Garamond"/>
                <w:lang w:val="en-AU"/>
              </w:rPr>
              <w:t>)</w:t>
            </w:r>
          </w:p>
          <w:p w:rsidR="004F4CFB" w:rsidRPr="004F4CFB" w:rsidRDefault="004F4CFB" w:rsidP="00340534">
            <w:pPr>
              <w:pStyle w:val="ListParagraph"/>
              <w:numPr>
                <w:ilvl w:val="0"/>
                <w:numId w:val="15"/>
              </w:numPr>
              <w:rPr>
                <w:rFonts w:ascii="Garamond" w:hAnsi="Garamond"/>
                <w:lang w:val="en-AU"/>
              </w:rPr>
            </w:pPr>
            <w:r w:rsidRPr="004F4CFB">
              <w:rPr>
                <w:rFonts w:ascii="Garamond" w:hAnsi="Garamond"/>
                <w:b/>
                <w:lang w:val="en-AU"/>
              </w:rPr>
              <w:t>Multimorbidity</w:t>
            </w:r>
            <w:r w:rsidRPr="004F4CFB">
              <w:rPr>
                <w:rFonts w:ascii="Garamond" w:hAnsi="Garamond"/>
                <w:lang w:val="en-AU"/>
              </w:rPr>
              <w:t xml:space="preserve"> through the lens of life-limiting illness: how helpful are Australian clinical practice guidelines to its </w:t>
            </w:r>
            <w:r w:rsidRPr="004F4CFB">
              <w:rPr>
                <w:rFonts w:ascii="Garamond" w:hAnsi="Garamond"/>
                <w:b/>
                <w:lang w:val="en-AU"/>
              </w:rPr>
              <w:t>management in primary care</w:t>
            </w:r>
            <w:r w:rsidRPr="004F4CFB">
              <w:rPr>
                <w:rFonts w:ascii="Garamond" w:hAnsi="Garamond"/>
                <w:lang w:val="en-AU"/>
              </w:rPr>
              <w:t>? (Raechel A Damarell, Deidre D Morgan, Jennifer J Tieman and D F Healey</w:t>
            </w:r>
            <w:r>
              <w:rPr>
                <w:rFonts w:ascii="Garamond" w:hAnsi="Garamond"/>
                <w:lang w:val="en-AU"/>
              </w:rPr>
              <w:t>)</w:t>
            </w:r>
          </w:p>
          <w:p w:rsidR="004F4CFB" w:rsidRPr="004F4CFB" w:rsidRDefault="004F4CFB" w:rsidP="00527D72">
            <w:pPr>
              <w:pStyle w:val="ListParagraph"/>
              <w:numPr>
                <w:ilvl w:val="0"/>
                <w:numId w:val="15"/>
              </w:numPr>
              <w:rPr>
                <w:rFonts w:ascii="Garamond" w:hAnsi="Garamond"/>
                <w:lang w:val="en-AU"/>
              </w:rPr>
            </w:pPr>
            <w:r w:rsidRPr="004F4CFB">
              <w:rPr>
                <w:rFonts w:ascii="Garamond" w:hAnsi="Garamond"/>
                <w:b/>
                <w:lang w:val="en-AU"/>
              </w:rPr>
              <w:t>Reducing health inequities for asylum seekers</w:t>
            </w:r>
            <w:r w:rsidRPr="004F4CFB">
              <w:rPr>
                <w:rFonts w:ascii="Garamond" w:hAnsi="Garamond"/>
                <w:lang w:val="en-AU"/>
              </w:rPr>
              <w:t xml:space="preserve"> with chronic non-communicable diseases: Australian context (Gloria Nkhoma, Chiao Xin Lim, Gerard A Kennedy and Ieva Stupans</w:t>
            </w:r>
            <w:r>
              <w:rPr>
                <w:rFonts w:ascii="Garamond" w:hAnsi="Garamond"/>
                <w:lang w:val="en-AU"/>
              </w:rPr>
              <w:t>)</w:t>
            </w:r>
          </w:p>
          <w:p w:rsidR="004F4CFB" w:rsidRPr="004F4CFB" w:rsidRDefault="004F4CFB" w:rsidP="00C95916">
            <w:pPr>
              <w:pStyle w:val="ListParagraph"/>
              <w:numPr>
                <w:ilvl w:val="0"/>
                <w:numId w:val="15"/>
              </w:numPr>
              <w:rPr>
                <w:rFonts w:ascii="Garamond" w:hAnsi="Garamond"/>
                <w:lang w:val="en-AU"/>
              </w:rPr>
            </w:pPr>
            <w:r w:rsidRPr="004F4CFB">
              <w:rPr>
                <w:rFonts w:ascii="Garamond" w:hAnsi="Garamond"/>
                <w:b/>
                <w:lang w:val="en-AU"/>
              </w:rPr>
              <w:t>Dementia risk reduction</w:t>
            </w:r>
            <w:r w:rsidRPr="004F4CFB">
              <w:rPr>
                <w:rFonts w:ascii="Garamond" w:hAnsi="Garamond"/>
                <w:lang w:val="en-AU"/>
              </w:rPr>
              <w:t xml:space="preserve"> in practice: the knowledge, opinions and perspectives of Australian healthcare providers (Lidan Zheng, Kali Godbee, Genevieve Z Steiner, Gail Daylight, C</w:t>
            </w:r>
            <w:r>
              <w:rPr>
                <w:rFonts w:ascii="Garamond" w:hAnsi="Garamond"/>
                <w:lang w:val="en-AU"/>
              </w:rPr>
              <w:t>arolyn Ee, Thi Yen Hill, Mark I</w:t>
            </w:r>
            <w:r w:rsidRPr="004F4CFB">
              <w:rPr>
                <w:rFonts w:ascii="Garamond" w:hAnsi="Garamond"/>
                <w:lang w:val="en-AU"/>
              </w:rPr>
              <w:t xml:space="preserve"> Hohenberg, Nicola T. Lautenschlager, Keith McDonald, Dimity Pond, Kylie Radford, Kaarin J Anstey and Ruth Peters</w:t>
            </w:r>
            <w:r>
              <w:rPr>
                <w:rFonts w:ascii="Garamond" w:hAnsi="Garamond"/>
                <w:lang w:val="en-AU"/>
              </w:rPr>
              <w:t>)</w:t>
            </w:r>
          </w:p>
          <w:p w:rsidR="004F4CFB" w:rsidRPr="004F4CFB" w:rsidRDefault="004F4CFB" w:rsidP="00654379">
            <w:pPr>
              <w:pStyle w:val="ListParagraph"/>
              <w:numPr>
                <w:ilvl w:val="0"/>
                <w:numId w:val="15"/>
              </w:numPr>
              <w:rPr>
                <w:rFonts w:ascii="Garamond" w:hAnsi="Garamond"/>
                <w:lang w:val="en-AU"/>
              </w:rPr>
            </w:pPr>
            <w:r w:rsidRPr="004F4CFB">
              <w:rPr>
                <w:rFonts w:ascii="Garamond" w:hAnsi="Garamond"/>
                <w:lang w:val="en-AU"/>
              </w:rPr>
              <w:t xml:space="preserve">Structured yet simple approaches to </w:t>
            </w:r>
            <w:r w:rsidRPr="004F4CFB">
              <w:rPr>
                <w:rFonts w:ascii="Garamond" w:hAnsi="Garamond"/>
                <w:b/>
                <w:lang w:val="en-AU"/>
              </w:rPr>
              <w:t>primary care data quality improvements</w:t>
            </w:r>
            <w:r w:rsidRPr="004F4CFB">
              <w:rPr>
                <w:rFonts w:ascii="Garamond" w:hAnsi="Garamond"/>
                <w:lang w:val="en-AU"/>
              </w:rPr>
              <w:t xml:space="preserve"> can indeed strike gold (Abhijeet Ghosh, Elizabeth Halcomb, Sandra McCarthy and Christine Ashley</w:t>
            </w:r>
            <w:r>
              <w:rPr>
                <w:rFonts w:ascii="Garamond" w:hAnsi="Garamond"/>
                <w:lang w:val="en-AU"/>
              </w:rPr>
              <w:t>)</w:t>
            </w:r>
          </w:p>
          <w:p w:rsidR="004F4CFB" w:rsidRDefault="004F4CFB" w:rsidP="00412293">
            <w:pPr>
              <w:pStyle w:val="ListParagraph"/>
              <w:numPr>
                <w:ilvl w:val="0"/>
                <w:numId w:val="15"/>
              </w:numPr>
              <w:rPr>
                <w:rFonts w:ascii="Garamond" w:hAnsi="Garamond"/>
                <w:lang w:val="en-AU"/>
              </w:rPr>
            </w:pPr>
            <w:r w:rsidRPr="004F4CFB">
              <w:rPr>
                <w:rFonts w:ascii="Garamond" w:hAnsi="Garamond"/>
                <w:lang w:val="en-AU"/>
              </w:rPr>
              <w:t xml:space="preserve"> ‘No-Frills Prils’: </w:t>
            </w:r>
            <w:r w:rsidRPr="007B229F">
              <w:rPr>
                <w:rFonts w:ascii="Garamond" w:hAnsi="Garamond"/>
                <w:b/>
                <w:lang w:val="en-AU"/>
              </w:rPr>
              <w:t>GPs’ views on drug costs and therapeutic interchange of angiotensin-converting enzyme inhibitors</w:t>
            </w:r>
            <w:r w:rsidRPr="004F4CFB">
              <w:rPr>
                <w:rFonts w:ascii="Garamond" w:hAnsi="Garamond"/>
                <w:lang w:val="en-AU"/>
              </w:rPr>
              <w:t>: a qualitative study (Hok Lim, Lena Sanci, Susan Webster, Alyce N Wilson and Phyllis Lau</w:t>
            </w:r>
            <w:r>
              <w:rPr>
                <w:rFonts w:ascii="Garamond" w:hAnsi="Garamond"/>
                <w:lang w:val="en-AU"/>
              </w:rPr>
              <w:t>)</w:t>
            </w:r>
          </w:p>
          <w:p w:rsidR="009B7CF3" w:rsidRPr="00292B57" w:rsidRDefault="004F4CFB" w:rsidP="007B229F">
            <w:pPr>
              <w:pStyle w:val="ListParagraph"/>
              <w:numPr>
                <w:ilvl w:val="0"/>
                <w:numId w:val="15"/>
              </w:numPr>
              <w:rPr>
                <w:rFonts w:ascii="Garamond" w:hAnsi="Garamond"/>
                <w:lang w:val="en-AU"/>
              </w:rPr>
            </w:pPr>
            <w:r w:rsidRPr="004F4CFB">
              <w:rPr>
                <w:rFonts w:ascii="Garamond" w:hAnsi="Garamond"/>
                <w:lang w:val="en-AU"/>
              </w:rPr>
              <w:t xml:space="preserve">Primary healthcare clinicians’ positive perceptions of the </w:t>
            </w:r>
            <w:r w:rsidRPr="007B229F">
              <w:rPr>
                <w:rFonts w:ascii="Garamond" w:hAnsi="Garamond"/>
                <w:b/>
                <w:lang w:val="en-AU"/>
              </w:rPr>
              <w:t>implementation of telehealth during the COVID-19 pandemic</w:t>
            </w:r>
            <w:r w:rsidRPr="004F4CFB">
              <w:rPr>
                <w:rFonts w:ascii="Garamond" w:hAnsi="Garamond"/>
                <w:lang w:val="en-AU"/>
              </w:rPr>
              <w:t xml:space="preserve"> using normalisation process theory</w:t>
            </w:r>
            <w:r w:rsidR="007B229F">
              <w:rPr>
                <w:rFonts w:ascii="Garamond" w:hAnsi="Garamond"/>
                <w:lang w:val="en-AU"/>
              </w:rPr>
              <w:t xml:space="preserve"> (</w:t>
            </w:r>
            <w:r w:rsidRPr="004F4CFB">
              <w:rPr>
                <w:rFonts w:ascii="Garamond" w:hAnsi="Garamond"/>
                <w:lang w:val="en-AU"/>
              </w:rPr>
              <w:t>Kaye Ervin, Jennifer Weller-Newton and Jacque Phillips</w:t>
            </w:r>
            <w:r w:rsidR="007B229F">
              <w:rPr>
                <w:rFonts w:ascii="Garamond" w:hAnsi="Garamond"/>
                <w:lang w:val="en-AU"/>
              </w:rPr>
              <w:t>)</w:t>
            </w:r>
          </w:p>
        </w:tc>
      </w:tr>
    </w:tbl>
    <w:p w:rsidR="009B7CF3" w:rsidRDefault="009B7CF3" w:rsidP="009B7CF3">
      <w:pPr>
        <w:keepNext/>
        <w:keepLines/>
        <w:autoSpaceDE w:val="0"/>
        <w:autoSpaceDN w:val="0"/>
        <w:adjustRightInd w:val="0"/>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66625C" w:rsidP="000E1EA4">
            <w:pPr>
              <w:keepNext/>
              <w:rPr>
                <w:rFonts w:ascii="Garamond" w:hAnsi="Garamond"/>
                <w:lang w:val="en-AU"/>
              </w:rPr>
            </w:pPr>
            <w:hyperlink r:id="rId35"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10DE5" w:rsidRPr="00710DE5" w:rsidRDefault="00710DE5" w:rsidP="00EC23E6">
            <w:pPr>
              <w:pStyle w:val="ListParagraph"/>
              <w:numPr>
                <w:ilvl w:val="0"/>
                <w:numId w:val="14"/>
              </w:numPr>
              <w:rPr>
                <w:rFonts w:ascii="Garamond" w:hAnsi="Garamond"/>
                <w:lang w:val="en-AU"/>
              </w:rPr>
            </w:pPr>
            <w:r w:rsidRPr="00710DE5">
              <w:rPr>
                <w:rFonts w:ascii="Garamond" w:hAnsi="Garamond"/>
                <w:b/>
                <w:lang w:val="en-AU"/>
              </w:rPr>
              <w:t>Is greater patient involvement associated with higher satisfaction?</w:t>
            </w:r>
            <w:r w:rsidRPr="00710DE5">
              <w:rPr>
                <w:rFonts w:ascii="Garamond" w:hAnsi="Garamond"/>
                <w:lang w:val="en-AU"/>
              </w:rPr>
              <w:t xml:space="preserve"> Experimental evidence from a vignette survey (Søren Birkeland, Marie Bismark, Michael John Barry, Sören Möller</w:t>
            </w:r>
            <w:r>
              <w:rPr>
                <w:rFonts w:ascii="Garamond" w:hAnsi="Garamond"/>
                <w:lang w:val="en-AU"/>
              </w:rPr>
              <w:t>)</w:t>
            </w:r>
          </w:p>
          <w:p w:rsidR="003416DE" w:rsidRDefault="0056520C" w:rsidP="0056520C">
            <w:pPr>
              <w:pStyle w:val="ListParagraph"/>
              <w:numPr>
                <w:ilvl w:val="0"/>
                <w:numId w:val="14"/>
              </w:numPr>
              <w:rPr>
                <w:rFonts w:ascii="Garamond" w:hAnsi="Garamond"/>
                <w:lang w:val="en-AU"/>
              </w:rPr>
            </w:pPr>
            <w:r w:rsidRPr="0056520C">
              <w:rPr>
                <w:rFonts w:ascii="Garamond" w:hAnsi="Garamond"/>
                <w:lang w:val="en-AU"/>
              </w:rPr>
              <w:t xml:space="preserve">Editorial: Timely testing: who needs to do what differently to improve </w:t>
            </w:r>
            <w:r w:rsidRPr="0056520C">
              <w:rPr>
                <w:rFonts w:ascii="Garamond" w:hAnsi="Garamond"/>
                <w:b/>
                <w:lang w:val="en-AU"/>
              </w:rPr>
              <w:t>adherence to guideline-recommended glycaemic monitoring</w:t>
            </w:r>
            <w:r w:rsidRPr="0056520C">
              <w:rPr>
                <w:rFonts w:ascii="Garamond" w:hAnsi="Garamond"/>
                <w:lang w:val="en-AU"/>
              </w:rPr>
              <w:t xml:space="preserve">? </w:t>
            </w:r>
            <w:r>
              <w:rPr>
                <w:rFonts w:ascii="Garamond" w:hAnsi="Garamond"/>
                <w:lang w:val="en-AU"/>
              </w:rPr>
              <w:t>(</w:t>
            </w:r>
            <w:r w:rsidRPr="0056520C">
              <w:rPr>
                <w:rFonts w:ascii="Garamond" w:hAnsi="Garamond"/>
                <w:lang w:val="en-AU"/>
              </w:rPr>
              <w:t>Sheena McHugh, Kate O'Neill, Patricia M Kearney</w:t>
            </w:r>
            <w:r>
              <w:rPr>
                <w:rFonts w:ascii="Garamond" w:hAnsi="Garamond"/>
                <w:lang w:val="en-AU"/>
              </w:rPr>
              <w:t>)</w:t>
            </w:r>
          </w:p>
          <w:p w:rsidR="00A96E9F" w:rsidRPr="00543B3B" w:rsidRDefault="00A96E9F" w:rsidP="00A96E9F">
            <w:pPr>
              <w:pStyle w:val="ListParagraph"/>
              <w:numPr>
                <w:ilvl w:val="0"/>
                <w:numId w:val="14"/>
              </w:numPr>
              <w:rPr>
                <w:rFonts w:ascii="Garamond" w:hAnsi="Garamond"/>
                <w:lang w:val="en-AU"/>
              </w:rPr>
            </w:pPr>
            <w:r w:rsidRPr="00A96E9F">
              <w:rPr>
                <w:rFonts w:ascii="Garamond" w:hAnsi="Garamond"/>
                <w:lang w:val="en-AU"/>
              </w:rPr>
              <w:t xml:space="preserve">The effectiveness of </w:t>
            </w:r>
            <w:r w:rsidRPr="00A96E9F">
              <w:rPr>
                <w:rFonts w:ascii="Garamond" w:hAnsi="Garamond"/>
                <w:b/>
                <w:lang w:val="en-AU"/>
              </w:rPr>
              <w:t>interruptive prescribing alerts in ambulatory CPOE</w:t>
            </w:r>
            <w:r w:rsidRPr="00A96E9F">
              <w:rPr>
                <w:rFonts w:ascii="Garamond" w:hAnsi="Garamond"/>
                <w:lang w:val="en-AU"/>
              </w:rPr>
              <w:t xml:space="preserve"> to change prescriber behaviour &amp; improve safety</w:t>
            </w:r>
            <w:r>
              <w:rPr>
                <w:rFonts w:ascii="Garamond" w:hAnsi="Garamond"/>
                <w:lang w:val="en-AU"/>
              </w:rPr>
              <w:t xml:space="preserve"> (</w:t>
            </w:r>
            <w:r w:rsidRPr="00A96E9F">
              <w:rPr>
                <w:rFonts w:ascii="Garamond" w:hAnsi="Garamond"/>
                <w:lang w:val="en-AU"/>
              </w:rPr>
              <w:t>Oliver Cerqueira, Mohsain Gill, Bishr Swar, Katherine Ann Prentice, Shannon Gwin, Brent W Beasley</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66625C" w:rsidP="00315157">
            <w:pPr>
              <w:keepNext/>
              <w:rPr>
                <w:rFonts w:ascii="Garamond" w:hAnsi="Garamond"/>
                <w:lang w:val="en-AU"/>
              </w:rPr>
            </w:pPr>
            <w:hyperlink r:id="rId36"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6520C" w:rsidRDefault="0056520C" w:rsidP="0056520C">
            <w:pPr>
              <w:pStyle w:val="ListParagraph"/>
              <w:numPr>
                <w:ilvl w:val="0"/>
                <w:numId w:val="14"/>
              </w:numPr>
              <w:rPr>
                <w:rFonts w:ascii="Garamond" w:hAnsi="Garamond"/>
                <w:lang w:val="en-AU"/>
              </w:rPr>
            </w:pPr>
            <w:r w:rsidRPr="0056520C">
              <w:rPr>
                <w:rFonts w:ascii="Garamond" w:hAnsi="Garamond"/>
                <w:lang w:val="en-AU"/>
              </w:rPr>
              <w:t xml:space="preserve">Masked and Distanced: A Qualitative Study of </w:t>
            </w:r>
            <w:r w:rsidRPr="0056520C">
              <w:rPr>
                <w:rFonts w:ascii="Garamond" w:hAnsi="Garamond"/>
                <w:b/>
                <w:lang w:val="en-AU"/>
              </w:rPr>
              <w:t>How Personal Protective Equipment and Distancing Affect Teamwork in Emergency Care</w:t>
            </w:r>
            <w:r w:rsidRPr="0056520C">
              <w:rPr>
                <w:rFonts w:ascii="Garamond" w:hAnsi="Garamond"/>
                <w:lang w:val="en-AU"/>
              </w:rPr>
              <w:t xml:space="preserve"> (Tuna C Hayirli, Nicholas Stark, Aditi Bhanja, James Hardy, Christopher R Peabody, Michaela J Kerrissey</w:t>
            </w:r>
            <w:r>
              <w:rPr>
                <w:rFonts w:ascii="Garamond" w:hAnsi="Garamond"/>
                <w:lang w:val="en-AU"/>
              </w:rPr>
              <w:t>)</w:t>
            </w:r>
          </w:p>
          <w:p w:rsidR="007B0DA4" w:rsidRPr="00721A1B" w:rsidRDefault="0056520C" w:rsidP="0056520C">
            <w:pPr>
              <w:pStyle w:val="ListParagraph"/>
              <w:numPr>
                <w:ilvl w:val="0"/>
                <w:numId w:val="14"/>
              </w:numPr>
              <w:rPr>
                <w:rFonts w:ascii="Garamond" w:hAnsi="Garamond"/>
                <w:lang w:val="en-AU"/>
              </w:rPr>
            </w:pPr>
            <w:r w:rsidRPr="0056520C">
              <w:rPr>
                <w:rFonts w:ascii="Garamond" w:hAnsi="Garamond"/>
                <w:b/>
                <w:lang w:val="en-AU"/>
              </w:rPr>
              <w:t>From Accreditation to Quality Improvement</w:t>
            </w:r>
            <w:r w:rsidRPr="0056520C">
              <w:rPr>
                <w:rFonts w:ascii="Garamond" w:hAnsi="Garamond"/>
                <w:lang w:val="en-AU"/>
              </w:rPr>
              <w:t xml:space="preserve"> – the Danish National Quality Programme </w:t>
            </w:r>
            <w:r>
              <w:rPr>
                <w:rFonts w:ascii="Garamond" w:hAnsi="Garamond"/>
                <w:lang w:val="en-AU"/>
              </w:rPr>
              <w:t>(</w:t>
            </w:r>
            <w:r w:rsidRPr="0056520C">
              <w:rPr>
                <w:rFonts w:ascii="Garamond" w:hAnsi="Garamond"/>
                <w:lang w:val="en-AU"/>
              </w:rPr>
              <w:t>Christian Uggerby, Solvejg Kristensen, Julie Mackenhauer, Søren Valgreen Knudsen, Paul Bartels</w:t>
            </w:r>
            <w:r>
              <w:rPr>
                <w:rFonts w:ascii="Garamond" w:hAnsi="Garamond"/>
                <w:lang w:val="en-AU"/>
              </w:rPr>
              <w:t xml:space="preserve">, </w:t>
            </w:r>
            <w:r w:rsidRPr="0056520C">
              <w:rPr>
                <w:rFonts w:ascii="Garamond" w:hAnsi="Garamond"/>
                <w:lang w:val="en-AU"/>
              </w:rPr>
              <w:t>Søren Paaske Johnsen, Jan Mainz</w:t>
            </w:r>
            <w:r>
              <w:rPr>
                <w:rFonts w:ascii="Garamond" w:hAnsi="Garamond"/>
                <w:lang w:val="en-AU"/>
              </w:rPr>
              <w:t>)</w:t>
            </w:r>
          </w:p>
        </w:tc>
      </w:tr>
    </w:tbl>
    <w:p w:rsidR="009D3349" w:rsidRDefault="009D3349" w:rsidP="00977E92">
      <w:pPr>
        <w:rPr>
          <w:rFonts w:ascii="Garamond" w:hAnsi="Garamond"/>
          <w:b/>
          <w:lang w:val="en-AU"/>
        </w:rPr>
      </w:pPr>
    </w:p>
    <w:p w:rsidR="00B84CD8" w:rsidRDefault="00B84CD8" w:rsidP="00977E92">
      <w:pPr>
        <w:rPr>
          <w:rFonts w:ascii="Garamond" w:hAnsi="Garamond"/>
          <w:b/>
          <w:lang w:val="en-AU"/>
        </w:rPr>
      </w:pPr>
    </w:p>
    <w:p w:rsidR="00B84CD8" w:rsidRDefault="00B84CD8"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t>Online resources</w:t>
      </w:r>
    </w:p>
    <w:p w:rsidR="00FB13B1" w:rsidRDefault="00FB13B1" w:rsidP="0008078E">
      <w:pPr>
        <w:keepNext/>
        <w:rPr>
          <w:rFonts w:ascii="Garamond" w:hAnsi="Garamond"/>
          <w:b/>
          <w:lang w:val="en-AU"/>
        </w:rPr>
      </w:pPr>
    </w:p>
    <w:p w:rsidR="001F32DC" w:rsidRPr="008F3909" w:rsidRDefault="00827889" w:rsidP="001F32DC">
      <w:pPr>
        <w:keepNext/>
        <w:rPr>
          <w:rFonts w:ascii="Garamond" w:hAnsi="Garamond"/>
          <w:i/>
          <w:lang w:val="en-AU"/>
        </w:rPr>
      </w:pPr>
      <w:r>
        <w:rPr>
          <w:rFonts w:ascii="Garamond" w:hAnsi="Garamond"/>
          <w:i/>
          <w:lang w:val="en-AU"/>
        </w:rPr>
        <w:t>[</w:t>
      </w:r>
      <w:r w:rsidR="001F32DC" w:rsidRPr="008F3909">
        <w:rPr>
          <w:rFonts w:ascii="Garamond" w:hAnsi="Garamond"/>
          <w:i/>
          <w:lang w:val="en-AU"/>
        </w:rPr>
        <w:t>UK] NICE Guidelines and Quality Standards</w:t>
      </w:r>
    </w:p>
    <w:p w:rsidR="001F32DC" w:rsidRPr="008F3909" w:rsidRDefault="0066625C" w:rsidP="001F32DC">
      <w:pPr>
        <w:keepNext/>
        <w:rPr>
          <w:rFonts w:ascii="Garamond" w:hAnsi="Garamond"/>
          <w:lang w:val="en-AU"/>
        </w:rPr>
      </w:pPr>
      <w:hyperlink r:id="rId37" w:history="1">
        <w:r w:rsidR="001F32DC" w:rsidRPr="00B91B4F">
          <w:rPr>
            <w:rStyle w:val="Hyperlink"/>
            <w:rFonts w:ascii="Garamond" w:hAnsi="Garamond"/>
            <w:lang w:val="en-AU"/>
          </w:rPr>
          <w:t>https://www.nice.org.uk/guidance</w:t>
        </w:r>
      </w:hyperlink>
    </w:p>
    <w:p w:rsidR="001F32DC" w:rsidRPr="008F3909" w:rsidRDefault="001F32DC" w:rsidP="001F32D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A96E9F" w:rsidRDefault="00A96E9F" w:rsidP="00A96E9F">
      <w:pPr>
        <w:pStyle w:val="ListParagraph"/>
        <w:numPr>
          <w:ilvl w:val="0"/>
          <w:numId w:val="14"/>
        </w:numPr>
        <w:rPr>
          <w:rFonts w:ascii="Garamond" w:hAnsi="Garamond"/>
          <w:lang w:val="en-AU"/>
        </w:rPr>
      </w:pPr>
      <w:r>
        <w:rPr>
          <w:rFonts w:ascii="Garamond" w:hAnsi="Garamond"/>
          <w:lang w:val="en-AU"/>
        </w:rPr>
        <w:t xml:space="preserve">Quality Standard QS37 </w:t>
      </w:r>
      <w:r w:rsidRPr="00A96E9F">
        <w:rPr>
          <w:rFonts w:ascii="Garamond" w:hAnsi="Garamond"/>
          <w:b/>
          <w:i/>
          <w:lang w:val="en-AU"/>
        </w:rPr>
        <w:t>Postnatal care</w:t>
      </w:r>
      <w:r>
        <w:rPr>
          <w:rFonts w:ascii="Garamond" w:hAnsi="Garamond"/>
          <w:lang w:val="en-AU"/>
        </w:rPr>
        <w:t xml:space="preserve"> </w:t>
      </w:r>
      <w:hyperlink r:id="rId38" w:history="1">
        <w:r w:rsidRPr="00014F66">
          <w:rPr>
            <w:rStyle w:val="Hyperlink"/>
            <w:rFonts w:ascii="Garamond" w:hAnsi="Garamond"/>
            <w:lang w:val="en-AU"/>
          </w:rPr>
          <w:t>https://www.nice.org.uk/guidance/qs37</w:t>
        </w:r>
      </w:hyperlink>
    </w:p>
    <w:p w:rsidR="00A96E9F" w:rsidRDefault="00A96E9F" w:rsidP="00A96E9F">
      <w:pPr>
        <w:pStyle w:val="ListParagraph"/>
        <w:numPr>
          <w:ilvl w:val="0"/>
          <w:numId w:val="14"/>
        </w:numPr>
        <w:rPr>
          <w:rFonts w:ascii="Garamond" w:hAnsi="Garamond"/>
          <w:lang w:val="en-AU"/>
        </w:rPr>
      </w:pPr>
      <w:r w:rsidRPr="008271B3">
        <w:rPr>
          <w:rFonts w:ascii="Garamond" w:hAnsi="Garamond"/>
          <w:lang w:val="en-AU"/>
        </w:rPr>
        <w:t>NICE Guideline NG</w:t>
      </w:r>
      <w:r>
        <w:rPr>
          <w:rFonts w:ascii="Garamond" w:hAnsi="Garamond"/>
          <w:lang w:val="en-AU"/>
        </w:rPr>
        <w:t xml:space="preserve">194 </w:t>
      </w:r>
      <w:r w:rsidRPr="00A96E9F">
        <w:rPr>
          <w:rFonts w:ascii="Garamond" w:hAnsi="Garamond"/>
          <w:b/>
          <w:i/>
          <w:lang w:val="en-AU"/>
        </w:rPr>
        <w:t>Postnatal care</w:t>
      </w:r>
      <w:r>
        <w:rPr>
          <w:rFonts w:ascii="Garamond" w:hAnsi="Garamond"/>
          <w:lang w:val="en-AU"/>
        </w:rPr>
        <w:t xml:space="preserve"> </w:t>
      </w:r>
      <w:hyperlink r:id="rId39" w:history="1">
        <w:r w:rsidRPr="00014F66">
          <w:rPr>
            <w:rStyle w:val="Hyperlink"/>
            <w:rFonts w:ascii="Garamond" w:hAnsi="Garamond"/>
            <w:lang w:val="en-AU"/>
          </w:rPr>
          <w:t>https://www.nice.org.uk/guidance/ng194</w:t>
        </w:r>
      </w:hyperlink>
    </w:p>
    <w:p w:rsidR="009B7CF3" w:rsidRDefault="00252E3A" w:rsidP="00A96E9F">
      <w:pPr>
        <w:pStyle w:val="ListParagraph"/>
        <w:numPr>
          <w:ilvl w:val="0"/>
          <w:numId w:val="14"/>
        </w:numPr>
        <w:rPr>
          <w:rFonts w:ascii="Garamond" w:hAnsi="Garamond"/>
          <w:lang w:val="en-AU"/>
        </w:rPr>
      </w:pPr>
      <w:r w:rsidRPr="008271B3">
        <w:rPr>
          <w:rFonts w:ascii="Garamond" w:hAnsi="Garamond"/>
          <w:lang w:val="en-AU"/>
        </w:rPr>
        <w:t>NICE Guideline NG</w:t>
      </w:r>
      <w:r w:rsidR="00A96E9F">
        <w:rPr>
          <w:rFonts w:ascii="Garamond" w:hAnsi="Garamond"/>
          <w:lang w:val="en-AU"/>
        </w:rPr>
        <w:t xml:space="preserve">195 </w:t>
      </w:r>
      <w:r w:rsidR="00A96E9F" w:rsidRPr="00A96E9F">
        <w:rPr>
          <w:rFonts w:ascii="Garamond" w:hAnsi="Garamond"/>
          <w:b/>
          <w:i/>
          <w:lang w:val="en-AU"/>
        </w:rPr>
        <w:t>Neonatal infection</w:t>
      </w:r>
      <w:r w:rsidR="00A96E9F" w:rsidRPr="00A96E9F">
        <w:rPr>
          <w:rFonts w:ascii="Garamond" w:hAnsi="Garamond"/>
          <w:i/>
          <w:lang w:val="en-AU"/>
        </w:rPr>
        <w:t xml:space="preserve">: antibiotics for prevention and treatment </w:t>
      </w:r>
      <w:hyperlink r:id="rId40" w:history="1">
        <w:r w:rsidR="00A96E9F" w:rsidRPr="00014F66">
          <w:rPr>
            <w:rStyle w:val="Hyperlink"/>
            <w:rFonts w:ascii="Garamond" w:hAnsi="Garamond"/>
            <w:lang w:val="en-AU"/>
          </w:rPr>
          <w:t>https://www.nice.org.uk/guidance/ng195</w:t>
        </w:r>
      </w:hyperlink>
    </w:p>
    <w:p w:rsidR="00A96E9F" w:rsidRDefault="00A96E9F" w:rsidP="0081159E">
      <w:pPr>
        <w:keepNext/>
        <w:keepLines/>
        <w:rPr>
          <w:rFonts w:ascii="Garamond" w:hAnsi="Garamond"/>
          <w:i/>
          <w:lang w:val="en-AU"/>
        </w:rPr>
      </w:pPr>
    </w:p>
    <w:p w:rsidR="0081159E" w:rsidRPr="000170DA" w:rsidRDefault="0081159E" w:rsidP="0081159E">
      <w:pPr>
        <w:keepNext/>
        <w:keepLines/>
        <w:rPr>
          <w:rFonts w:ascii="Garamond" w:hAnsi="Garamond"/>
          <w:i/>
          <w:lang w:val="en-AU"/>
        </w:rPr>
      </w:pPr>
      <w:r w:rsidRPr="000170DA">
        <w:rPr>
          <w:rFonts w:ascii="Garamond" w:hAnsi="Garamond"/>
          <w:i/>
          <w:lang w:val="en-AU"/>
        </w:rPr>
        <w:t>[USA] Effective Health Care Program reports</w:t>
      </w:r>
    </w:p>
    <w:p w:rsidR="0081159E" w:rsidRPr="000170DA" w:rsidRDefault="0066625C" w:rsidP="0081159E">
      <w:pPr>
        <w:keepNext/>
        <w:keepLines/>
        <w:rPr>
          <w:rFonts w:ascii="Garamond" w:hAnsi="Garamond"/>
          <w:u w:val="single"/>
          <w:lang w:val="en-AU"/>
        </w:rPr>
      </w:pPr>
      <w:hyperlink r:id="rId41" w:history="1">
        <w:r w:rsidR="0081159E" w:rsidRPr="000170DA">
          <w:rPr>
            <w:rStyle w:val="Hyperlink"/>
            <w:rFonts w:ascii="Garamond" w:hAnsi="Garamond"/>
            <w:lang w:val="en-AU"/>
          </w:rPr>
          <w:t>https://effectivehealthcare.ahrq.gov/</w:t>
        </w:r>
      </w:hyperlink>
    </w:p>
    <w:p w:rsidR="0081159E" w:rsidRDefault="0081159E" w:rsidP="0081159E">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81159E" w:rsidRDefault="0081159E" w:rsidP="0081159E">
      <w:pPr>
        <w:pStyle w:val="ListParagraph"/>
        <w:keepNext/>
        <w:numPr>
          <w:ilvl w:val="0"/>
          <w:numId w:val="14"/>
        </w:numPr>
        <w:rPr>
          <w:rFonts w:ascii="Garamond" w:hAnsi="Garamond"/>
          <w:lang w:val="en-AU"/>
        </w:rPr>
      </w:pPr>
      <w:r w:rsidRPr="0081159E">
        <w:rPr>
          <w:rFonts w:ascii="Garamond" w:hAnsi="Garamond"/>
          <w:b/>
          <w:i/>
          <w:lang w:val="en-AU"/>
        </w:rPr>
        <w:t>Maternal, Fetal, and Child Outcomes of Mental Health Treatments</w:t>
      </w:r>
      <w:r w:rsidRPr="0081159E">
        <w:rPr>
          <w:rFonts w:ascii="Garamond" w:hAnsi="Garamond"/>
          <w:i/>
          <w:lang w:val="en-AU"/>
        </w:rPr>
        <w:t xml:space="preserve"> in Women: A Systematic Review of Perinatal Pharmacologic Interventions</w:t>
      </w:r>
      <w:r>
        <w:rPr>
          <w:rFonts w:ascii="Garamond" w:hAnsi="Garamond"/>
          <w:lang w:val="en-AU"/>
        </w:rPr>
        <w:br/>
        <w:t xml:space="preserve"> </w:t>
      </w:r>
      <w:hyperlink r:id="rId42" w:history="1">
        <w:r w:rsidRPr="002B5245">
          <w:rPr>
            <w:rStyle w:val="Hyperlink"/>
            <w:rFonts w:ascii="Garamond" w:hAnsi="Garamond"/>
            <w:lang w:val="en-AU"/>
          </w:rPr>
          <w:t>https://effectivehealthcare.ahrq.gov/products/mental-health-pregnancy/research</w:t>
        </w:r>
      </w:hyperlink>
    </w:p>
    <w:p w:rsidR="0081159E" w:rsidRPr="0081159E" w:rsidRDefault="0081159E" w:rsidP="004F1B09">
      <w:pPr>
        <w:pStyle w:val="ListParagraph"/>
        <w:keepNext/>
        <w:numPr>
          <w:ilvl w:val="0"/>
          <w:numId w:val="14"/>
        </w:numPr>
        <w:rPr>
          <w:rFonts w:ascii="Garamond" w:hAnsi="Garamond"/>
          <w:lang w:val="en-AU"/>
        </w:rPr>
      </w:pPr>
      <w:r w:rsidRPr="0081159E">
        <w:rPr>
          <w:rFonts w:ascii="Garamond" w:hAnsi="Garamond"/>
          <w:i/>
          <w:lang w:val="en-AU"/>
        </w:rPr>
        <w:t xml:space="preserve">Improving the Utility of </w:t>
      </w:r>
      <w:r w:rsidRPr="0081159E">
        <w:rPr>
          <w:rFonts w:ascii="Garamond" w:hAnsi="Garamond"/>
          <w:b/>
          <w:i/>
          <w:lang w:val="en-AU"/>
        </w:rPr>
        <w:t>Evidence Synthesis for Decision Makers</w:t>
      </w:r>
      <w:r w:rsidRPr="0081159E">
        <w:rPr>
          <w:rFonts w:ascii="Garamond" w:hAnsi="Garamond"/>
          <w:i/>
          <w:lang w:val="en-AU"/>
        </w:rPr>
        <w:t xml:space="preserve"> in the Face of Insufficient Evidence</w:t>
      </w:r>
      <w:r w:rsidRPr="0081159E">
        <w:rPr>
          <w:rFonts w:ascii="Garamond" w:hAnsi="Garamond"/>
          <w:lang w:val="en-AU"/>
        </w:rPr>
        <w:t xml:space="preserve"> </w:t>
      </w:r>
      <w:hyperlink r:id="rId43" w:history="1">
        <w:r w:rsidRPr="0081159E">
          <w:rPr>
            <w:rStyle w:val="Hyperlink"/>
            <w:rFonts w:ascii="Garamond" w:hAnsi="Garamond"/>
            <w:lang w:val="en-AU"/>
          </w:rPr>
          <w:t>https://effectivehealthcare.ahrq.gov/products/improving-evidence-synthesis/white-paper</w:t>
        </w:r>
      </w:hyperlink>
    </w:p>
    <w:p w:rsidR="009B7CF3" w:rsidRDefault="009B7CF3" w:rsidP="00DA7517">
      <w:pPr>
        <w:keepNext/>
        <w:keepLines/>
        <w:rPr>
          <w:rFonts w:ascii="Garamond" w:hAnsi="Garamond"/>
          <w:i/>
          <w:lang w:val="en-AU"/>
        </w:rPr>
      </w:pPr>
    </w:p>
    <w:p w:rsidR="0081159E" w:rsidRDefault="0081159E" w:rsidP="00DA7517">
      <w:pPr>
        <w:keepNext/>
        <w:keepLines/>
        <w:rPr>
          <w:rFonts w:ascii="Garamond" w:hAnsi="Garamond"/>
          <w:i/>
          <w:lang w:val="en-AU"/>
        </w:rPr>
      </w:pPr>
    </w:p>
    <w:p w:rsidR="0081159E" w:rsidRDefault="0081159E" w:rsidP="00DA7517">
      <w:pPr>
        <w:keepNext/>
        <w:keepLines/>
        <w:pBdr>
          <w:bottom w:val="single" w:sz="6" w:space="1" w:color="auto"/>
        </w:pBdr>
        <w:rPr>
          <w:rFonts w:ascii="Garamond" w:hAnsi="Garamond"/>
          <w:i/>
          <w:lang w:val="en-AU"/>
        </w:rPr>
      </w:pPr>
    </w:p>
    <w:p w:rsidR="0081159E" w:rsidRDefault="0081159E" w:rsidP="00D574D3">
      <w:pPr>
        <w:keepNext/>
        <w:tabs>
          <w:tab w:val="left" w:pos="0"/>
        </w:tabs>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4"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5"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lastRenderedPageBreak/>
        <w:br/>
      </w:r>
      <w:r>
        <w:rPr>
          <w:rFonts w:ascii="Garamond" w:hAnsi="Garamond"/>
          <w:noProof/>
          <w:lang w:val="en-AU" w:eastAsia="en-AU"/>
        </w:rPr>
        <w:drawing>
          <wp:inline distT="0" distB="0" distL="0" distR="0" wp14:anchorId="7DD2CFC8" wp14:editId="1B7A1D06">
            <wp:extent cx="3333509" cy="4700516"/>
            <wp:effectExtent l="19050" t="19050" r="19685" b="24130"/>
            <wp:docPr id="4" name="Picture 4" descr="COVID-19: Aged care staff infection prevention and control precautions poster" title="COVID-19: Aged care staff infection prevention and control precautions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415868"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47"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8"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49"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0"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1"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52"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lastRenderedPageBreak/>
        <w:t xml:space="preserve">Break the chain of infection: Stopping COVID-19 </w:t>
      </w:r>
      <w:r w:rsidRPr="00504597">
        <w:rPr>
          <w:rFonts w:ascii="Garamond" w:hAnsi="Garamond"/>
          <w:lang w:val="en-AU"/>
        </w:rPr>
        <w:t>poster</w:t>
      </w:r>
      <w:r>
        <w:rPr>
          <w:rFonts w:ascii="Garamond" w:hAnsi="Garamond"/>
          <w:b/>
          <w:i/>
          <w:lang w:val="en-AU"/>
        </w:rPr>
        <w:t xml:space="preserve"> </w:t>
      </w:r>
      <w:hyperlink r:id="rId53" w:history="1">
        <w:r w:rsidRPr="00504597">
          <w:rPr>
            <w:rStyle w:val="Hyperlink"/>
            <w:rFonts w:ascii="Garamond" w:hAnsi="Garamond"/>
            <w:lang w:val="en-AU"/>
          </w:rPr>
          <w:t>https://www.safetyandquality.gov.au/publications-and-resources/resource-library/break-chain-poster-a3</w:t>
        </w:r>
      </w:hyperlink>
      <w:r>
        <w:rPr>
          <w:rStyle w:val="Hyperlink"/>
          <w:rFonts w:ascii="Garamond" w:hAnsi="Garamond"/>
          <w:lang w:val="en-AU"/>
        </w:rPr>
        <w:br/>
      </w:r>
      <w:r>
        <w:rPr>
          <w:rFonts w:ascii="Garamond" w:hAnsi="Garamond"/>
          <w:b/>
          <w:noProof/>
          <w:lang w:val="en-AU" w:eastAsia="en-AU"/>
        </w:rPr>
        <w:drawing>
          <wp:inline distT="0" distB="0" distL="0" distR="0" wp14:anchorId="36B84247" wp14:editId="55D36220">
            <wp:extent cx="2071869" cy="2928600"/>
            <wp:effectExtent l="19050" t="19050" r="24130" b="24765"/>
            <wp:docPr id="1" name="Picture 1" descr="Break the chain of infection: Stopping COVID-19 poster" title="Break the chain of infection: Stopping COVID-19 post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49002" cy="3037627"/>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56"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7"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8"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9"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6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61"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r>
        <w:rPr>
          <w:noProof/>
          <w:lang w:val="en-AU" w:eastAsia="en-AU"/>
        </w:rPr>
        <w:lastRenderedPageBreak/>
        <w:drawing>
          <wp:inline distT="0" distB="0" distL="0" distR="0" wp14:anchorId="296858A4" wp14:editId="231D5E73">
            <wp:extent cx="3981691" cy="5864296"/>
            <wp:effectExtent l="19050" t="19050" r="19050" b="22225"/>
            <wp:docPr id="2" name="Picture 2" descr="COVID-19 and face masks information for consumers poster image" title="COVID-19 and face masks information for consumers poster imag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05459" cy="5899303"/>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t>National COVID-19 Clinical Evidence Taskforce</w:t>
      </w:r>
    </w:p>
    <w:p w:rsidR="00D574D3" w:rsidRPr="007F0962" w:rsidRDefault="0066625C" w:rsidP="00D574D3">
      <w:pPr>
        <w:keepNext/>
        <w:keepLines/>
        <w:rPr>
          <w:rFonts w:ascii="Garamond" w:hAnsi="Garamond"/>
          <w:lang w:val="en-AU"/>
        </w:rPr>
      </w:pPr>
      <w:hyperlink r:id="rId64"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66625C" w:rsidP="00D574D3">
      <w:pPr>
        <w:keepNext/>
        <w:keepLines/>
        <w:rPr>
          <w:rFonts w:ascii="Garamond" w:hAnsi="Garamond"/>
          <w:lang w:val="en-AU"/>
        </w:rPr>
      </w:pPr>
      <w:hyperlink r:id="rId65"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2C63F7" w:rsidRPr="002C63F7" w:rsidRDefault="002C63F7" w:rsidP="00244FAA">
      <w:pPr>
        <w:pStyle w:val="ListParagraph"/>
        <w:keepNext/>
        <w:numPr>
          <w:ilvl w:val="0"/>
          <w:numId w:val="21"/>
        </w:numPr>
        <w:rPr>
          <w:rFonts w:ascii="Garamond" w:hAnsi="Garamond"/>
          <w:lang w:val="en-AU"/>
        </w:rPr>
      </w:pPr>
      <w:r w:rsidRPr="002C63F7">
        <w:rPr>
          <w:rFonts w:ascii="Garamond" w:hAnsi="Garamond"/>
          <w:b/>
          <w:i/>
          <w:lang w:val="en-AU"/>
        </w:rPr>
        <w:t xml:space="preserve">Deep cleans </w:t>
      </w:r>
      <w:r w:rsidRPr="002C63F7">
        <w:rPr>
          <w:rFonts w:ascii="Garamond" w:hAnsi="Garamond"/>
          <w:lang w:val="en-AU"/>
        </w:rPr>
        <w:t>– Is deep cleaning necessary to limit the transmission of COVID-19?</w:t>
      </w:r>
    </w:p>
    <w:p w:rsidR="00D574D3" w:rsidRPr="002C63F7" w:rsidRDefault="002C63F7" w:rsidP="00633A04">
      <w:pPr>
        <w:pStyle w:val="ListParagraph"/>
        <w:keepNext/>
        <w:numPr>
          <w:ilvl w:val="0"/>
          <w:numId w:val="21"/>
        </w:numPr>
        <w:rPr>
          <w:rFonts w:ascii="Garamond" w:hAnsi="Garamond"/>
          <w:lang w:val="en-AU"/>
        </w:rPr>
      </w:pPr>
      <w:r w:rsidRPr="002C63F7">
        <w:rPr>
          <w:rFonts w:ascii="Garamond" w:hAnsi="Garamond"/>
          <w:b/>
          <w:i/>
          <w:lang w:val="en-AU"/>
        </w:rPr>
        <w:t xml:space="preserve">COVID-19 rapid testing </w:t>
      </w:r>
      <w:r w:rsidRPr="002C63F7">
        <w:rPr>
          <w:rFonts w:ascii="Garamond" w:hAnsi="Garamond"/>
          <w:lang w:val="en-AU"/>
        </w:rPr>
        <w:t>– What is the efficacy of rapid, point-of-care tests for COVID-19?</w:t>
      </w:r>
      <w:r w:rsidR="00485363" w:rsidRPr="002C63F7">
        <w:rPr>
          <w:rFonts w:ascii="Garamond" w:hAnsi="Garamond"/>
          <w:lang w:val="en-AU"/>
        </w:rPr>
        <w:t>Quarantine measures</w:t>
      </w:r>
      <w:r w:rsidR="00606651">
        <w:rPr>
          <w:rFonts w:ascii="Garamond" w:hAnsi="Garamond"/>
          <w:lang w:val="en-AU"/>
        </w:rPr>
        <w:t>.</w:t>
      </w:r>
    </w:p>
    <w:p w:rsidR="007B0DA4" w:rsidRDefault="007B0DA4" w:rsidP="00B24501">
      <w:pPr>
        <w:rPr>
          <w:rFonts w:ascii="Garamond" w:hAnsi="Garamond"/>
          <w:lang w:val="en-AU"/>
        </w:rPr>
      </w:pPr>
    </w:p>
    <w:p w:rsidR="005B1D02" w:rsidRDefault="005B1D02"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6"/>
      <w:footerReference w:type="default" r:id="rId6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B9" w:rsidRDefault="008B6AB9">
      <w:r>
        <w:separator/>
      </w:r>
    </w:p>
  </w:endnote>
  <w:endnote w:type="continuationSeparator" w:id="0">
    <w:p w:rsidR="008B6AB9" w:rsidRDefault="008B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B9" w:rsidRDefault="008B6AB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6625C">
      <w:rPr>
        <w:rStyle w:val="PageNumber"/>
        <w:noProof/>
      </w:rPr>
      <w:t>4</w:t>
    </w:r>
    <w:r>
      <w:rPr>
        <w:rStyle w:val="PageNumber"/>
      </w:rPr>
      <w:fldChar w:fldCharType="end"/>
    </w:r>
  </w:p>
  <w:p w:rsidR="008B6AB9" w:rsidRPr="001E78F0" w:rsidRDefault="008B6AB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w:t>
    </w:r>
    <w:r w:rsidR="009B7CF3">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B9" w:rsidRPr="001E78F0" w:rsidRDefault="008B6AB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6625C">
      <w:rPr>
        <w:rStyle w:val="PageNumber"/>
        <w:rFonts w:ascii="Garamond" w:hAnsi="Garamond"/>
        <w:noProof/>
      </w:rPr>
      <w:t>3</w:t>
    </w:r>
    <w:r w:rsidRPr="001E78F0">
      <w:rPr>
        <w:rStyle w:val="PageNumber"/>
        <w:rFonts w:ascii="Garamond" w:hAnsi="Garamond"/>
      </w:rPr>
      <w:fldChar w:fldCharType="end"/>
    </w:r>
  </w:p>
  <w:p w:rsidR="008B6AB9" w:rsidRPr="001E78F0" w:rsidRDefault="008B6AB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w:t>
    </w:r>
    <w:r w:rsidR="009B7CF3">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B9" w:rsidRDefault="008B6AB9">
      <w:r>
        <w:separator/>
      </w:r>
    </w:p>
  </w:footnote>
  <w:footnote w:type="continuationSeparator" w:id="0">
    <w:p w:rsidR="008B6AB9" w:rsidRDefault="008B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13"/>
  </w:num>
  <w:num w:numId="16">
    <w:abstractNumId w:val="20"/>
  </w:num>
  <w:num w:numId="17">
    <w:abstractNumId w:val="19"/>
  </w:num>
  <w:num w:numId="18">
    <w:abstractNumId w:val="15"/>
  </w:num>
  <w:num w:numId="19">
    <w:abstractNumId w:val="10"/>
  </w:num>
  <w:num w:numId="20">
    <w:abstractNumId w:val="11"/>
  </w:num>
  <w:num w:numId="21">
    <w:abstractNumId w:val="23"/>
  </w:num>
  <w:num w:numId="22">
    <w:abstractNumId w:val="22"/>
  </w:num>
  <w:num w:numId="23">
    <w:abstractNumId w:val="18"/>
  </w:num>
  <w:num w:numId="24">
    <w:abstractNumId w:val="12"/>
  </w:num>
  <w:num w:numId="25">
    <w:abstractNumId w:val="24"/>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5C"/>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424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kapara.rdbk.com.au/landers/539292.html" TargetMode="External"/><Relationship Id="rId26" Type="http://schemas.openxmlformats.org/officeDocument/2006/relationships/hyperlink" Target="https://www.safetyandquality.gov.au/our-work/partnering-consumers/shared-decision-making" TargetMode="External"/><Relationship Id="rId39" Type="http://schemas.openxmlformats.org/officeDocument/2006/relationships/hyperlink" Target="https://www.nice.org.uk/guidance/ng194" TargetMode="External"/><Relationship Id="rId21" Type="http://schemas.openxmlformats.org/officeDocument/2006/relationships/hyperlink" Target="mailto:atlas@safetyandquality.gov.au" TargetMode="External"/><Relationship Id="rId34" Type="http://schemas.openxmlformats.org/officeDocument/2006/relationships/hyperlink" Target="https://www.publish.csiro.au/py/issue/10183" TargetMode="External"/><Relationship Id="rId42" Type="http://schemas.openxmlformats.org/officeDocument/2006/relationships/hyperlink" Target="https://effectivehealthcare.ahrq.gov/products/mental-health-pregnancy/research" TargetMode="External"/><Relationship Id="rId47" Type="http://schemas.openxmlformats.org/officeDocument/2006/relationships/hyperlink" Target="http://www.safetyandquality.gov.au/environmental-cleaning" TargetMode="External"/><Relationship Id="rId50" Type="http://schemas.openxmlformats.org/officeDocument/2006/relationships/hyperlink" Target="https://www.safetyandquality.gov.au/publications-and-resources/resource-library/covid-19-infection-prevention-and-control-risk-management-guidance" TargetMode="External"/><Relationship Id="rId55" Type="http://schemas.openxmlformats.org/officeDocument/2006/relationships/image" Target="media/image7.png"/><Relationship Id="rId63" Type="http://schemas.openxmlformats.org/officeDocument/2006/relationships/image" Target="media/image8.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ww.safetyandquality.gov.au/our-work/indicators/hospital-acquired-comp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dx.doi.org/10.1136/bmjqs-2020-012312" TargetMode="External"/><Relationship Id="rId32" Type="http://schemas.openxmlformats.org/officeDocument/2006/relationships/hyperlink" Target="https://qualitysafety.bmj.com/content/30/5" TargetMode="External"/><Relationship Id="rId37" Type="http://schemas.openxmlformats.org/officeDocument/2006/relationships/hyperlink" Target="https://www.nice.org.uk/guidance" TargetMode="External"/><Relationship Id="rId40" Type="http://schemas.openxmlformats.org/officeDocument/2006/relationships/hyperlink" Target="https://www.nice.org.uk/guidance/ng195" TargetMode="External"/><Relationship Id="rId45" Type="http://schemas.openxmlformats.org/officeDocument/2006/relationships/hyperlink" Target="https://www.safetyandquality.gov.au/publications-and-resources/resource-library/covid-19-aged-care-staff-infection-prevention-and-control-precautions-poster" TargetMode="External"/><Relationship Id="rId53" Type="http://schemas.openxmlformats.org/officeDocument/2006/relationships/hyperlink" Target="https://www.safetyandquality.gov.au/publications-and-resources/resource-library/break-chain-poster-a3" TargetMode="External"/><Relationship Id="rId58" Type="http://schemas.openxmlformats.org/officeDocument/2006/relationships/hyperlink" Target="https://www.safetyandquality.gov.au/node/5725"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standards/clinical-care-standards/third-and-fourth-degree-perineal-tears-clinical-care-standard" TargetMode="External"/><Relationship Id="rId23" Type="http://schemas.openxmlformats.org/officeDocument/2006/relationships/image" Target="media/image4.jpeg"/><Relationship Id="rId28" Type="http://schemas.openxmlformats.org/officeDocument/2006/relationships/hyperlink" Target="https://doi.org/10.1071/AH20126" TargetMode="External"/><Relationship Id="rId36" Type="http://schemas.openxmlformats.org/officeDocument/2006/relationships/hyperlink" Target="https://academic.oup.com/intqhc/advance-articles" TargetMode="External"/><Relationship Id="rId49" Type="http://schemas.openxmlformats.org/officeDocument/2006/relationships/hyperlink" Target="https://www.safetyandquality.gov.au/publications-and-resources/resource-library/special-precautions-covid-19-designated-zones" TargetMode="External"/><Relationship Id="rId57" Type="http://schemas.openxmlformats.org/officeDocument/2006/relationships/hyperlink" Target="https://www.safetyandquality.gov.au/node/5724" TargetMode="External"/><Relationship Id="rId61" Type="http://schemas.openxmlformats.org/officeDocument/2006/relationships/hyperlink" Target="https://www.safetyandquality.gov.au/wearing-face-masks-community"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3.jpeg"/><Relationship Id="rId31" Type="http://schemas.openxmlformats.org/officeDocument/2006/relationships/hyperlink" Target="https://doi.org/10.1186/s12911-020-01243-6" TargetMode="External"/><Relationship Id="rId44" Type="http://schemas.openxmlformats.org/officeDocument/2006/relationships/hyperlink" Target="https://www.safetyandquality.gov.au/covid-19" TargetMode="External"/><Relationship Id="rId52" Type="http://schemas.openxmlformats.org/officeDocument/2006/relationships/hyperlink" Target="https://www.safetyandquality.gov.au/our-work/medication-safety/medicines-management-covid-19" TargetMode="External"/><Relationship Id="rId60" Type="http://schemas.openxmlformats.org/officeDocument/2006/relationships/hyperlink" Target="https://www.safetyandquality.gov.au/publications-and-resources/resource-library/covid-19-and-face-masks-information-consumers" TargetMode="External"/><Relationship Id="rId65"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36/bmj.n117" TargetMode="External"/><Relationship Id="rId27" Type="http://schemas.openxmlformats.org/officeDocument/2006/relationships/hyperlink" Target="https://www.safetyandquality.gov.au/our-work/partnering-consumers/shared-decision-making/decision-support-tools-patients" TargetMode="External"/><Relationship Id="rId30" Type="http://schemas.openxmlformats.org/officeDocument/2006/relationships/hyperlink" Target="https://doi.org/10.1016/j.apnr.2021.151405" TargetMode="External"/><Relationship Id="rId35" Type="http://schemas.openxmlformats.org/officeDocument/2006/relationships/hyperlink" Target="https://qualitysafety.bmj.com/content/early/recent" TargetMode="External"/><Relationship Id="rId43" Type="http://schemas.openxmlformats.org/officeDocument/2006/relationships/hyperlink" Target="https://effectivehealthcare.ahrq.gov/products/improving-evidence-synthesis/white-paper" TargetMode="External"/><Relationship Id="rId48" Type="http://schemas.openxmlformats.org/officeDocument/2006/relationships/hyperlink" Target="https://www.safetyandquality.gov.au/publications-and-resources/resource-library/infection-prevention-and-control-covid-19-personal-protective-equipment" TargetMode="External"/><Relationship Id="rId56" Type="http://schemas.openxmlformats.org/officeDocument/2006/relationships/hyperlink" Target="https://www.safetyandquality.gov.au/publications-and-resources/resource-library/covid-19-elective-surgery-and-infection-prevention-and-control-precautions" TargetMode="External"/><Relationship Id="rId64" Type="http://schemas.openxmlformats.org/officeDocument/2006/relationships/hyperlink" Target="https://covid19evidence.net.au/" TargetMode="Externa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third-and-fourth-degree-perineal-tears-clinical-care-standard" TargetMode="External"/><Relationship Id="rId25" Type="http://schemas.openxmlformats.org/officeDocument/2006/relationships/image" Target="media/image5.jpeg"/><Relationship Id="rId33" Type="http://schemas.openxmlformats.org/officeDocument/2006/relationships/hyperlink" Target="https://journals.lww.com/pqs/toc/2021/03000" TargetMode="External"/><Relationship Id="rId38" Type="http://schemas.openxmlformats.org/officeDocument/2006/relationships/hyperlink" Target="https://www.nice.org.uk/guidance/qs37" TargetMode="External"/><Relationship Id="rId46" Type="http://schemas.openxmlformats.org/officeDocument/2006/relationships/image" Target="media/image6.PNG"/><Relationship Id="rId59" Type="http://schemas.openxmlformats.org/officeDocument/2006/relationships/hyperlink" Target="https://www.safetyandquality.gov.au/faqs-community-use-face-masks" TargetMode="External"/><Relationship Id="rId67" Type="http://schemas.openxmlformats.org/officeDocument/2006/relationships/footer" Target="footer2.xml"/><Relationship Id="rId20" Type="http://schemas.openxmlformats.org/officeDocument/2006/relationships/hyperlink" Target="https://kapara.rdbk.com.au/landers/539292.html" TargetMode="External"/><Relationship Id="rId41" Type="http://schemas.openxmlformats.org/officeDocument/2006/relationships/hyperlink" Target="https://effectivehealthcare.ahrq.gov/" TargetMode="External"/><Relationship Id="rId5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2" Type="http://schemas.openxmlformats.org/officeDocument/2006/relationships/hyperlink" Target="https://www.safetyandquality.gov.au/sites/default/files/2020-07/covid-19_and_face_masks_-_information_for_consum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7470-25C1-4E8C-BC48-D5766251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4965</Words>
  <Characters>28302</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On the Radar Issue 508</vt:lpstr>
    </vt:vector>
  </TitlesOfParts>
  <Company>ACSQHC</Company>
  <LinksUpToDate>false</LinksUpToDate>
  <CharactersWithSpaces>33201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508</dc:title>
  <dc:subject/>
  <dc:creator>Dr Niall Johnson</dc:creator>
  <cp:keywords>On the Radar</cp:keywords>
  <dc:description/>
  <cp:lastModifiedBy>Johnson, Niall</cp:lastModifiedBy>
  <cp:revision>2</cp:revision>
  <cp:lastPrinted>2018-03-02T02:34:00Z</cp:lastPrinted>
  <dcterms:created xsi:type="dcterms:W3CDTF">2021-04-23T01:47:00Z</dcterms:created>
  <dcterms:modified xsi:type="dcterms:W3CDTF">2021-04-23T01:47:00Z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