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512</w:t>
      </w:r>
    </w:p>
    <w:p w:rsidR="00755242" w:rsidRDefault="00A50CB9" w:rsidP="00F738B5">
      <w:pPr>
        <w:rPr>
          <w:rFonts w:ascii="Garamond" w:hAnsi="Garamond"/>
          <w:lang w:val="en-AU"/>
        </w:rPr>
      </w:pPr>
      <w:r>
        <w:rPr>
          <w:rFonts w:ascii="Garamond" w:hAnsi="Garamond"/>
          <w:lang w:val="en-AU"/>
        </w:rPr>
        <w:t>24</w:t>
      </w:r>
      <w:r w:rsidR="00CC7FAD">
        <w:rPr>
          <w:rFonts w:ascii="Garamond" w:hAnsi="Garamond"/>
          <w:lang w:val="en-AU"/>
        </w:rPr>
        <w:t xml:space="preserve"> May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A56354" w:rsidRDefault="00A56354" w:rsidP="00275FD0">
      <w:pPr>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D71C54" w:rsidRPr="00857A17" w:rsidRDefault="00D71C54" w:rsidP="00D71C54">
      <w:pPr>
        <w:keepNext/>
        <w:keepLines/>
        <w:autoSpaceDE w:val="0"/>
        <w:autoSpaceDN w:val="0"/>
        <w:adjustRightInd w:val="0"/>
        <w:rPr>
          <w:rFonts w:ascii="Garamond" w:hAnsi="Garamond"/>
          <w:i/>
          <w:lang w:val="en-AU"/>
        </w:rPr>
      </w:pPr>
      <w:r w:rsidRPr="00857A17">
        <w:rPr>
          <w:rFonts w:ascii="Garamond" w:hAnsi="Garamond"/>
          <w:i/>
          <w:lang w:val="en-AU"/>
        </w:rPr>
        <w:t>Measuring safety in older adult care homes: a scoping review of the international literature</w:t>
      </w:r>
    </w:p>
    <w:p w:rsidR="00D71C54" w:rsidRDefault="00D71C54" w:rsidP="00D71C54">
      <w:pPr>
        <w:keepNext/>
        <w:keepLines/>
        <w:autoSpaceDE w:val="0"/>
        <w:autoSpaceDN w:val="0"/>
        <w:adjustRightInd w:val="0"/>
        <w:rPr>
          <w:rFonts w:ascii="Garamond" w:hAnsi="Garamond"/>
          <w:lang w:val="en-AU"/>
        </w:rPr>
      </w:pPr>
      <w:r w:rsidRPr="004C3BAD">
        <w:rPr>
          <w:rFonts w:ascii="Garamond" w:hAnsi="Garamond"/>
          <w:lang w:val="en-AU"/>
        </w:rPr>
        <w:t>Rand S, Smith N, Jones K, Dargan A, Hogan H</w:t>
      </w:r>
    </w:p>
    <w:p w:rsidR="00D71C54" w:rsidRPr="00BC1B53" w:rsidRDefault="00D71C54" w:rsidP="00D71C54">
      <w:pPr>
        <w:keepNext/>
        <w:keepLines/>
        <w:autoSpaceDE w:val="0"/>
        <w:autoSpaceDN w:val="0"/>
        <w:adjustRightInd w:val="0"/>
        <w:rPr>
          <w:rFonts w:ascii="Garamond" w:hAnsi="Garamond"/>
          <w:lang w:val="en-AU"/>
        </w:rPr>
      </w:pPr>
      <w:r w:rsidRPr="004C3BAD">
        <w:rPr>
          <w:rFonts w:ascii="Garamond" w:hAnsi="Garamond"/>
          <w:lang w:val="en-AU"/>
        </w:rPr>
        <w:t>BMJ Open. 2021;11(3):e043206.</w:t>
      </w:r>
    </w:p>
    <w:tbl>
      <w:tblPr>
        <w:tblStyle w:val="TableGrid"/>
        <w:tblW w:w="9360" w:type="dxa"/>
        <w:tblInd w:w="288" w:type="dxa"/>
        <w:tblLayout w:type="fixed"/>
        <w:tblLook w:val="01E0" w:firstRow="1" w:lastRow="1" w:firstColumn="1" w:lastColumn="1" w:noHBand="0" w:noVBand="0"/>
      </w:tblPr>
      <w:tblGrid>
        <w:gridCol w:w="1080"/>
        <w:gridCol w:w="8280"/>
      </w:tblGrid>
      <w:tr w:rsidR="00D71C54" w:rsidRPr="000170DA" w:rsidTr="00C85581">
        <w:tc>
          <w:tcPr>
            <w:tcW w:w="1080" w:type="dxa"/>
            <w:tcBorders>
              <w:top w:val="single" w:sz="4" w:space="0" w:color="auto"/>
              <w:left w:val="single" w:sz="4" w:space="0" w:color="auto"/>
              <w:bottom w:val="single" w:sz="4" w:space="0" w:color="auto"/>
              <w:right w:val="single" w:sz="4" w:space="0" w:color="auto"/>
            </w:tcBorders>
            <w:vAlign w:val="center"/>
          </w:tcPr>
          <w:p w:rsidR="00D71C54" w:rsidRPr="000170DA" w:rsidRDefault="00D71C54" w:rsidP="00C8558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71C54" w:rsidRPr="000170DA" w:rsidRDefault="00B00184" w:rsidP="00C85581">
            <w:pPr>
              <w:rPr>
                <w:rStyle w:val="Hyperlink"/>
                <w:rFonts w:ascii="Garamond" w:hAnsi="Garamond"/>
                <w:color w:val="auto"/>
                <w:u w:val="none"/>
                <w:lang w:val="en-AU"/>
              </w:rPr>
            </w:pPr>
            <w:hyperlink r:id="rId15" w:history="1">
              <w:r w:rsidR="00D71C54" w:rsidRPr="00E71AF3">
                <w:rPr>
                  <w:rStyle w:val="Hyperlink"/>
                  <w:rFonts w:ascii="Garamond" w:hAnsi="Garamond"/>
                  <w:lang w:val="en-AU"/>
                </w:rPr>
                <w:t>http://doi.org/10.1136/bmjopen-2020-043206</w:t>
              </w:r>
            </w:hyperlink>
          </w:p>
        </w:tc>
      </w:tr>
      <w:tr w:rsidR="00D71C54" w:rsidRPr="000170DA" w:rsidTr="00C85581">
        <w:tc>
          <w:tcPr>
            <w:tcW w:w="1080" w:type="dxa"/>
            <w:tcBorders>
              <w:top w:val="single" w:sz="4" w:space="0" w:color="auto"/>
              <w:left w:val="single" w:sz="4" w:space="0" w:color="auto"/>
              <w:bottom w:val="single" w:sz="4" w:space="0" w:color="auto"/>
              <w:right w:val="single" w:sz="4" w:space="0" w:color="auto"/>
            </w:tcBorders>
            <w:vAlign w:val="center"/>
          </w:tcPr>
          <w:p w:rsidR="00D71C54" w:rsidRPr="000170DA" w:rsidRDefault="00D71C54" w:rsidP="00C8558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1C54" w:rsidRPr="004F74F7" w:rsidRDefault="00D71C54" w:rsidP="00C85581">
            <w:pPr>
              <w:rPr>
                <w:rFonts w:ascii="Garamond" w:hAnsi="Garamond"/>
                <w:lang w:val="en-AU"/>
              </w:rPr>
            </w:pPr>
            <w:r>
              <w:rPr>
                <w:rFonts w:ascii="Garamond" w:hAnsi="Garamond"/>
                <w:lang w:val="en-AU"/>
              </w:rPr>
              <w:t xml:space="preserve">The COVID-19 pandemic has seen care facilities that accommodate older people are particular vulnerable. It has also been seen that even in more routine times, these facilities can have dangerous lapses in safety and quality. This paper reports on a review of the literature on the measurement of safety that focused on 45 studies. The authors used </w:t>
            </w:r>
            <w:r w:rsidRPr="00D71C54">
              <w:rPr>
                <w:rFonts w:ascii="Garamond" w:hAnsi="Garamond"/>
                <w:lang w:val="en-AU"/>
              </w:rPr>
              <w:t>the Safety Measurement and Monitoring Framework in healthcare (SMMF)</w:t>
            </w:r>
            <w:r>
              <w:rPr>
                <w:rFonts w:ascii="Garamond" w:hAnsi="Garamond"/>
                <w:lang w:val="en-AU"/>
              </w:rPr>
              <w:t xml:space="preserve"> to attempt to understand </w:t>
            </w:r>
            <w:r w:rsidRPr="00D71C54">
              <w:rPr>
                <w:rFonts w:ascii="Garamond" w:hAnsi="Garamond"/>
                <w:lang w:val="en-AU"/>
              </w:rPr>
              <w:t>the coverage of different aspects of safety, as well as potential gaps</w:t>
            </w:r>
            <w:r>
              <w:rPr>
                <w:rFonts w:ascii="Garamond" w:hAnsi="Garamond"/>
                <w:lang w:val="en-AU"/>
              </w:rPr>
              <w:t xml:space="preserve"> in the literature. The authors report finding that ‘</w:t>
            </w:r>
            <w:r w:rsidRPr="00D71C54">
              <w:rPr>
                <w:rFonts w:ascii="Garamond" w:hAnsi="Garamond"/>
                <w:lang w:val="en-AU"/>
              </w:rPr>
              <w:t>there are a range of available safety measures used for quality monitoring and improvement in older adult care homes</w:t>
            </w:r>
            <w:r>
              <w:rPr>
                <w:rFonts w:ascii="Garamond" w:hAnsi="Garamond"/>
                <w:lang w:val="en-AU"/>
              </w:rPr>
              <w:t xml:space="preserve">’ and that they cover the </w:t>
            </w:r>
            <w:r w:rsidRPr="00D71C54">
              <w:rPr>
                <w:rFonts w:ascii="Garamond" w:hAnsi="Garamond"/>
                <w:lang w:val="en-AU"/>
              </w:rPr>
              <w:t>five domains of safety in</w:t>
            </w:r>
            <w:r>
              <w:rPr>
                <w:rFonts w:ascii="Garamond" w:hAnsi="Garamond"/>
                <w:lang w:val="en-AU"/>
              </w:rPr>
              <w:t xml:space="preserve"> the SMMF. They also report identifying gaps, including ‘</w:t>
            </w:r>
            <w:r w:rsidRPr="00D71C54">
              <w:rPr>
                <w:rFonts w:ascii="Garamond" w:hAnsi="Garamond"/>
                <w:lang w:val="en-AU"/>
              </w:rPr>
              <w:t>user experience, psychological harm related to the care home environment, abusive or neglectful care practice and the processes for integrated learning</w:t>
            </w:r>
            <w:r>
              <w:rPr>
                <w:rFonts w:ascii="Garamond" w:hAnsi="Garamond"/>
                <w:lang w:val="en-AU"/>
              </w:rPr>
              <w:t>’</w:t>
            </w:r>
            <w:r w:rsidRPr="00D71C54">
              <w:rPr>
                <w:rFonts w:ascii="Garamond" w:hAnsi="Garamond"/>
                <w:lang w:val="en-AU"/>
              </w:rPr>
              <w:t xml:space="preserve">. </w:t>
            </w:r>
            <w:r>
              <w:rPr>
                <w:rFonts w:ascii="Garamond" w:hAnsi="Garamond"/>
                <w:lang w:val="en-AU"/>
              </w:rPr>
              <w:t>Furthermore ‘</w:t>
            </w:r>
            <w:r w:rsidRPr="00D71C54">
              <w:rPr>
                <w:rFonts w:ascii="Garamond" w:hAnsi="Garamond"/>
                <w:lang w:val="en-AU"/>
              </w:rPr>
              <w:t>Some of these gaps may relate to challenges and feasibility of measurement in the care home context.</w:t>
            </w:r>
            <w:r>
              <w:rPr>
                <w:rFonts w:ascii="Garamond" w:hAnsi="Garamond"/>
                <w:lang w:val="en-AU"/>
              </w:rPr>
              <w:t>’</w:t>
            </w:r>
          </w:p>
        </w:tc>
      </w:tr>
    </w:tbl>
    <w:p w:rsidR="00D71C54" w:rsidRPr="003A2286" w:rsidRDefault="00D71C54" w:rsidP="00D71C54">
      <w:pPr>
        <w:keepNext/>
        <w:keepLines/>
        <w:autoSpaceDE w:val="0"/>
        <w:autoSpaceDN w:val="0"/>
        <w:adjustRightInd w:val="0"/>
        <w:rPr>
          <w:rFonts w:ascii="Garamond" w:hAnsi="Garamond"/>
          <w:i/>
          <w:lang w:val="en-AU"/>
        </w:rPr>
      </w:pPr>
      <w:r w:rsidRPr="003A2286">
        <w:rPr>
          <w:rFonts w:ascii="Garamond" w:hAnsi="Garamond"/>
          <w:i/>
          <w:lang w:val="en-AU"/>
        </w:rPr>
        <w:lastRenderedPageBreak/>
        <w:t>Targeted Ordering of Investigations Reduces Costs of Treatment for Surgical Inpatients</w:t>
      </w:r>
    </w:p>
    <w:p w:rsidR="003A2286" w:rsidRDefault="003A2286" w:rsidP="00A50CB9">
      <w:pPr>
        <w:keepNext/>
        <w:keepLines/>
        <w:autoSpaceDE w:val="0"/>
        <w:autoSpaceDN w:val="0"/>
        <w:adjustRightInd w:val="0"/>
        <w:rPr>
          <w:rFonts w:ascii="Garamond" w:hAnsi="Garamond"/>
          <w:lang w:val="en-AU"/>
        </w:rPr>
      </w:pPr>
      <w:r w:rsidRPr="003A2286">
        <w:rPr>
          <w:rFonts w:ascii="Garamond" w:hAnsi="Garamond"/>
          <w:lang w:val="en-AU"/>
        </w:rPr>
        <w:t>Adhikari AN, Beck MD, Wykes JJ, Ashford BG</w:t>
      </w:r>
    </w:p>
    <w:p w:rsidR="00A50CB9" w:rsidRPr="00BC1B53" w:rsidRDefault="003A2286" w:rsidP="00A50CB9">
      <w:pPr>
        <w:keepNext/>
        <w:keepLines/>
        <w:autoSpaceDE w:val="0"/>
        <w:autoSpaceDN w:val="0"/>
        <w:adjustRightInd w:val="0"/>
        <w:rPr>
          <w:rFonts w:ascii="Garamond" w:hAnsi="Garamond"/>
          <w:lang w:val="en-AU"/>
        </w:rPr>
      </w:pPr>
      <w:r w:rsidRPr="003A2286">
        <w:rPr>
          <w:rFonts w:ascii="Garamond" w:hAnsi="Garamond"/>
          <w:lang w:val="en-AU"/>
        </w:rPr>
        <w:t>International Journal for Quality in Health Care. 2021</w:t>
      </w:r>
      <w:r>
        <w:rPr>
          <w:rFonts w:ascii="Garamond" w:hAnsi="Garamond"/>
          <w:lang w:val="en-AU"/>
        </w:rPr>
        <w:t xml:space="preserve"> [epub]</w:t>
      </w:r>
      <w:r w:rsidRPr="003A2286">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A50CB9" w:rsidRPr="000170DA" w:rsidTr="00644AC4">
        <w:tc>
          <w:tcPr>
            <w:tcW w:w="1080" w:type="dxa"/>
            <w:tcBorders>
              <w:top w:val="single" w:sz="4" w:space="0" w:color="auto"/>
              <w:left w:val="single" w:sz="4" w:space="0" w:color="auto"/>
              <w:bottom w:val="single" w:sz="4" w:space="0" w:color="auto"/>
              <w:right w:val="single" w:sz="4" w:space="0" w:color="auto"/>
            </w:tcBorders>
            <w:vAlign w:val="center"/>
          </w:tcPr>
          <w:p w:rsidR="00A50CB9" w:rsidRPr="000170DA" w:rsidRDefault="00A50CB9" w:rsidP="00644AC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50CB9" w:rsidRPr="000170DA" w:rsidRDefault="00B00184" w:rsidP="003A2286">
            <w:pPr>
              <w:rPr>
                <w:rStyle w:val="Hyperlink"/>
                <w:rFonts w:ascii="Garamond" w:hAnsi="Garamond"/>
                <w:color w:val="auto"/>
                <w:u w:val="none"/>
                <w:lang w:val="en-AU"/>
              </w:rPr>
            </w:pPr>
            <w:hyperlink r:id="rId16" w:history="1">
              <w:r w:rsidR="003A2286" w:rsidRPr="00E71AF3">
                <w:rPr>
                  <w:rStyle w:val="Hyperlink"/>
                  <w:rFonts w:ascii="Garamond" w:hAnsi="Garamond"/>
                  <w:lang w:val="en-AU"/>
                </w:rPr>
                <w:t>https://doi.org/10.1093/intqhc/mzab083</w:t>
              </w:r>
            </w:hyperlink>
          </w:p>
        </w:tc>
      </w:tr>
      <w:tr w:rsidR="00A50CB9" w:rsidRPr="000170DA" w:rsidTr="00644AC4">
        <w:tc>
          <w:tcPr>
            <w:tcW w:w="1080" w:type="dxa"/>
            <w:tcBorders>
              <w:top w:val="single" w:sz="4" w:space="0" w:color="auto"/>
              <w:left w:val="single" w:sz="4" w:space="0" w:color="auto"/>
              <w:bottom w:val="single" w:sz="4" w:space="0" w:color="auto"/>
              <w:right w:val="single" w:sz="4" w:space="0" w:color="auto"/>
            </w:tcBorders>
            <w:vAlign w:val="center"/>
          </w:tcPr>
          <w:p w:rsidR="00A50CB9" w:rsidRPr="000170DA" w:rsidRDefault="00A50CB9" w:rsidP="00644AC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0CB9" w:rsidRPr="004F74F7" w:rsidRDefault="00955FC8" w:rsidP="003011F8">
            <w:pPr>
              <w:rPr>
                <w:rFonts w:ascii="Garamond" w:hAnsi="Garamond"/>
                <w:lang w:val="en-AU"/>
              </w:rPr>
            </w:pPr>
            <w:r>
              <w:rPr>
                <w:rFonts w:ascii="Garamond" w:hAnsi="Garamond"/>
                <w:lang w:val="en-AU"/>
              </w:rPr>
              <w:t xml:space="preserve">The ordering of diagnostic tests is a commonplace activity. But the vast quantities of tests ordered may not be useful, valuable or even necessary. The more appropriate ordering of </w:t>
            </w:r>
            <w:r w:rsidR="003A2286">
              <w:rPr>
                <w:rFonts w:ascii="Garamond" w:hAnsi="Garamond"/>
                <w:lang w:val="en-AU"/>
              </w:rPr>
              <w:t>diagnostics has been advocated for a number of reasons. This paper reports on implementation and impact of a n</w:t>
            </w:r>
            <w:r w:rsidR="003A2286" w:rsidRPr="003A2286">
              <w:rPr>
                <w:rFonts w:ascii="Garamond" w:hAnsi="Garamond"/>
                <w:lang w:val="en-AU"/>
              </w:rPr>
              <w:t>ew protocol targeting ordering of investigations within the General Surgical Teams of Wollongong Hospital</w:t>
            </w:r>
            <w:r w:rsidR="003A2286">
              <w:rPr>
                <w:rFonts w:ascii="Garamond" w:hAnsi="Garamond"/>
                <w:lang w:val="en-AU"/>
              </w:rPr>
              <w:t xml:space="preserve">. This was a </w:t>
            </w:r>
            <w:r w:rsidR="003A2286" w:rsidRPr="003A2286">
              <w:rPr>
                <w:rFonts w:ascii="Garamond" w:hAnsi="Garamond"/>
                <w:lang w:val="en-AU"/>
              </w:rPr>
              <w:t>quality improvement initiative</w:t>
            </w:r>
            <w:r w:rsidR="003A2286">
              <w:rPr>
                <w:rFonts w:ascii="Garamond" w:hAnsi="Garamond"/>
                <w:lang w:val="en-AU"/>
              </w:rPr>
              <w:t xml:space="preserve"> that sought </w:t>
            </w:r>
            <w:r w:rsidR="003A2286" w:rsidRPr="003A2286">
              <w:rPr>
                <w:rFonts w:ascii="Garamond" w:hAnsi="Garamond"/>
                <w:lang w:val="en-AU"/>
              </w:rPr>
              <w:t>to reduce the number of ‘routine blood tests’</w:t>
            </w:r>
            <w:r w:rsidR="003A2286">
              <w:rPr>
                <w:rFonts w:ascii="Garamond" w:hAnsi="Garamond"/>
                <w:lang w:val="en-AU"/>
              </w:rPr>
              <w:t xml:space="preserve">. The new </w:t>
            </w:r>
            <w:r w:rsidR="003A2286" w:rsidRPr="003A2286">
              <w:rPr>
                <w:rFonts w:ascii="Garamond" w:hAnsi="Garamond"/>
                <w:lang w:val="en-AU"/>
              </w:rPr>
              <w:t xml:space="preserve">protocol involved regular review of the laboratory investigations being ordered for the following day with a senior team member. </w:t>
            </w:r>
            <w:r w:rsidR="003A2286">
              <w:rPr>
                <w:rFonts w:ascii="Garamond" w:hAnsi="Garamond"/>
                <w:lang w:val="en-AU"/>
              </w:rPr>
              <w:t>For this study, t</w:t>
            </w:r>
            <w:r w:rsidR="003A2286" w:rsidRPr="003A2286">
              <w:rPr>
                <w:rFonts w:ascii="Garamond" w:hAnsi="Garamond"/>
                <w:lang w:val="en-AU"/>
              </w:rPr>
              <w:t xml:space="preserve">he medical records of all patients admitted under the General Surgery service were retrospectively reviewed over two ten-week periods in 2017 </w:t>
            </w:r>
            <w:r w:rsidR="003A2286">
              <w:rPr>
                <w:rFonts w:ascii="Garamond" w:hAnsi="Garamond"/>
                <w:lang w:val="en-AU"/>
              </w:rPr>
              <w:t xml:space="preserve">(838 patients) </w:t>
            </w:r>
            <w:r w:rsidR="003A2286" w:rsidRPr="003A2286">
              <w:rPr>
                <w:rFonts w:ascii="Garamond" w:hAnsi="Garamond"/>
                <w:lang w:val="en-AU"/>
              </w:rPr>
              <w:t>and 2018</w:t>
            </w:r>
            <w:r w:rsidR="003A2286">
              <w:rPr>
                <w:rFonts w:ascii="Garamond" w:hAnsi="Garamond"/>
                <w:lang w:val="en-AU"/>
              </w:rPr>
              <w:t xml:space="preserve"> (805 patients)</w:t>
            </w:r>
            <w:r w:rsidR="003A2286" w:rsidRPr="003A2286">
              <w:rPr>
                <w:rFonts w:ascii="Garamond" w:hAnsi="Garamond"/>
                <w:lang w:val="en-AU"/>
              </w:rPr>
              <w:t xml:space="preserve"> (control and study) to identify whether there was a reduction in the number of ‘routine blood tests’ and associated costs following implementation of the new protocol.</w:t>
            </w:r>
            <w:r w:rsidR="003A2286">
              <w:rPr>
                <w:rFonts w:ascii="Garamond" w:hAnsi="Garamond"/>
                <w:lang w:val="en-AU"/>
              </w:rPr>
              <w:t xml:space="preserve"> The authors report that </w:t>
            </w:r>
            <w:r w:rsidR="003A2286" w:rsidRPr="003A2286">
              <w:rPr>
                <w:rFonts w:ascii="Garamond" w:hAnsi="Garamond"/>
                <w:lang w:val="en-AU"/>
              </w:rPr>
              <w:t xml:space="preserve">10,030 tests </w:t>
            </w:r>
            <w:r w:rsidR="003A2286">
              <w:rPr>
                <w:rFonts w:ascii="Garamond" w:hAnsi="Garamond"/>
                <w:lang w:val="en-AU"/>
              </w:rPr>
              <w:t xml:space="preserve">were covered </w:t>
            </w:r>
            <w:r w:rsidR="003A2286" w:rsidRPr="003A2286">
              <w:rPr>
                <w:rFonts w:ascii="Garamond" w:hAnsi="Garamond"/>
                <w:lang w:val="en-AU"/>
              </w:rPr>
              <w:t>in the control period, compared to 8,610 over the study period, a 16% reduction in ‘routine blood tests’ per patient, per day of admission and a 6% reduction in costs in the study group.</w:t>
            </w:r>
            <w:r w:rsidR="003A2286">
              <w:rPr>
                <w:rFonts w:ascii="Garamond" w:hAnsi="Garamond"/>
                <w:lang w:val="en-AU"/>
              </w:rPr>
              <w:t xml:space="preserve"> The authors conclude that ‘T</w:t>
            </w:r>
            <w:r w:rsidR="003A2286" w:rsidRPr="003A2286">
              <w:rPr>
                <w:rFonts w:ascii="Garamond" w:hAnsi="Garamond"/>
                <w:lang w:val="en-AU"/>
              </w:rPr>
              <w:t>argeted ordering of investigations with personalised education and feedback to junior staff during review of clinical status of each patient as a part of normal workflow, can reduce inappropriate ordering of ‘routine blood tests’ and associated costs to the patient and the healthcare system.</w:t>
            </w:r>
            <w:r w:rsidR="003A2286">
              <w:rPr>
                <w:rFonts w:ascii="Garamond" w:hAnsi="Garamond"/>
                <w:lang w:val="en-AU"/>
              </w:rPr>
              <w:t>’</w:t>
            </w:r>
          </w:p>
        </w:tc>
      </w:tr>
    </w:tbl>
    <w:p w:rsidR="00A50CB9" w:rsidRDefault="00A50CB9" w:rsidP="00A50CB9">
      <w:pPr>
        <w:keepNext/>
        <w:keepLines/>
        <w:autoSpaceDE w:val="0"/>
        <w:autoSpaceDN w:val="0"/>
        <w:adjustRightInd w:val="0"/>
        <w:rPr>
          <w:rFonts w:ascii="Garamond" w:hAnsi="Garamond"/>
          <w:i/>
          <w:lang w:val="en-AU"/>
        </w:rPr>
      </w:pPr>
    </w:p>
    <w:p w:rsidR="00D71C54" w:rsidRPr="00D95C3E" w:rsidRDefault="00D71C54" w:rsidP="00D71C54">
      <w:pPr>
        <w:keepNext/>
        <w:keepLines/>
        <w:autoSpaceDE w:val="0"/>
        <w:autoSpaceDN w:val="0"/>
        <w:adjustRightInd w:val="0"/>
        <w:rPr>
          <w:rFonts w:ascii="Garamond" w:hAnsi="Garamond"/>
          <w:i/>
          <w:lang w:val="en-AU"/>
        </w:rPr>
      </w:pPr>
      <w:r w:rsidRPr="00D95C3E">
        <w:rPr>
          <w:rFonts w:ascii="Garamond" w:hAnsi="Garamond"/>
          <w:i/>
          <w:lang w:val="en-AU"/>
        </w:rPr>
        <w:t>Identifying and encouraging high-quality healthcare: an analysis of the content and aims of patient letters of compliment</w:t>
      </w:r>
    </w:p>
    <w:p w:rsidR="00D71C54" w:rsidRDefault="00D71C54" w:rsidP="00D71C54">
      <w:pPr>
        <w:keepNext/>
        <w:keepLines/>
        <w:autoSpaceDE w:val="0"/>
        <w:autoSpaceDN w:val="0"/>
        <w:adjustRightInd w:val="0"/>
        <w:rPr>
          <w:rFonts w:ascii="Garamond" w:hAnsi="Garamond"/>
          <w:lang w:val="en-AU"/>
        </w:rPr>
      </w:pPr>
      <w:r w:rsidRPr="00D95C3E">
        <w:rPr>
          <w:rFonts w:ascii="Garamond" w:hAnsi="Garamond"/>
          <w:lang w:val="en-AU"/>
        </w:rPr>
        <w:t>Gillespie A, Reader TW</w:t>
      </w:r>
    </w:p>
    <w:p w:rsidR="00D71C54" w:rsidRPr="00BC1B53" w:rsidRDefault="00D71C54" w:rsidP="00D71C54">
      <w:pPr>
        <w:keepNext/>
        <w:keepLines/>
        <w:autoSpaceDE w:val="0"/>
        <w:autoSpaceDN w:val="0"/>
        <w:adjustRightInd w:val="0"/>
        <w:rPr>
          <w:rFonts w:ascii="Garamond" w:hAnsi="Garamond"/>
          <w:lang w:val="en-AU"/>
        </w:rPr>
      </w:pPr>
      <w:r w:rsidRPr="00D95C3E">
        <w:rPr>
          <w:rFonts w:ascii="Garamond" w:hAnsi="Garamond"/>
          <w:lang w:val="en-AU"/>
        </w:rPr>
        <w:t>BMJ Quality &amp; Safety. 2021;30(6):484-492.</w:t>
      </w:r>
    </w:p>
    <w:tbl>
      <w:tblPr>
        <w:tblStyle w:val="TableGrid"/>
        <w:tblW w:w="9360" w:type="dxa"/>
        <w:tblInd w:w="288" w:type="dxa"/>
        <w:tblLayout w:type="fixed"/>
        <w:tblLook w:val="01E0" w:firstRow="1" w:lastRow="1" w:firstColumn="1" w:lastColumn="1" w:noHBand="0" w:noVBand="0"/>
      </w:tblPr>
      <w:tblGrid>
        <w:gridCol w:w="1080"/>
        <w:gridCol w:w="8280"/>
      </w:tblGrid>
      <w:tr w:rsidR="00D71C54" w:rsidRPr="000170DA" w:rsidTr="00C85581">
        <w:tc>
          <w:tcPr>
            <w:tcW w:w="1080" w:type="dxa"/>
            <w:tcBorders>
              <w:top w:val="single" w:sz="4" w:space="0" w:color="auto"/>
              <w:left w:val="single" w:sz="4" w:space="0" w:color="auto"/>
              <w:bottom w:val="single" w:sz="4" w:space="0" w:color="auto"/>
              <w:right w:val="single" w:sz="4" w:space="0" w:color="auto"/>
            </w:tcBorders>
            <w:vAlign w:val="center"/>
          </w:tcPr>
          <w:p w:rsidR="00D71C54" w:rsidRPr="000170DA" w:rsidRDefault="00D71C54" w:rsidP="00C8558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71C54" w:rsidRPr="000170DA" w:rsidRDefault="00B00184" w:rsidP="00C85581">
            <w:pPr>
              <w:rPr>
                <w:rStyle w:val="Hyperlink"/>
                <w:rFonts w:ascii="Garamond" w:hAnsi="Garamond"/>
                <w:color w:val="auto"/>
                <w:u w:val="none"/>
                <w:lang w:val="en-AU"/>
              </w:rPr>
            </w:pPr>
            <w:hyperlink r:id="rId17" w:history="1">
              <w:r w:rsidR="00D71C54" w:rsidRPr="009A0A89">
                <w:rPr>
                  <w:rStyle w:val="Hyperlink"/>
                  <w:rFonts w:ascii="Garamond" w:hAnsi="Garamond"/>
                  <w:lang w:val="en-AU"/>
                </w:rPr>
                <w:t>http://dx.doi.org/10.1136/bmjqs-2019-010077</w:t>
              </w:r>
            </w:hyperlink>
          </w:p>
        </w:tc>
      </w:tr>
      <w:tr w:rsidR="00D71C54" w:rsidRPr="000170DA" w:rsidTr="00C85581">
        <w:tc>
          <w:tcPr>
            <w:tcW w:w="1080" w:type="dxa"/>
            <w:tcBorders>
              <w:top w:val="single" w:sz="4" w:space="0" w:color="auto"/>
              <w:left w:val="single" w:sz="4" w:space="0" w:color="auto"/>
              <w:bottom w:val="single" w:sz="4" w:space="0" w:color="auto"/>
              <w:right w:val="single" w:sz="4" w:space="0" w:color="auto"/>
            </w:tcBorders>
            <w:vAlign w:val="center"/>
          </w:tcPr>
          <w:p w:rsidR="00D71C54" w:rsidRPr="000170DA" w:rsidRDefault="00D71C54" w:rsidP="00C8558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1C54" w:rsidRDefault="00D71C54" w:rsidP="00C85581">
            <w:pPr>
              <w:rPr>
                <w:rFonts w:ascii="Garamond" w:hAnsi="Garamond"/>
                <w:lang w:val="en-AU"/>
              </w:rPr>
            </w:pPr>
            <w:r>
              <w:rPr>
                <w:rFonts w:ascii="Garamond" w:hAnsi="Garamond"/>
                <w:lang w:val="en-AU"/>
              </w:rPr>
              <w:t>The analysis and use of patient complaints in the search of improved safety and quality is not unusual. This paper reports on a study of the more positive patient and consumer feedback, the compliments. While compliments are nice it’s not clear that systematic use has been made of them. This paper reports on a study that examined 1267 compliment letters received by 54 English hospitals. The analysis revealed that:</w:t>
            </w:r>
          </w:p>
          <w:p w:rsidR="00D71C54" w:rsidRDefault="00D71C54" w:rsidP="00C85581">
            <w:pPr>
              <w:pStyle w:val="ListParagraph"/>
              <w:numPr>
                <w:ilvl w:val="0"/>
                <w:numId w:val="35"/>
              </w:numPr>
              <w:rPr>
                <w:rFonts w:ascii="Garamond" w:hAnsi="Garamond"/>
                <w:lang w:val="en-AU"/>
              </w:rPr>
            </w:pPr>
            <w:r w:rsidRPr="00D95C3E">
              <w:rPr>
                <w:rFonts w:ascii="Garamond" w:hAnsi="Garamond"/>
                <w:lang w:val="en-AU"/>
              </w:rPr>
              <w:t xml:space="preserve">The practices being complimented were in the relationship (77% of letters), clinical (50%) and management (30%) domains. </w:t>
            </w:r>
          </w:p>
          <w:p w:rsidR="00D71C54" w:rsidRDefault="00D71C54" w:rsidP="00C85581">
            <w:pPr>
              <w:pStyle w:val="ListParagraph"/>
              <w:numPr>
                <w:ilvl w:val="0"/>
                <w:numId w:val="35"/>
              </w:numPr>
              <w:rPr>
                <w:rFonts w:ascii="Garamond" w:hAnsi="Garamond"/>
                <w:lang w:val="en-AU"/>
              </w:rPr>
            </w:pPr>
            <w:r w:rsidRPr="00D95C3E">
              <w:rPr>
                <w:rFonts w:ascii="Garamond" w:hAnsi="Garamond"/>
                <w:lang w:val="en-AU"/>
              </w:rPr>
              <w:t>39% of compliments focused on voluntary non-routine extra-role behaviours (e</w:t>
            </w:r>
            <w:r>
              <w:rPr>
                <w:rFonts w:ascii="Garamond" w:hAnsi="Garamond"/>
                <w:lang w:val="en-AU"/>
              </w:rPr>
              <w:t>.</w:t>
            </w:r>
            <w:r w:rsidRPr="00D95C3E">
              <w:rPr>
                <w:rFonts w:ascii="Garamond" w:hAnsi="Garamond"/>
                <w:lang w:val="en-AU"/>
              </w:rPr>
              <w:t>g</w:t>
            </w:r>
            <w:r>
              <w:rPr>
                <w:rFonts w:ascii="Garamond" w:hAnsi="Garamond"/>
                <w:lang w:val="en-AU"/>
              </w:rPr>
              <w:t>.</w:t>
            </w:r>
            <w:r w:rsidRPr="00D95C3E">
              <w:rPr>
                <w:rFonts w:ascii="Garamond" w:hAnsi="Garamond"/>
                <w:lang w:val="en-AU"/>
              </w:rPr>
              <w:t>, extra-emotional support, staying late to run an extra test).</w:t>
            </w:r>
          </w:p>
          <w:p w:rsidR="00D71C54" w:rsidRDefault="00D71C54" w:rsidP="00C85581">
            <w:pPr>
              <w:pStyle w:val="ListParagraph"/>
              <w:numPr>
                <w:ilvl w:val="0"/>
                <w:numId w:val="35"/>
              </w:numPr>
              <w:rPr>
                <w:rFonts w:ascii="Garamond" w:hAnsi="Garamond"/>
                <w:lang w:val="en-AU"/>
              </w:rPr>
            </w:pPr>
            <w:r w:rsidRPr="00D95C3E">
              <w:rPr>
                <w:rFonts w:ascii="Garamond" w:hAnsi="Garamond"/>
                <w:lang w:val="en-AU"/>
              </w:rPr>
              <w:t>The aims of expressing gratitude were to acknowledge (80%), reward (44%) and promote (59%) the desired behaviour.</w:t>
            </w:r>
          </w:p>
          <w:p w:rsidR="00D71C54" w:rsidRDefault="00D71C54" w:rsidP="00C85581">
            <w:pPr>
              <w:pStyle w:val="ListParagraph"/>
              <w:numPr>
                <w:ilvl w:val="0"/>
                <w:numId w:val="35"/>
              </w:numPr>
              <w:rPr>
                <w:rFonts w:ascii="Garamond" w:hAnsi="Garamond"/>
                <w:lang w:val="en-AU"/>
              </w:rPr>
            </w:pPr>
            <w:r>
              <w:rPr>
                <w:rFonts w:ascii="Garamond" w:hAnsi="Garamond"/>
                <w:lang w:val="en-AU"/>
              </w:rPr>
              <w:t>F</w:t>
            </w:r>
            <w:r w:rsidRPr="00D95C3E">
              <w:rPr>
                <w:rFonts w:ascii="Garamond" w:hAnsi="Garamond"/>
                <w:lang w:val="en-AU"/>
              </w:rPr>
              <w:t>ront-line staff tended to receive compliments acknowledging behaviour, while senior management received compliments asking them to reward individual staff and promoting the importance of relationship behaviours.</w:t>
            </w:r>
          </w:p>
          <w:p w:rsidR="00D71C54" w:rsidRPr="00D95C3E" w:rsidRDefault="00D71C54" w:rsidP="00C85581">
            <w:pPr>
              <w:rPr>
                <w:rFonts w:ascii="Garamond" w:hAnsi="Garamond"/>
                <w:lang w:val="en-AU"/>
              </w:rPr>
            </w:pPr>
            <w:r>
              <w:rPr>
                <w:rFonts w:ascii="Garamond" w:hAnsi="Garamond"/>
                <w:lang w:val="en-AU"/>
              </w:rPr>
              <w:t>The authors content that ‘</w:t>
            </w:r>
            <w:r w:rsidRPr="00D95C3E">
              <w:rPr>
                <w:rFonts w:ascii="Garamond" w:hAnsi="Garamond"/>
                <w:lang w:val="en-AU"/>
              </w:rPr>
              <w:t>compliment letters do more than merely identify desirable healthcare practices. By acknowledging, rewarding and promoting these practices, compliment letters can potentially contribute to healthcare services through promoting desirable behaviours and giving staff social recognition.</w:t>
            </w:r>
            <w:r>
              <w:rPr>
                <w:rFonts w:ascii="Garamond" w:hAnsi="Garamond"/>
                <w:lang w:val="en-AU"/>
              </w:rPr>
              <w:t>’</w:t>
            </w:r>
          </w:p>
        </w:tc>
      </w:tr>
    </w:tbl>
    <w:p w:rsidR="00D71C54" w:rsidRDefault="00D71C54" w:rsidP="00964468">
      <w:pPr>
        <w:keepLines/>
        <w:autoSpaceDE w:val="0"/>
        <w:autoSpaceDN w:val="0"/>
        <w:adjustRightInd w:val="0"/>
        <w:rPr>
          <w:rFonts w:ascii="Garamond" w:hAnsi="Garamond"/>
          <w:lang w:val="en-AU"/>
        </w:rPr>
      </w:pPr>
      <w:r w:rsidRPr="00D95C3E">
        <w:rPr>
          <w:rFonts w:ascii="Garamond" w:hAnsi="Garamond"/>
          <w:lang w:val="en-AU"/>
        </w:rPr>
        <w:t xml:space="preserve">For information on the Commission’s work on person centred care, see </w:t>
      </w:r>
      <w:hyperlink r:id="rId18" w:history="1">
        <w:r w:rsidRPr="00D95C3E">
          <w:rPr>
            <w:rStyle w:val="Hyperlink"/>
            <w:rFonts w:ascii="Garamond" w:hAnsi="Garamond"/>
            <w:lang w:val="en-AU"/>
          </w:rPr>
          <w:t>https://www.safetyandquality.gov.au/our-work/partnering-consumers/person-centred-care</w:t>
        </w:r>
      </w:hyperlink>
    </w:p>
    <w:p w:rsidR="00D71C54" w:rsidRDefault="00D71C54" w:rsidP="00964468">
      <w:pPr>
        <w:keepLines/>
        <w:autoSpaceDE w:val="0"/>
        <w:autoSpaceDN w:val="0"/>
        <w:adjustRightInd w:val="0"/>
        <w:rPr>
          <w:rFonts w:ascii="Garamond" w:hAnsi="Garamond"/>
          <w:lang w:val="en-AU"/>
        </w:rPr>
      </w:pPr>
    </w:p>
    <w:p w:rsidR="00D71C54" w:rsidRDefault="00D71C54" w:rsidP="00964468">
      <w:pPr>
        <w:keepLines/>
        <w:autoSpaceDE w:val="0"/>
        <w:autoSpaceDN w:val="0"/>
        <w:adjustRightInd w:val="0"/>
        <w:rPr>
          <w:rFonts w:ascii="Garamond" w:hAnsi="Garamond"/>
          <w:lang w:val="en-AU"/>
        </w:rPr>
      </w:pPr>
      <w:r w:rsidRPr="00D95C3E">
        <w:rPr>
          <w:rFonts w:ascii="Garamond" w:hAnsi="Garamond"/>
          <w:lang w:val="en-AU"/>
        </w:rPr>
        <w:t xml:space="preserve">For information on the Commission’s work on </w:t>
      </w:r>
      <w:r>
        <w:rPr>
          <w:rFonts w:ascii="Garamond" w:hAnsi="Garamond"/>
          <w:lang w:val="en-AU"/>
        </w:rPr>
        <w:t>partnering with consumers</w:t>
      </w:r>
      <w:r w:rsidRPr="00D95C3E">
        <w:rPr>
          <w:rFonts w:ascii="Garamond" w:hAnsi="Garamond"/>
          <w:lang w:val="en-AU"/>
        </w:rPr>
        <w:t xml:space="preserve">, see </w:t>
      </w:r>
      <w:hyperlink r:id="rId19" w:history="1">
        <w:r w:rsidRPr="009A0A89">
          <w:rPr>
            <w:rStyle w:val="Hyperlink"/>
            <w:rFonts w:ascii="Garamond" w:hAnsi="Garamond"/>
            <w:lang w:val="en-AU"/>
          </w:rPr>
          <w:t>https://www.safetyandquality.gov.au/our-work/partnering-consumers</w:t>
        </w:r>
      </w:hyperlink>
    </w:p>
    <w:p w:rsidR="009158F2" w:rsidRPr="009158F2" w:rsidRDefault="009158F2" w:rsidP="009158F2">
      <w:pPr>
        <w:keepNext/>
        <w:keepLines/>
        <w:autoSpaceDE w:val="0"/>
        <w:autoSpaceDN w:val="0"/>
        <w:adjustRightInd w:val="0"/>
        <w:rPr>
          <w:rFonts w:ascii="Garamond" w:hAnsi="Garamond"/>
          <w:i/>
          <w:lang w:val="en-AU"/>
        </w:rPr>
      </w:pPr>
      <w:r w:rsidRPr="009158F2">
        <w:rPr>
          <w:rFonts w:ascii="Garamond" w:hAnsi="Garamond"/>
          <w:i/>
          <w:lang w:val="en-AU"/>
        </w:rPr>
        <w:lastRenderedPageBreak/>
        <w:t>2020 Pennsylvania Patient Safety Reporting: An Analysis of Serious Events and Incidents from the Nation’s Largest Event Reporting Database</w:t>
      </w:r>
    </w:p>
    <w:p w:rsidR="009158F2" w:rsidRDefault="009158F2" w:rsidP="00A50CB9">
      <w:pPr>
        <w:keepNext/>
        <w:keepLines/>
        <w:autoSpaceDE w:val="0"/>
        <w:autoSpaceDN w:val="0"/>
        <w:adjustRightInd w:val="0"/>
        <w:rPr>
          <w:rFonts w:ascii="Garamond" w:hAnsi="Garamond"/>
          <w:lang w:val="en-AU"/>
        </w:rPr>
      </w:pPr>
      <w:r w:rsidRPr="009158F2">
        <w:rPr>
          <w:rFonts w:ascii="Garamond" w:hAnsi="Garamond"/>
          <w:lang w:val="en-AU"/>
        </w:rPr>
        <w:t xml:space="preserve">Kepner S, Jones R. </w:t>
      </w:r>
    </w:p>
    <w:p w:rsidR="00A50CB9" w:rsidRDefault="009158F2" w:rsidP="00A50CB9">
      <w:pPr>
        <w:keepNext/>
        <w:keepLines/>
        <w:autoSpaceDE w:val="0"/>
        <w:autoSpaceDN w:val="0"/>
        <w:adjustRightInd w:val="0"/>
        <w:rPr>
          <w:rFonts w:ascii="Garamond" w:hAnsi="Garamond"/>
          <w:lang w:val="en-AU"/>
        </w:rPr>
      </w:pPr>
      <w:r w:rsidRPr="009158F2">
        <w:rPr>
          <w:rFonts w:ascii="Garamond" w:hAnsi="Garamond"/>
          <w:lang w:val="en-AU"/>
        </w:rPr>
        <w:t>Patient Safety. 2021;3(2):6-21.</w:t>
      </w:r>
    </w:p>
    <w:p w:rsidR="009158F2" w:rsidRDefault="009158F2" w:rsidP="00A50CB9">
      <w:pPr>
        <w:keepNext/>
        <w:keepLines/>
        <w:autoSpaceDE w:val="0"/>
        <w:autoSpaceDN w:val="0"/>
        <w:adjustRightInd w:val="0"/>
        <w:rPr>
          <w:rFonts w:ascii="Garamond" w:hAnsi="Garamond"/>
          <w:lang w:val="en-AU"/>
        </w:rPr>
      </w:pPr>
    </w:p>
    <w:p w:rsidR="004C3BAD" w:rsidRPr="004C3BAD" w:rsidRDefault="004C3BAD" w:rsidP="004C3BAD">
      <w:pPr>
        <w:keepNext/>
        <w:keepLines/>
        <w:autoSpaceDE w:val="0"/>
        <w:autoSpaceDN w:val="0"/>
        <w:adjustRightInd w:val="0"/>
        <w:rPr>
          <w:rFonts w:ascii="Garamond" w:hAnsi="Garamond"/>
          <w:i/>
          <w:lang w:val="en-AU"/>
        </w:rPr>
      </w:pPr>
      <w:r w:rsidRPr="004C3BAD">
        <w:rPr>
          <w:rFonts w:ascii="Garamond" w:hAnsi="Garamond"/>
          <w:i/>
          <w:lang w:val="en-AU"/>
        </w:rPr>
        <w:t>Rates of Serious Surgical Errors in California and Plans to Prevent Recurrence</w:t>
      </w:r>
    </w:p>
    <w:p w:rsidR="004C3BAD" w:rsidRDefault="004C3BAD" w:rsidP="00A50CB9">
      <w:pPr>
        <w:keepNext/>
        <w:keepLines/>
        <w:autoSpaceDE w:val="0"/>
        <w:autoSpaceDN w:val="0"/>
        <w:adjustRightInd w:val="0"/>
        <w:rPr>
          <w:rFonts w:ascii="Garamond" w:hAnsi="Garamond"/>
          <w:lang w:val="en-AU"/>
        </w:rPr>
      </w:pPr>
      <w:r w:rsidRPr="004C3BAD">
        <w:rPr>
          <w:rFonts w:ascii="Garamond" w:hAnsi="Garamond"/>
          <w:lang w:val="en-AU"/>
        </w:rPr>
        <w:t>Cohen AJ, Lui H, Zheng M, Cheema B, Patino G, Kohn MA, et al</w:t>
      </w:r>
    </w:p>
    <w:p w:rsidR="009158F2" w:rsidRPr="00BC1B53" w:rsidRDefault="004C3BAD" w:rsidP="00A50CB9">
      <w:pPr>
        <w:keepNext/>
        <w:keepLines/>
        <w:autoSpaceDE w:val="0"/>
        <w:autoSpaceDN w:val="0"/>
        <w:adjustRightInd w:val="0"/>
        <w:rPr>
          <w:rFonts w:ascii="Garamond" w:hAnsi="Garamond"/>
          <w:lang w:val="en-AU"/>
        </w:rPr>
      </w:pPr>
      <w:r w:rsidRPr="004C3BAD">
        <w:rPr>
          <w:rFonts w:ascii="Garamond" w:hAnsi="Garamond"/>
          <w:lang w:val="en-AU"/>
        </w:rPr>
        <w:t>JAMA Network Open. 2021;4(5):e217058-e217058.</w:t>
      </w:r>
    </w:p>
    <w:tbl>
      <w:tblPr>
        <w:tblStyle w:val="TableGrid"/>
        <w:tblW w:w="9360" w:type="dxa"/>
        <w:tblInd w:w="288" w:type="dxa"/>
        <w:tblLayout w:type="fixed"/>
        <w:tblLook w:val="01E0" w:firstRow="1" w:lastRow="1" w:firstColumn="1" w:lastColumn="1" w:noHBand="0" w:noVBand="0"/>
      </w:tblPr>
      <w:tblGrid>
        <w:gridCol w:w="1080"/>
        <w:gridCol w:w="8280"/>
      </w:tblGrid>
      <w:tr w:rsidR="00A50CB9" w:rsidRPr="000170DA" w:rsidTr="00644AC4">
        <w:tc>
          <w:tcPr>
            <w:tcW w:w="1080" w:type="dxa"/>
            <w:tcBorders>
              <w:top w:val="single" w:sz="4" w:space="0" w:color="auto"/>
              <w:left w:val="single" w:sz="4" w:space="0" w:color="auto"/>
              <w:bottom w:val="single" w:sz="4" w:space="0" w:color="auto"/>
              <w:right w:val="single" w:sz="4" w:space="0" w:color="auto"/>
            </w:tcBorders>
            <w:vAlign w:val="center"/>
          </w:tcPr>
          <w:p w:rsidR="00A50CB9" w:rsidRPr="000170DA" w:rsidRDefault="00A50CB9" w:rsidP="00644AC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58F2" w:rsidRDefault="009158F2" w:rsidP="00644AC4">
            <w:pPr>
              <w:rPr>
                <w:rStyle w:val="Hyperlink"/>
                <w:rFonts w:ascii="Garamond" w:hAnsi="Garamond"/>
                <w:color w:val="auto"/>
                <w:u w:val="none"/>
                <w:lang w:val="en-AU"/>
              </w:rPr>
            </w:pPr>
            <w:r>
              <w:rPr>
                <w:rStyle w:val="Hyperlink"/>
                <w:rFonts w:ascii="Garamond" w:hAnsi="Garamond"/>
                <w:color w:val="auto"/>
                <w:u w:val="none"/>
                <w:lang w:val="en-AU"/>
              </w:rPr>
              <w:t xml:space="preserve">Kepner and Jones </w:t>
            </w:r>
            <w:hyperlink r:id="rId20" w:history="1">
              <w:r w:rsidRPr="00E71AF3">
                <w:rPr>
                  <w:rStyle w:val="Hyperlink"/>
                  <w:rFonts w:ascii="Garamond" w:hAnsi="Garamond"/>
                  <w:lang w:val="en-AU"/>
                </w:rPr>
                <w:t>http://doi.org/10.33940/data/2021.6.1</w:t>
              </w:r>
            </w:hyperlink>
          </w:p>
          <w:p w:rsidR="009158F2" w:rsidRPr="000170DA" w:rsidRDefault="009158F2" w:rsidP="009158F2">
            <w:pPr>
              <w:rPr>
                <w:rStyle w:val="Hyperlink"/>
                <w:rFonts w:ascii="Garamond" w:hAnsi="Garamond"/>
                <w:color w:val="auto"/>
                <w:u w:val="none"/>
                <w:lang w:val="en-AU"/>
              </w:rPr>
            </w:pPr>
            <w:r>
              <w:rPr>
                <w:rStyle w:val="Hyperlink"/>
                <w:rFonts w:ascii="Garamond" w:hAnsi="Garamond"/>
                <w:color w:val="auto"/>
                <w:u w:val="none"/>
                <w:lang w:val="en-AU"/>
              </w:rPr>
              <w:t xml:space="preserve">Cohen et al. </w:t>
            </w:r>
            <w:hyperlink r:id="rId21" w:history="1">
              <w:r w:rsidRPr="00E71AF3">
                <w:rPr>
                  <w:rStyle w:val="Hyperlink"/>
                  <w:rFonts w:ascii="Garamond" w:hAnsi="Garamond"/>
                  <w:lang w:val="en-AU"/>
                </w:rPr>
                <w:t>http://doi.org/10.1001/jamanetworkopen.2021.7058</w:t>
              </w:r>
            </w:hyperlink>
          </w:p>
        </w:tc>
      </w:tr>
      <w:tr w:rsidR="00A50CB9" w:rsidRPr="000170DA" w:rsidTr="00644AC4">
        <w:tc>
          <w:tcPr>
            <w:tcW w:w="1080" w:type="dxa"/>
            <w:tcBorders>
              <w:top w:val="single" w:sz="4" w:space="0" w:color="auto"/>
              <w:left w:val="single" w:sz="4" w:space="0" w:color="auto"/>
              <w:bottom w:val="single" w:sz="4" w:space="0" w:color="auto"/>
              <w:right w:val="single" w:sz="4" w:space="0" w:color="auto"/>
            </w:tcBorders>
            <w:vAlign w:val="center"/>
          </w:tcPr>
          <w:p w:rsidR="00A50CB9" w:rsidRPr="000170DA" w:rsidRDefault="00A50CB9" w:rsidP="00644AC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0CB9" w:rsidRDefault="003A2286" w:rsidP="00644AC4">
            <w:pPr>
              <w:rPr>
                <w:rFonts w:ascii="Garamond" w:hAnsi="Garamond"/>
                <w:lang w:val="en-AU"/>
              </w:rPr>
            </w:pPr>
            <w:r>
              <w:rPr>
                <w:rFonts w:ascii="Garamond" w:hAnsi="Garamond"/>
                <w:lang w:val="en-AU"/>
              </w:rPr>
              <w:t xml:space="preserve">A pair of items reporting on serious events in US health care systems. </w:t>
            </w:r>
          </w:p>
          <w:p w:rsidR="003A2286" w:rsidRDefault="003A2286" w:rsidP="00644AC4">
            <w:pPr>
              <w:rPr>
                <w:rFonts w:ascii="Garamond" w:hAnsi="Garamond"/>
                <w:lang w:val="en-AU"/>
              </w:rPr>
            </w:pPr>
            <w:r>
              <w:rPr>
                <w:rFonts w:ascii="Garamond" w:hAnsi="Garamond"/>
                <w:lang w:val="en-AU"/>
              </w:rPr>
              <w:t xml:space="preserve">Kepner and Jones provide the annual update on serious events captured in the </w:t>
            </w:r>
            <w:r w:rsidRPr="003A2286">
              <w:rPr>
                <w:rFonts w:ascii="Garamond" w:hAnsi="Garamond"/>
                <w:lang w:val="en-AU"/>
              </w:rPr>
              <w:t>Pennsylvania Patient Safety Reporting System</w:t>
            </w:r>
            <w:r w:rsidR="00857A17">
              <w:rPr>
                <w:rFonts w:ascii="Garamond" w:hAnsi="Garamond"/>
                <w:lang w:val="en-AU"/>
              </w:rPr>
              <w:t xml:space="preserve">. In the USA, </w:t>
            </w:r>
            <w:r w:rsidR="004C3BAD" w:rsidRPr="004C3BAD">
              <w:rPr>
                <w:rFonts w:ascii="Garamond" w:hAnsi="Garamond"/>
                <w:lang w:val="en-AU"/>
              </w:rPr>
              <w:t>Pennsylvania is the only state that requires acute healthcare facilities to report all events of harm or potential for harm.</w:t>
            </w:r>
            <w:r w:rsidR="004C3BAD">
              <w:rPr>
                <w:rFonts w:ascii="Garamond" w:hAnsi="Garamond"/>
                <w:lang w:val="en-AU"/>
              </w:rPr>
              <w:t xml:space="preserve"> This makes the </w:t>
            </w:r>
            <w:r w:rsidR="004C3BAD" w:rsidRPr="004C3BAD">
              <w:rPr>
                <w:rFonts w:ascii="Garamond" w:hAnsi="Garamond"/>
                <w:lang w:val="en-AU"/>
              </w:rPr>
              <w:t>Pennsylvania Patient Safety Reporting System (PA-PSRS) is the largest repository of patient safety data in the United States</w:t>
            </w:r>
            <w:r w:rsidR="004C3BAD">
              <w:rPr>
                <w:rFonts w:ascii="Garamond" w:hAnsi="Garamond"/>
                <w:lang w:val="en-AU"/>
              </w:rPr>
              <w:t xml:space="preserve">. In 2020, </w:t>
            </w:r>
            <w:r w:rsidR="004C3BAD" w:rsidRPr="004C3BAD">
              <w:rPr>
                <w:rFonts w:ascii="Garamond" w:hAnsi="Garamond"/>
                <w:lang w:val="en-AU"/>
              </w:rPr>
              <w:t xml:space="preserve">278,548 patient safety event reports </w:t>
            </w:r>
            <w:r w:rsidR="004C3BAD">
              <w:rPr>
                <w:rFonts w:ascii="Garamond" w:hAnsi="Garamond"/>
                <w:lang w:val="en-AU"/>
              </w:rPr>
              <w:t xml:space="preserve">were </w:t>
            </w:r>
            <w:r w:rsidR="004C3BAD" w:rsidRPr="004C3BAD">
              <w:rPr>
                <w:rFonts w:ascii="Garamond" w:hAnsi="Garamond"/>
                <w:lang w:val="en-AU"/>
              </w:rPr>
              <w:t>submitted</w:t>
            </w:r>
            <w:r w:rsidR="004C3BAD">
              <w:rPr>
                <w:rFonts w:ascii="Garamond" w:hAnsi="Garamond"/>
                <w:lang w:val="en-AU"/>
              </w:rPr>
              <w:t xml:space="preserve">. </w:t>
            </w:r>
            <w:r w:rsidR="004C3BAD" w:rsidRPr="004C3BAD">
              <w:rPr>
                <w:rFonts w:ascii="Garamond" w:hAnsi="Garamond"/>
                <w:lang w:val="en-AU"/>
              </w:rPr>
              <w:t xml:space="preserve">The majority of the 2020 reports were Incidents (97.0%) rather than Serious Events (3.0%). For each of the last five years, the most frequently reported event type was </w:t>
            </w:r>
            <w:r w:rsidR="004C3BAD" w:rsidRPr="004C3BAD">
              <w:rPr>
                <w:rFonts w:ascii="Garamond" w:hAnsi="Garamond"/>
                <w:b/>
                <w:lang w:val="en-AU"/>
              </w:rPr>
              <w:t>Error Related to Procedure/Treatment/Test</w:t>
            </w:r>
            <w:r w:rsidR="004C3BAD" w:rsidRPr="004C3BAD">
              <w:rPr>
                <w:rFonts w:ascii="Garamond" w:hAnsi="Garamond"/>
                <w:lang w:val="en-AU"/>
              </w:rPr>
              <w:t xml:space="preserve">, accounting for 32.1% of all submitted acute care event reports in 2020. The </w:t>
            </w:r>
            <w:r w:rsidR="004C3BAD">
              <w:rPr>
                <w:rFonts w:ascii="Garamond" w:hAnsi="Garamond"/>
                <w:lang w:val="en-AU"/>
              </w:rPr>
              <w:t xml:space="preserve">next three </w:t>
            </w:r>
            <w:r w:rsidR="004C3BAD" w:rsidRPr="004C3BAD">
              <w:rPr>
                <w:rFonts w:ascii="Garamond" w:hAnsi="Garamond"/>
                <w:lang w:val="en-AU"/>
              </w:rPr>
              <w:t xml:space="preserve">most frequently reported event types were </w:t>
            </w:r>
            <w:r w:rsidR="004C3BAD" w:rsidRPr="004C3BAD">
              <w:rPr>
                <w:rFonts w:ascii="Garamond" w:hAnsi="Garamond"/>
                <w:b/>
                <w:lang w:val="en-AU"/>
              </w:rPr>
              <w:t>Medication Error</w:t>
            </w:r>
            <w:r w:rsidR="004C3BAD" w:rsidRPr="004C3BAD">
              <w:rPr>
                <w:rFonts w:ascii="Garamond" w:hAnsi="Garamond"/>
                <w:lang w:val="en-AU"/>
              </w:rPr>
              <w:t xml:space="preserve">, </w:t>
            </w:r>
            <w:r w:rsidR="004C3BAD" w:rsidRPr="004C3BAD">
              <w:rPr>
                <w:rFonts w:ascii="Garamond" w:hAnsi="Garamond"/>
                <w:b/>
                <w:lang w:val="en-AU"/>
              </w:rPr>
              <w:t>Complication of Procedure/Treatment/Test</w:t>
            </w:r>
            <w:r w:rsidR="004C3BAD" w:rsidRPr="004C3BAD">
              <w:rPr>
                <w:rFonts w:ascii="Garamond" w:hAnsi="Garamond"/>
                <w:lang w:val="en-AU"/>
              </w:rPr>
              <w:t xml:space="preserve">, and </w:t>
            </w:r>
            <w:r w:rsidR="004C3BAD" w:rsidRPr="004C3BAD">
              <w:rPr>
                <w:rFonts w:ascii="Garamond" w:hAnsi="Garamond"/>
                <w:b/>
                <w:lang w:val="en-AU"/>
              </w:rPr>
              <w:t>Fall</w:t>
            </w:r>
            <w:r w:rsidR="004C3BAD" w:rsidRPr="004C3BAD">
              <w:rPr>
                <w:rFonts w:ascii="Garamond" w:hAnsi="Garamond"/>
                <w:lang w:val="en-AU"/>
              </w:rPr>
              <w:t>, accounting for 16.7%, 16.2%, and 11.8% of submitted reports in 2020, respectively.</w:t>
            </w:r>
          </w:p>
          <w:p w:rsidR="003A2286" w:rsidRPr="004F74F7" w:rsidRDefault="003A2286" w:rsidP="004C3BAD">
            <w:pPr>
              <w:rPr>
                <w:rFonts w:ascii="Garamond" w:hAnsi="Garamond"/>
                <w:lang w:val="en-AU"/>
              </w:rPr>
            </w:pPr>
            <w:r>
              <w:rPr>
                <w:rFonts w:ascii="Garamond" w:hAnsi="Garamond"/>
                <w:lang w:val="en-AU"/>
              </w:rPr>
              <w:t xml:space="preserve">Cohen et al report on an analysis of142 </w:t>
            </w:r>
            <w:r w:rsidRPr="003A2286">
              <w:rPr>
                <w:rFonts w:ascii="Garamond" w:hAnsi="Garamond"/>
                <w:lang w:val="en-AU"/>
              </w:rPr>
              <w:t xml:space="preserve">surgical </w:t>
            </w:r>
            <w:r w:rsidR="009158F2">
              <w:rPr>
                <w:rFonts w:ascii="Garamond" w:hAnsi="Garamond"/>
                <w:lang w:val="en-AU"/>
              </w:rPr>
              <w:t>‘</w:t>
            </w:r>
            <w:r w:rsidRPr="003A2286">
              <w:rPr>
                <w:rFonts w:ascii="Garamond" w:hAnsi="Garamond"/>
                <w:lang w:val="en-AU"/>
              </w:rPr>
              <w:t>never events</w:t>
            </w:r>
            <w:r w:rsidR="009158F2">
              <w:rPr>
                <w:rFonts w:ascii="Garamond" w:hAnsi="Garamond"/>
                <w:lang w:val="en-AU"/>
              </w:rPr>
              <w:t>’</w:t>
            </w:r>
            <w:r w:rsidRPr="003A2286">
              <w:rPr>
                <w:rFonts w:ascii="Garamond" w:hAnsi="Garamond"/>
                <w:lang w:val="en-AU"/>
              </w:rPr>
              <w:t xml:space="preserve"> reported to the California Department of Public Health.</w:t>
            </w:r>
            <w:r w:rsidR="009158F2">
              <w:rPr>
                <w:rFonts w:ascii="Garamond" w:hAnsi="Garamond"/>
                <w:lang w:val="en-AU"/>
              </w:rPr>
              <w:t xml:space="preserve"> The 142 events were identified and summaris</w:t>
            </w:r>
            <w:r w:rsidR="009158F2" w:rsidRPr="009158F2">
              <w:rPr>
                <w:rFonts w:ascii="Garamond" w:hAnsi="Garamond"/>
                <w:lang w:val="en-AU"/>
              </w:rPr>
              <w:t xml:space="preserve">ed </w:t>
            </w:r>
            <w:r w:rsidR="009158F2">
              <w:rPr>
                <w:rFonts w:ascii="Garamond" w:hAnsi="Garamond"/>
                <w:lang w:val="en-AU"/>
              </w:rPr>
              <w:t xml:space="preserve">in the period 1 </w:t>
            </w:r>
            <w:r w:rsidR="009158F2" w:rsidRPr="009158F2">
              <w:rPr>
                <w:rFonts w:ascii="Garamond" w:hAnsi="Garamond"/>
                <w:lang w:val="en-AU"/>
              </w:rPr>
              <w:t xml:space="preserve">January 2007 to </w:t>
            </w:r>
            <w:r w:rsidR="009158F2">
              <w:rPr>
                <w:rFonts w:ascii="Garamond" w:hAnsi="Garamond"/>
                <w:lang w:val="en-AU"/>
              </w:rPr>
              <w:t xml:space="preserve">31 </w:t>
            </w:r>
            <w:r w:rsidR="009158F2" w:rsidRPr="009158F2">
              <w:rPr>
                <w:rFonts w:ascii="Garamond" w:hAnsi="Garamond"/>
                <w:lang w:val="en-AU"/>
              </w:rPr>
              <w:t>December 2017.</w:t>
            </w:r>
            <w:r w:rsidR="004C3BAD">
              <w:rPr>
                <w:rFonts w:ascii="Garamond" w:hAnsi="Garamond"/>
                <w:lang w:val="en-AU"/>
              </w:rPr>
              <w:t xml:space="preserve"> The most common surgical never events reported were </w:t>
            </w:r>
            <w:r w:rsidR="004C3BAD" w:rsidRPr="004C3BAD">
              <w:rPr>
                <w:rFonts w:ascii="Garamond" w:hAnsi="Garamond"/>
                <w:b/>
                <w:lang w:val="en-AU"/>
              </w:rPr>
              <w:t>retained foreign objects</w:t>
            </w:r>
            <w:r w:rsidR="004C3BAD">
              <w:rPr>
                <w:rFonts w:ascii="Garamond" w:hAnsi="Garamond"/>
                <w:lang w:val="en-AU"/>
              </w:rPr>
              <w:t xml:space="preserve"> (94 of 141, 66.2%), </w:t>
            </w:r>
            <w:r w:rsidR="004C3BAD" w:rsidRPr="004C3BAD">
              <w:rPr>
                <w:rFonts w:ascii="Garamond" w:hAnsi="Garamond"/>
                <w:b/>
                <w:lang w:val="en-AU"/>
              </w:rPr>
              <w:t>wrong site or patient surgery</w:t>
            </w:r>
            <w:r w:rsidR="004C3BAD" w:rsidRPr="004C3BAD">
              <w:rPr>
                <w:rFonts w:ascii="Garamond" w:hAnsi="Garamond"/>
                <w:lang w:val="en-AU"/>
              </w:rPr>
              <w:t xml:space="preserve"> </w:t>
            </w:r>
            <w:r w:rsidR="004C3BAD">
              <w:rPr>
                <w:rFonts w:ascii="Garamond" w:hAnsi="Garamond"/>
                <w:lang w:val="en-AU"/>
              </w:rPr>
              <w:t>(</w:t>
            </w:r>
            <w:r w:rsidR="004C3BAD" w:rsidRPr="004C3BAD">
              <w:rPr>
                <w:rFonts w:ascii="Garamond" w:hAnsi="Garamond"/>
                <w:lang w:val="en-AU"/>
              </w:rPr>
              <w:t>22 events</w:t>
            </w:r>
            <w:r w:rsidR="004C3BAD">
              <w:rPr>
                <w:rFonts w:ascii="Garamond" w:hAnsi="Garamond"/>
                <w:lang w:val="en-AU"/>
              </w:rPr>
              <w:t>,</w:t>
            </w:r>
            <w:r w:rsidR="004C3BAD" w:rsidRPr="004C3BAD">
              <w:rPr>
                <w:rFonts w:ascii="Garamond" w:hAnsi="Garamond"/>
                <w:lang w:val="en-AU"/>
              </w:rPr>
              <w:t xml:space="preserve"> 15.5%), </w:t>
            </w:r>
            <w:r w:rsidR="004C3BAD" w:rsidRPr="004C3BAD">
              <w:rPr>
                <w:rFonts w:ascii="Garamond" w:hAnsi="Garamond"/>
                <w:b/>
                <w:lang w:val="en-AU"/>
              </w:rPr>
              <w:t>surgical burns</w:t>
            </w:r>
            <w:r w:rsidR="004C3BAD" w:rsidRPr="004C3BAD">
              <w:rPr>
                <w:rFonts w:ascii="Garamond" w:hAnsi="Garamond"/>
                <w:lang w:val="en-AU"/>
              </w:rPr>
              <w:t xml:space="preserve"> (</w:t>
            </w:r>
            <w:r w:rsidR="004C3BAD">
              <w:rPr>
                <w:rFonts w:ascii="Garamond" w:hAnsi="Garamond"/>
                <w:lang w:val="en-AU"/>
              </w:rPr>
              <w:t xml:space="preserve">11, </w:t>
            </w:r>
            <w:r w:rsidR="004C3BAD" w:rsidRPr="004C3BAD">
              <w:rPr>
                <w:rFonts w:ascii="Garamond" w:hAnsi="Garamond"/>
                <w:lang w:val="en-AU"/>
              </w:rPr>
              <w:t xml:space="preserve">7.7%), and other </w:t>
            </w:r>
            <w:r w:rsidR="004C3BAD">
              <w:rPr>
                <w:rFonts w:ascii="Garamond" w:hAnsi="Garamond"/>
                <w:lang w:val="en-AU"/>
              </w:rPr>
              <w:t>(</w:t>
            </w:r>
            <w:r w:rsidR="004C3BAD" w:rsidRPr="004C3BAD">
              <w:rPr>
                <w:rFonts w:ascii="Garamond" w:hAnsi="Garamond"/>
                <w:lang w:val="en-AU"/>
              </w:rPr>
              <w:t>15</w:t>
            </w:r>
            <w:r w:rsidR="004C3BAD">
              <w:rPr>
                <w:rFonts w:ascii="Garamond" w:hAnsi="Garamond"/>
                <w:lang w:val="en-AU"/>
              </w:rPr>
              <w:t xml:space="preserve">, </w:t>
            </w:r>
            <w:r w:rsidR="004C3BAD" w:rsidRPr="004C3BAD">
              <w:rPr>
                <w:rFonts w:ascii="Garamond" w:hAnsi="Garamond"/>
                <w:lang w:val="en-AU"/>
              </w:rPr>
              <w:t>10.6%)</w:t>
            </w:r>
            <w:r w:rsidR="004C3BAD">
              <w:rPr>
                <w:rFonts w:ascii="Garamond" w:hAnsi="Garamond"/>
                <w:lang w:val="en-AU"/>
              </w:rPr>
              <w:t>.</w:t>
            </w:r>
          </w:p>
        </w:tc>
      </w:tr>
    </w:tbl>
    <w:p w:rsidR="00D71C54" w:rsidRDefault="00D71C54" w:rsidP="00D35FC6">
      <w:pPr>
        <w:keepNext/>
        <w:rPr>
          <w:rFonts w:ascii="Garamond" w:hAnsi="Garamond"/>
          <w:i/>
          <w:lang w:val="en-AU"/>
        </w:rPr>
      </w:pPr>
    </w:p>
    <w:p w:rsidR="00D35FC6" w:rsidRDefault="00D35FC6" w:rsidP="00D35FC6">
      <w:pPr>
        <w:keepNext/>
        <w:rPr>
          <w:rFonts w:ascii="Garamond" w:hAnsi="Garamond"/>
          <w:i/>
          <w:lang w:val="en-AU"/>
        </w:rPr>
      </w:pPr>
      <w:r>
        <w:rPr>
          <w:rFonts w:ascii="Garamond" w:hAnsi="Garamond"/>
          <w:i/>
          <w:lang w:val="en-AU"/>
        </w:rPr>
        <w:t>BMJ Quality &amp; Safety</w:t>
      </w:r>
    </w:p>
    <w:p w:rsidR="00D35FC6" w:rsidRPr="00D65371" w:rsidRDefault="0037485E" w:rsidP="00D35FC6">
      <w:pPr>
        <w:keepNext/>
        <w:rPr>
          <w:rFonts w:ascii="Garamond" w:hAnsi="Garamond"/>
          <w:lang w:val="en-AU"/>
        </w:rPr>
      </w:pPr>
      <w:r>
        <w:rPr>
          <w:rFonts w:ascii="Garamond" w:hAnsi="Garamond"/>
          <w:lang w:val="en-AU"/>
        </w:rPr>
        <w:t>J</w:t>
      </w:r>
      <w:r w:rsidR="00D35FC6">
        <w:rPr>
          <w:rFonts w:ascii="Garamond" w:hAnsi="Garamond"/>
          <w:lang w:val="en-AU"/>
        </w:rPr>
        <w:t>une 2021 - Volume 30 - 6</w:t>
      </w:r>
    </w:p>
    <w:tbl>
      <w:tblPr>
        <w:tblStyle w:val="TableGrid"/>
        <w:tblW w:w="9360" w:type="dxa"/>
        <w:tblInd w:w="288" w:type="dxa"/>
        <w:tblLayout w:type="fixed"/>
        <w:tblLook w:val="01E0" w:firstRow="1" w:lastRow="1" w:firstColumn="1" w:lastColumn="1" w:noHBand="0" w:noVBand="0"/>
      </w:tblPr>
      <w:tblGrid>
        <w:gridCol w:w="1080"/>
        <w:gridCol w:w="8280"/>
      </w:tblGrid>
      <w:tr w:rsidR="00D35FC6" w:rsidRPr="000170DA" w:rsidTr="00BD3B91">
        <w:tc>
          <w:tcPr>
            <w:tcW w:w="1080" w:type="dxa"/>
            <w:tcBorders>
              <w:top w:val="single" w:sz="4" w:space="0" w:color="auto"/>
              <w:left w:val="single" w:sz="4" w:space="0" w:color="auto"/>
              <w:bottom w:val="single" w:sz="4" w:space="0" w:color="auto"/>
              <w:right w:val="single" w:sz="4" w:space="0" w:color="auto"/>
            </w:tcBorders>
            <w:vAlign w:val="center"/>
          </w:tcPr>
          <w:p w:rsidR="00D35FC6" w:rsidRPr="000170DA" w:rsidRDefault="00D35FC6" w:rsidP="00BD3B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35FC6" w:rsidRPr="000170DA" w:rsidRDefault="00B00184" w:rsidP="00D35FC6">
            <w:pPr>
              <w:keepNext/>
              <w:rPr>
                <w:rStyle w:val="Hyperlink"/>
                <w:rFonts w:ascii="Garamond" w:hAnsi="Garamond"/>
                <w:color w:val="auto"/>
                <w:u w:val="none"/>
                <w:lang w:val="en-AU"/>
              </w:rPr>
            </w:pPr>
            <w:hyperlink r:id="rId22" w:history="1">
              <w:r w:rsidR="00D35FC6" w:rsidRPr="009A0A89">
                <w:rPr>
                  <w:rStyle w:val="Hyperlink"/>
                  <w:rFonts w:ascii="Garamond" w:hAnsi="Garamond"/>
                  <w:lang w:val="en-AU"/>
                </w:rPr>
                <w:t>https://qualitysafety.bmj.com/content/30/6</w:t>
              </w:r>
            </w:hyperlink>
          </w:p>
        </w:tc>
      </w:tr>
      <w:tr w:rsidR="00D35FC6" w:rsidRPr="000170DA" w:rsidTr="00BD3B91">
        <w:tc>
          <w:tcPr>
            <w:tcW w:w="1080" w:type="dxa"/>
            <w:tcBorders>
              <w:top w:val="single" w:sz="4" w:space="0" w:color="auto"/>
              <w:left w:val="single" w:sz="4" w:space="0" w:color="auto"/>
              <w:bottom w:val="single" w:sz="4" w:space="0" w:color="auto"/>
              <w:right w:val="single" w:sz="4" w:space="0" w:color="auto"/>
            </w:tcBorders>
            <w:vAlign w:val="center"/>
          </w:tcPr>
          <w:p w:rsidR="00D35FC6" w:rsidRPr="000170DA" w:rsidRDefault="00D35FC6" w:rsidP="00BD3B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5FC6" w:rsidRPr="007C3778" w:rsidRDefault="00D35FC6" w:rsidP="00BD3B91">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D35FC6" w:rsidRPr="00D35FC6" w:rsidRDefault="00D35FC6" w:rsidP="007C62EC">
            <w:pPr>
              <w:pStyle w:val="ListParagraph"/>
              <w:numPr>
                <w:ilvl w:val="0"/>
                <w:numId w:val="15"/>
              </w:numPr>
              <w:rPr>
                <w:rFonts w:ascii="Garamond" w:hAnsi="Garamond"/>
                <w:lang w:val="en-AU"/>
              </w:rPr>
            </w:pPr>
            <w:r w:rsidRPr="00D35FC6">
              <w:rPr>
                <w:rFonts w:ascii="Garamond" w:hAnsi="Garamond"/>
                <w:lang w:val="en-AU"/>
              </w:rPr>
              <w:t xml:space="preserve">Editorial: </w:t>
            </w:r>
            <w:r w:rsidRPr="00D35FC6">
              <w:rPr>
                <w:rFonts w:ascii="Garamond" w:hAnsi="Garamond"/>
                <w:b/>
                <w:lang w:val="en-AU"/>
              </w:rPr>
              <w:t>Safe care on maternity units</w:t>
            </w:r>
            <w:r w:rsidRPr="00D35FC6">
              <w:rPr>
                <w:rFonts w:ascii="Garamond" w:hAnsi="Garamond"/>
                <w:lang w:val="en-AU"/>
              </w:rPr>
              <w:t>: a multidimensional balancing act (Emily White VanGompel, Elliott K Main</w:t>
            </w:r>
            <w:r>
              <w:rPr>
                <w:rFonts w:ascii="Garamond" w:hAnsi="Garamond"/>
                <w:lang w:val="en-AU"/>
              </w:rPr>
              <w:t>)</w:t>
            </w:r>
          </w:p>
          <w:p w:rsidR="00D35FC6" w:rsidRPr="00D35FC6" w:rsidRDefault="00D35FC6" w:rsidP="00F76B20">
            <w:pPr>
              <w:pStyle w:val="ListParagraph"/>
              <w:numPr>
                <w:ilvl w:val="0"/>
                <w:numId w:val="15"/>
              </w:numPr>
              <w:rPr>
                <w:rFonts w:ascii="Garamond" w:hAnsi="Garamond"/>
                <w:lang w:val="en-AU"/>
              </w:rPr>
            </w:pPr>
            <w:r w:rsidRPr="00D35FC6">
              <w:rPr>
                <w:rFonts w:ascii="Garamond" w:hAnsi="Garamond"/>
                <w:lang w:val="en-AU"/>
              </w:rPr>
              <w:t xml:space="preserve">Editorial: </w:t>
            </w:r>
            <w:r w:rsidRPr="00D35FC6">
              <w:rPr>
                <w:rFonts w:ascii="Garamond" w:hAnsi="Garamond"/>
                <w:b/>
                <w:lang w:val="en-AU"/>
              </w:rPr>
              <w:t>Healthcare-associated infections</w:t>
            </w:r>
            <w:r w:rsidRPr="00D35FC6">
              <w:rPr>
                <w:rFonts w:ascii="Garamond" w:hAnsi="Garamond"/>
                <w:lang w:val="en-AU"/>
              </w:rPr>
              <w:t>: where we came from and where we are headed (Daniel Escobar, David Pegues</w:t>
            </w:r>
            <w:r>
              <w:rPr>
                <w:rFonts w:ascii="Garamond" w:hAnsi="Garamond"/>
                <w:lang w:val="en-AU"/>
              </w:rPr>
              <w:t>)</w:t>
            </w:r>
          </w:p>
          <w:p w:rsidR="00D35FC6" w:rsidRPr="00D35FC6" w:rsidRDefault="00D35FC6" w:rsidP="006C2050">
            <w:pPr>
              <w:pStyle w:val="ListParagraph"/>
              <w:numPr>
                <w:ilvl w:val="0"/>
                <w:numId w:val="15"/>
              </w:numPr>
              <w:rPr>
                <w:rFonts w:ascii="Garamond" w:hAnsi="Garamond"/>
                <w:lang w:val="en-AU"/>
              </w:rPr>
            </w:pPr>
            <w:r w:rsidRPr="00D35FC6">
              <w:rPr>
                <w:rFonts w:ascii="Garamond" w:hAnsi="Garamond"/>
                <w:lang w:val="en-AU"/>
              </w:rPr>
              <w:t xml:space="preserve">Seven features of </w:t>
            </w:r>
            <w:r w:rsidRPr="00D35FC6">
              <w:rPr>
                <w:rFonts w:ascii="Garamond" w:hAnsi="Garamond"/>
                <w:b/>
                <w:lang w:val="en-AU"/>
              </w:rPr>
              <w:t>safety in maternity units</w:t>
            </w:r>
            <w:r w:rsidRPr="00D35FC6">
              <w:rPr>
                <w:rFonts w:ascii="Garamond" w:hAnsi="Garamond"/>
                <w:lang w:val="en-AU"/>
              </w:rPr>
              <w:t>: a framework based on multisite ethnography and stakeholder consultation (Elisa Giulia Liberati, Carolyn Tarrant, Janet Willars, Tim Draycott, Cathy Winter, Karolina Kuberska, Alexis Paton, Sonja Marjanovic, Brandi Leach, Catherine Lichten, Lucy Hocking, Sarah Ball, Mary Dixon-Woods</w:t>
            </w:r>
            <w:r>
              <w:rPr>
                <w:rFonts w:ascii="Garamond" w:hAnsi="Garamond"/>
                <w:lang w:val="en-AU"/>
              </w:rPr>
              <w:t>)</w:t>
            </w:r>
          </w:p>
          <w:p w:rsidR="00D35FC6" w:rsidRPr="00D35FC6" w:rsidRDefault="00D35FC6" w:rsidP="005F4A67">
            <w:pPr>
              <w:pStyle w:val="ListParagraph"/>
              <w:numPr>
                <w:ilvl w:val="0"/>
                <w:numId w:val="15"/>
              </w:numPr>
              <w:rPr>
                <w:rFonts w:ascii="Garamond" w:hAnsi="Garamond"/>
                <w:lang w:val="en-AU"/>
              </w:rPr>
            </w:pPr>
            <w:r w:rsidRPr="00D35FC6">
              <w:rPr>
                <w:rFonts w:ascii="Garamond" w:hAnsi="Garamond"/>
                <w:lang w:val="en-AU"/>
              </w:rPr>
              <w:t xml:space="preserve">Association between </w:t>
            </w:r>
            <w:r w:rsidRPr="00D35FC6">
              <w:rPr>
                <w:rFonts w:ascii="Garamond" w:hAnsi="Garamond"/>
                <w:b/>
                <w:lang w:val="en-AU"/>
              </w:rPr>
              <w:t>intrahospital transfer and hospital-acquired infection in the elderly</w:t>
            </w:r>
            <w:r w:rsidRPr="00D35FC6">
              <w:rPr>
                <w:rFonts w:ascii="Garamond" w:hAnsi="Garamond"/>
                <w:lang w:val="en-AU"/>
              </w:rPr>
              <w:t>: a retrospective case–control study in a UK hospital network (Emanuela Estera Boncea, Paul Expert, Kate Honeyford, Anne Kinderlerer, Colin Mitchell, Graham S Cooke, Luca Mercuri, Céire E Costelloe</w:t>
            </w:r>
            <w:r>
              <w:rPr>
                <w:rFonts w:ascii="Garamond" w:hAnsi="Garamond"/>
                <w:lang w:val="en-AU"/>
              </w:rPr>
              <w:t>)</w:t>
            </w:r>
          </w:p>
          <w:p w:rsidR="00D35FC6" w:rsidRPr="00D35FC6" w:rsidRDefault="00D35FC6" w:rsidP="00566191">
            <w:pPr>
              <w:pStyle w:val="ListParagraph"/>
              <w:numPr>
                <w:ilvl w:val="0"/>
                <w:numId w:val="15"/>
              </w:numPr>
              <w:rPr>
                <w:rFonts w:ascii="Garamond" w:hAnsi="Garamond"/>
                <w:lang w:val="en-AU"/>
              </w:rPr>
            </w:pPr>
            <w:r w:rsidRPr="00D35FC6">
              <w:rPr>
                <w:rFonts w:ascii="Garamond" w:hAnsi="Garamond"/>
                <w:lang w:val="en-AU"/>
              </w:rPr>
              <w:t xml:space="preserve">Removing hospital-based triage from suspected </w:t>
            </w:r>
            <w:r w:rsidRPr="00D35FC6">
              <w:rPr>
                <w:rFonts w:ascii="Garamond" w:hAnsi="Garamond"/>
                <w:b/>
                <w:lang w:val="en-AU"/>
              </w:rPr>
              <w:t>colorectal cancer pathways</w:t>
            </w:r>
            <w:r w:rsidRPr="00D35FC6">
              <w:rPr>
                <w:rFonts w:ascii="Garamond" w:hAnsi="Garamond"/>
                <w:lang w:val="en-AU"/>
              </w:rPr>
              <w:t xml:space="preserve">: the impact and learning from a primary care-led electronic straight-to-test </w:t>
            </w:r>
            <w:r w:rsidRPr="00D35FC6">
              <w:rPr>
                <w:rFonts w:ascii="Garamond" w:hAnsi="Garamond"/>
                <w:lang w:val="en-AU"/>
              </w:rPr>
              <w:lastRenderedPageBreak/>
              <w:t>pathway (Philippa Orchard, Nitin Arvind, Alison Wint, James Kynaston, Ann Lyons, Eric Loveday, Anne Pullyblank</w:t>
            </w:r>
            <w:r>
              <w:rPr>
                <w:rFonts w:ascii="Garamond" w:hAnsi="Garamond"/>
                <w:lang w:val="en-AU"/>
              </w:rPr>
              <w:t>)</w:t>
            </w:r>
          </w:p>
          <w:p w:rsidR="00D35FC6" w:rsidRPr="00D35FC6" w:rsidRDefault="00D35FC6" w:rsidP="00F90AC9">
            <w:pPr>
              <w:pStyle w:val="ListParagraph"/>
              <w:numPr>
                <w:ilvl w:val="0"/>
                <w:numId w:val="15"/>
              </w:numPr>
              <w:rPr>
                <w:rFonts w:ascii="Garamond" w:hAnsi="Garamond"/>
                <w:lang w:val="en-AU"/>
              </w:rPr>
            </w:pPr>
            <w:r w:rsidRPr="00D35FC6">
              <w:rPr>
                <w:rFonts w:ascii="Garamond" w:hAnsi="Garamond"/>
                <w:b/>
                <w:lang w:val="en-AU"/>
              </w:rPr>
              <w:t>Changing hospital organisational culture for improved patient outcomes</w:t>
            </w:r>
            <w:r w:rsidRPr="00D35FC6">
              <w:rPr>
                <w:rFonts w:ascii="Garamond" w:hAnsi="Garamond"/>
                <w:lang w:val="en-AU"/>
              </w:rPr>
              <w:t>: developing and implementing the leadership saves lives intervention (Erika Linnander, Zahirah McNatt, Kasey Boehmer, Emily Cherlin, Elizabeth Bradley, Leslie Curry</w:t>
            </w:r>
            <w:r>
              <w:rPr>
                <w:rFonts w:ascii="Garamond" w:hAnsi="Garamond"/>
                <w:lang w:val="en-AU"/>
              </w:rPr>
              <w:t>)</w:t>
            </w:r>
          </w:p>
          <w:p w:rsidR="00D35FC6" w:rsidRPr="00D35FC6" w:rsidRDefault="00D35FC6" w:rsidP="001824A6">
            <w:pPr>
              <w:pStyle w:val="ListParagraph"/>
              <w:numPr>
                <w:ilvl w:val="0"/>
                <w:numId w:val="15"/>
              </w:numPr>
              <w:rPr>
                <w:rFonts w:ascii="Garamond" w:hAnsi="Garamond"/>
                <w:lang w:val="en-AU"/>
              </w:rPr>
            </w:pPr>
            <w:r w:rsidRPr="00D35FC6">
              <w:rPr>
                <w:rFonts w:ascii="Garamond" w:hAnsi="Garamond"/>
                <w:lang w:val="en-AU"/>
              </w:rPr>
              <w:t xml:space="preserve">Identifying and encouraging high-quality healthcare: an analysis of the content and aims of </w:t>
            </w:r>
            <w:r w:rsidRPr="00D35FC6">
              <w:rPr>
                <w:rFonts w:ascii="Garamond" w:hAnsi="Garamond"/>
                <w:b/>
                <w:lang w:val="en-AU"/>
              </w:rPr>
              <w:t>patient letters of compliment</w:t>
            </w:r>
            <w:r w:rsidRPr="00D35FC6">
              <w:rPr>
                <w:rFonts w:ascii="Garamond" w:hAnsi="Garamond"/>
                <w:lang w:val="en-AU"/>
              </w:rPr>
              <w:t xml:space="preserve"> (Alex Gillespie, Tom W Reader</w:t>
            </w:r>
            <w:r>
              <w:rPr>
                <w:rFonts w:ascii="Garamond" w:hAnsi="Garamond"/>
                <w:lang w:val="en-AU"/>
              </w:rPr>
              <w:t>)</w:t>
            </w:r>
          </w:p>
          <w:p w:rsidR="00D35FC6" w:rsidRPr="00D35FC6" w:rsidRDefault="00D35FC6" w:rsidP="00691DB4">
            <w:pPr>
              <w:pStyle w:val="ListParagraph"/>
              <w:numPr>
                <w:ilvl w:val="0"/>
                <w:numId w:val="15"/>
              </w:numPr>
              <w:rPr>
                <w:rFonts w:ascii="Garamond" w:hAnsi="Garamond"/>
                <w:lang w:val="en-AU"/>
              </w:rPr>
            </w:pPr>
            <w:r w:rsidRPr="00D35FC6">
              <w:rPr>
                <w:rFonts w:ascii="Garamond" w:hAnsi="Garamond"/>
                <w:lang w:val="en-AU"/>
              </w:rPr>
              <w:t xml:space="preserve">Observational study assessing changes in </w:t>
            </w:r>
            <w:r w:rsidRPr="00D35FC6">
              <w:rPr>
                <w:rFonts w:ascii="Garamond" w:hAnsi="Garamond"/>
                <w:b/>
                <w:lang w:val="en-AU"/>
              </w:rPr>
              <w:t>timing of readmissions around postdischarge day 30</w:t>
            </w:r>
            <w:r w:rsidRPr="00D35FC6">
              <w:rPr>
                <w:rFonts w:ascii="Garamond" w:hAnsi="Garamond"/>
                <w:lang w:val="en-AU"/>
              </w:rPr>
              <w:t xml:space="preserve"> associated with the introduction of the Hospital Readmissions Reduction Program (Ashwin S Nathan, Joseph R Martinez, Jay Giri, Amol S Navathe</w:t>
            </w:r>
            <w:r>
              <w:rPr>
                <w:rFonts w:ascii="Garamond" w:hAnsi="Garamond"/>
                <w:lang w:val="en-AU"/>
              </w:rPr>
              <w:t>)</w:t>
            </w:r>
          </w:p>
          <w:p w:rsidR="00D35FC6" w:rsidRPr="00D35FC6" w:rsidRDefault="00D35FC6" w:rsidP="007B5111">
            <w:pPr>
              <w:pStyle w:val="ListParagraph"/>
              <w:numPr>
                <w:ilvl w:val="0"/>
                <w:numId w:val="15"/>
              </w:numPr>
              <w:rPr>
                <w:rFonts w:ascii="Garamond" w:hAnsi="Garamond"/>
                <w:lang w:val="en-AU"/>
              </w:rPr>
            </w:pPr>
            <w:r w:rsidRPr="00D35FC6">
              <w:rPr>
                <w:rFonts w:ascii="Garamond" w:hAnsi="Garamond"/>
                <w:lang w:val="en-AU"/>
              </w:rPr>
              <w:t xml:space="preserve">Weekly variation in quality of care for </w:t>
            </w:r>
            <w:r w:rsidRPr="00D35FC6">
              <w:rPr>
                <w:rFonts w:ascii="Garamond" w:hAnsi="Garamond"/>
                <w:b/>
                <w:lang w:val="en-AU"/>
              </w:rPr>
              <w:t>acute ST-segment elevation myocardial infarction</w:t>
            </w:r>
            <w:r w:rsidRPr="00D35FC6">
              <w:rPr>
                <w:rFonts w:ascii="Garamond" w:hAnsi="Garamond"/>
                <w:lang w:val="en-AU"/>
              </w:rPr>
              <w:t xml:space="preserve"> by day and time of admission: a retrospective observational study (Chao Wang, Xi Li, Wantong Sun, Jingkun Li, Yupeng Wang, Xiaoqiang Bao, Meina Liu, Qiuju Zhang</w:t>
            </w:r>
            <w:r>
              <w:rPr>
                <w:rFonts w:ascii="Garamond" w:hAnsi="Garamond"/>
                <w:lang w:val="en-AU"/>
              </w:rPr>
              <w:t>)</w:t>
            </w:r>
          </w:p>
          <w:p w:rsidR="00D35FC6" w:rsidRPr="00D35FC6" w:rsidRDefault="00D35FC6" w:rsidP="00537EC7">
            <w:pPr>
              <w:pStyle w:val="ListParagraph"/>
              <w:numPr>
                <w:ilvl w:val="0"/>
                <w:numId w:val="15"/>
              </w:numPr>
              <w:rPr>
                <w:rFonts w:ascii="Garamond" w:hAnsi="Garamond"/>
                <w:lang w:val="en-AU"/>
              </w:rPr>
            </w:pPr>
            <w:r w:rsidRPr="00D35FC6">
              <w:rPr>
                <w:rFonts w:ascii="Garamond" w:hAnsi="Garamond"/>
                <w:lang w:val="en-AU"/>
              </w:rPr>
              <w:t xml:space="preserve">Systematically capturing and acting on </w:t>
            </w:r>
            <w:r w:rsidRPr="00D35FC6">
              <w:rPr>
                <w:rFonts w:ascii="Garamond" w:hAnsi="Garamond"/>
                <w:b/>
                <w:lang w:val="en-AU"/>
              </w:rPr>
              <w:t>insights from front-line staff</w:t>
            </w:r>
            <w:r w:rsidRPr="00D35FC6">
              <w:rPr>
                <w:rFonts w:ascii="Garamond" w:hAnsi="Garamond"/>
                <w:lang w:val="en-AU"/>
              </w:rPr>
              <w:t>: the ‘Bedside Learning Coordinator’ (Jenny Shand, Dominique Allwood, Nicole Lee, Noor Elahi, Iain McHenry, Karen Chui, Sophie Tang, Zoe Dawson-Couper, James Mountford, Richard Bohmer</w:t>
            </w:r>
            <w:r>
              <w:rPr>
                <w:rFonts w:ascii="Garamond" w:hAnsi="Garamond"/>
                <w:lang w:val="en-AU"/>
              </w:rPr>
              <w:t>)</w:t>
            </w:r>
          </w:p>
          <w:p w:rsidR="00D35FC6" w:rsidRPr="00292B57" w:rsidRDefault="00D35FC6" w:rsidP="00D35FC6">
            <w:pPr>
              <w:pStyle w:val="ListParagraph"/>
              <w:numPr>
                <w:ilvl w:val="0"/>
                <w:numId w:val="15"/>
              </w:numPr>
              <w:rPr>
                <w:rFonts w:ascii="Garamond" w:hAnsi="Garamond"/>
                <w:lang w:val="en-AU"/>
              </w:rPr>
            </w:pPr>
            <w:r w:rsidRPr="00D35FC6">
              <w:rPr>
                <w:rFonts w:ascii="Garamond" w:hAnsi="Garamond"/>
                <w:lang w:val="en-AU"/>
              </w:rPr>
              <w:t xml:space="preserve">Systematic review and meta-analysis of interventions for </w:t>
            </w:r>
            <w:r w:rsidRPr="00D35FC6">
              <w:rPr>
                <w:rFonts w:ascii="Garamond" w:hAnsi="Garamond"/>
                <w:b/>
                <w:lang w:val="en-AU"/>
              </w:rPr>
              <w:t>operating room to intensive care unit handoffs</w:t>
            </w:r>
            <w:r w:rsidRPr="00D35FC6">
              <w:rPr>
                <w:rFonts w:ascii="Garamond" w:hAnsi="Garamond"/>
                <w:lang w:val="en-AU"/>
              </w:rPr>
              <w:t xml:space="preserve"> (Joanna Abraham, Alicia Meng, Sanjna Tripathy, Michael S Avidan, Thomas Kannampallil</w:t>
            </w:r>
            <w:r>
              <w:rPr>
                <w:rFonts w:ascii="Garamond" w:hAnsi="Garamond"/>
                <w:lang w:val="en-AU"/>
              </w:rPr>
              <w:t>)</w:t>
            </w:r>
          </w:p>
        </w:tc>
      </w:tr>
    </w:tbl>
    <w:p w:rsidR="00D35FC6" w:rsidRDefault="00D35FC6" w:rsidP="00D35FC6">
      <w:pPr>
        <w:keepLines/>
        <w:tabs>
          <w:tab w:val="left" w:pos="1065"/>
        </w:tabs>
        <w:autoSpaceDE w:val="0"/>
        <w:autoSpaceDN w:val="0"/>
        <w:adjustRightInd w:val="0"/>
        <w:rPr>
          <w:rFonts w:ascii="Garamond" w:hAnsi="Garamond"/>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B00184" w:rsidP="000E1EA4">
            <w:pPr>
              <w:keepNext/>
              <w:rPr>
                <w:rFonts w:ascii="Garamond" w:hAnsi="Garamond"/>
                <w:lang w:val="en-AU"/>
              </w:rPr>
            </w:pPr>
            <w:hyperlink r:id="rId23"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37485E" w:rsidRPr="0037485E" w:rsidRDefault="0037485E" w:rsidP="0037485E">
            <w:pPr>
              <w:pStyle w:val="ListParagraph"/>
              <w:numPr>
                <w:ilvl w:val="0"/>
                <w:numId w:val="14"/>
              </w:numPr>
              <w:rPr>
                <w:rFonts w:ascii="Garamond" w:hAnsi="Garamond"/>
                <w:lang w:val="en-AU"/>
              </w:rPr>
            </w:pPr>
            <w:r w:rsidRPr="0037485E">
              <w:rPr>
                <w:rFonts w:ascii="Garamond" w:hAnsi="Garamond"/>
                <w:lang w:val="en-AU"/>
              </w:rPr>
              <w:t xml:space="preserve">Primary care physician’s (PCP) perceived </w:t>
            </w:r>
            <w:r w:rsidRPr="0037485E">
              <w:rPr>
                <w:rFonts w:ascii="Garamond" w:hAnsi="Garamond"/>
                <w:b/>
                <w:lang w:val="en-AU"/>
              </w:rPr>
              <w:t>value of patient-reported outcomes (PROs) in clinical practice</w:t>
            </w:r>
            <w:r w:rsidRPr="0037485E">
              <w:rPr>
                <w:rFonts w:ascii="Garamond" w:hAnsi="Garamond"/>
                <w:lang w:val="en-AU"/>
              </w:rPr>
              <w:t>: a mixed methods study (Danny Mou, Daniel M Horn, Marilyn Heng, Manuel Castillo-Angeles, Keren Ladin, Daniel Frendl, Manraj Kaur, Marcela del Carmen, Thomas Dean Sequist, Rachel C Sisodia</w:t>
            </w:r>
            <w:r>
              <w:rPr>
                <w:rFonts w:ascii="Garamond" w:hAnsi="Garamond"/>
                <w:lang w:val="en-AU"/>
              </w:rPr>
              <w:t>)</w:t>
            </w:r>
          </w:p>
          <w:p w:rsidR="00D208F4" w:rsidRDefault="00A50CB9" w:rsidP="00A50CB9">
            <w:pPr>
              <w:pStyle w:val="ListParagraph"/>
              <w:numPr>
                <w:ilvl w:val="0"/>
                <w:numId w:val="14"/>
              </w:numPr>
              <w:rPr>
                <w:rFonts w:ascii="Garamond" w:hAnsi="Garamond"/>
                <w:lang w:val="en-AU"/>
              </w:rPr>
            </w:pPr>
            <w:r w:rsidRPr="00A50CB9">
              <w:rPr>
                <w:rFonts w:ascii="Garamond" w:hAnsi="Garamond"/>
                <w:b/>
                <w:lang w:val="en-AU"/>
              </w:rPr>
              <w:t>Conceptualising interventions to enhance spread in complex systems</w:t>
            </w:r>
            <w:r w:rsidRPr="00A50CB9">
              <w:rPr>
                <w:rFonts w:ascii="Garamond" w:hAnsi="Garamond"/>
                <w:lang w:val="en-AU"/>
              </w:rPr>
              <w:t xml:space="preserve">: a multisite comprehensive medication review case study </w:t>
            </w:r>
            <w:r>
              <w:rPr>
                <w:rFonts w:ascii="Garamond" w:hAnsi="Garamond"/>
                <w:lang w:val="en-AU"/>
              </w:rPr>
              <w:t>(</w:t>
            </w:r>
            <w:r w:rsidRPr="00A50CB9">
              <w:rPr>
                <w:rFonts w:ascii="Garamond" w:hAnsi="Garamond"/>
                <w:lang w:val="en-AU"/>
              </w:rPr>
              <w:t>Laura Lennox, Susan Barber, Neil Stillman, Sophie Spitters, Emily Ward, Vanessa Marvin, Julie E Reed</w:t>
            </w:r>
            <w:r>
              <w:rPr>
                <w:rFonts w:ascii="Garamond" w:hAnsi="Garamond"/>
                <w:lang w:val="en-AU"/>
              </w:rPr>
              <w:t>)</w:t>
            </w:r>
          </w:p>
          <w:p w:rsidR="003D212D" w:rsidRPr="003D212D" w:rsidRDefault="003D212D" w:rsidP="004F2B61">
            <w:pPr>
              <w:pStyle w:val="ListParagraph"/>
              <w:numPr>
                <w:ilvl w:val="0"/>
                <w:numId w:val="14"/>
              </w:numPr>
              <w:rPr>
                <w:rFonts w:ascii="Garamond" w:hAnsi="Garamond"/>
                <w:lang w:val="en-AU"/>
              </w:rPr>
            </w:pPr>
            <w:r w:rsidRPr="003D212D">
              <w:rPr>
                <w:rFonts w:ascii="Garamond" w:hAnsi="Garamond"/>
                <w:lang w:val="en-AU"/>
              </w:rPr>
              <w:t xml:space="preserve">How does the effectiveness of </w:t>
            </w:r>
            <w:r w:rsidRPr="003D212D">
              <w:rPr>
                <w:rFonts w:ascii="Garamond" w:hAnsi="Garamond"/>
                <w:b/>
                <w:lang w:val="en-AU"/>
              </w:rPr>
              <w:t>strategies to improve healthcare provider practices</w:t>
            </w:r>
            <w:r w:rsidRPr="003D212D">
              <w:rPr>
                <w:rFonts w:ascii="Garamond" w:hAnsi="Garamond"/>
                <w:lang w:val="en-AU"/>
              </w:rPr>
              <w:t xml:space="preserve"> in low-income and middle-income countries change after implementation? Secondary analysis of a systematic review (Catherine Arsenault, Samantha Y Rowe, Dennis Ross-Degnan, David H Peters, Sanam Roder-DeWan, Margaret E Kruk, Alexander K Rowe</w:t>
            </w:r>
            <w:r>
              <w:rPr>
                <w:rFonts w:ascii="Garamond" w:hAnsi="Garamond"/>
                <w:lang w:val="en-AU"/>
              </w:rPr>
              <w:t>)</w:t>
            </w:r>
          </w:p>
          <w:p w:rsidR="003D212D" w:rsidRPr="003D212D" w:rsidRDefault="003D212D" w:rsidP="00BF3538">
            <w:pPr>
              <w:pStyle w:val="ListParagraph"/>
              <w:numPr>
                <w:ilvl w:val="0"/>
                <w:numId w:val="14"/>
              </w:numPr>
              <w:rPr>
                <w:rFonts w:ascii="Garamond" w:hAnsi="Garamond"/>
                <w:lang w:val="en-AU"/>
              </w:rPr>
            </w:pPr>
            <w:r w:rsidRPr="003D212D">
              <w:rPr>
                <w:rFonts w:ascii="Garamond" w:hAnsi="Garamond"/>
                <w:lang w:val="en-AU"/>
              </w:rPr>
              <w:t xml:space="preserve">Editorial: Implementing </w:t>
            </w:r>
            <w:r w:rsidRPr="003D212D">
              <w:rPr>
                <w:rFonts w:ascii="Garamond" w:hAnsi="Garamond"/>
                <w:b/>
                <w:lang w:val="en-AU"/>
              </w:rPr>
              <w:t>automated prognostic models to inform palliative care</w:t>
            </w:r>
            <w:r w:rsidRPr="003D212D">
              <w:rPr>
                <w:rFonts w:ascii="Garamond" w:hAnsi="Garamond"/>
                <w:lang w:val="en-AU"/>
              </w:rPr>
              <w:t>: more than just the algorithm (Erin M Bange, Katherine R Courtright, Ravi B Parikh</w:t>
            </w:r>
            <w:r>
              <w:rPr>
                <w:rFonts w:ascii="Garamond" w:hAnsi="Garamond"/>
                <w:lang w:val="en-AU"/>
              </w:rPr>
              <w:t>)</w:t>
            </w:r>
          </w:p>
          <w:p w:rsidR="003D212D" w:rsidRPr="003D212D" w:rsidRDefault="003D212D" w:rsidP="00406C5C">
            <w:pPr>
              <w:pStyle w:val="ListParagraph"/>
              <w:numPr>
                <w:ilvl w:val="0"/>
                <w:numId w:val="14"/>
              </w:numPr>
              <w:rPr>
                <w:rFonts w:ascii="Garamond" w:hAnsi="Garamond"/>
                <w:lang w:val="en-AU"/>
              </w:rPr>
            </w:pPr>
            <w:r w:rsidRPr="003D212D">
              <w:rPr>
                <w:rFonts w:ascii="Garamond" w:hAnsi="Garamond"/>
                <w:lang w:val="en-AU"/>
              </w:rPr>
              <w:t xml:space="preserve">Editorial: </w:t>
            </w:r>
            <w:r w:rsidRPr="003D212D">
              <w:rPr>
                <w:rFonts w:ascii="Garamond" w:hAnsi="Garamond"/>
                <w:b/>
                <w:lang w:val="en-AU"/>
              </w:rPr>
              <w:t>Sustaining quality improvement efforts</w:t>
            </w:r>
            <w:r w:rsidRPr="003D212D">
              <w:rPr>
                <w:rFonts w:ascii="Garamond" w:hAnsi="Garamond"/>
                <w:lang w:val="en-AU"/>
              </w:rPr>
              <w:t>: emerging principles and practice (Robert E Burke, Perla J Marang-van de Mheen</w:t>
            </w:r>
            <w:r>
              <w:rPr>
                <w:rFonts w:ascii="Garamond" w:hAnsi="Garamond"/>
                <w:lang w:val="en-AU"/>
              </w:rPr>
              <w:t>)</w:t>
            </w:r>
          </w:p>
          <w:p w:rsidR="003D212D" w:rsidRDefault="003D212D" w:rsidP="003D212D">
            <w:pPr>
              <w:pStyle w:val="ListParagraph"/>
              <w:numPr>
                <w:ilvl w:val="0"/>
                <w:numId w:val="14"/>
              </w:numPr>
              <w:rPr>
                <w:rFonts w:ascii="Garamond" w:hAnsi="Garamond"/>
                <w:lang w:val="en-AU"/>
              </w:rPr>
            </w:pPr>
            <w:r w:rsidRPr="003D212D">
              <w:rPr>
                <w:rFonts w:ascii="Garamond" w:hAnsi="Garamond"/>
                <w:lang w:val="en-AU"/>
              </w:rPr>
              <w:t xml:space="preserve">Improving </w:t>
            </w:r>
            <w:r w:rsidRPr="003D212D">
              <w:rPr>
                <w:rFonts w:ascii="Garamond" w:hAnsi="Garamond"/>
                <w:b/>
                <w:lang w:val="en-AU"/>
              </w:rPr>
              <w:t>timeliness of hepatitis B vaccine administration</w:t>
            </w:r>
            <w:r w:rsidRPr="003D212D">
              <w:rPr>
                <w:rFonts w:ascii="Garamond" w:hAnsi="Garamond"/>
                <w:lang w:val="en-AU"/>
              </w:rPr>
              <w:t xml:space="preserve"> in an urban safety net level III NICU</w:t>
            </w:r>
            <w:r>
              <w:rPr>
                <w:rFonts w:ascii="Garamond" w:hAnsi="Garamond"/>
                <w:lang w:val="en-AU"/>
              </w:rPr>
              <w:t xml:space="preserve"> (</w:t>
            </w:r>
            <w:r w:rsidRPr="003D212D">
              <w:rPr>
                <w:rFonts w:ascii="Garamond" w:hAnsi="Garamond"/>
                <w:lang w:val="en-AU"/>
              </w:rPr>
              <w:t>Madoka Hayashi, Theresa R Grover, Steve Small, Tessa Staples, Genie Roosevelt</w:t>
            </w:r>
            <w:r>
              <w:rPr>
                <w:rFonts w:ascii="Garamond" w:hAnsi="Garamond"/>
                <w:lang w:val="en-AU"/>
              </w:rPr>
              <w:t>)</w:t>
            </w:r>
          </w:p>
          <w:p w:rsidR="0037485E" w:rsidRPr="00543B3B" w:rsidRDefault="0037485E" w:rsidP="0037485E">
            <w:pPr>
              <w:pStyle w:val="ListParagraph"/>
              <w:numPr>
                <w:ilvl w:val="0"/>
                <w:numId w:val="14"/>
              </w:numPr>
              <w:rPr>
                <w:rFonts w:ascii="Garamond" w:hAnsi="Garamond"/>
                <w:lang w:val="en-AU"/>
              </w:rPr>
            </w:pPr>
            <w:r w:rsidRPr="0037485E">
              <w:rPr>
                <w:rFonts w:ascii="Garamond" w:hAnsi="Garamond"/>
                <w:lang w:val="en-AU"/>
              </w:rPr>
              <w:lastRenderedPageBreak/>
              <w:t xml:space="preserve">Editorial: No one left behind: a case for more inclusivity in </w:t>
            </w:r>
            <w:r w:rsidRPr="0037485E">
              <w:rPr>
                <w:rFonts w:ascii="Garamond" w:hAnsi="Garamond"/>
                <w:b/>
                <w:lang w:val="en-AU"/>
              </w:rPr>
              <w:t>authorship for quality improvement and implementation research</w:t>
            </w:r>
            <w:r w:rsidRPr="0037485E">
              <w:rPr>
                <w:rFonts w:ascii="Garamond" w:hAnsi="Garamond"/>
                <w:lang w:val="en-AU"/>
              </w:rPr>
              <w:t xml:space="preserve"> </w:t>
            </w:r>
            <w:r>
              <w:rPr>
                <w:rFonts w:ascii="Garamond" w:hAnsi="Garamond"/>
                <w:lang w:val="en-AU"/>
              </w:rPr>
              <w:t>(</w:t>
            </w:r>
            <w:r w:rsidRPr="0037485E">
              <w:rPr>
                <w:rFonts w:ascii="Garamond" w:hAnsi="Garamond"/>
                <w:lang w:val="en-AU"/>
              </w:rPr>
              <w:t>Jennifer S Myers, Meghan Lane-Fall, Christine Soong</w:t>
            </w:r>
            <w:r>
              <w:rPr>
                <w:rFonts w:ascii="Garamond" w:hAnsi="Garamond"/>
                <w:lang w:val="en-AU"/>
              </w:rPr>
              <w:t>)</w:t>
            </w:r>
          </w:p>
        </w:tc>
      </w:tr>
    </w:tbl>
    <w:p w:rsidR="003416DE" w:rsidRDefault="003416DE" w:rsidP="003416DE">
      <w:pPr>
        <w:rPr>
          <w:rFonts w:ascii="Garamond" w:hAnsi="Garamond"/>
          <w:i/>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B00184" w:rsidP="00315157">
            <w:pPr>
              <w:keepNext/>
              <w:rPr>
                <w:rFonts w:ascii="Garamond" w:hAnsi="Garamond"/>
                <w:lang w:val="en-AU"/>
              </w:rPr>
            </w:pPr>
            <w:hyperlink r:id="rId24"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37485E" w:rsidRPr="0037485E" w:rsidRDefault="0037485E" w:rsidP="00E82539">
            <w:pPr>
              <w:pStyle w:val="ListParagraph"/>
              <w:numPr>
                <w:ilvl w:val="0"/>
                <w:numId w:val="14"/>
              </w:numPr>
              <w:rPr>
                <w:rFonts w:ascii="Garamond" w:hAnsi="Garamond"/>
                <w:lang w:val="en-AU"/>
              </w:rPr>
            </w:pPr>
            <w:r w:rsidRPr="0037485E">
              <w:rPr>
                <w:rFonts w:ascii="Garamond" w:hAnsi="Garamond"/>
                <w:b/>
                <w:lang w:val="en-AU"/>
              </w:rPr>
              <w:t>Is a Hospital Quality Policy Based on a Triad of Accreditation, Public Reporting and Inspection Evidence-Based?</w:t>
            </w:r>
            <w:r w:rsidRPr="0037485E">
              <w:rPr>
                <w:rFonts w:ascii="Garamond" w:hAnsi="Garamond"/>
                <w:lang w:val="en-AU"/>
              </w:rPr>
              <w:t xml:space="preserve"> A Narrative Review (Astrid Van Wilder, Luk Bruyneel, Dirk De Ridder, Deborah Seys, Jonas Brouwers, Fien Claessens, Bianca Cox, Kris Vanhaecht</w:t>
            </w:r>
            <w:r>
              <w:rPr>
                <w:rFonts w:ascii="Garamond" w:hAnsi="Garamond"/>
                <w:lang w:val="en-AU"/>
              </w:rPr>
              <w:t>)</w:t>
            </w:r>
          </w:p>
          <w:p w:rsidR="00A50CB9" w:rsidRPr="00A50CB9" w:rsidRDefault="00A50CB9" w:rsidP="009F72DA">
            <w:pPr>
              <w:pStyle w:val="ListParagraph"/>
              <w:numPr>
                <w:ilvl w:val="0"/>
                <w:numId w:val="14"/>
              </w:numPr>
              <w:rPr>
                <w:rFonts w:ascii="Garamond" w:hAnsi="Garamond"/>
                <w:lang w:val="en-AU"/>
              </w:rPr>
            </w:pPr>
            <w:r w:rsidRPr="00A50CB9">
              <w:rPr>
                <w:rFonts w:ascii="Garamond" w:hAnsi="Garamond"/>
                <w:b/>
                <w:lang w:val="en-AU"/>
              </w:rPr>
              <w:t>Cost-effectiveness of Public Caseload Midwifery</w:t>
            </w:r>
            <w:r w:rsidRPr="00A50CB9">
              <w:rPr>
                <w:rFonts w:ascii="Garamond" w:hAnsi="Garamond"/>
                <w:lang w:val="en-AU"/>
              </w:rPr>
              <w:t xml:space="preserve"> Compared to Standard Care in an Australian Setting: a Pragmatic Analysis to Inform Service Delivery </w:t>
            </w:r>
            <w:r>
              <w:rPr>
                <w:rFonts w:ascii="Garamond" w:hAnsi="Garamond"/>
                <w:lang w:val="en-AU"/>
              </w:rPr>
              <w:t>(</w:t>
            </w:r>
            <w:r w:rsidRPr="00A50CB9">
              <w:rPr>
                <w:rFonts w:ascii="Garamond" w:hAnsi="Garamond"/>
                <w:lang w:val="en-AU"/>
              </w:rPr>
              <w:t>Emily J Callander, Valerie Slavin, Jenny Gamble, Debra K Creedy, Hazel Brittain</w:t>
            </w:r>
            <w:r>
              <w:rPr>
                <w:rFonts w:ascii="Garamond" w:hAnsi="Garamond"/>
                <w:lang w:val="en-AU"/>
              </w:rPr>
              <w:t>)</w:t>
            </w:r>
          </w:p>
          <w:p w:rsidR="00150ADC" w:rsidRDefault="00A50CB9" w:rsidP="00A50CB9">
            <w:pPr>
              <w:pStyle w:val="ListParagraph"/>
              <w:numPr>
                <w:ilvl w:val="0"/>
                <w:numId w:val="14"/>
              </w:numPr>
              <w:rPr>
                <w:rFonts w:ascii="Garamond" w:hAnsi="Garamond"/>
                <w:lang w:val="en-AU"/>
              </w:rPr>
            </w:pPr>
            <w:r w:rsidRPr="00A50CB9">
              <w:rPr>
                <w:rFonts w:ascii="Garamond" w:hAnsi="Garamond"/>
                <w:b/>
                <w:lang w:val="en-AU"/>
              </w:rPr>
              <w:t>Targeted Ordering of Investigations</w:t>
            </w:r>
            <w:r w:rsidRPr="00A50CB9">
              <w:rPr>
                <w:rFonts w:ascii="Garamond" w:hAnsi="Garamond"/>
                <w:lang w:val="en-AU"/>
              </w:rPr>
              <w:t xml:space="preserve"> Reduces Costs of Treatment for Surgical Inpatients (Ashim Nath Adhikari, Matthew Dylan Beck, James Justin Wykes, Bruce Graham Ashford</w:t>
            </w:r>
            <w:r>
              <w:rPr>
                <w:rFonts w:ascii="Garamond" w:hAnsi="Garamond"/>
                <w:lang w:val="en-AU"/>
              </w:rPr>
              <w:t>)</w:t>
            </w:r>
          </w:p>
          <w:p w:rsidR="00D35FC6" w:rsidRPr="00721A1B" w:rsidRDefault="00D35FC6" w:rsidP="00D35FC6">
            <w:pPr>
              <w:pStyle w:val="ListParagraph"/>
              <w:numPr>
                <w:ilvl w:val="0"/>
                <w:numId w:val="14"/>
              </w:numPr>
              <w:rPr>
                <w:rFonts w:ascii="Garamond" w:hAnsi="Garamond"/>
                <w:lang w:val="en-AU"/>
              </w:rPr>
            </w:pPr>
            <w:r w:rsidRPr="00D35FC6">
              <w:rPr>
                <w:rFonts w:ascii="Garamond" w:hAnsi="Garamond"/>
                <w:lang w:val="en-AU"/>
              </w:rPr>
              <w:t xml:space="preserve">Applying Health-Six-Sigma Principles Helps Reducing the </w:t>
            </w:r>
            <w:r w:rsidRPr="00D35FC6">
              <w:rPr>
                <w:rFonts w:ascii="Garamond" w:hAnsi="Garamond"/>
                <w:b/>
                <w:lang w:val="en-AU"/>
              </w:rPr>
              <w:t>Variability of Length of Stay in the Emergency Department</w:t>
            </w:r>
            <w:r w:rsidRPr="00D35FC6">
              <w:rPr>
                <w:rFonts w:ascii="Garamond" w:hAnsi="Garamond"/>
                <w:lang w:val="en-AU"/>
              </w:rPr>
              <w:t xml:space="preserve"> </w:t>
            </w:r>
            <w:r>
              <w:rPr>
                <w:rFonts w:ascii="Garamond" w:hAnsi="Garamond"/>
                <w:lang w:val="en-AU"/>
              </w:rPr>
              <w:t>(</w:t>
            </w:r>
            <w:r w:rsidRPr="00D35FC6">
              <w:rPr>
                <w:rFonts w:ascii="Garamond" w:hAnsi="Garamond"/>
                <w:lang w:val="en-AU"/>
              </w:rPr>
              <w:t>Ayala Kobo-Greenhut, Keren Holzman, Osnat Raviv, Izhar Ben Shlomo, Jakov Arad</w:t>
            </w:r>
            <w:r>
              <w:rPr>
                <w:rFonts w:ascii="Garamond" w:hAnsi="Garamond"/>
                <w:lang w:val="en-AU"/>
              </w:rPr>
              <w:t>)</w:t>
            </w:r>
          </w:p>
        </w:tc>
      </w:tr>
    </w:tbl>
    <w:p w:rsidR="009D3349" w:rsidRDefault="009D3349" w:rsidP="00977E92">
      <w:pPr>
        <w:rPr>
          <w:rFonts w:ascii="Garamond" w:hAnsi="Garamond"/>
          <w:b/>
          <w:lang w:val="en-AU"/>
        </w:rPr>
      </w:pPr>
    </w:p>
    <w:p w:rsidR="00B84CD8" w:rsidRDefault="00B84CD8" w:rsidP="00977E92">
      <w:pPr>
        <w:rPr>
          <w:rFonts w:ascii="Garamond" w:hAnsi="Garamond"/>
          <w:b/>
          <w:lang w:val="en-AU"/>
        </w:rPr>
      </w:pPr>
    </w:p>
    <w:p w:rsidR="00D71C54" w:rsidRDefault="00D71C54" w:rsidP="00977E92">
      <w:pPr>
        <w:rPr>
          <w:rFonts w:ascii="Garamond" w:hAnsi="Garamond"/>
          <w:b/>
          <w:lang w:val="en-AU"/>
        </w:rPr>
      </w:pPr>
    </w:p>
    <w:p w:rsidR="00A50CB9" w:rsidRDefault="00A50CB9" w:rsidP="00DA7517">
      <w:pPr>
        <w:keepNext/>
        <w:keepLines/>
        <w:pBdr>
          <w:bottom w:val="single" w:sz="6" w:space="1" w:color="auto"/>
        </w:pBdr>
        <w:rPr>
          <w:rFonts w:ascii="Garamond" w:hAnsi="Garamond"/>
          <w:i/>
          <w:lang w:val="en-AU"/>
        </w:rPr>
      </w:pPr>
    </w:p>
    <w:p w:rsidR="0081159E" w:rsidRDefault="0081159E" w:rsidP="00D574D3">
      <w:pPr>
        <w:keepNext/>
        <w:tabs>
          <w:tab w:val="left" w:pos="0"/>
        </w:tabs>
        <w:rPr>
          <w:rFonts w:ascii="Garamond" w:hAnsi="Garamond"/>
          <w:i/>
          <w:lang w:val="en-AU"/>
        </w:rPr>
      </w:pPr>
    </w:p>
    <w:p w:rsidR="00D71C54" w:rsidRDefault="00D71C54">
      <w:pPr>
        <w:rPr>
          <w:rFonts w:ascii="Garamond" w:hAnsi="Garamond"/>
          <w:b/>
          <w:lang w:val="en-AU"/>
        </w:rPr>
      </w:pPr>
    </w:p>
    <w:p w:rsidR="00964468" w:rsidRDefault="00964468">
      <w:pPr>
        <w:rPr>
          <w:rFonts w:ascii="Garamond" w:hAnsi="Garamond"/>
          <w:b/>
          <w:lang w:val="en-AU"/>
        </w:rPr>
      </w:pPr>
      <w:r>
        <w:rPr>
          <w:rFonts w:ascii="Garamond" w:hAnsi="Garamond"/>
          <w:b/>
          <w:lang w:val="en-AU"/>
        </w:rPr>
        <w:br w:type="page"/>
      </w: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5"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26"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3405765" cy="4816648"/>
            <wp:effectExtent l="19050" t="19050" r="23495" b="22225"/>
            <wp:docPr id="4" name="Picture 4" descr="COVID-19: Aged care staff infection prevention and control precautions poster" title="COVID-19: Aged care staff infection prevention and control precautions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405765" cy="4816648"/>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28"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30"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1"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lastRenderedPageBreak/>
        <w:t>Safe care for people with cognitive impairment during COVID-19</w:t>
      </w:r>
      <w:r w:rsidRPr="00603C16">
        <w:rPr>
          <w:rStyle w:val="Hyperlink"/>
          <w:rFonts w:ascii="Garamond" w:hAnsi="Garamond"/>
          <w:b/>
          <w:i/>
          <w:color w:val="auto"/>
          <w:u w:val="none"/>
          <w:lang w:val="en-AU"/>
        </w:rPr>
        <w:br/>
      </w:r>
      <w:hyperlink r:id="rId32"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3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34"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3316741" cy="4690800"/>
            <wp:effectExtent l="19050" t="19050" r="17145" b="14605"/>
            <wp:docPr id="1" name="Picture 1" descr="Stop COVID-19: Break the chain of infection poster" title="Stop COVID-19: Break the chain of infection pos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316741" cy="4690800"/>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37"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38"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9"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40"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42"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bookmarkStart w:id="1" w:name="_GoBack"/>
      <w:r>
        <w:rPr>
          <w:noProof/>
          <w:lang w:val="en-AU" w:eastAsia="en-AU"/>
        </w:rPr>
        <w:drawing>
          <wp:inline distT="0" distB="0" distL="0" distR="0" wp14:anchorId="296858A4" wp14:editId="231D5E73">
            <wp:extent cx="3981691" cy="5864298"/>
            <wp:effectExtent l="19050" t="19050" r="19050" b="22225"/>
            <wp:docPr id="2" name="Picture 2" descr="COVID-19 and face masks information for consumers poster image" title="COVID-19 and face masks information for consumers poster im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94348" cy="6030221"/>
                    </a:xfrm>
                    <a:prstGeom prst="rect">
                      <a:avLst/>
                    </a:prstGeom>
                    <a:noFill/>
                    <a:ln>
                      <a:solidFill>
                        <a:schemeClr val="accent1"/>
                      </a:solidFill>
                    </a:ln>
                  </pic:spPr>
                </pic:pic>
              </a:graphicData>
            </a:graphic>
          </wp:inline>
        </w:drawing>
      </w:r>
      <w:bookmarkEnd w:id="1"/>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B00184" w:rsidP="00D574D3">
      <w:pPr>
        <w:keepNext/>
        <w:keepLines/>
        <w:rPr>
          <w:rFonts w:ascii="Garamond" w:hAnsi="Garamond"/>
          <w:lang w:val="en-AU"/>
        </w:rPr>
      </w:pPr>
      <w:hyperlink r:id="rId45"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B00184" w:rsidP="00D574D3">
      <w:pPr>
        <w:keepNext/>
        <w:keepLines/>
        <w:rPr>
          <w:rFonts w:ascii="Garamond" w:hAnsi="Garamond"/>
          <w:lang w:val="en-AU"/>
        </w:rPr>
      </w:pPr>
      <w:hyperlink r:id="rId46" w:history="1">
        <w:r w:rsidR="00D574D3" w:rsidRPr="007F0962">
          <w:rPr>
            <w:rStyle w:val="Hyperlink"/>
            <w:rFonts w:ascii="Garamond" w:hAnsi="Garamond"/>
            <w:lang w:val="en-AU"/>
          </w:rPr>
          <w:t>https://www.aci.health.nsw.gov.au/covid-19/critical-intelligence-unit</w:t>
        </w:r>
      </w:hyperlink>
    </w:p>
    <w:p w:rsidR="00F86E55" w:rsidRPr="00F86E55" w:rsidRDefault="00D574D3" w:rsidP="00F86E5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F86E55">
        <w:rPr>
          <w:rFonts w:ascii="Garamond" w:hAnsi="Garamond"/>
          <w:lang w:val="en-AU"/>
        </w:rPr>
        <w:t xml:space="preserve"> </w:t>
      </w:r>
      <w:r w:rsidR="00F86E55" w:rsidRPr="00F86E55">
        <w:rPr>
          <w:rFonts w:ascii="Garamond" w:hAnsi="Garamond"/>
          <w:lang w:val="en-AU"/>
        </w:rPr>
        <w:t>Recent evidence check updates include:</w:t>
      </w:r>
    </w:p>
    <w:p w:rsidR="00F33C69" w:rsidRPr="0037485E" w:rsidRDefault="0037485E" w:rsidP="00CB74F2">
      <w:pPr>
        <w:pStyle w:val="ListParagraph"/>
        <w:keepNext/>
        <w:numPr>
          <w:ilvl w:val="0"/>
          <w:numId w:val="21"/>
        </w:numPr>
        <w:rPr>
          <w:rFonts w:ascii="Garamond" w:hAnsi="Garamond"/>
          <w:lang w:val="en-AU"/>
        </w:rPr>
      </w:pPr>
      <w:r w:rsidRPr="0037485E">
        <w:rPr>
          <w:rFonts w:ascii="Garamond" w:hAnsi="Garamond"/>
          <w:b/>
          <w:i/>
          <w:lang w:val="en-AU"/>
        </w:rPr>
        <w:t>COVID-19 vaccine and elective surgery –</w:t>
      </w:r>
      <w:r>
        <w:rPr>
          <w:rFonts w:ascii="Garamond" w:hAnsi="Garamond"/>
          <w:b/>
          <w:i/>
          <w:lang w:val="en-AU"/>
        </w:rPr>
        <w:t xml:space="preserve"> </w:t>
      </w:r>
      <w:r w:rsidRPr="0037485E">
        <w:rPr>
          <w:rFonts w:ascii="Garamond" w:hAnsi="Garamond"/>
          <w:lang w:val="en-AU"/>
        </w:rPr>
        <w:t>What is the evidence on COVID-19 vaccination before elective surgery, including any recommendations regarding timing of vaccination?</w:t>
      </w:r>
    </w:p>
    <w:p w:rsidR="00572114" w:rsidRDefault="00572114" w:rsidP="00B24501">
      <w:pPr>
        <w:rPr>
          <w:rFonts w:ascii="Garamond" w:hAnsi="Garamond"/>
          <w:lang w:val="en-AU"/>
        </w:rPr>
      </w:pPr>
    </w:p>
    <w:p w:rsidR="004F74F7" w:rsidRDefault="004F74F7"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04" w:rsidRDefault="00716904">
      <w:r>
        <w:separator/>
      </w:r>
    </w:p>
  </w:endnote>
  <w:endnote w:type="continuationSeparator" w:id="0">
    <w:p w:rsidR="00716904" w:rsidRDefault="0071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04" w:rsidRDefault="0071690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00184">
      <w:rPr>
        <w:rStyle w:val="PageNumber"/>
        <w:noProof/>
      </w:rPr>
      <w:t>8</w:t>
    </w:r>
    <w:r>
      <w:rPr>
        <w:rStyle w:val="PageNumber"/>
      </w:rPr>
      <w:fldChar w:fldCharType="end"/>
    </w:r>
  </w:p>
  <w:p w:rsidR="00716904" w:rsidRPr="001E78F0" w:rsidRDefault="0071690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A50CB9">
      <w:rPr>
        <w:rFonts w:ascii="Garamond" w:hAnsi="Garamond"/>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04" w:rsidRPr="001E78F0" w:rsidRDefault="0071690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00184">
      <w:rPr>
        <w:rStyle w:val="PageNumber"/>
        <w:rFonts w:ascii="Garamond" w:hAnsi="Garamond"/>
        <w:noProof/>
      </w:rPr>
      <w:t>9</w:t>
    </w:r>
    <w:r w:rsidRPr="001E78F0">
      <w:rPr>
        <w:rStyle w:val="PageNumber"/>
        <w:rFonts w:ascii="Garamond" w:hAnsi="Garamond"/>
      </w:rPr>
      <w:fldChar w:fldCharType="end"/>
    </w:r>
  </w:p>
  <w:p w:rsidR="00716904" w:rsidRPr="001E78F0" w:rsidRDefault="0071690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50CB9">
      <w:rPr>
        <w:rFonts w:ascii="Garamond" w:hAnsi="Garamond"/>
      </w:rPr>
      <w:t xml:space="preserve"> Issue 512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04" w:rsidRDefault="00716904">
      <w:r>
        <w:separator/>
      </w:r>
    </w:p>
  </w:footnote>
  <w:footnote w:type="continuationSeparator" w:id="0">
    <w:p w:rsidR="00716904" w:rsidRDefault="0071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CF048B"/>
    <w:multiLevelType w:val="hybridMultilevel"/>
    <w:tmpl w:val="DF9C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561E5"/>
    <w:multiLevelType w:val="hybridMultilevel"/>
    <w:tmpl w:val="9E22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C4083F"/>
    <w:multiLevelType w:val="hybridMultilevel"/>
    <w:tmpl w:val="3848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C21054"/>
    <w:multiLevelType w:val="hybridMultilevel"/>
    <w:tmpl w:val="109E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E2B90"/>
    <w:multiLevelType w:val="hybridMultilevel"/>
    <w:tmpl w:val="C3D8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3B24A9"/>
    <w:multiLevelType w:val="hybridMultilevel"/>
    <w:tmpl w:val="387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B44703"/>
    <w:multiLevelType w:val="hybridMultilevel"/>
    <w:tmpl w:val="2262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763B88"/>
    <w:multiLevelType w:val="hybridMultilevel"/>
    <w:tmpl w:val="12E66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CF4DBA"/>
    <w:multiLevelType w:val="hybridMultilevel"/>
    <w:tmpl w:val="2B2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1F72EA"/>
    <w:multiLevelType w:val="hybridMultilevel"/>
    <w:tmpl w:val="7562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21EE9"/>
    <w:multiLevelType w:val="hybridMultilevel"/>
    <w:tmpl w:val="0C38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2"/>
  </w:num>
  <w:num w:numId="15">
    <w:abstractNumId w:val="16"/>
  </w:num>
  <w:num w:numId="16">
    <w:abstractNumId w:val="27"/>
  </w:num>
  <w:num w:numId="17">
    <w:abstractNumId w:val="24"/>
  </w:num>
  <w:num w:numId="18">
    <w:abstractNumId w:val="20"/>
  </w:num>
  <w:num w:numId="19">
    <w:abstractNumId w:val="10"/>
  </w:num>
  <w:num w:numId="20">
    <w:abstractNumId w:val="12"/>
  </w:num>
  <w:num w:numId="21">
    <w:abstractNumId w:val="31"/>
  </w:num>
  <w:num w:numId="22">
    <w:abstractNumId w:val="30"/>
  </w:num>
  <w:num w:numId="23">
    <w:abstractNumId w:val="23"/>
  </w:num>
  <w:num w:numId="24">
    <w:abstractNumId w:val="13"/>
  </w:num>
  <w:num w:numId="25">
    <w:abstractNumId w:val="32"/>
  </w:num>
  <w:num w:numId="26">
    <w:abstractNumId w:val="19"/>
  </w:num>
  <w:num w:numId="27">
    <w:abstractNumId w:val="26"/>
  </w:num>
  <w:num w:numId="28">
    <w:abstractNumId w:val="29"/>
  </w:num>
  <w:num w:numId="29">
    <w:abstractNumId w:val="15"/>
  </w:num>
  <w:num w:numId="30">
    <w:abstractNumId w:val="18"/>
  </w:num>
  <w:num w:numId="31">
    <w:abstractNumId w:val="17"/>
  </w:num>
  <w:num w:numId="32">
    <w:abstractNumId w:val="14"/>
  </w:num>
  <w:num w:numId="33">
    <w:abstractNumId w:val="25"/>
  </w:num>
  <w:num w:numId="34">
    <w:abstractNumId w:val="11"/>
  </w:num>
  <w:num w:numId="35">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33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6E9F"/>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698"/>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5B0"/>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3153"/>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partnering-consumers/person-centred-care" TargetMode="External"/><Relationship Id="rId26" Type="http://schemas.openxmlformats.org/officeDocument/2006/relationships/hyperlink" Target="https://www.safetyandquality.gov.au/publications-and-resources/resource-library/covid-19-aged-care-staff-infection-prevention-and-control-precautions-poster" TargetMode="External"/><Relationship Id="rId39" Type="http://schemas.openxmlformats.org/officeDocument/2006/relationships/hyperlink" Target="https://www.safetyandquality.gov.au/node/5725" TargetMode="External"/><Relationship Id="rId3" Type="http://schemas.openxmlformats.org/officeDocument/2006/relationships/styles" Target="styles.xml"/><Relationship Id="rId21" Type="http://schemas.openxmlformats.org/officeDocument/2006/relationships/hyperlink" Target="http://doi.org/10.1001/jamanetworkopen.2021.7058" TargetMode="External"/><Relationship Id="rId34" Type="http://schemas.openxmlformats.org/officeDocument/2006/relationships/hyperlink" Target="https://www.safetyandquality.gov.au/publications-and-resources/resource-library/break-chain-poster-a3" TargetMode="External"/><Relationship Id="rId42" Type="http://schemas.openxmlformats.org/officeDocument/2006/relationships/hyperlink" Target="https://www.safetyandquality.gov.au/wearing-face-masks-community"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dx.doi.org/10.1136/bmjqs-2019-010077" TargetMode="External"/><Relationship Id="rId25" Type="http://schemas.openxmlformats.org/officeDocument/2006/relationships/hyperlink" Target="https://www.safetyandquality.gov.au/covid-19" TargetMode="External"/><Relationship Id="rId33" Type="http://schemas.openxmlformats.org/officeDocument/2006/relationships/hyperlink" Target="https://www.safetyandquality.gov.au/our-work/medication-safety/medicines-management-covid-19" TargetMode="External"/><Relationship Id="rId38" Type="http://schemas.openxmlformats.org/officeDocument/2006/relationships/hyperlink" Target="https://www.safetyandquality.gov.au/node/5724" TargetMode="External"/><Relationship Id="rId46" Type="http://schemas.openxmlformats.org/officeDocument/2006/relationships/hyperlink" Target="https://www.aci.health.nsw.gov.au/covid-19/critical-intelligence-unit" TargetMode="External"/><Relationship Id="rId2" Type="http://schemas.openxmlformats.org/officeDocument/2006/relationships/numbering" Target="numbering.xml"/><Relationship Id="rId16" Type="http://schemas.openxmlformats.org/officeDocument/2006/relationships/hyperlink" Target="https://doi.org/10.1093/intqhc/mzab083" TargetMode="External"/><Relationship Id="rId20" Type="http://schemas.openxmlformats.org/officeDocument/2006/relationships/hyperlink" Target="http://doi.org/10.33940/data/2021.6.1" TargetMode="External"/><Relationship Id="rId29" Type="http://schemas.openxmlformats.org/officeDocument/2006/relationships/hyperlink" Target="https://www.safetyandquality.gov.au/publications-and-resources/resource-library/infection-prevention-and-control-covid-19-personal-protective-equipment" TargetMode="External"/><Relationship Id="rId41" Type="http://schemas.openxmlformats.org/officeDocument/2006/relationships/hyperlink" Target="https://www.safetyandquality.gov.au/publications-and-resources/resource-library/covid-19-and-face-masks-information-con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32" Type="http://schemas.openxmlformats.org/officeDocument/2006/relationships/hyperlink" Target="https://www.safetyandquality.gov.au/our-work/cognitive-impairment/cognitive-impairment-and-covid-19" TargetMode="External"/><Relationship Id="rId37" Type="http://schemas.openxmlformats.org/officeDocument/2006/relationships/hyperlink" Target="https://www.safetyandquality.gov.au/publications-and-resources/resource-library/covid-19-elective-surgery-and-infection-prevention-and-control-precautions" TargetMode="External"/><Relationship Id="rId40" Type="http://schemas.openxmlformats.org/officeDocument/2006/relationships/hyperlink" Target="https://www.safetyandquality.gov.au/faqs-community-use-face-masks" TargetMode="External"/><Relationship Id="rId45" Type="http://schemas.openxmlformats.org/officeDocument/2006/relationships/hyperlink" Target="https://covid19evidence.net.au/" TargetMode="External"/><Relationship Id="rId5" Type="http://schemas.openxmlformats.org/officeDocument/2006/relationships/webSettings" Target="webSettings.xml"/><Relationship Id="rId15" Type="http://schemas.openxmlformats.org/officeDocument/2006/relationships/hyperlink" Target="http://doi.org/10.1136/bmjopen-2020-043206"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www.safetyandquality.gov.au/environmental-cleaning" TargetMode="External"/><Relationship Id="rId36" Type="http://schemas.openxmlformats.org/officeDocument/2006/relationships/image" Target="media/image3.png"/><Relationship Id="rId49"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partnering-consumers" TargetMode="External"/><Relationship Id="rId31" Type="http://schemas.openxmlformats.org/officeDocument/2006/relationships/hyperlink" Target="https://www.safetyandquality.gov.au/publications-and-resources/resource-library/covid-19-infection-prevention-and-control-risk-management-guidance"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qualitysafety.bmj.com/content/30/6" TargetMode="External"/><Relationship Id="rId27" Type="http://schemas.openxmlformats.org/officeDocument/2006/relationships/image" Target="media/image2.png"/><Relationship Id="rId30" Type="http://schemas.openxmlformats.org/officeDocument/2006/relationships/hyperlink" Target="https://www.safetyandquality.gov.au/publications-and-resources/resource-library/special-precautions-covid-19-designated-zones" TargetMode="External"/><Relationship Id="rId3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3" Type="http://schemas.openxmlformats.org/officeDocument/2006/relationships/hyperlink" Target="https://www.safetyandquality.gov.au/sites/default/files/2020-07/covid-19_and_face_masks_-_information_for_consumers.pdf" TargetMode="External"/><Relationship Id="rId48"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2323-B93C-42E3-941E-2D2D660C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2953</Words>
  <Characters>19640</Characters>
  <Application>Microsoft Office Word</Application>
  <DocSecurity>0</DocSecurity>
  <Lines>385</Lines>
  <Paragraphs>171</Paragraphs>
  <ScaleCrop>false</ScaleCrop>
  <HeadingPairs>
    <vt:vector size="2" baseType="variant">
      <vt:variant>
        <vt:lpstr>Title</vt:lpstr>
      </vt:variant>
      <vt:variant>
        <vt:i4>1</vt:i4>
      </vt:variant>
    </vt:vector>
  </HeadingPairs>
  <TitlesOfParts>
    <vt:vector size="1" baseType="lpstr">
      <vt:lpstr>On the Radar Issue 511</vt:lpstr>
    </vt:vector>
  </TitlesOfParts>
  <Company>ACSQHC</Company>
  <LinksUpToDate>false</LinksUpToDate>
  <CharactersWithSpaces>22422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511</dc:title>
  <dc:subject/>
  <dc:creator>Dr Niall Johnson</dc:creator>
  <cp:keywords>On the Radar</cp:keywords>
  <dc:description/>
  <cp:lastModifiedBy>Johnson, Niall</cp:lastModifiedBy>
  <cp:revision>11</cp:revision>
  <cp:lastPrinted>2018-03-02T02:34:00Z</cp:lastPrinted>
  <dcterms:created xsi:type="dcterms:W3CDTF">2021-05-16T23:49:00Z</dcterms:created>
  <dcterms:modified xsi:type="dcterms:W3CDTF">2021-05-21T02:44:00Z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