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50" w:rsidRDefault="007B5B2C">
      <w:bookmarkStart w:id="0" w:name="_Toc476822632"/>
      <w:bookmarkStart w:id="1" w:name="_Toc476822653"/>
      <w:bookmarkStart w:id="2" w:name="_GoBack"/>
      <w:bookmarkEnd w:id="2"/>
      <w:r w:rsidRPr="000F6AB3">
        <w:rPr>
          <w:rFonts w:eastAsia="Times New Roman"/>
          <w:noProof/>
          <w:lang w:val="en-US"/>
        </w:rPr>
        <w:drawing>
          <wp:inline distT="0" distB="0" distL="0" distR="0">
            <wp:extent cx="4337050" cy="609600"/>
            <wp:effectExtent l="0" t="0" r="0" b="0"/>
            <wp:docPr id="6"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Commission on Safety and Quality in Health Care logo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7050" cy="609600"/>
                    </a:xfrm>
                    <a:prstGeom prst="rect">
                      <a:avLst/>
                    </a:prstGeom>
                    <a:noFill/>
                    <a:ln>
                      <a:noFill/>
                    </a:ln>
                  </pic:spPr>
                </pic:pic>
              </a:graphicData>
            </a:graphic>
          </wp:inline>
        </w:drawing>
      </w:r>
      <w:bookmarkEnd w:id="0"/>
      <w:bookmarkEnd w:id="1"/>
    </w:p>
    <w:p w:rsidR="007224B3" w:rsidRPr="007224B3" w:rsidRDefault="00986F1E">
      <w:pPr>
        <w:rPr>
          <w:rFonts w:ascii="Arial" w:hAnsi="Arial" w:cs="Arial"/>
        </w:rPr>
      </w:pPr>
      <w:r>
        <w:rPr>
          <w:rFonts w:ascii="Arial" w:hAnsi="Arial" w:cs="Arial"/>
        </w:rPr>
        <w:t>Trim: D20-7438</w:t>
      </w:r>
    </w:p>
    <w:p w:rsidR="007224B3" w:rsidRDefault="007224B3"/>
    <w:p w:rsidR="007224B3" w:rsidRDefault="007224B3"/>
    <w:p w:rsidR="007224B3" w:rsidRDefault="00217083" w:rsidP="007224B3">
      <w:pPr>
        <w:pStyle w:val="PublicationDate"/>
      </w:pPr>
      <w:r>
        <w:t>August</w:t>
      </w:r>
      <w:r w:rsidR="000F272A">
        <w:t xml:space="preserve"> </w:t>
      </w:r>
      <w:r w:rsidR="00BB3106">
        <w:t>2020</w:t>
      </w:r>
    </w:p>
    <w:p w:rsidR="007224B3" w:rsidRPr="00CB1CC0" w:rsidRDefault="007224B3" w:rsidP="007224B3">
      <w:pPr>
        <w:pStyle w:val="Title"/>
      </w:pPr>
      <w:r w:rsidRPr="00CB1CC0">
        <w:rPr>
          <w:i/>
        </w:rPr>
        <w:t>Clostridi</w:t>
      </w:r>
      <w:r w:rsidR="007815A9">
        <w:rPr>
          <w:i/>
        </w:rPr>
        <w:t>oides</w:t>
      </w:r>
      <w:r w:rsidR="00CC4D68">
        <w:rPr>
          <w:i/>
        </w:rPr>
        <w:t xml:space="preserve"> </w:t>
      </w:r>
      <w:r w:rsidRPr="00CB1CC0">
        <w:rPr>
          <w:i/>
        </w:rPr>
        <w:t>difficile</w:t>
      </w:r>
      <w:r w:rsidRPr="00CB1CC0">
        <w:t xml:space="preserve"> infection </w:t>
      </w:r>
    </w:p>
    <w:p w:rsidR="007224B3" w:rsidRPr="003C02C5" w:rsidRDefault="00BB3106" w:rsidP="00344053">
      <w:pPr>
        <w:pStyle w:val="Heading1"/>
      </w:pPr>
      <w:r>
        <w:t>2018</w:t>
      </w:r>
      <w:r w:rsidR="007224B3">
        <w:t xml:space="preserve"> Data Snapshot </w:t>
      </w:r>
    </w:p>
    <w:p w:rsidR="007224B3" w:rsidRDefault="007224B3" w:rsidP="007224B3">
      <w:pPr>
        <w:pStyle w:val="Heading1"/>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1260CA" w:rsidRDefault="001260CA" w:rsidP="001260CA">
      <w:pPr>
        <w:rPr>
          <w:lang w:eastAsia="en-AU"/>
        </w:rPr>
      </w:pPr>
    </w:p>
    <w:p w:rsidR="00DA60B9" w:rsidRDefault="00DA60B9" w:rsidP="001260CA">
      <w:pPr>
        <w:rPr>
          <w:lang w:eastAsia="en-AU"/>
        </w:rPr>
      </w:pPr>
    </w:p>
    <w:p w:rsidR="00DA60B9" w:rsidRPr="00DA60B9" w:rsidRDefault="00DA60B9" w:rsidP="00DA60B9">
      <w:pPr>
        <w:rPr>
          <w:lang w:eastAsia="en-AU"/>
        </w:rPr>
      </w:pPr>
    </w:p>
    <w:p w:rsidR="001260CA" w:rsidRPr="00DA60B9" w:rsidRDefault="00DA60B9" w:rsidP="00DA60B9">
      <w:pPr>
        <w:tabs>
          <w:tab w:val="left" w:pos="3581"/>
        </w:tabs>
        <w:rPr>
          <w:lang w:eastAsia="en-AU"/>
        </w:rPr>
      </w:pPr>
      <w:r>
        <w:rPr>
          <w:lang w:eastAsia="en-AU"/>
        </w:rPr>
        <w:tab/>
      </w:r>
    </w:p>
    <w:p w:rsidR="00210DB5" w:rsidRPr="00210DB5" w:rsidRDefault="00210DB5" w:rsidP="00210DB5">
      <w:pPr>
        <w:rPr>
          <w:rFonts w:ascii="Arial" w:hAnsi="Arial" w:cs="Arial"/>
          <w:sz w:val="22"/>
          <w:szCs w:val="22"/>
        </w:rPr>
      </w:pPr>
      <w:r w:rsidRPr="00210DB5">
        <w:rPr>
          <w:rFonts w:ascii="Arial" w:hAnsi="Arial" w:cs="Arial"/>
          <w:sz w:val="22"/>
          <w:szCs w:val="22"/>
        </w:rPr>
        <w:t>Published by the Australian Commission on Safety and Quality in Health Care</w:t>
      </w:r>
      <w:r w:rsidRPr="00210DB5">
        <w:rPr>
          <w:rFonts w:ascii="Arial" w:hAnsi="Arial" w:cs="Arial"/>
          <w:sz w:val="22"/>
          <w:szCs w:val="22"/>
        </w:rPr>
        <w:br/>
        <w:t>Level 5, 255 Elizabeth Street, Sydney NSW 2000</w:t>
      </w:r>
    </w:p>
    <w:p w:rsidR="00210DB5" w:rsidRPr="00210DB5" w:rsidRDefault="00210DB5" w:rsidP="00210DB5">
      <w:pPr>
        <w:rPr>
          <w:rFonts w:ascii="Arial" w:hAnsi="Arial" w:cs="Arial"/>
          <w:sz w:val="22"/>
          <w:szCs w:val="22"/>
        </w:rPr>
      </w:pPr>
      <w:r w:rsidRPr="00210DB5">
        <w:rPr>
          <w:rFonts w:ascii="Arial" w:hAnsi="Arial" w:cs="Arial"/>
          <w:sz w:val="22"/>
          <w:szCs w:val="22"/>
        </w:rPr>
        <w:t>Phone: (02) 9126 3600</w:t>
      </w:r>
    </w:p>
    <w:p w:rsidR="00210DB5" w:rsidRPr="00210DB5" w:rsidRDefault="00210DB5" w:rsidP="00210DB5">
      <w:pPr>
        <w:rPr>
          <w:rFonts w:ascii="Arial" w:hAnsi="Arial" w:cs="Arial"/>
          <w:snapToGrid w:val="0"/>
          <w:color w:val="000000"/>
          <w:w w:val="0"/>
          <w:sz w:val="22"/>
          <w:szCs w:val="22"/>
          <w:highlight w:val="yellow"/>
          <w:u w:color="000000"/>
          <w:bdr w:val="none" w:sz="0" w:space="0" w:color="000000"/>
          <w:shd w:val="clear" w:color="000000" w:fill="000000"/>
          <w:lang w:eastAsia="x-none" w:bidi="x-none"/>
        </w:rPr>
      </w:pPr>
      <w:r w:rsidRPr="00210DB5">
        <w:rPr>
          <w:rFonts w:ascii="Arial" w:hAnsi="Arial" w:cs="Arial"/>
          <w:sz w:val="22"/>
          <w:szCs w:val="22"/>
        </w:rPr>
        <w:t xml:space="preserve">Email: </w:t>
      </w:r>
      <w:r w:rsidR="00F652DF">
        <w:rPr>
          <w:rFonts w:ascii="Arial" w:hAnsi="Arial" w:cs="Arial"/>
          <w:sz w:val="22"/>
          <w:szCs w:val="22"/>
        </w:rPr>
        <w:t>HAI</w:t>
      </w:r>
      <w:r w:rsidRPr="00210DB5">
        <w:rPr>
          <w:rFonts w:ascii="Arial" w:hAnsi="Arial" w:cs="Arial"/>
          <w:sz w:val="22"/>
          <w:szCs w:val="22"/>
        </w:rPr>
        <w:t xml:space="preserve">@safetyandquality.gov.au </w:t>
      </w:r>
      <w:r w:rsidRPr="00210DB5">
        <w:rPr>
          <w:rFonts w:ascii="Arial" w:hAnsi="Arial" w:cs="Arial"/>
          <w:sz w:val="22"/>
          <w:szCs w:val="22"/>
        </w:rPr>
        <w:br/>
        <w:t>Website: www.safetyandquality.gov.au</w:t>
      </w:r>
      <w:r w:rsidRPr="00210DB5">
        <w:rPr>
          <w:rFonts w:ascii="Arial" w:hAnsi="Arial" w:cs="Arial"/>
          <w:snapToGrid w:val="0"/>
          <w:color w:val="000000"/>
          <w:w w:val="0"/>
          <w:sz w:val="22"/>
          <w:szCs w:val="22"/>
          <w:u w:color="000000"/>
          <w:bdr w:val="none" w:sz="0" w:space="0" w:color="000000"/>
          <w:shd w:val="clear" w:color="000000" w:fill="000000"/>
          <w:lang w:val="x-none" w:eastAsia="x-none" w:bidi="x-none"/>
        </w:rPr>
        <w:t xml:space="preserve"> </w:t>
      </w:r>
    </w:p>
    <w:p w:rsidR="00210DB5" w:rsidRPr="00210DB5" w:rsidRDefault="00210DB5" w:rsidP="00210DB5">
      <w:pPr>
        <w:rPr>
          <w:rFonts w:ascii="Arial" w:hAnsi="Arial" w:cs="Arial"/>
          <w:sz w:val="22"/>
          <w:szCs w:val="22"/>
        </w:rPr>
      </w:pPr>
      <w:r w:rsidRPr="00210DB5">
        <w:rPr>
          <w:rFonts w:ascii="Arial" w:hAnsi="Arial" w:cs="Arial"/>
          <w:sz w:val="22"/>
          <w:szCs w:val="22"/>
        </w:rPr>
        <w:lastRenderedPageBreak/>
        <w:t xml:space="preserve">ISBN: </w:t>
      </w:r>
      <w:r w:rsidR="00B6405D" w:rsidRPr="00B6405D">
        <w:rPr>
          <w:rFonts w:ascii="Arial" w:hAnsi="Arial" w:cs="Arial"/>
          <w:sz w:val="22"/>
        </w:rPr>
        <w:t>978-1-922563-26-2</w:t>
      </w:r>
      <w:r w:rsidR="00B6405D" w:rsidRPr="00B6405D">
        <w:rPr>
          <w:color w:val="1F497D"/>
          <w:sz w:val="22"/>
        </w:rPr>
        <w:t>        </w:t>
      </w:r>
      <w:r w:rsidRPr="00210DB5">
        <w:rPr>
          <w:rFonts w:ascii="Arial" w:hAnsi="Arial" w:cs="Arial"/>
          <w:sz w:val="22"/>
          <w:szCs w:val="22"/>
        </w:rPr>
        <w:br/>
      </w:r>
    </w:p>
    <w:p w:rsidR="00210DB5" w:rsidRPr="00210DB5" w:rsidRDefault="00210DB5" w:rsidP="00210DB5">
      <w:pPr>
        <w:rPr>
          <w:rFonts w:ascii="Arial" w:hAnsi="Arial" w:cs="Arial"/>
          <w:sz w:val="22"/>
          <w:szCs w:val="22"/>
        </w:rPr>
      </w:pPr>
      <w:r w:rsidRPr="00210DB5">
        <w:rPr>
          <w:rFonts w:ascii="Arial" w:hAnsi="Arial" w:cs="Arial"/>
          <w:sz w:val="22"/>
          <w:szCs w:val="22"/>
        </w:rPr>
        <w:t xml:space="preserve">© Australian Commission on Safety and Quality in Health Care </w:t>
      </w:r>
      <w:r w:rsidR="00B6405D">
        <w:rPr>
          <w:rFonts w:ascii="Arial" w:hAnsi="Arial" w:cs="Arial"/>
          <w:sz w:val="22"/>
          <w:szCs w:val="22"/>
        </w:rPr>
        <w:t>2020</w:t>
      </w:r>
    </w:p>
    <w:p w:rsidR="00210DB5" w:rsidRPr="00210DB5" w:rsidRDefault="00210DB5" w:rsidP="00210DB5">
      <w:pPr>
        <w:rPr>
          <w:rFonts w:ascii="Arial" w:hAnsi="Arial" w:cs="Arial"/>
          <w:sz w:val="22"/>
          <w:szCs w:val="22"/>
        </w:rPr>
      </w:pPr>
      <w:r w:rsidRPr="00210DB5">
        <w:rPr>
          <w:rFonts w:ascii="Arial" w:hAnsi="Arial" w:cs="Arial"/>
          <w:sz w:val="22"/>
          <w:szCs w:val="22"/>
        </w:rPr>
        <w:t xml:space="preserve">All material and work produced by the Australian Commission on Safety and Quality in Health Care (the Commission) is protected by copyright. The Commission reserves the right to set out the terms and conditions for the use of such material. </w:t>
      </w:r>
    </w:p>
    <w:p w:rsidR="00210DB5" w:rsidRPr="00210DB5" w:rsidRDefault="00210DB5" w:rsidP="00210DB5">
      <w:pPr>
        <w:rPr>
          <w:rFonts w:ascii="Arial" w:hAnsi="Arial" w:cs="Arial"/>
          <w:sz w:val="22"/>
          <w:szCs w:val="22"/>
        </w:rPr>
      </w:pPr>
      <w:r w:rsidRPr="00210DB5">
        <w:rPr>
          <w:rFonts w:ascii="Arial" w:hAnsi="Arial" w:cs="Arial"/>
          <w:sz w:val="22"/>
          <w:szCs w:val="22"/>
        </w:rP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rsidR="00210DB5" w:rsidRPr="00210DB5" w:rsidRDefault="00210DB5" w:rsidP="00210DB5">
      <w:pPr>
        <w:rPr>
          <w:rFonts w:ascii="Arial" w:hAnsi="Arial" w:cs="Arial"/>
          <w:sz w:val="22"/>
          <w:szCs w:val="22"/>
          <w:u w:val="single"/>
        </w:rPr>
      </w:pPr>
      <w:r w:rsidRPr="00210DB5">
        <w:rPr>
          <w:rFonts w:ascii="Arial" w:hAnsi="Arial" w:cs="Arial"/>
          <w:sz w:val="22"/>
          <w:szCs w:val="22"/>
        </w:rPr>
        <w:t>With the exception of any material protected by a trademark, any content provided by third parties and where otherwise noted, all material presented in this publication is licensed under a </w:t>
      </w:r>
      <w:hyperlink r:id="rId9" w:history="1">
        <w:r w:rsidRPr="00210DB5">
          <w:rPr>
            <w:rStyle w:val="Hyperlink"/>
            <w:rFonts w:ascii="Arial" w:hAnsi="Arial" w:cs="Arial"/>
            <w:sz w:val="22"/>
            <w:szCs w:val="22"/>
          </w:rPr>
          <w:t>Creative Commons Attribution–NonCommercial–NoDerivatives 4.0 International licence</w:t>
        </w:r>
      </w:hyperlink>
      <w:r w:rsidRPr="00210DB5">
        <w:rPr>
          <w:rFonts w:ascii="Arial" w:hAnsi="Arial" w:cs="Arial"/>
          <w:sz w:val="22"/>
          <w:szCs w:val="22"/>
          <w:u w:val="single"/>
        </w:rPr>
        <w:t>.</w:t>
      </w:r>
    </w:p>
    <w:p w:rsidR="00210DB5" w:rsidRPr="00210DB5" w:rsidRDefault="007B5B2C" w:rsidP="00210DB5">
      <w:pPr>
        <w:rPr>
          <w:rFonts w:ascii="Arial" w:hAnsi="Arial" w:cs="Arial"/>
          <w:sz w:val="22"/>
          <w:szCs w:val="22"/>
        </w:rPr>
      </w:pPr>
      <w:r w:rsidRPr="00210DB5">
        <w:rPr>
          <w:rFonts w:ascii="Arial" w:hAnsi="Arial" w:cs="Arial"/>
          <w:noProof/>
          <w:sz w:val="22"/>
          <w:szCs w:val="22"/>
          <w:lang w:val="en-US"/>
        </w:rPr>
        <w:drawing>
          <wp:inline distT="0" distB="0" distL="0" distR="0">
            <wp:extent cx="856870" cy="297563"/>
            <wp:effectExtent l="0" t="0" r="0" b="0"/>
            <wp:docPr id="7" name="Picture 1" descr="\\central.health\dfsuserenv\Users\User_11\cresad\Desktop\CC BY-NC-ND 3 large.png" title="Creative Commons Attribution–NonCommercial–NoDerivatives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ral.health\dfsuserenv\Users\User_11\cresad\Desktop\CC BY-NC-ND 3 large.png" title="Creative Commons Attribution–NonCommercial–NoDerivatives 4.0 International licen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615" cy="297180"/>
                    </a:xfrm>
                    <a:prstGeom prst="rect">
                      <a:avLst/>
                    </a:prstGeom>
                    <a:noFill/>
                    <a:ln>
                      <a:noFill/>
                    </a:ln>
                  </pic:spPr>
                </pic:pic>
              </a:graphicData>
            </a:graphic>
          </wp:inline>
        </w:drawing>
      </w:r>
    </w:p>
    <w:p w:rsidR="00210DB5" w:rsidRPr="00210DB5" w:rsidRDefault="00210DB5" w:rsidP="00210DB5">
      <w:pPr>
        <w:rPr>
          <w:rFonts w:ascii="Arial" w:hAnsi="Arial" w:cs="Arial"/>
          <w:sz w:val="22"/>
          <w:szCs w:val="22"/>
        </w:rPr>
      </w:pPr>
      <w:r w:rsidRPr="00210DB5">
        <w:rPr>
          <w:rFonts w:ascii="Arial" w:hAnsi="Arial" w:cs="Arial"/>
          <w:sz w:val="22"/>
          <w:szCs w:val="22"/>
        </w:rPr>
        <w:t xml:space="preserve">Enquiries about the licence and any use of this publication are welcome and can be sent to </w:t>
      </w:r>
      <w:hyperlink r:id="rId11" w:history="1">
        <w:r w:rsidRPr="00210DB5">
          <w:rPr>
            <w:rStyle w:val="Hyperlink"/>
            <w:rFonts w:ascii="Arial" w:hAnsi="Arial" w:cs="Arial"/>
            <w:sz w:val="22"/>
            <w:szCs w:val="22"/>
          </w:rPr>
          <w:t>communications@safetyandquality.gov.au</w:t>
        </w:r>
      </w:hyperlink>
      <w:r w:rsidRPr="00210DB5">
        <w:rPr>
          <w:rFonts w:ascii="Arial" w:hAnsi="Arial" w:cs="Arial"/>
          <w:sz w:val="22"/>
          <w:szCs w:val="22"/>
        </w:rPr>
        <w:t>.</w:t>
      </w:r>
    </w:p>
    <w:p w:rsidR="00210DB5" w:rsidRPr="00210DB5" w:rsidRDefault="00210DB5" w:rsidP="00210DB5">
      <w:pPr>
        <w:rPr>
          <w:rFonts w:ascii="Arial" w:hAnsi="Arial" w:cs="Arial"/>
          <w:sz w:val="22"/>
          <w:szCs w:val="22"/>
        </w:rPr>
      </w:pPr>
      <w:r w:rsidRPr="00210DB5">
        <w:rPr>
          <w:rFonts w:ascii="Arial" w:hAnsi="Arial" w:cs="Arial"/>
          <w:sz w:val="22"/>
          <w:szCs w:val="22"/>
        </w:rPr>
        <w:t>The Commission’s preference is that you attribute this publication (and any material sourced from it)</w:t>
      </w:r>
      <w:r w:rsidR="00F652DF">
        <w:rPr>
          <w:rFonts w:ascii="Arial" w:hAnsi="Arial" w:cs="Arial"/>
          <w:sz w:val="22"/>
          <w:szCs w:val="22"/>
        </w:rPr>
        <w:t xml:space="preserve"> using the following citation: </w:t>
      </w:r>
    </w:p>
    <w:p w:rsidR="00210DB5" w:rsidRPr="00F652DF" w:rsidRDefault="00210DB5" w:rsidP="00F652DF">
      <w:pPr>
        <w:ind w:left="720"/>
        <w:rPr>
          <w:rStyle w:val="Strong"/>
          <w:rFonts w:ascii="Arial" w:hAnsi="Arial" w:cs="Arial"/>
          <w:b w:val="0"/>
          <w:bCs w:val="0"/>
          <w:sz w:val="22"/>
          <w:szCs w:val="22"/>
        </w:rPr>
      </w:pPr>
      <w:r w:rsidRPr="00B6405D">
        <w:rPr>
          <w:rFonts w:ascii="Arial" w:hAnsi="Arial" w:cs="Arial"/>
          <w:sz w:val="22"/>
          <w:szCs w:val="22"/>
        </w:rPr>
        <w:t>Australian Commission on Safety and Quality in Health Care.</w:t>
      </w:r>
      <w:r w:rsidR="00B6405D" w:rsidRPr="00B6405D">
        <w:rPr>
          <w:color w:val="1F497D"/>
        </w:rPr>
        <w:t xml:space="preserve"> </w:t>
      </w:r>
      <w:r w:rsidR="00B6405D" w:rsidRPr="00B6405D">
        <w:rPr>
          <w:rFonts w:ascii="Arial" w:hAnsi="Arial" w:cs="Arial"/>
          <w:sz w:val="22"/>
        </w:rPr>
        <w:t>Clostridium difficile infection 2018 Data Snapshot</w:t>
      </w:r>
      <w:r w:rsidR="00B71C69">
        <w:rPr>
          <w:rFonts w:ascii="Arial" w:hAnsi="Arial" w:cs="Arial"/>
          <w:sz w:val="22"/>
          <w:szCs w:val="22"/>
        </w:rPr>
        <w:t>. Sydney: ACSQHC; 2020</w:t>
      </w:r>
      <w:r w:rsidR="00F652DF">
        <w:rPr>
          <w:rFonts w:ascii="Arial" w:hAnsi="Arial" w:cs="Arial"/>
          <w:sz w:val="22"/>
          <w:szCs w:val="22"/>
        </w:rPr>
        <w:t xml:space="preserve"> </w:t>
      </w:r>
      <w:r w:rsidR="00F652DF">
        <w:rPr>
          <w:rFonts w:ascii="Arial" w:hAnsi="Arial" w:cs="Arial"/>
          <w:sz w:val="22"/>
          <w:szCs w:val="22"/>
        </w:rPr>
        <w:br/>
      </w:r>
    </w:p>
    <w:p w:rsidR="00210DB5" w:rsidRPr="00210DB5" w:rsidRDefault="00210DB5" w:rsidP="00210DB5">
      <w:pPr>
        <w:rPr>
          <w:rFonts w:ascii="Arial" w:hAnsi="Arial" w:cs="Arial"/>
          <w:b/>
          <w:bCs/>
          <w:sz w:val="22"/>
          <w:szCs w:val="22"/>
        </w:rPr>
      </w:pPr>
      <w:r w:rsidRPr="00210DB5">
        <w:rPr>
          <w:rFonts w:ascii="Arial" w:hAnsi="Arial" w:cs="Arial"/>
          <w:b/>
          <w:bCs/>
          <w:sz w:val="22"/>
          <w:szCs w:val="22"/>
        </w:rPr>
        <w:t>Disclaimer</w:t>
      </w:r>
    </w:p>
    <w:p w:rsidR="00210DB5" w:rsidRPr="00210DB5" w:rsidRDefault="00210DB5" w:rsidP="00210DB5">
      <w:pPr>
        <w:rPr>
          <w:rFonts w:ascii="Arial" w:hAnsi="Arial" w:cs="Arial"/>
          <w:bCs/>
          <w:sz w:val="22"/>
          <w:szCs w:val="22"/>
        </w:rPr>
      </w:pPr>
      <w:r w:rsidRPr="00210DB5">
        <w:rPr>
          <w:rFonts w:ascii="Arial" w:hAnsi="Arial" w:cs="Arial"/>
          <w:bCs/>
          <w:sz w:val="22"/>
          <w:szCs w:val="22"/>
        </w:rPr>
        <w:lastRenderedPageBreak/>
        <w:t xml:space="preserve">The content of this document is published in good faith by the Commission for information purposes. The document is not intended to provide guidance on particular healthcare choices. You should contact your health care provider for information or advice on particular healthcare choices. </w:t>
      </w:r>
    </w:p>
    <w:p w:rsidR="00210DB5" w:rsidRPr="00210DB5" w:rsidRDefault="00210DB5" w:rsidP="00210DB5">
      <w:pPr>
        <w:rPr>
          <w:rFonts w:ascii="Arial" w:hAnsi="Arial" w:cs="Arial"/>
          <w:bCs/>
          <w:i/>
          <w:smallCaps/>
          <w:sz w:val="22"/>
          <w:szCs w:val="22"/>
        </w:rPr>
      </w:pPr>
      <w:r w:rsidRPr="00210DB5">
        <w:rPr>
          <w:rFonts w:ascii="Arial" w:hAnsi="Arial" w:cs="Arial"/>
          <w:bCs/>
          <w:sz w:val="22"/>
          <w:szCs w:val="22"/>
        </w:rPr>
        <w:t xml:space="preserve">The Commission does not accept any legal liability for any injury, loss or damage incurred by the use of, or reliance on, this document. </w:t>
      </w:r>
      <w:r w:rsidRPr="00210DB5">
        <w:rPr>
          <w:rFonts w:ascii="Arial" w:hAnsi="Arial" w:cs="Arial"/>
          <w:sz w:val="22"/>
          <w:szCs w:val="22"/>
        </w:rPr>
        <w:t xml:space="preserve"> </w:t>
      </w:r>
    </w:p>
    <w:p w:rsidR="007224B3" w:rsidRPr="00210DB5" w:rsidRDefault="00210DB5" w:rsidP="00210DB5">
      <w:pPr>
        <w:pStyle w:val="Heading1"/>
        <w:rPr>
          <w:rFonts w:ascii="Times New Roman" w:hAnsi="Times New Roman"/>
          <w:sz w:val="36"/>
          <w:szCs w:val="36"/>
        </w:rPr>
      </w:pPr>
      <w:r w:rsidRPr="00210DB5">
        <w:rPr>
          <w:sz w:val="22"/>
          <w:szCs w:val="22"/>
        </w:rPr>
        <w:br w:type="page"/>
      </w:r>
      <w:r w:rsidR="007224B3" w:rsidRPr="00210DB5">
        <w:rPr>
          <w:sz w:val="36"/>
          <w:szCs w:val="36"/>
        </w:rPr>
        <w:lastRenderedPageBreak/>
        <w:t xml:space="preserve">Background </w:t>
      </w:r>
    </w:p>
    <w:p w:rsidR="00C44909" w:rsidRPr="001260CA" w:rsidRDefault="002B2433" w:rsidP="00FC19D1">
      <w:pPr>
        <w:spacing w:before="240" w:line="276" w:lineRule="auto"/>
        <w:rPr>
          <w:rFonts w:ascii="Arial" w:hAnsi="Arial" w:cs="Arial"/>
          <w:sz w:val="22"/>
          <w:vertAlign w:val="superscript"/>
        </w:rPr>
      </w:pPr>
      <w:r>
        <w:rPr>
          <w:rFonts w:ascii="Arial" w:hAnsi="Arial" w:cs="Arial"/>
          <w:i/>
          <w:sz w:val="22"/>
        </w:rPr>
        <w:t>Clostridioides</w:t>
      </w:r>
      <w:r w:rsidR="00C44909" w:rsidRPr="00C44909">
        <w:rPr>
          <w:rFonts w:ascii="Arial" w:hAnsi="Arial" w:cs="Arial"/>
          <w:i/>
          <w:sz w:val="22"/>
        </w:rPr>
        <w:t xml:space="preserve"> difficile</w:t>
      </w:r>
      <w:r w:rsidR="00763107">
        <w:rPr>
          <w:rStyle w:val="FootnoteReference"/>
          <w:rFonts w:cs="Arial"/>
          <w:i/>
          <w:sz w:val="22"/>
        </w:rPr>
        <w:footnoteReference w:customMarkFollows="1" w:id="1"/>
        <w:t>*</w:t>
      </w:r>
      <w:r w:rsidR="00C44909">
        <w:rPr>
          <w:rFonts w:ascii="Arial" w:hAnsi="Arial" w:cs="Arial"/>
          <w:sz w:val="22"/>
        </w:rPr>
        <w:t xml:space="preserve"> </w:t>
      </w:r>
      <w:r w:rsidR="00903897">
        <w:rPr>
          <w:rFonts w:ascii="Arial" w:hAnsi="Arial" w:cs="Arial"/>
          <w:sz w:val="22"/>
        </w:rPr>
        <w:t>(</w:t>
      </w:r>
      <w:r w:rsidR="00903897" w:rsidRPr="00903897">
        <w:rPr>
          <w:rFonts w:ascii="Arial" w:hAnsi="Arial" w:cs="Arial"/>
          <w:i/>
          <w:sz w:val="22"/>
        </w:rPr>
        <w:t>C.</w:t>
      </w:r>
      <w:r w:rsidR="00477004">
        <w:rPr>
          <w:rFonts w:ascii="Arial" w:hAnsi="Arial" w:cs="Arial"/>
          <w:i/>
          <w:sz w:val="22"/>
        </w:rPr>
        <w:t xml:space="preserve"> </w:t>
      </w:r>
      <w:r w:rsidR="00903897" w:rsidRPr="00903897">
        <w:rPr>
          <w:rFonts w:ascii="Arial" w:hAnsi="Arial" w:cs="Arial"/>
          <w:i/>
          <w:sz w:val="22"/>
        </w:rPr>
        <w:t>difficile</w:t>
      </w:r>
      <w:r w:rsidR="00903897">
        <w:rPr>
          <w:rFonts w:ascii="Arial" w:hAnsi="Arial" w:cs="Arial"/>
          <w:sz w:val="22"/>
        </w:rPr>
        <w:t xml:space="preserve">) </w:t>
      </w:r>
      <w:r w:rsidR="00C44909">
        <w:rPr>
          <w:rFonts w:ascii="Arial" w:hAnsi="Arial" w:cs="Arial"/>
          <w:sz w:val="22"/>
        </w:rPr>
        <w:t>is an anaerobic, spore-forming, gram-positive bacillus typically associated with gastrointestinal disease. The bacter</w:t>
      </w:r>
      <w:r w:rsidR="00232463">
        <w:rPr>
          <w:rFonts w:ascii="Arial" w:hAnsi="Arial" w:cs="Arial"/>
          <w:sz w:val="22"/>
        </w:rPr>
        <w:t>ium</w:t>
      </w:r>
      <w:r w:rsidR="00C44909">
        <w:rPr>
          <w:rFonts w:ascii="Arial" w:hAnsi="Arial" w:cs="Arial"/>
          <w:sz w:val="22"/>
        </w:rPr>
        <w:t xml:space="preserve"> is ubiquitous in its spore f</w:t>
      </w:r>
      <w:r w:rsidR="00FC19D1">
        <w:rPr>
          <w:rFonts w:ascii="Arial" w:hAnsi="Arial" w:cs="Arial"/>
          <w:sz w:val="22"/>
        </w:rPr>
        <w:t>orm in the natural environment</w:t>
      </w:r>
      <w:r w:rsidR="00581C64">
        <w:rPr>
          <w:rFonts w:ascii="Arial" w:hAnsi="Arial" w:cs="Arial"/>
          <w:sz w:val="22"/>
        </w:rPr>
        <w:t>,</w:t>
      </w:r>
      <w:r w:rsidR="00C44909">
        <w:rPr>
          <w:rFonts w:ascii="Arial" w:hAnsi="Arial" w:cs="Arial"/>
          <w:sz w:val="22"/>
        </w:rPr>
        <w:t xml:space="preserve"> as well as in built environments where there is the potential for</w:t>
      </w:r>
      <w:r w:rsidR="00232463">
        <w:rPr>
          <w:rFonts w:ascii="Arial" w:hAnsi="Arial" w:cs="Arial"/>
          <w:sz w:val="22"/>
        </w:rPr>
        <w:t xml:space="preserve"> it </w:t>
      </w:r>
      <w:r w:rsidR="00C44909">
        <w:rPr>
          <w:rFonts w:ascii="Arial" w:hAnsi="Arial" w:cs="Arial"/>
          <w:sz w:val="22"/>
        </w:rPr>
        <w:t>to spread from human and other animal</w:t>
      </w:r>
      <w:r w:rsidR="00C44909" w:rsidRPr="00C44909">
        <w:rPr>
          <w:rFonts w:ascii="Arial" w:hAnsi="Arial" w:cs="Arial"/>
          <w:i/>
          <w:sz w:val="22"/>
        </w:rPr>
        <w:t xml:space="preserve"> </w:t>
      </w:r>
      <w:r w:rsidR="00C44909">
        <w:rPr>
          <w:rFonts w:ascii="Arial" w:hAnsi="Arial" w:cs="Arial"/>
          <w:sz w:val="22"/>
        </w:rPr>
        <w:t xml:space="preserve">carriers to environmental surfaces. Transmission of </w:t>
      </w:r>
      <w:r w:rsidR="00903897">
        <w:rPr>
          <w:rFonts w:ascii="Arial" w:hAnsi="Arial" w:cs="Arial"/>
          <w:i/>
          <w:sz w:val="22"/>
        </w:rPr>
        <w:t>C.</w:t>
      </w:r>
      <w:r w:rsidR="00EF6A88">
        <w:rPr>
          <w:rFonts w:ascii="Arial" w:hAnsi="Arial" w:cs="Arial"/>
          <w:i/>
          <w:sz w:val="22"/>
        </w:rPr>
        <w:t xml:space="preserve"> </w:t>
      </w:r>
      <w:r w:rsidR="00C44909" w:rsidRPr="009B24F7">
        <w:rPr>
          <w:rFonts w:ascii="Arial" w:hAnsi="Arial" w:cs="Arial"/>
          <w:i/>
          <w:sz w:val="22"/>
        </w:rPr>
        <w:t>difficile</w:t>
      </w:r>
      <w:r w:rsidR="00C44909">
        <w:rPr>
          <w:rFonts w:ascii="Arial" w:hAnsi="Arial" w:cs="Arial"/>
          <w:sz w:val="22"/>
        </w:rPr>
        <w:t xml:space="preserve"> occurs by ingestion of spores either through person-to-person contact, animal-to-p</w:t>
      </w:r>
      <w:r w:rsidR="009A0D9A">
        <w:rPr>
          <w:rFonts w:ascii="Arial" w:hAnsi="Arial" w:cs="Arial"/>
          <w:sz w:val="22"/>
        </w:rPr>
        <w:t>erson contact or environment-to-</w:t>
      </w:r>
      <w:r w:rsidR="00C44909">
        <w:rPr>
          <w:rFonts w:ascii="Arial" w:hAnsi="Arial" w:cs="Arial"/>
          <w:sz w:val="22"/>
        </w:rPr>
        <w:t>person contact</w:t>
      </w:r>
      <w:r w:rsidR="00C44909" w:rsidRPr="002B2433">
        <w:rPr>
          <w:rFonts w:ascii="Arial" w:hAnsi="Arial" w:cs="Arial"/>
          <w:sz w:val="22"/>
        </w:rPr>
        <w:t>.</w:t>
      </w:r>
      <w:r w:rsidR="00000FB7" w:rsidRPr="00000FB7">
        <w:rPr>
          <w:rFonts w:ascii="Arial" w:hAnsi="Arial" w:cs="Arial"/>
          <w:sz w:val="22"/>
          <w:vertAlign w:val="superscript"/>
        </w:rPr>
        <w:t>1</w:t>
      </w:r>
      <w:r w:rsidR="00000FB7" w:rsidDel="00000FB7">
        <w:rPr>
          <w:rFonts w:ascii="Arial" w:hAnsi="Arial" w:cs="Arial"/>
          <w:sz w:val="22"/>
          <w:vertAlign w:val="superscript"/>
        </w:rPr>
        <w:t xml:space="preserve"> </w:t>
      </w:r>
    </w:p>
    <w:p w:rsidR="00C765CE" w:rsidRDefault="009B24F7" w:rsidP="00FC19D1">
      <w:pPr>
        <w:spacing w:before="240" w:line="276" w:lineRule="auto"/>
        <w:rPr>
          <w:rFonts w:ascii="Arial" w:hAnsi="Arial" w:cs="Arial"/>
          <w:sz w:val="22"/>
        </w:rPr>
      </w:pPr>
      <w:r>
        <w:rPr>
          <w:rFonts w:ascii="Arial" w:hAnsi="Arial" w:cs="Arial"/>
          <w:sz w:val="22"/>
        </w:rPr>
        <w:t xml:space="preserve">Symptomatic </w:t>
      </w:r>
      <w:r w:rsidR="00477004">
        <w:rPr>
          <w:rFonts w:ascii="Arial" w:hAnsi="Arial" w:cs="Arial"/>
          <w:i/>
          <w:sz w:val="22"/>
        </w:rPr>
        <w:t xml:space="preserve">C. </w:t>
      </w:r>
      <w:r w:rsidRPr="00A803C4">
        <w:rPr>
          <w:rFonts w:ascii="Arial" w:hAnsi="Arial" w:cs="Arial"/>
          <w:i/>
          <w:sz w:val="22"/>
        </w:rPr>
        <w:t>difficile</w:t>
      </w:r>
      <w:r w:rsidR="00FC19D1">
        <w:rPr>
          <w:rFonts w:ascii="Arial" w:hAnsi="Arial" w:cs="Arial"/>
          <w:sz w:val="22"/>
        </w:rPr>
        <w:t xml:space="preserve"> infection (CDI) </w:t>
      </w:r>
      <w:r>
        <w:rPr>
          <w:rFonts w:ascii="Arial" w:hAnsi="Arial" w:cs="Arial"/>
          <w:sz w:val="22"/>
        </w:rPr>
        <w:t xml:space="preserve">is mediated through </w:t>
      </w:r>
      <w:r w:rsidR="00477004">
        <w:rPr>
          <w:rFonts w:ascii="Arial" w:hAnsi="Arial" w:cs="Arial"/>
          <w:sz w:val="22"/>
        </w:rPr>
        <w:t>toxin production by the bacterium</w:t>
      </w:r>
      <w:r>
        <w:rPr>
          <w:rFonts w:ascii="Arial" w:hAnsi="Arial" w:cs="Arial"/>
          <w:sz w:val="22"/>
        </w:rPr>
        <w:t xml:space="preserve">. Non-toxigenic strains of </w:t>
      </w:r>
      <w:r w:rsidRPr="00C1096A">
        <w:rPr>
          <w:rFonts w:ascii="Arial" w:hAnsi="Arial" w:cs="Arial"/>
          <w:i/>
          <w:sz w:val="22"/>
        </w:rPr>
        <w:t>C</w:t>
      </w:r>
      <w:r w:rsidR="0044150D">
        <w:rPr>
          <w:rFonts w:ascii="Arial" w:hAnsi="Arial" w:cs="Arial"/>
          <w:i/>
          <w:sz w:val="22"/>
        </w:rPr>
        <w:t>.</w:t>
      </w:r>
      <w:r w:rsidR="00477004">
        <w:rPr>
          <w:rFonts w:ascii="Arial" w:hAnsi="Arial" w:cs="Arial"/>
          <w:i/>
          <w:sz w:val="22"/>
        </w:rPr>
        <w:t xml:space="preserve"> </w:t>
      </w:r>
      <w:r w:rsidRPr="00C1096A">
        <w:rPr>
          <w:rFonts w:ascii="Arial" w:hAnsi="Arial" w:cs="Arial"/>
          <w:i/>
          <w:sz w:val="22"/>
        </w:rPr>
        <w:t>difficile</w:t>
      </w:r>
      <w:r>
        <w:rPr>
          <w:rFonts w:ascii="Arial" w:hAnsi="Arial" w:cs="Arial"/>
          <w:sz w:val="22"/>
        </w:rPr>
        <w:t xml:space="preserve"> are rarely associated with symptomatic illness.</w:t>
      </w:r>
      <w:r w:rsidR="00000FB7">
        <w:rPr>
          <w:rFonts w:ascii="Arial" w:hAnsi="Arial" w:cs="Arial"/>
          <w:sz w:val="22"/>
          <w:vertAlign w:val="superscript"/>
        </w:rPr>
        <w:t>2</w:t>
      </w:r>
      <w:r>
        <w:rPr>
          <w:rFonts w:ascii="Arial" w:hAnsi="Arial" w:cs="Arial"/>
          <w:sz w:val="22"/>
        </w:rPr>
        <w:t xml:space="preserve"> Production of toxin</w:t>
      </w:r>
      <w:r w:rsidR="00B46D04">
        <w:rPr>
          <w:rFonts w:ascii="Arial" w:hAnsi="Arial" w:cs="Arial"/>
          <w:sz w:val="22"/>
        </w:rPr>
        <w:t xml:space="preserve"> A and toxin B results in hyper-</w:t>
      </w:r>
      <w:r>
        <w:rPr>
          <w:rFonts w:ascii="Arial" w:hAnsi="Arial" w:cs="Arial"/>
          <w:sz w:val="22"/>
        </w:rPr>
        <w:t>inflammation and necrosis of the gut lining</w:t>
      </w:r>
      <w:r w:rsidRPr="002B2433">
        <w:rPr>
          <w:rFonts w:ascii="Arial" w:hAnsi="Arial" w:cs="Arial"/>
          <w:sz w:val="22"/>
        </w:rPr>
        <w:t>.</w:t>
      </w:r>
      <w:r w:rsidR="00000FB7">
        <w:rPr>
          <w:rFonts w:ascii="Arial" w:hAnsi="Arial" w:cs="Arial"/>
          <w:sz w:val="22"/>
          <w:vertAlign w:val="superscript"/>
        </w:rPr>
        <w:t>3</w:t>
      </w:r>
      <w:r w:rsidR="00477004">
        <w:rPr>
          <w:rFonts w:ascii="Arial" w:hAnsi="Arial" w:cs="Arial"/>
          <w:sz w:val="22"/>
        </w:rPr>
        <w:t xml:space="preserve"> The spectrum of</w:t>
      </w:r>
      <w:r>
        <w:rPr>
          <w:rFonts w:ascii="Arial" w:hAnsi="Arial" w:cs="Arial"/>
          <w:sz w:val="22"/>
        </w:rPr>
        <w:t xml:space="preserve"> disease associated with </w:t>
      </w:r>
      <w:r w:rsidR="002B2433">
        <w:rPr>
          <w:rFonts w:ascii="Arial" w:hAnsi="Arial" w:cs="Arial"/>
          <w:i/>
          <w:sz w:val="22"/>
        </w:rPr>
        <w:t>C</w:t>
      </w:r>
      <w:r w:rsidR="0044150D">
        <w:rPr>
          <w:rFonts w:ascii="Arial" w:hAnsi="Arial" w:cs="Arial"/>
          <w:i/>
          <w:sz w:val="22"/>
        </w:rPr>
        <w:t>.</w:t>
      </w:r>
      <w:r w:rsidR="00477004">
        <w:rPr>
          <w:rFonts w:ascii="Arial" w:hAnsi="Arial" w:cs="Arial"/>
          <w:i/>
          <w:sz w:val="22"/>
        </w:rPr>
        <w:t xml:space="preserve"> </w:t>
      </w:r>
      <w:r w:rsidRPr="00C1096A">
        <w:rPr>
          <w:rFonts w:ascii="Arial" w:hAnsi="Arial" w:cs="Arial"/>
          <w:i/>
          <w:sz w:val="22"/>
        </w:rPr>
        <w:t>difficile</w:t>
      </w:r>
      <w:r>
        <w:rPr>
          <w:rFonts w:ascii="Arial" w:hAnsi="Arial" w:cs="Arial"/>
          <w:sz w:val="22"/>
        </w:rPr>
        <w:t xml:space="preserve"> </w:t>
      </w:r>
      <w:r w:rsidR="00581C64">
        <w:rPr>
          <w:rFonts w:ascii="Arial" w:hAnsi="Arial" w:cs="Arial"/>
          <w:sz w:val="22"/>
        </w:rPr>
        <w:t>ranges</w:t>
      </w:r>
      <w:r>
        <w:rPr>
          <w:rFonts w:ascii="Arial" w:hAnsi="Arial" w:cs="Arial"/>
          <w:sz w:val="22"/>
        </w:rPr>
        <w:t xml:space="preserve"> from asymptomatic colonisation through to fulminant colitis and peritonitis</w:t>
      </w:r>
      <w:r w:rsidRPr="00AC4157">
        <w:rPr>
          <w:rFonts w:ascii="Arial" w:hAnsi="Arial" w:cs="Arial"/>
          <w:sz w:val="22"/>
        </w:rPr>
        <w:t>.</w:t>
      </w:r>
      <w:r w:rsidR="00000FB7">
        <w:rPr>
          <w:rFonts w:ascii="Arial" w:hAnsi="Arial" w:cs="Arial"/>
          <w:sz w:val="22"/>
          <w:vertAlign w:val="superscript"/>
        </w:rPr>
        <w:t>4</w:t>
      </w:r>
      <w:r>
        <w:rPr>
          <w:rFonts w:ascii="Arial" w:hAnsi="Arial" w:cs="Arial"/>
          <w:sz w:val="22"/>
        </w:rPr>
        <w:t xml:space="preserve"> In addition to intracolonic symptoms,</w:t>
      </w:r>
      <w:r w:rsidR="00477004">
        <w:rPr>
          <w:rFonts w:ascii="Arial" w:hAnsi="Arial" w:cs="Arial"/>
          <w:sz w:val="22"/>
        </w:rPr>
        <w:t xml:space="preserve"> severe CDI is characterised by</w:t>
      </w:r>
      <w:r w:rsidR="00763107">
        <w:rPr>
          <w:rFonts w:ascii="Arial" w:hAnsi="Arial" w:cs="Arial"/>
          <w:sz w:val="22"/>
        </w:rPr>
        <w:t>:</w:t>
      </w:r>
      <w:r w:rsidR="001260CA">
        <w:rPr>
          <w:rFonts w:ascii="Arial" w:hAnsi="Arial" w:cs="Arial"/>
          <w:sz w:val="22"/>
        </w:rPr>
        <w:t xml:space="preserve"> f</w:t>
      </w:r>
      <w:r>
        <w:rPr>
          <w:rFonts w:ascii="Arial" w:hAnsi="Arial" w:cs="Arial"/>
          <w:sz w:val="22"/>
        </w:rPr>
        <w:t>ever (&gt;38.5</w:t>
      </w:r>
      <w:r w:rsidRPr="00C765CE">
        <w:rPr>
          <w:rFonts w:ascii="Arial" w:hAnsi="Arial" w:cs="Arial"/>
          <w:sz w:val="22"/>
          <w:vertAlign w:val="superscript"/>
        </w:rPr>
        <w:t>◦</w:t>
      </w:r>
      <w:r w:rsidR="00C765CE">
        <w:rPr>
          <w:rFonts w:ascii="Arial" w:hAnsi="Arial" w:cs="Arial"/>
          <w:sz w:val="22"/>
        </w:rPr>
        <w:t>C)</w:t>
      </w:r>
      <w:r w:rsidR="009A0D9A">
        <w:rPr>
          <w:rFonts w:ascii="Arial" w:hAnsi="Arial" w:cs="Arial"/>
          <w:sz w:val="22"/>
        </w:rPr>
        <w:t>,</w:t>
      </w:r>
      <w:r w:rsidR="001260CA">
        <w:rPr>
          <w:rFonts w:ascii="Arial" w:hAnsi="Arial" w:cs="Arial"/>
          <w:sz w:val="22"/>
        </w:rPr>
        <w:t xml:space="preserve"> h</w:t>
      </w:r>
      <w:r w:rsidR="00C765CE">
        <w:rPr>
          <w:rFonts w:ascii="Arial" w:hAnsi="Arial" w:cs="Arial"/>
          <w:sz w:val="22"/>
        </w:rPr>
        <w:t>aemodynamic instability</w:t>
      </w:r>
      <w:r w:rsidR="009A0D9A">
        <w:rPr>
          <w:rFonts w:ascii="Arial" w:hAnsi="Arial" w:cs="Arial"/>
          <w:sz w:val="22"/>
        </w:rPr>
        <w:t>,</w:t>
      </w:r>
      <w:r w:rsidR="001260CA">
        <w:rPr>
          <w:rFonts w:ascii="Arial" w:hAnsi="Arial" w:cs="Arial"/>
          <w:sz w:val="22"/>
        </w:rPr>
        <w:t xml:space="preserve"> elevated lactate</w:t>
      </w:r>
      <w:r w:rsidR="009A0D9A">
        <w:rPr>
          <w:rFonts w:ascii="Arial" w:hAnsi="Arial" w:cs="Arial"/>
          <w:sz w:val="22"/>
        </w:rPr>
        <w:t>,</w:t>
      </w:r>
      <w:r w:rsidR="001260CA">
        <w:rPr>
          <w:rFonts w:ascii="Arial" w:hAnsi="Arial" w:cs="Arial"/>
          <w:sz w:val="22"/>
        </w:rPr>
        <w:t xml:space="preserve"> e</w:t>
      </w:r>
      <w:r w:rsidR="00C765CE">
        <w:rPr>
          <w:rFonts w:ascii="Arial" w:hAnsi="Arial" w:cs="Arial"/>
          <w:sz w:val="22"/>
        </w:rPr>
        <w:t>levated cr</w:t>
      </w:r>
      <w:r w:rsidR="001260CA">
        <w:rPr>
          <w:rFonts w:ascii="Arial" w:hAnsi="Arial" w:cs="Arial"/>
          <w:sz w:val="22"/>
        </w:rPr>
        <w:t>eatinine</w:t>
      </w:r>
      <w:r w:rsidR="009A0D9A">
        <w:rPr>
          <w:rFonts w:ascii="Arial" w:hAnsi="Arial" w:cs="Arial"/>
          <w:sz w:val="22"/>
        </w:rPr>
        <w:t>,</w:t>
      </w:r>
      <w:r w:rsidR="001260CA">
        <w:rPr>
          <w:rFonts w:ascii="Arial" w:hAnsi="Arial" w:cs="Arial"/>
          <w:sz w:val="22"/>
        </w:rPr>
        <w:t xml:space="preserve"> rigors</w:t>
      </w:r>
      <w:r w:rsidR="009A0D9A">
        <w:rPr>
          <w:rFonts w:ascii="Arial" w:hAnsi="Arial" w:cs="Arial"/>
          <w:sz w:val="22"/>
        </w:rPr>
        <w:t>,</w:t>
      </w:r>
      <w:r w:rsidR="001260CA">
        <w:rPr>
          <w:rFonts w:ascii="Arial" w:hAnsi="Arial" w:cs="Arial"/>
          <w:sz w:val="22"/>
        </w:rPr>
        <w:t xml:space="preserve"> l</w:t>
      </w:r>
      <w:r w:rsidR="00C765CE">
        <w:rPr>
          <w:rFonts w:ascii="Arial" w:hAnsi="Arial" w:cs="Arial"/>
          <w:sz w:val="22"/>
        </w:rPr>
        <w:t>eucocytosis (&gt;15x10</w:t>
      </w:r>
      <w:r w:rsidR="00C765CE" w:rsidRPr="00C765CE">
        <w:rPr>
          <w:rFonts w:ascii="Arial" w:hAnsi="Arial" w:cs="Arial"/>
          <w:sz w:val="22"/>
          <w:vertAlign w:val="superscript"/>
        </w:rPr>
        <w:t>9</w:t>
      </w:r>
      <w:r w:rsidR="001260CA">
        <w:rPr>
          <w:rFonts w:ascii="Arial" w:hAnsi="Arial" w:cs="Arial"/>
          <w:sz w:val="22"/>
        </w:rPr>
        <w:t>/L, &lt;20% neutrophils) and l</w:t>
      </w:r>
      <w:r w:rsidR="00C765CE">
        <w:rPr>
          <w:rFonts w:ascii="Arial" w:hAnsi="Arial" w:cs="Arial"/>
          <w:sz w:val="22"/>
        </w:rPr>
        <w:t>owered albumin levels</w:t>
      </w:r>
      <w:r w:rsidR="001260CA" w:rsidRPr="002B2433">
        <w:rPr>
          <w:rFonts w:ascii="Arial" w:hAnsi="Arial" w:cs="Arial"/>
          <w:sz w:val="22"/>
        </w:rPr>
        <w:t>.</w:t>
      </w:r>
      <w:r w:rsidR="00000FB7">
        <w:rPr>
          <w:rFonts w:ascii="Arial" w:hAnsi="Arial" w:cs="Arial"/>
          <w:sz w:val="22"/>
          <w:vertAlign w:val="superscript"/>
        </w:rPr>
        <w:t>5,6</w:t>
      </w:r>
      <w:r w:rsidR="00052FCD">
        <w:rPr>
          <w:rFonts w:ascii="Arial" w:hAnsi="Arial" w:cs="Arial"/>
          <w:sz w:val="22"/>
        </w:rPr>
        <w:t xml:space="preserve"> </w:t>
      </w:r>
      <w:r w:rsidR="00C765CE">
        <w:rPr>
          <w:rFonts w:ascii="Arial" w:hAnsi="Arial" w:cs="Arial"/>
          <w:sz w:val="22"/>
        </w:rPr>
        <w:t xml:space="preserve">Approximately 20% of patients with an initial infection will </w:t>
      </w:r>
      <w:r w:rsidR="00C1096A">
        <w:rPr>
          <w:rFonts w:ascii="Arial" w:hAnsi="Arial" w:cs="Arial"/>
          <w:sz w:val="22"/>
        </w:rPr>
        <w:t>have at least one recurrent</w:t>
      </w:r>
      <w:r w:rsidR="00C765CE">
        <w:rPr>
          <w:rFonts w:ascii="Arial" w:hAnsi="Arial" w:cs="Arial"/>
          <w:sz w:val="22"/>
        </w:rPr>
        <w:t xml:space="preserve"> episode</w:t>
      </w:r>
      <w:r w:rsidR="00C1096A">
        <w:rPr>
          <w:rFonts w:ascii="Arial" w:hAnsi="Arial" w:cs="Arial"/>
          <w:sz w:val="22"/>
        </w:rPr>
        <w:t xml:space="preserve"> of symptomatic infection</w:t>
      </w:r>
      <w:r w:rsidR="00581C64">
        <w:rPr>
          <w:rFonts w:ascii="Arial" w:hAnsi="Arial" w:cs="Arial"/>
          <w:sz w:val="22"/>
        </w:rPr>
        <w:t>,</w:t>
      </w:r>
      <w:r w:rsidR="00C765CE">
        <w:rPr>
          <w:rFonts w:ascii="Arial" w:hAnsi="Arial" w:cs="Arial"/>
          <w:sz w:val="22"/>
        </w:rPr>
        <w:t xml:space="preserve"> </w:t>
      </w:r>
      <w:r w:rsidR="00C1096A">
        <w:rPr>
          <w:rFonts w:ascii="Arial" w:hAnsi="Arial" w:cs="Arial"/>
          <w:sz w:val="22"/>
        </w:rPr>
        <w:t xml:space="preserve">usually </w:t>
      </w:r>
      <w:r w:rsidR="00C765CE">
        <w:rPr>
          <w:rFonts w:ascii="Arial" w:hAnsi="Arial" w:cs="Arial"/>
          <w:sz w:val="22"/>
        </w:rPr>
        <w:t>with</w:t>
      </w:r>
      <w:r w:rsidR="00C1096A">
        <w:rPr>
          <w:rFonts w:ascii="Arial" w:hAnsi="Arial" w:cs="Arial"/>
          <w:sz w:val="22"/>
        </w:rPr>
        <w:t>in</w:t>
      </w:r>
      <w:r w:rsidR="00C765CE">
        <w:rPr>
          <w:rFonts w:ascii="Arial" w:hAnsi="Arial" w:cs="Arial"/>
          <w:sz w:val="22"/>
        </w:rPr>
        <w:t xml:space="preserve"> 21 days of the initial episode.</w:t>
      </w:r>
      <w:r w:rsidR="00000FB7" w:rsidRPr="00000FB7">
        <w:rPr>
          <w:rFonts w:ascii="Arial" w:hAnsi="Arial" w:cs="Arial"/>
          <w:sz w:val="22"/>
          <w:vertAlign w:val="superscript"/>
        </w:rPr>
        <w:t>7</w:t>
      </w:r>
      <w:r w:rsidR="00000FB7" w:rsidRPr="00E71EAB" w:rsidDel="00000FB7">
        <w:rPr>
          <w:rFonts w:ascii="Arial" w:hAnsi="Arial" w:cs="Arial"/>
          <w:sz w:val="22"/>
          <w:vertAlign w:val="superscript"/>
        </w:rPr>
        <w:t xml:space="preserve"> </w:t>
      </w:r>
    </w:p>
    <w:p w:rsidR="00903897" w:rsidRPr="00903897" w:rsidRDefault="00903897" w:rsidP="00000FB7">
      <w:pPr>
        <w:spacing w:before="240" w:line="276" w:lineRule="auto"/>
        <w:rPr>
          <w:rFonts w:ascii="Arial" w:hAnsi="Arial"/>
          <w:sz w:val="28"/>
          <w:szCs w:val="28"/>
        </w:rPr>
      </w:pPr>
      <w:r w:rsidRPr="00903897">
        <w:rPr>
          <w:rFonts w:ascii="Arial" w:hAnsi="Arial"/>
          <w:sz w:val="28"/>
          <w:szCs w:val="28"/>
        </w:rPr>
        <w:t>Method</w:t>
      </w:r>
      <w:r w:rsidR="00232463">
        <w:rPr>
          <w:rFonts w:ascii="Arial" w:hAnsi="Arial"/>
          <w:sz w:val="28"/>
          <w:szCs w:val="28"/>
        </w:rPr>
        <w:t>s</w:t>
      </w:r>
    </w:p>
    <w:p w:rsidR="002D75AF" w:rsidRDefault="007224B3" w:rsidP="00FC19D1">
      <w:pPr>
        <w:spacing w:before="240" w:line="300" w:lineRule="exact"/>
        <w:rPr>
          <w:rFonts w:ascii="Arial" w:hAnsi="Arial" w:cs="Arial"/>
          <w:sz w:val="22"/>
        </w:rPr>
      </w:pPr>
      <w:r w:rsidRPr="00DB2C32">
        <w:rPr>
          <w:rFonts w:ascii="Arial" w:hAnsi="Arial" w:cs="Arial"/>
          <w:sz w:val="22"/>
        </w:rPr>
        <w:t xml:space="preserve">The Australian Commission on Safety and Quality </w:t>
      </w:r>
      <w:r w:rsidR="00397F1C">
        <w:rPr>
          <w:rFonts w:ascii="Arial" w:hAnsi="Arial" w:cs="Arial"/>
          <w:sz w:val="22"/>
        </w:rPr>
        <w:t>in Health Care</w:t>
      </w:r>
      <w:r w:rsidR="0024038E">
        <w:rPr>
          <w:rFonts w:ascii="Arial" w:hAnsi="Arial" w:cs="Arial"/>
          <w:sz w:val="22"/>
        </w:rPr>
        <w:t xml:space="preserve"> </w:t>
      </w:r>
      <w:r w:rsidR="002D75AF">
        <w:rPr>
          <w:rFonts w:ascii="Arial" w:hAnsi="Arial" w:cs="Arial"/>
          <w:sz w:val="22"/>
        </w:rPr>
        <w:t>(the Commission</w:t>
      </w:r>
      <w:r w:rsidR="009D0DF9">
        <w:rPr>
          <w:rFonts w:ascii="Arial" w:hAnsi="Arial" w:cs="Arial"/>
          <w:sz w:val="22"/>
        </w:rPr>
        <w:t xml:space="preserve">) </w:t>
      </w:r>
      <w:r w:rsidR="00581C64">
        <w:rPr>
          <w:rFonts w:ascii="Arial" w:hAnsi="Arial" w:cs="Arial"/>
          <w:sz w:val="22"/>
        </w:rPr>
        <w:t>has monitored</w:t>
      </w:r>
      <w:r w:rsidR="00C1096A">
        <w:rPr>
          <w:rFonts w:ascii="Arial" w:hAnsi="Arial" w:cs="Arial"/>
          <w:sz w:val="22"/>
        </w:rPr>
        <w:t xml:space="preserve"> </w:t>
      </w:r>
      <w:r w:rsidR="002F4C4E">
        <w:rPr>
          <w:rFonts w:ascii="Arial" w:hAnsi="Arial" w:cs="Arial"/>
          <w:sz w:val="22"/>
        </w:rPr>
        <w:t xml:space="preserve">the </w:t>
      </w:r>
      <w:r w:rsidR="0058379C">
        <w:rPr>
          <w:rFonts w:ascii="Arial" w:hAnsi="Arial" w:cs="Arial"/>
          <w:sz w:val="22"/>
        </w:rPr>
        <w:t>rate</w:t>
      </w:r>
      <w:r w:rsidR="00052FCD">
        <w:rPr>
          <w:rFonts w:ascii="Arial" w:hAnsi="Arial" w:cs="Arial"/>
          <w:sz w:val="22"/>
        </w:rPr>
        <w:t xml:space="preserve"> of</w:t>
      </w:r>
      <w:r w:rsidR="00FD2E08">
        <w:rPr>
          <w:rFonts w:ascii="Arial" w:hAnsi="Arial" w:cs="Arial"/>
          <w:sz w:val="22"/>
        </w:rPr>
        <w:t xml:space="preserve"> </w:t>
      </w:r>
      <w:r w:rsidR="009D0DF9">
        <w:rPr>
          <w:rFonts w:ascii="Arial" w:hAnsi="Arial" w:cs="Arial"/>
          <w:sz w:val="22"/>
        </w:rPr>
        <w:t xml:space="preserve">CDI in </w:t>
      </w:r>
      <w:r w:rsidR="00710D40">
        <w:rPr>
          <w:rFonts w:ascii="Arial" w:hAnsi="Arial" w:cs="Arial"/>
          <w:sz w:val="22"/>
        </w:rPr>
        <w:t>Australian public hospitals</w:t>
      </w:r>
      <w:r w:rsidR="009A0D9A">
        <w:rPr>
          <w:rFonts w:ascii="Arial" w:hAnsi="Arial" w:cs="Arial"/>
          <w:sz w:val="22"/>
        </w:rPr>
        <w:t xml:space="preserve"> since 2016</w:t>
      </w:r>
      <w:r w:rsidR="00710D40">
        <w:rPr>
          <w:rFonts w:ascii="Arial" w:hAnsi="Arial" w:cs="Arial"/>
          <w:sz w:val="22"/>
        </w:rPr>
        <w:t>.</w:t>
      </w:r>
      <w:r w:rsidR="00A6015C">
        <w:rPr>
          <w:rFonts w:ascii="Arial" w:hAnsi="Arial" w:cs="Arial"/>
          <w:sz w:val="22"/>
        </w:rPr>
        <w:t xml:space="preserve"> </w:t>
      </w:r>
      <w:r w:rsidR="009A0D9A">
        <w:rPr>
          <w:rFonts w:ascii="Arial" w:hAnsi="Arial" w:cs="Arial"/>
          <w:sz w:val="22"/>
        </w:rPr>
        <w:t>This</w:t>
      </w:r>
      <w:r w:rsidR="00BB3106">
        <w:rPr>
          <w:rFonts w:ascii="Arial" w:hAnsi="Arial" w:cs="Arial"/>
          <w:sz w:val="22"/>
        </w:rPr>
        <w:t xml:space="preserve"> 2018</w:t>
      </w:r>
      <w:r w:rsidRPr="00DB2C32">
        <w:rPr>
          <w:rFonts w:ascii="Arial" w:hAnsi="Arial" w:cs="Arial"/>
          <w:sz w:val="22"/>
        </w:rPr>
        <w:t xml:space="preserve"> </w:t>
      </w:r>
      <w:r w:rsidR="0013302C">
        <w:rPr>
          <w:rFonts w:ascii="Arial" w:hAnsi="Arial" w:cs="Arial"/>
          <w:sz w:val="22"/>
        </w:rPr>
        <w:lastRenderedPageBreak/>
        <w:t xml:space="preserve">Data </w:t>
      </w:r>
      <w:r w:rsidR="00BB3106">
        <w:rPr>
          <w:rFonts w:ascii="Arial" w:hAnsi="Arial" w:cs="Arial"/>
          <w:sz w:val="22"/>
        </w:rPr>
        <w:t>Snapshot is the third</w:t>
      </w:r>
      <w:r w:rsidRPr="00DB2C32">
        <w:rPr>
          <w:rFonts w:ascii="Arial" w:hAnsi="Arial" w:cs="Arial"/>
          <w:sz w:val="22"/>
        </w:rPr>
        <w:t xml:space="preserve"> </w:t>
      </w:r>
      <w:r w:rsidR="00581C64">
        <w:rPr>
          <w:rFonts w:ascii="Arial" w:hAnsi="Arial" w:cs="Arial"/>
          <w:sz w:val="22"/>
        </w:rPr>
        <w:t>in the series,</w:t>
      </w:r>
      <w:r w:rsidRPr="00DB2C32">
        <w:rPr>
          <w:rFonts w:ascii="Arial" w:hAnsi="Arial" w:cs="Arial"/>
          <w:sz w:val="22"/>
        </w:rPr>
        <w:t xml:space="preserve"> p</w:t>
      </w:r>
      <w:r w:rsidR="0013302C">
        <w:rPr>
          <w:rFonts w:ascii="Arial" w:hAnsi="Arial" w:cs="Arial"/>
          <w:sz w:val="22"/>
        </w:rPr>
        <w:t xml:space="preserve">ublished </w:t>
      </w:r>
      <w:r w:rsidRPr="00DB2C32">
        <w:rPr>
          <w:rFonts w:ascii="Arial" w:hAnsi="Arial" w:cs="Arial"/>
          <w:sz w:val="22"/>
        </w:rPr>
        <w:t>by the Commissio</w:t>
      </w:r>
      <w:r w:rsidR="0013302C">
        <w:rPr>
          <w:rFonts w:ascii="Arial" w:hAnsi="Arial" w:cs="Arial"/>
          <w:sz w:val="22"/>
        </w:rPr>
        <w:t>n.</w:t>
      </w:r>
      <w:r w:rsidR="00FC19D1">
        <w:rPr>
          <w:rFonts w:ascii="Arial" w:hAnsi="Arial" w:cs="Arial"/>
          <w:sz w:val="22"/>
        </w:rPr>
        <w:t xml:space="preserve"> </w:t>
      </w:r>
      <w:r w:rsidRPr="00DB2C32">
        <w:rPr>
          <w:rFonts w:ascii="Arial" w:hAnsi="Arial" w:cs="Arial"/>
          <w:sz w:val="22"/>
        </w:rPr>
        <w:t xml:space="preserve">Patient administrative data from the </w:t>
      </w:r>
      <w:r w:rsidR="0078361F">
        <w:rPr>
          <w:rFonts w:ascii="Arial" w:hAnsi="Arial" w:cs="Arial"/>
          <w:sz w:val="22"/>
        </w:rPr>
        <w:t>2017</w:t>
      </w:r>
      <w:r w:rsidR="00BB3106">
        <w:rPr>
          <w:rFonts w:ascii="Arial" w:hAnsi="Arial" w:cs="Arial"/>
          <w:sz w:val="22"/>
        </w:rPr>
        <w:t>-2018</w:t>
      </w:r>
      <w:r w:rsidR="0078361F">
        <w:rPr>
          <w:rFonts w:ascii="Arial" w:hAnsi="Arial" w:cs="Arial"/>
          <w:sz w:val="22"/>
        </w:rPr>
        <w:t xml:space="preserve"> and 2018</w:t>
      </w:r>
      <w:r w:rsidR="00BB3106">
        <w:rPr>
          <w:rFonts w:ascii="Arial" w:hAnsi="Arial" w:cs="Arial"/>
          <w:sz w:val="22"/>
        </w:rPr>
        <w:t>-2019</w:t>
      </w:r>
      <w:r w:rsidR="002D75AF">
        <w:rPr>
          <w:rFonts w:ascii="Arial" w:hAnsi="Arial" w:cs="Arial"/>
          <w:sz w:val="22"/>
        </w:rPr>
        <w:t xml:space="preserve"> </w:t>
      </w:r>
      <w:r w:rsidRPr="00DB2C32">
        <w:rPr>
          <w:rFonts w:ascii="Arial" w:hAnsi="Arial" w:cs="Arial"/>
          <w:sz w:val="22"/>
        </w:rPr>
        <w:t>Admitted Patient Care National</w:t>
      </w:r>
      <w:r w:rsidR="00B46D04">
        <w:rPr>
          <w:rFonts w:ascii="Arial" w:hAnsi="Arial" w:cs="Arial"/>
          <w:sz w:val="22"/>
        </w:rPr>
        <w:t xml:space="preserve"> Minimum Data Set (APC NMDS) have</w:t>
      </w:r>
      <w:r w:rsidR="00BC6ADE">
        <w:rPr>
          <w:rFonts w:ascii="Arial" w:hAnsi="Arial" w:cs="Arial"/>
          <w:sz w:val="22"/>
        </w:rPr>
        <w:t xml:space="preserve"> been u</w:t>
      </w:r>
      <w:r w:rsidRPr="00DB2C32">
        <w:rPr>
          <w:rFonts w:ascii="Arial" w:hAnsi="Arial" w:cs="Arial"/>
          <w:sz w:val="22"/>
        </w:rPr>
        <w:t>sed</w:t>
      </w:r>
      <w:r w:rsidR="007024BB">
        <w:rPr>
          <w:rFonts w:ascii="Arial" w:hAnsi="Arial" w:cs="Arial"/>
          <w:sz w:val="22"/>
        </w:rPr>
        <w:t xml:space="preserve"> in this report</w:t>
      </w:r>
      <w:r w:rsidR="00F2486E">
        <w:rPr>
          <w:rFonts w:ascii="Arial" w:hAnsi="Arial" w:cs="Arial"/>
          <w:sz w:val="22"/>
        </w:rPr>
        <w:t xml:space="preserve"> to estimate the rate of CDI in Australian public hospitals</w:t>
      </w:r>
      <w:r w:rsidRPr="00DB2C32">
        <w:rPr>
          <w:rFonts w:ascii="Arial" w:hAnsi="Arial" w:cs="Arial"/>
          <w:sz w:val="22"/>
        </w:rPr>
        <w:t>.</w:t>
      </w:r>
      <w:r w:rsidR="005B70A7" w:rsidRPr="005B70A7">
        <w:rPr>
          <w:rFonts w:ascii="Arial" w:hAnsi="Arial" w:cs="Arial"/>
          <w:sz w:val="22"/>
        </w:rPr>
        <w:t xml:space="preserve"> </w:t>
      </w:r>
      <w:r w:rsidR="00BC6ADE">
        <w:rPr>
          <w:rFonts w:ascii="Arial" w:hAnsi="Arial" w:cs="Arial"/>
          <w:sz w:val="22"/>
        </w:rPr>
        <w:t>U</w:t>
      </w:r>
      <w:r w:rsidR="005B70A7" w:rsidRPr="00DB2C32">
        <w:rPr>
          <w:rFonts w:ascii="Arial" w:hAnsi="Arial" w:cs="Arial"/>
          <w:sz w:val="22"/>
        </w:rPr>
        <w:t xml:space="preserve">se of </w:t>
      </w:r>
      <w:r w:rsidR="009D0DF9">
        <w:rPr>
          <w:rFonts w:ascii="Arial" w:hAnsi="Arial" w:cs="Arial"/>
          <w:sz w:val="22"/>
        </w:rPr>
        <w:t xml:space="preserve">the </w:t>
      </w:r>
      <w:r w:rsidR="005B70A7" w:rsidRPr="00DB2C32">
        <w:rPr>
          <w:rFonts w:ascii="Arial" w:hAnsi="Arial" w:cs="Arial"/>
          <w:sz w:val="22"/>
        </w:rPr>
        <w:t xml:space="preserve">APC NMDS for </w:t>
      </w:r>
      <w:r w:rsidR="007024BB">
        <w:rPr>
          <w:rFonts w:ascii="Arial" w:hAnsi="Arial" w:cs="Arial"/>
          <w:sz w:val="22"/>
        </w:rPr>
        <w:t>monitoring</w:t>
      </w:r>
      <w:r w:rsidR="005D0942">
        <w:rPr>
          <w:rFonts w:ascii="Arial" w:hAnsi="Arial" w:cs="Arial"/>
          <w:sz w:val="22"/>
        </w:rPr>
        <w:t xml:space="preserve"> </w:t>
      </w:r>
      <w:r w:rsidR="00C1096A">
        <w:rPr>
          <w:rFonts w:ascii="Arial" w:hAnsi="Arial" w:cs="Arial"/>
          <w:sz w:val="22"/>
        </w:rPr>
        <w:t xml:space="preserve">national </w:t>
      </w:r>
      <w:r w:rsidR="005B70A7" w:rsidRPr="00DB2C32">
        <w:rPr>
          <w:rFonts w:ascii="Arial" w:hAnsi="Arial" w:cs="Arial"/>
          <w:sz w:val="22"/>
        </w:rPr>
        <w:t xml:space="preserve">CDI </w:t>
      </w:r>
      <w:r w:rsidR="00A6015C">
        <w:rPr>
          <w:rFonts w:ascii="Arial" w:hAnsi="Arial" w:cs="Arial"/>
          <w:sz w:val="22"/>
        </w:rPr>
        <w:t xml:space="preserve">rates </w:t>
      </w:r>
      <w:r w:rsidR="005B70A7" w:rsidRPr="00DB2C32">
        <w:rPr>
          <w:rFonts w:ascii="Arial" w:hAnsi="Arial" w:cs="Arial"/>
          <w:sz w:val="22"/>
        </w:rPr>
        <w:t>was esta</w:t>
      </w:r>
      <w:r w:rsidR="005D0942">
        <w:rPr>
          <w:rFonts w:ascii="Arial" w:hAnsi="Arial" w:cs="Arial"/>
          <w:sz w:val="22"/>
        </w:rPr>
        <w:t>blished by the Commission in</w:t>
      </w:r>
      <w:r w:rsidR="005B70A7" w:rsidRPr="00DB2C32">
        <w:rPr>
          <w:rFonts w:ascii="Arial" w:hAnsi="Arial" w:cs="Arial"/>
          <w:sz w:val="22"/>
        </w:rPr>
        <w:t xml:space="preserve"> 2016 and support</w:t>
      </w:r>
      <w:r w:rsidR="005B70A7">
        <w:rPr>
          <w:rFonts w:ascii="Arial" w:hAnsi="Arial" w:cs="Arial"/>
          <w:sz w:val="22"/>
        </w:rPr>
        <w:t>ed</w:t>
      </w:r>
      <w:r w:rsidR="009D5BF8">
        <w:rPr>
          <w:rFonts w:ascii="Arial" w:hAnsi="Arial" w:cs="Arial"/>
          <w:sz w:val="22"/>
        </w:rPr>
        <w:t xml:space="preserve"> by the Commission’s Inter-</w:t>
      </w:r>
      <w:r w:rsidR="005B70A7" w:rsidRPr="00DB2C32">
        <w:rPr>
          <w:rFonts w:ascii="Arial" w:hAnsi="Arial" w:cs="Arial"/>
          <w:sz w:val="22"/>
        </w:rPr>
        <w:t>Jurisdictional Committee</w:t>
      </w:r>
      <w:r w:rsidR="005B70A7">
        <w:rPr>
          <w:rFonts w:ascii="Arial" w:hAnsi="Arial" w:cs="Arial"/>
          <w:sz w:val="22"/>
        </w:rPr>
        <w:t xml:space="preserve">. </w:t>
      </w:r>
    </w:p>
    <w:p w:rsidR="002D75AF" w:rsidRPr="00131EC4" w:rsidRDefault="00BC6ADE" w:rsidP="00FC19D1">
      <w:pPr>
        <w:autoSpaceDE w:val="0"/>
        <w:autoSpaceDN w:val="0"/>
        <w:adjustRightInd w:val="0"/>
        <w:spacing w:before="240" w:line="300" w:lineRule="exact"/>
        <w:rPr>
          <w:rFonts w:ascii="Arial" w:hAnsi="Arial" w:cs="Arial"/>
          <w:sz w:val="22"/>
        </w:rPr>
      </w:pPr>
      <w:r>
        <w:rPr>
          <w:rFonts w:ascii="Arial" w:hAnsi="Arial" w:cs="Arial"/>
          <w:sz w:val="22"/>
        </w:rPr>
        <w:t>E</w:t>
      </w:r>
      <w:r w:rsidR="007224B3" w:rsidRPr="00DB2C32">
        <w:rPr>
          <w:rFonts w:ascii="Arial" w:hAnsi="Arial" w:cs="Arial"/>
          <w:sz w:val="22"/>
        </w:rPr>
        <w:t>x</w:t>
      </w:r>
      <w:r>
        <w:rPr>
          <w:rFonts w:ascii="Arial" w:hAnsi="Arial" w:cs="Arial"/>
          <w:sz w:val="22"/>
        </w:rPr>
        <w:t>clusion and</w:t>
      </w:r>
      <w:r w:rsidR="00581C64">
        <w:rPr>
          <w:rFonts w:ascii="Arial" w:hAnsi="Arial" w:cs="Arial"/>
          <w:sz w:val="22"/>
        </w:rPr>
        <w:t xml:space="preserve"> filtering criteria have</w:t>
      </w:r>
      <w:r>
        <w:rPr>
          <w:rFonts w:ascii="Arial" w:hAnsi="Arial" w:cs="Arial"/>
          <w:sz w:val="22"/>
        </w:rPr>
        <w:t xml:space="preserve"> not</w:t>
      </w:r>
      <w:r w:rsidR="007224B3" w:rsidRPr="00DB2C32">
        <w:rPr>
          <w:rFonts w:ascii="Arial" w:hAnsi="Arial" w:cs="Arial"/>
          <w:sz w:val="22"/>
        </w:rPr>
        <w:t xml:space="preserve"> been applied to the APC NMDS. Data are based on the state or territory of the h</w:t>
      </w:r>
      <w:r w:rsidR="009A0D9A">
        <w:rPr>
          <w:rFonts w:ascii="Arial" w:hAnsi="Arial" w:cs="Arial"/>
          <w:sz w:val="22"/>
        </w:rPr>
        <w:t>ospital that collected the data</w:t>
      </w:r>
      <w:r w:rsidR="007224B3" w:rsidRPr="00DB2C32">
        <w:rPr>
          <w:rFonts w:ascii="Arial" w:hAnsi="Arial" w:cs="Arial"/>
          <w:sz w:val="22"/>
        </w:rPr>
        <w:t xml:space="preserve">. For the purposes of this analysis, the diagnosis code A04.7 </w:t>
      </w:r>
      <w:r w:rsidR="007224B3" w:rsidRPr="00DB2C32">
        <w:rPr>
          <w:rFonts w:ascii="Arial" w:hAnsi="Arial" w:cs="Arial"/>
          <w:i/>
          <w:sz w:val="22"/>
        </w:rPr>
        <w:t>Gastroenterocolitis</w:t>
      </w:r>
      <w:r w:rsidR="007224B3" w:rsidRPr="00DB2C32">
        <w:rPr>
          <w:rFonts w:ascii="Arial" w:hAnsi="Arial" w:cs="Arial"/>
          <w:sz w:val="22"/>
        </w:rPr>
        <w:t xml:space="preserve"> </w:t>
      </w:r>
      <w:r w:rsidR="007224B3" w:rsidRPr="00DB2C32">
        <w:rPr>
          <w:rFonts w:ascii="Arial" w:hAnsi="Arial" w:cs="Arial"/>
          <w:i/>
          <w:sz w:val="22"/>
        </w:rPr>
        <w:t xml:space="preserve">caused by Clostridium difficile </w:t>
      </w:r>
      <w:r w:rsidR="007224B3" w:rsidRPr="00DB2C32">
        <w:rPr>
          <w:rFonts w:ascii="Arial" w:hAnsi="Arial" w:cs="Arial"/>
          <w:sz w:val="22"/>
        </w:rPr>
        <w:t>was used to identify separations affected by CDI</w:t>
      </w:r>
      <w:r w:rsidR="00C1096A">
        <w:rPr>
          <w:rFonts w:ascii="Arial" w:hAnsi="Arial" w:cs="Arial"/>
          <w:sz w:val="22"/>
        </w:rPr>
        <w:t>,</w:t>
      </w:r>
      <w:r w:rsidR="004814D7">
        <w:rPr>
          <w:rFonts w:ascii="Arial" w:hAnsi="Arial" w:cs="Arial"/>
          <w:sz w:val="22"/>
        </w:rPr>
        <w:t xml:space="preserve"> and will be referred to as</w:t>
      </w:r>
      <w:r w:rsidR="002D75AF">
        <w:rPr>
          <w:rFonts w:ascii="Arial" w:hAnsi="Arial" w:cs="Arial"/>
          <w:sz w:val="22"/>
        </w:rPr>
        <w:t xml:space="preserve"> a</w:t>
      </w:r>
      <w:r w:rsidR="004814D7">
        <w:rPr>
          <w:rFonts w:ascii="Arial" w:hAnsi="Arial" w:cs="Arial"/>
          <w:sz w:val="22"/>
        </w:rPr>
        <w:t xml:space="preserve"> CDI diagnosis in this report</w:t>
      </w:r>
      <w:r w:rsidR="007224B3" w:rsidRPr="00DB2C32">
        <w:rPr>
          <w:rFonts w:ascii="Arial" w:hAnsi="Arial" w:cs="Arial"/>
          <w:sz w:val="22"/>
        </w:rPr>
        <w:t>.</w:t>
      </w:r>
      <w:r w:rsidR="004814D7">
        <w:rPr>
          <w:rFonts w:ascii="Arial" w:hAnsi="Arial" w:cs="Arial"/>
          <w:sz w:val="22"/>
        </w:rPr>
        <w:t xml:space="preserve"> </w:t>
      </w:r>
      <w:r w:rsidR="002D75AF">
        <w:rPr>
          <w:rFonts w:ascii="Arial" w:hAnsi="Arial" w:cs="Arial"/>
          <w:sz w:val="22"/>
        </w:rPr>
        <w:t xml:space="preserve">Patient bed days </w:t>
      </w:r>
      <w:r w:rsidR="00DC0811">
        <w:rPr>
          <w:rFonts w:ascii="Arial" w:hAnsi="Arial" w:cs="Arial"/>
          <w:sz w:val="22"/>
        </w:rPr>
        <w:t>were calculated</w:t>
      </w:r>
      <w:r w:rsidR="002D75AF">
        <w:rPr>
          <w:rFonts w:ascii="Arial" w:hAnsi="Arial" w:cs="Arial"/>
          <w:sz w:val="22"/>
        </w:rPr>
        <w:t xml:space="preserve"> by counting the total patient days </w:t>
      </w:r>
      <w:r w:rsidR="00A6015C">
        <w:rPr>
          <w:rFonts w:ascii="Arial" w:hAnsi="Arial" w:cs="Arial"/>
          <w:sz w:val="22"/>
        </w:rPr>
        <w:t>of patients</w:t>
      </w:r>
      <w:r w:rsidR="002D75AF">
        <w:rPr>
          <w:rFonts w:ascii="Arial" w:hAnsi="Arial" w:cs="Arial"/>
          <w:sz w:val="22"/>
        </w:rPr>
        <w:t xml:space="preserve"> </w:t>
      </w:r>
      <w:r w:rsidR="00C1096A">
        <w:rPr>
          <w:rFonts w:ascii="Arial" w:hAnsi="Arial" w:cs="Arial"/>
          <w:sz w:val="22"/>
        </w:rPr>
        <w:t xml:space="preserve">who </w:t>
      </w:r>
      <w:r w:rsidR="002D75AF">
        <w:rPr>
          <w:rFonts w:ascii="Arial" w:hAnsi="Arial" w:cs="Arial"/>
          <w:sz w:val="22"/>
        </w:rPr>
        <w:t xml:space="preserve">separated during the specific period, including those admitted before the specific period. Separation days are episodes of patient care, </w:t>
      </w:r>
      <w:r w:rsidR="005D0942">
        <w:rPr>
          <w:rFonts w:ascii="Arial" w:hAnsi="Arial" w:cs="Arial"/>
          <w:sz w:val="22"/>
        </w:rPr>
        <w:t xml:space="preserve">in </w:t>
      </w:r>
      <w:r w:rsidR="002D75AF">
        <w:rPr>
          <w:rFonts w:ascii="Arial" w:hAnsi="Arial" w:cs="Arial"/>
          <w:sz w:val="22"/>
        </w:rPr>
        <w:t xml:space="preserve">which care </w:t>
      </w:r>
      <w:r w:rsidR="005D0942">
        <w:rPr>
          <w:rFonts w:ascii="Arial" w:hAnsi="Arial" w:cs="Arial"/>
          <w:sz w:val="22"/>
        </w:rPr>
        <w:t>can include</w:t>
      </w:r>
      <w:r w:rsidR="002D75AF">
        <w:rPr>
          <w:rFonts w:ascii="Arial" w:hAnsi="Arial" w:cs="Arial"/>
          <w:sz w:val="22"/>
        </w:rPr>
        <w:t xml:space="preserve"> a total hospital stay (from admission to discharge, transfer or death), or a portion of a hospital stay beginning or ending in a change in type of care</w:t>
      </w:r>
      <w:r w:rsidR="002D75AF" w:rsidRPr="00131EC4">
        <w:rPr>
          <w:rFonts w:ascii="Arial" w:hAnsi="Arial" w:cs="Arial"/>
          <w:sz w:val="22"/>
        </w:rPr>
        <w:t>.</w:t>
      </w:r>
      <w:r w:rsidR="00000FB7">
        <w:rPr>
          <w:rFonts w:ascii="Arial" w:hAnsi="Arial" w:cs="Arial"/>
          <w:sz w:val="22"/>
          <w:vertAlign w:val="superscript"/>
        </w:rPr>
        <w:t>8,9</w:t>
      </w:r>
      <w:r w:rsidR="00131EC4">
        <w:rPr>
          <w:rFonts w:ascii="Arial" w:hAnsi="Arial" w:cs="Arial"/>
          <w:sz w:val="22"/>
        </w:rPr>
        <w:t xml:space="preserve"> </w:t>
      </w:r>
    </w:p>
    <w:p w:rsidR="009018BE" w:rsidRDefault="00D779C5" w:rsidP="00FC19D1">
      <w:pPr>
        <w:spacing w:before="240" w:line="300" w:lineRule="exact"/>
        <w:rPr>
          <w:rFonts w:ascii="Arial" w:hAnsi="Arial" w:cs="Arial"/>
          <w:sz w:val="22"/>
          <w:szCs w:val="22"/>
          <w:vertAlign w:val="superscript"/>
        </w:rPr>
      </w:pPr>
      <w:r>
        <w:rPr>
          <w:rFonts w:ascii="Arial" w:hAnsi="Arial" w:cs="Arial"/>
          <w:sz w:val="22"/>
        </w:rPr>
        <w:t>CD</w:t>
      </w:r>
      <w:r w:rsidR="007246A9">
        <w:rPr>
          <w:rFonts w:ascii="Arial" w:hAnsi="Arial" w:cs="Arial"/>
          <w:sz w:val="22"/>
        </w:rPr>
        <w:t>I diagnoses are categorised as</w:t>
      </w:r>
      <w:r>
        <w:rPr>
          <w:rFonts w:ascii="Arial" w:hAnsi="Arial" w:cs="Arial"/>
          <w:sz w:val="22"/>
        </w:rPr>
        <w:t xml:space="preserve"> either a principal diagnosis or a non-principal diagnosis</w:t>
      </w:r>
      <w:r>
        <w:rPr>
          <w:rFonts w:ascii="Arial" w:hAnsi="Arial" w:cs="Arial"/>
          <w:sz w:val="22"/>
          <w:szCs w:val="22"/>
        </w:rPr>
        <w:t xml:space="preserve">. </w:t>
      </w:r>
      <w:r w:rsidR="009018BE" w:rsidRPr="00D779C5">
        <w:rPr>
          <w:rFonts w:ascii="Arial" w:hAnsi="Arial" w:cs="Arial"/>
          <w:sz w:val="22"/>
          <w:szCs w:val="22"/>
        </w:rPr>
        <w:t>A pri</w:t>
      </w:r>
      <w:r w:rsidR="007246A9">
        <w:rPr>
          <w:rFonts w:ascii="Arial" w:hAnsi="Arial" w:cs="Arial"/>
          <w:sz w:val="22"/>
          <w:szCs w:val="22"/>
        </w:rPr>
        <w:t>ncipal diagnosis describes the primary</w:t>
      </w:r>
      <w:r w:rsidR="009018BE" w:rsidRPr="00D779C5">
        <w:rPr>
          <w:rFonts w:ascii="Arial" w:hAnsi="Arial" w:cs="Arial"/>
          <w:sz w:val="22"/>
          <w:szCs w:val="22"/>
        </w:rPr>
        <w:t xml:space="preserve"> condition resulting in admission of an individual to hospital. </w:t>
      </w:r>
      <w:r w:rsidR="00B02C9C">
        <w:rPr>
          <w:rFonts w:ascii="Arial" w:hAnsi="Arial" w:cs="Arial"/>
          <w:sz w:val="22"/>
          <w:szCs w:val="22"/>
        </w:rPr>
        <w:t>This may include cases of CDI that develop in the community or may</w:t>
      </w:r>
      <w:r w:rsidR="007246A9">
        <w:rPr>
          <w:rFonts w:ascii="Arial" w:hAnsi="Arial" w:cs="Arial"/>
          <w:sz w:val="22"/>
          <w:szCs w:val="22"/>
        </w:rPr>
        <w:t xml:space="preserve"> </w:t>
      </w:r>
      <w:r w:rsidR="00B02C9C">
        <w:rPr>
          <w:rFonts w:ascii="Arial" w:hAnsi="Arial" w:cs="Arial"/>
          <w:sz w:val="22"/>
          <w:szCs w:val="22"/>
        </w:rPr>
        <w:t xml:space="preserve">be attributed to a previous hospital admission. </w:t>
      </w:r>
      <w:r w:rsidR="009018BE" w:rsidRPr="00D779C5">
        <w:rPr>
          <w:rFonts w:ascii="Arial" w:hAnsi="Arial" w:cs="Arial"/>
          <w:sz w:val="22"/>
          <w:szCs w:val="22"/>
        </w:rPr>
        <w:t>A non-principal diagnosis describes a condition that may have contributed to the admission</w:t>
      </w:r>
      <w:r w:rsidR="007246A9">
        <w:rPr>
          <w:rFonts w:ascii="Arial" w:hAnsi="Arial" w:cs="Arial"/>
          <w:sz w:val="22"/>
          <w:szCs w:val="22"/>
        </w:rPr>
        <w:t>,</w:t>
      </w:r>
      <w:r w:rsidR="009018BE" w:rsidRPr="00D779C5">
        <w:rPr>
          <w:rFonts w:ascii="Arial" w:hAnsi="Arial" w:cs="Arial"/>
          <w:sz w:val="22"/>
          <w:szCs w:val="22"/>
        </w:rPr>
        <w:t xml:space="preserve"> but is not the main reason for admission to </w:t>
      </w:r>
      <w:r w:rsidR="009018BE" w:rsidRPr="00FC19D1">
        <w:rPr>
          <w:rFonts w:ascii="Arial" w:hAnsi="Arial" w:cs="Arial"/>
          <w:sz w:val="22"/>
          <w:szCs w:val="22"/>
        </w:rPr>
        <w:t>hospital</w:t>
      </w:r>
      <w:r w:rsidR="009018BE" w:rsidRPr="004F6C29">
        <w:rPr>
          <w:rFonts w:ascii="Arial" w:hAnsi="Arial" w:cs="Arial"/>
          <w:sz w:val="22"/>
          <w:szCs w:val="22"/>
        </w:rPr>
        <w:t>.</w:t>
      </w:r>
      <w:r w:rsidR="009018BE" w:rsidRPr="004F6C29">
        <w:rPr>
          <w:rStyle w:val="CommentReference"/>
          <w:sz w:val="22"/>
          <w:szCs w:val="22"/>
        </w:rPr>
        <w:t/>
      </w:r>
      <w:r w:rsidR="00000FB7" w:rsidRPr="00DD69C9" w:rsidDel="00000FB7">
        <w:rPr>
          <w:rFonts w:ascii="Arial" w:hAnsi="Arial" w:cs="Arial"/>
          <w:sz w:val="22"/>
          <w:szCs w:val="22"/>
          <w:vertAlign w:val="superscript"/>
        </w:rPr>
        <w:t xml:space="preserve"> </w:t>
      </w:r>
      <w:r w:rsidR="00B02C9C">
        <w:rPr>
          <w:rFonts w:ascii="Arial" w:hAnsi="Arial" w:cs="Arial"/>
          <w:sz w:val="22"/>
          <w:szCs w:val="22"/>
        </w:rPr>
        <w:t>This category of patients may include cases of CDI that develop during an inpatient admission</w:t>
      </w:r>
      <w:r w:rsidR="006B2602">
        <w:rPr>
          <w:rFonts w:ascii="Arial" w:hAnsi="Arial" w:cs="Arial"/>
          <w:sz w:val="22"/>
          <w:szCs w:val="22"/>
        </w:rPr>
        <w:t>.</w:t>
      </w:r>
      <w:r w:rsidR="00B02C9C">
        <w:rPr>
          <w:rFonts w:ascii="Arial" w:hAnsi="Arial" w:cs="Arial"/>
          <w:sz w:val="22"/>
          <w:szCs w:val="22"/>
        </w:rPr>
        <w:t xml:space="preserve"> </w:t>
      </w:r>
      <w:r w:rsidR="00000FB7">
        <w:rPr>
          <w:rFonts w:ascii="Arial" w:hAnsi="Arial" w:cs="Arial"/>
          <w:sz w:val="22"/>
          <w:szCs w:val="22"/>
          <w:vertAlign w:val="superscript"/>
        </w:rPr>
        <w:t>9,10</w:t>
      </w:r>
    </w:p>
    <w:p w:rsidR="00927C23" w:rsidRPr="0058379C" w:rsidRDefault="00927C23" w:rsidP="00927C23">
      <w:pPr>
        <w:spacing w:before="160" w:after="120" w:line="300" w:lineRule="exact"/>
        <w:contextualSpacing/>
        <w:rPr>
          <w:rFonts w:ascii="Arial" w:hAnsi="Arial" w:cs="Arial"/>
          <w:sz w:val="22"/>
          <w:szCs w:val="22"/>
        </w:rPr>
      </w:pPr>
      <w:r w:rsidRPr="0058379C">
        <w:rPr>
          <w:rFonts w:ascii="Arial" w:hAnsi="Arial" w:cs="Arial"/>
          <w:sz w:val="22"/>
          <w:szCs w:val="22"/>
        </w:rPr>
        <w:t>Non-principal CDI diagnoses</w:t>
      </w:r>
      <w:r w:rsidR="005D029D">
        <w:rPr>
          <w:rFonts w:ascii="Arial" w:hAnsi="Arial" w:cs="Arial"/>
          <w:sz w:val="22"/>
          <w:szCs w:val="22"/>
        </w:rPr>
        <w:t xml:space="preserve"> have been </w:t>
      </w:r>
      <w:r w:rsidRPr="0058379C">
        <w:rPr>
          <w:rFonts w:ascii="Arial" w:hAnsi="Arial" w:cs="Arial"/>
          <w:sz w:val="22"/>
          <w:szCs w:val="22"/>
        </w:rPr>
        <w:t xml:space="preserve">further </w:t>
      </w:r>
      <w:r w:rsidR="00077089" w:rsidRPr="0058379C">
        <w:rPr>
          <w:rFonts w:ascii="Arial" w:hAnsi="Arial" w:cs="Arial"/>
          <w:sz w:val="22"/>
          <w:szCs w:val="22"/>
        </w:rPr>
        <w:t>classified</w:t>
      </w:r>
      <w:r w:rsidR="00077089" w:rsidRPr="0058379C" w:rsidDel="00077089">
        <w:rPr>
          <w:rFonts w:ascii="Arial" w:hAnsi="Arial" w:cs="Arial"/>
          <w:sz w:val="22"/>
          <w:szCs w:val="22"/>
        </w:rPr>
        <w:t xml:space="preserve"> </w:t>
      </w:r>
      <w:r w:rsidRPr="0058379C">
        <w:rPr>
          <w:rFonts w:ascii="Arial" w:hAnsi="Arial" w:cs="Arial"/>
          <w:sz w:val="22"/>
          <w:szCs w:val="22"/>
        </w:rPr>
        <w:t>by Conditional Onset Flags (COF</w:t>
      </w:r>
      <w:r w:rsidR="007246A9">
        <w:rPr>
          <w:rFonts w:ascii="Arial" w:hAnsi="Arial" w:cs="Arial"/>
          <w:sz w:val="22"/>
          <w:szCs w:val="22"/>
        </w:rPr>
        <w:t>s</w:t>
      </w:r>
      <w:r w:rsidRPr="0058379C">
        <w:rPr>
          <w:rFonts w:ascii="Arial" w:hAnsi="Arial" w:cs="Arial"/>
          <w:sz w:val="22"/>
          <w:szCs w:val="22"/>
        </w:rPr>
        <w:t>). These are as follows:</w:t>
      </w:r>
    </w:p>
    <w:p w:rsidR="00927C23" w:rsidRPr="0058379C" w:rsidRDefault="00927C23" w:rsidP="00927C23">
      <w:pPr>
        <w:numPr>
          <w:ilvl w:val="0"/>
          <w:numId w:val="19"/>
        </w:numPr>
        <w:spacing w:before="160" w:after="120" w:line="300" w:lineRule="exact"/>
        <w:contextualSpacing/>
        <w:rPr>
          <w:rFonts w:ascii="Arial" w:hAnsi="Arial" w:cs="Arial"/>
          <w:sz w:val="22"/>
          <w:szCs w:val="22"/>
        </w:rPr>
      </w:pPr>
      <w:r w:rsidRPr="0058379C">
        <w:rPr>
          <w:rFonts w:ascii="Arial" w:hAnsi="Arial" w:cs="Arial"/>
          <w:sz w:val="22"/>
        </w:rPr>
        <w:lastRenderedPageBreak/>
        <w:t>COF 1:</w:t>
      </w:r>
      <w:r w:rsidRPr="0058379C">
        <w:rPr>
          <w:sz w:val="22"/>
        </w:rPr>
        <w:t xml:space="preserve"> </w:t>
      </w:r>
      <w:r w:rsidRPr="0058379C">
        <w:rPr>
          <w:rFonts w:ascii="Arial" w:hAnsi="Arial" w:cs="Arial"/>
          <w:sz w:val="22"/>
          <w:szCs w:val="22"/>
        </w:rPr>
        <w:t>refers to a condition that has arisen during the episode of admitted care that would not have been present or suspected on admission.</w:t>
      </w:r>
    </w:p>
    <w:p w:rsidR="00927C23" w:rsidRPr="0058379C" w:rsidRDefault="007246A9" w:rsidP="00927C23">
      <w:pPr>
        <w:numPr>
          <w:ilvl w:val="0"/>
          <w:numId w:val="19"/>
        </w:numPr>
        <w:spacing w:before="160" w:after="120" w:line="300" w:lineRule="exact"/>
        <w:contextualSpacing/>
        <w:rPr>
          <w:rFonts w:ascii="Arial" w:hAnsi="Arial" w:cs="Arial"/>
          <w:sz w:val="22"/>
          <w:szCs w:val="22"/>
        </w:rPr>
      </w:pPr>
      <w:r>
        <w:rPr>
          <w:rFonts w:ascii="Arial" w:hAnsi="Arial" w:cs="Arial"/>
          <w:sz w:val="22"/>
          <w:szCs w:val="22"/>
        </w:rPr>
        <w:t xml:space="preserve">COF 2: </w:t>
      </w:r>
      <w:r w:rsidR="00927C23" w:rsidRPr="0058379C">
        <w:rPr>
          <w:rFonts w:ascii="Arial" w:hAnsi="Arial" w:cs="Arial"/>
          <w:sz w:val="22"/>
          <w:szCs w:val="22"/>
        </w:rPr>
        <w:t>refers to a condition previously existing or suspected on admission such as the presenting problem, a comorbidity or chronic disease.</w:t>
      </w:r>
      <w:r w:rsidR="00927C23" w:rsidRPr="0058379C">
        <w:rPr>
          <w:rFonts w:ascii="Arial" w:hAnsi="Arial" w:cs="Arial"/>
          <w:sz w:val="22"/>
          <w:szCs w:val="22"/>
          <w:vertAlign w:val="superscript"/>
        </w:rPr>
        <w:t>11</w:t>
      </w:r>
    </w:p>
    <w:p w:rsidR="00077089" w:rsidRPr="0058379C" w:rsidRDefault="00077089" w:rsidP="00077089">
      <w:pPr>
        <w:spacing w:before="160" w:after="120" w:line="300" w:lineRule="exact"/>
        <w:ind w:left="720"/>
        <w:contextualSpacing/>
        <w:rPr>
          <w:rFonts w:ascii="Arial" w:hAnsi="Arial" w:cs="Arial"/>
          <w:sz w:val="22"/>
          <w:szCs w:val="22"/>
        </w:rPr>
      </w:pPr>
    </w:p>
    <w:p w:rsidR="00927C23" w:rsidRPr="005D029D" w:rsidRDefault="00927C23" w:rsidP="00EF6A88">
      <w:pPr>
        <w:rPr>
          <w:rFonts w:ascii="Arial" w:hAnsi="Arial" w:cs="Arial"/>
          <w:sz w:val="22"/>
          <w:szCs w:val="22"/>
        </w:rPr>
      </w:pPr>
      <w:r w:rsidRPr="005D029D">
        <w:rPr>
          <w:rFonts w:ascii="Arial" w:hAnsi="Arial" w:cs="Arial"/>
          <w:sz w:val="22"/>
          <w:szCs w:val="22"/>
        </w:rPr>
        <w:t>Rates of antimicrobial usage patterns in Australian public and private hospitals were sourced from the National Antimicrobial Utilisation Surveillance Program (NAUSP).</w:t>
      </w:r>
      <w:r w:rsidR="00DB5C84" w:rsidRPr="005D029D">
        <w:rPr>
          <w:rFonts w:ascii="Arial" w:hAnsi="Arial" w:cs="Arial"/>
          <w:sz w:val="22"/>
          <w:szCs w:val="22"/>
          <w:vertAlign w:val="superscript"/>
        </w:rPr>
        <w:t>12</w:t>
      </w:r>
      <w:r w:rsidRPr="005D029D">
        <w:rPr>
          <w:rFonts w:ascii="Arial" w:hAnsi="Arial" w:cs="Arial"/>
          <w:sz w:val="22"/>
          <w:szCs w:val="22"/>
        </w:rPr>
        <w:t xml:space="preserve"> Data for four classes of antibiotic (fluoroquinolones, third- and fourth-generation cephalosporins and carbapenems) </w:t>
      </w:r>
      <w:r w:rsidR="00F2486E" w:rsidRPr="005D029D">
        <w:rPr>
          <w:rFonts w:ascii="Arial" w:hAnsi="Arial" w:cs="Arial"/>
          <w:sz w:val="22"/>
          <w:szCs w:val="22"/>
        </w:rPr>
        <w:t xml:space="preserve">and </w:t>
      </w:r>
      <w:r w:rsidRPr="005D029D">
        <w:rPr>
          <w:rFonts w:ascii="Arial" w:hAnsi="Arial" w:cs="Arial"/>
          <w:sz w:val="22"/>
          <w:szCs w:val="22"/>
        </w:rPr>
        <w:t xml:space="preserve">the rate of CDI </w:t>
      </w:r>
      <w:r w:rsidR="00F2486E" w:rsidRPr="005D029D">
        <w:rPr>
          <w:rFonts w:ascii="Arial" w:hAnsi="Arial" w:cs="Arial"/>
          <w:sz w:val="22"/>
          <w:szCs w:val="22"/>
        </w:rPr>
        <w:t xml:space="preserve">diagnosis between </w:t>
      </w:r>
      <w:r w:rsidR="00EF6A88">
        <w:rPr>
          <w:rFonts w:ascii="Arial" w:hAnsi="Arial" w:cs="Arial"/>
          <w:sz w:val="22"/>
          <w:szCs w:val="22"/>
        </w:rPr>
        <w:t>2017</w:t>
      </w:r>
      <w:r w:rsidR="00F2486E" w:rsidRPr="005D029D">
        <w:rPr>
          <w:rFonts w:ascii="Arial" w:hAnsi="Arial" w:cs="Arial"/>
          <w:sz w:val="22"/>
          <w:szCs w:val="22"/>
        </w:rPr>
        <w:t xml:space="preserve"> </w:t>
      </w:r>
      <w:r w:rsidRPr="005D029D">
        <w:rPr>
          <w:rFonts w:ascii="Arial" w:hAnsi="Arial" w:cs="Arial"/>
          <w:sz w:val="22"/>
          <w:szCs w:val="22"/>
        </w:rPr>
        <w:t xml:space="preserve">and 2018 </w:t>
      </w:r>
      <w:r w:rsidR="00077089" w:rsidRPr="005D029D">
        <w:rPr>
          <w:rFonts w:ascii="Arial" w:hAnsi="Arial" w:cs="Arial"/>
          <w:sz w:val="22"/>
          <w:szCs w:val="22"/>
        </w:rPr>
        <w:t xml:space="preserve">were </w:t>
      </w:r>
      <w:r w:rsidR="00F2486E" w:rsidRPr="005D029D">
        <w:rPr>
          <w:rFonts w:ascii="Arial" w:hAnsi="Arial" w:cs="Arial"/>
          <w:sz w:val="22"/>
          <w:szCs w:val="22"/>
        </w:rPr>
        <w:t xml:space="preserve">used </w:t>
      </w:r>
      <w:r w:rsidRPr="005D029D">
        <w:rPr>
          <w:rFonts w:ascii="Arial" w:hAnsi="Arial" w:cs="Arial"/>
          <w:sz w:val="22"/>
          <w:szCs w:val="22"/>
        </w:rPr>
        <w:t xml:space="preserve">to observe if changes in antimicrobial prescribing patterns and the rates of CDI diagnoses may be related. Rates of CDI are measured as rate per 10,000 pate bed days. Rates of antimicrobial </w:t>
      </w:r>
      <w:r w:rsidR="00763107">
        <w:rPr>
          <w:rFonts w:ascii="Arial" w:hAnsi="Arial" w:cs="Arial"/>
          <w:sz w:val="22"/>
          <w:szCs w:val="22"/>
        </w:rPr>
        <w:t xml:space="preserve">usage </w:t>
      </w:r>
      <w:r w:rsidRPr="005D029D">
        <w:rPr>
          <w:rFonts w:ascii="Arial" w:hAnsi="Arial" w:cs="Arial"/>
          <w:sz w:val="22"/>
          <w:szCs w:val="22"/>
        </w:rPr>
        <w:t>are measured as defined daily doses (DDD) per 1,000 occupied bed days (OBDs).</w:t>
      </w:r>
      <w:r w:rsidR="00DB5C84" w:rsidRPr="005D029D">
        <w:rPr>
          <w:rFonts w:ascii="Arial" w:hAnsi="Arial" w:cs="Arial"/>
          <w:sz w:val="22"/>
          <w:szCs w:val="22"/>
          <w:vertAlign w:val="superscript"/>
        </w:rPr>
        <w:t>13</w:t>
      </w:r>
    </w:p>
    <w:p w:rsidR="001409B0" w:rsidRDefault="001409B0" w:rsidP="007224B3">
      <w:pPr>
        <w:rPr>
          <w:rFonts w:ascii="Arial" w:hAnsi="Arial" w:cs="Arial"/>
          <w:sz w:val="28"/>
          <w:szCs w:val="28"/>
        </w:rPr>
      </w:pPr>
    </w:p>
    <w:p w:rsidR="007246A9" w:rsidRDefault="007246A9" w:rsidP="007224B3">
      <w:pPr>
        <w:rPr>
          <w:rFonts w:ascii="Arial" w:hAnsi="Arial" w:cs="Arial"/>
          <w:sz w:val="28"/>
          <w:szCs w:val="28"/>
        </w:rPr>
      </w:pPr>
      <w:r>
        <w:rPr>
          <w:rFonts w:ascii="Arial" w:hAnsi="Arial" w:cs="Arial"/>
          <w:sz w:val="28"/>
          <w:szCs w:val="28"/>
        </w:rPr>
        <w:t xml:space="preserve">Limitations and </w:t>
      </w:r>
      <w:r w:rsidR="00763107">
        <w:rPr>
          <w:rFonts w:ascii="Arial" w:hAnsi="Arial" w:cs="Arial"/>
          <w:sz w:val="28"/>
          <w:szCs w:val="28"/>
        </w:rPr>
        <w:t>c</w:t>
      </w:r>
      <w:r>
        <w:rPr>
          <w:rFonts w:ascii="Arial" w:hAnsi="Arial" w:cs="Arial"/>
          <w:sz w:val="28"/>
          <w:szCs w:val="28"/>
        </w:rPr>
        <w:t>onsiderations for the interpretation of data</w:t>
      </w:r>
    </w:p>
    <w:p w:rsidR="00763107" w:rsidRDefault="008C5417" w:rsidP="00EF6A88">
      <w:pPr>
        <w:rPr>
          <w:rFonts w:ascii="Arial" w:hAnsi="Arial" w:cs="Arial"/>
          <w:sz w:val="22"/>
        </w:rPr>
      </w:pPr>
      <w:r w:rsidRPr="006C1431">
        <w:rPr>
          <w:rFonts w:ascii="Arial" w:hAnsi="Arial" w:cs="Arial"/>
          <w:sz w:val="22"/>
        </w:rPr>
        <w:t>A</w:t>
      </w:r>
      <w:r>
        <w:rPr>
          <w:rFonts w:ascii="Arial" w:hAnsi="Arial" w:cs="Arial"/>
          <w:sz w:val="22"/>
        </w:rPr>
        <w:t>ccess to</w:t>
      </w:r>
      <w:r w:rsidRPr="006C1431">
        <w:rPr>
          <w:rFonts w:ascii="Arial" w:hAnsi="Arial" w:cs="Arial"/>
          <w:sz w:val="22"/>
        </w:rPr>
        <w:t xml:space="preserve"> information in the APC NMDS is dependent on hospital</w:t>
      </w:r>
      <w:r w:rsidR="00763107">
        <w:rPr>
          <w:rFonts w:ascii="Arial" w:hAnsi="Arial" w:cs="Arial"/>
          <w:sz w:val="22"/>
        </w:rPr>
        <w:t>-</w:t>
      </w:r>
      <w:r w:rsidRPr="006C1431">
        <w:rPr>
          <w:rFonts w:ascii="Arial" w:hAnsi="Arial" w:cs="Arial"/>
          <w:sz w:val="22"/>
        </w:rPr>
        <w:t xml:space="preserve">level data being submitted by the states and territories and the subsequent validation of the dataset. Currently there is an 18 month lag between documentation of diagnosis at the hospital </w:t>
      </w:r>
      <w:r w:rsidR="00763107">
        <w:rPr>
          <w:rFonts w:ascii="Arial" w:hAnsi="Arial" w:cs="Arial"/>
          <w:sz w:val="22"/>
        </w:rPr>
        <w:t>and</w:t>
      </w:r>
      <w:r w:rsidRPr="006C1431">
        <w:rPr>
          <w:rFonts w:ascii="Arial" w:hAnsi="Arial" w:cs="Arial"/>
          <w:sz w:val="22"/>
        </w:rPr>
        <w:t xml:space="preserve"> submission, validation and publication in the APC NMDS.</w:t>
      </w:r>
      <w:r>
        <w:rPr>
          <w:rFonts w:ascii="Arial" w:hAnsi="Arial" w:cs="Arial"/>
          <w:sz w:val="22"/>
        </w:rPr>
        <w:t xml:space="preserve"> </w:t>
      </w:r>
    </w:p>
    <w:p w:rsidR="008C5417" w:rsidRDefault="008C5417" w:rsidP="00EF6A88">
      <w:pPr>
        <w:rPr>
          <w:rFonts w:ascii="Arial" w:hAnsi="Arial" w:cs="Arial"/>
          <w:sz w:val="22"/>
        </w:rPr>
      </w:pPr>
      <w:r>
        <w:rPr>
          <w:rFonts w:ascii="Arial" w:hAnsi="Arial" w:cs="Arial"/>
          <w:sz w:val="22"/>
        </w:rPr>
        <w:t xml:space="preserve">Patient administrative data </w:t>
      </w:r>
      <w:r w:rsidR="00836FFF">
        <w:rPr>
          <w:rFonts w:ascii="Arial" w:hAnsi="Arial" w:cs="Arial"/>
          <w:sz w:val="22"/>
        </w:rPr>
        <w:t>is not sensitive enough</w:t>
      </w:r>
      <w:r w:rsidR="00B72749">
        <w:rPr>
          <w:rFonts w:ascii="Arial" w:hAnsi="Arial" w:cs="Arial"/>
          <w:sz w:val="22"/>
        </w:rPr>
        <w:t xml:space="preserve"> to link co-morbidities to the COF codes or identify </w:t>
      </w:r>
      <w:r>
        <w:rPr>
          <w:rFonts w:ascii="Arial" w:hAnsi="Arial" w:cs="Arial"/>
          <w:sz w:val="22"/>
        </w:rPr>
        <w:t>severity of disease, and the</w:t>
      </w:r>
      <w:r w:rsidR="00836FFF">
        <w:rPr>
          <w:rFonts w:ascii="Arial" w:hAnsi="Arial" w:cs="Arial"/>
          <w:sz w:val="22"/>
        </w:rPr>
        <w:t xml:space="preserve"> effect</w:t>
      </w:r>
      <w:r>
        <w:rPr>
          <w:rFonts w:ascii="Arial" w:hAnsi="Arial" w:cs="Arial"/>
          <w:sz w:val="22"/>
        </w:rPr>
        <w:t>s</w:t>
      </w:r>
      <w:r w:rsidR="00836FFF">
        <w:rPr>
          <w:rFonts w:ascii="Arial" w:hAnsi="Arial" w:cs="Arial"/>
          <w:sz w:val="22"/>
        </w:rPr>
        <w:t xml:space="preserve"> of these elements </w:t>
      </w:r>
      <w:r>
        <w:rPr>
          <w:rFonts w:ascii="Arial" w:hAnsi="Arial" w:cs="Arial"/>
          <w:sz w:val="22"/>
        </w:rPr>
        <w:t>are not adjusted for in the methodology.</w:t>
      </w: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927C23" w:rsidRDefault="00927C23" w:rsidP="007224B3">
      <w:pPr>
        <w:rPr>
          <w:rFonts w:ascii="Arial" w:hAnsi="Arial" w:cs="Arial"/>
          <w:i/>
          <w:sz w:val="22"/>
        </w:rPr>
      </w:pPr>
    </w:p>
    <w:p w:rsidR="00EF6A88" w:rsidRDefault="00EF6A88" w:rsidP="007224B3">
      <w:pPr>
        <w:rPr>
          <w:rFonts w:ascii="Arial" w:hAnsi="Arial" w:cs="Arial"/>
          <w:i/>
          <w:sz w:val="22"/>
        </w:rPr>
      </w:pPr>
    </w:p>
    <w:p w:rsidR="00EF6A88" w:rsidRDefault="00EF6A88" w:rsidP="007224B3">
      <w:pPr>
        <w:rPr>
          <w:rFonts w:ascii="Arial" w:hAnsi="Arial" w:cs="Arial"/>
          <w:i/>
          <w:sz w:val="22"/>
        </w:rPr>
      </w:pPr>
    </w:p>
    <w:p w:rsidR="00EF6A88" w:rsidRDefault="00EF6A88" w:rsidP="007224B3">
      <w:pPr>
        <w:rPr>
          <w:rFonts w:ascii="Arial" w:hAnsi="Arial" w:cs="Arial"/>
          <w:i/>
          <w:sz w:val="22"/>
        </w:rPr>
      </w:pPr>
    </w:p>
    <w:p w:rsidR="00EF6A88" w:rsidRDefault="00EF6A88" w:rsidP="007224B3">
      <w:pPr>
        <w:rPr>
          <w:rFonts w:ascii="Arial" w:hAnsi="Arial" w:cs="Arial"/>
          <w:i/>
          <w:sz w:val="22"/>
        </w:rPr>
      </w:pPr>
    </w:p>
    <w:p w:rsidR="00EF6A88" w:rsidRDefault="00EF6A88" w:rsidP="007224B3">
      <w:pPr>
        <w:rPr>
          <w:rFonts w:ascii="Arial" w:hAnsi="Arial" w:cs="Arial"/>
          <w:i/>
          <w:sz w:val="22"/>
        </w:rPr>
      </w:pPr>
    </w:p>
    <w:p w:rsidR="003D2438" w:rsidRPr="00C35C0D" w:rsidRDefault="00CD5578" w:rsidP="00344053">
      <w:pPr>
        <w:pStyle w:val="Heading1"/>
        <w:rPr>
          <w:rFonts w:ascii="Arial" w:hAnsi="Arial"/>
          <w:sz w:val="36"/>
        </w:rPr>
      </w:pPr>
      <w:r w:rsidRPr="00C35C0D">
        <w:rPr>
          <w:rFonts w:ascii="Arial" w:hAnsi="Arial"/>
          <w:sz w:val="28"/>
        </w:rPr>
        <w:t>Rate of</w:t>
      </w:r>
      <w:r w:rsidR="009463F6" w:rsidRPr="00C35C0D">
        <w:rPr>
          <w:rFonts w:ascii="Arial" w:hAnsi="Arial"/>
          <w:sz w:val="28"/>
        </w:rPr>
        <w:t xml:space="preserve"> CDI diagnoses</w:t>
      </w:r>
    </w:p>
    <w:p w:rsidR="005D229E" w:rsidRDefault="007224B3" w:rsidP="001D2397">
      <w:pPr>
        <w:pStyle w:val="Heading2"/>
        <w:rPr>
          <w:rFonts w:ascii="Arial" w:hAnsi="Arial" w:cs="Arial"/>
          <w:b/>
          <w:color w:val="auto"/>
          <w:sz w:val="22"/>
        </w:rPr>
      </w:pPr>
      <w:r w:rsidRPr="00693A19">
        <w:rPr>
          <w:rFonts w:ascii="Arial" w:hAnsi="Arial" w:cs="Arial"/>
          <w:b/>
          <w:color w:val="auto"/>
          <w:sz w:val="22"/>
        </w:rPr>
        <w:t xml:space="preserve">Figure </w:t>
      </w:r>
      <w:r w:rsidRPr="00693A19">
        <w:rPr>
          <w:rFonts w:ascii="Arial" w:hAnsi="Arial" w:cs="Arial"/>
          <w:b/>
          <w:color w:val="auto"/>
          <w:sz w:val="22"/>
        </w:rPr>
        <w:fldChar w:fldCharType="begin"/>
      </w:r>
      <w:r w:rsidRPr="00693A19">
        <w:rPr>
          <w:rFonts w:ascii="Arial" w:hAnsi="Arial" w:cs="Arial"/>
          <w:b/>
          <w:color w:val="auto"/>
          <w:sz w:val="22"/>
        </w:rPr>
        <w:instrText xml:space="preserve"> SEQ Figure \* ARABIC </w:instrText>
      </w:r>
      <w:r w:rsidRPr="00693A19">
        <w:rPr>
          <w:rFonts w:ascii="Arial" w:hAnsi="Arial" w:cs="Arial"/>
          <w:b/>
          <w:color w:val="auto"/>
          <w:sz w:val="22"/>
        </w:rPr>
        <w:fldChar w:fldCharType="separate"/>
      </w:r>
      <w:r w:rsidR="001176F6">
        <w:rPr>
          <w:rFonts w:ascii="Arial" w:hAnsi="Arial" w:cs="Arial"/>
          <w:b/>
          <w:noProof/>
          <w:color w:val="auto"/>
          <w:sz w:val="22"/>
        </w:rPr>
        <w:t>1</w:t>
      </w:r>
      <w:r w:rsidRPr="00693A19">
        <w:rPr>
          <w:rFonts w:ascii="Arial" w:hAnsi="Arial" w:cs="Arial"/>
          <w:b/>
          <w:color w:val="auto"/>
          <w:sz w:val="22"/>
        </w:rPr>
        <w:fldChar w:fldCharType="end"/>
      </w:r>
      <w:r w:rsidR="00C81912">
        <w:rPr>
          <w:rFonts w:ascii="Arial" w:hAnsi="Arial" w:cs="Arial"/>
          <w:b/>
          <w:color w:val="auto"/>
          <w:sz w:val="22"/>
        </w:rPr>
        <w:t>:</w:t>
      </w:r>
      <w:r w:rsidRPr="00693A19">
        <w:rPr>
          <w:rFonts w:ascii="Arial" w:hAnsi="Arial" w:cs="Arial"/>
          <w:b/>
          <w:color w:val="auto"/>
          <w:sz w:val="22"/>
        </w:rPr>
        <w:t xml:space="preserve"> </w:t>
      </w:r>
      <w:r w:rsidR="004814D7" w:rsidRPr="00693A19">
        <w:rPr>
          <w:rFonts w:ascii="Arial" w:hAnsi="Arial" w:cs="Arial"/>
          <w:b/>
          <w:color w:val="auto"/>
          <w:sz w:val="22"/>
        </w:rPr>
        <w:t>CDI (</w:t>
      </w:r>
      <w:r w:rsidRPr="00693A19">
        <w:rPr>
          <w:rFonts w:ascii="Arial" w:hAnsi="Arial" w:cs="Arial"/>
          <w:b/>
          <w:color w:val="auto"/>
          <w:sz w:val="22"/>
        </w:rPr>
        <w:t>A04.7</w:t>
      </w:r>
      <w:r w:rsidR="004814D7" w:rsidRPr="00693A19">
        <w:rPr>
          <w:rFonts w:ascii="Arial" w:hAnsi="Arial" w:cs="Arial"/>
          <w:b/>
          <w:color w:val="auto"/>
          <w:sz w:val="22"/>
        </w:rPr>
        <w:t>)</w:t>
      </w:r>
      <w:r w:rsidRPr="00693A19">
        <w:rPr>
          <w:rFonts w:ascii="Arial" w:hAnsi="Arial" w:cs="Arial"/>
          <w:b/>
          <w:color w:val="auto"/>
          <w:sz w:val="22"/>
        </w:rPr>
        <w:t xml:space="preserve"> diagnoses in Australia</w:t>
      </w:r>
      <w:r w:rsidR="0013302C" w:rsidRPr="00693A19">
        <w:rPr>
          <w:rFonts w:ascii="Arial" w:hAnsi="Arial" w:cs="Arial"/>
          <w:b/>
          <w:color w:val="auto"/>
          <w:sz w:val="22"/>
        </w:rPr>
        <w:t>n</w:t>
      </w:r>
      <w:r w:rsidR="00693A19" w:rsidRPr="00693A19">
        <w:rPr>
          <w:rFonts w:ascii="Arial" w:hAnsi="Arial" w:cs="Arial"/>
          <w:b/>
          <w:color w:val="auto"/>
          <w:sz w:val="22"/>
        </w:rPr>
        <w:t xml:space="preserve"> public hospitals (n=689</w:t>
      </w:r>
      <w:r w:rsidRPr="00693A19">
        <w:rPr>
          <w:rFonts w:ascii="Arial" w:hAnsi="Arial" w:cs="Arial"/>
          <w:b/>
          <w:color w:val="auto"/>
          <w:sz w:val="22"/>
        </w:rPr>
        <w:t>), 201</w:t>
      </w:r>
      <w:r w:rsidR="00BB3106" w:rsidRPr="00693A19">
        <w:rPr>
          <w:rFonts w:ascii="Arial" w:hAnsi="Arial" w:cs="Arial"/>
          <w:b/>
          <w:color w:val="auto"/>
          <w:sz w:val="22"/>
        </w:rPr>
        <w:t>8</w:t>
      </w:r>
    </w:p>
    <w:p w:rsidR="00EF6A88" w:rsidRPr="00EF6A88" w:rsidRDefault="00EF6A88" w:rsidP="00EF6A88"/>
    <w:p w:rsidR="002D7391" w:rsidRDefault="007B5B2C" w:rsidP="00582499">
      <w:pPr>
        <w:pStyle w:val="Heading2"/>
        <w:rPr>
          <w:rFonts w:ascii="Arial" w:hAnsi="Arial" w:cs="Arial"/>
          <w:b/>
          <w:color w:val="auto"/>
          <w:sz w:val="22"/>
        </w:rPr>
      </w:pPr>
      <w:r>
        <w:rPr>
          <w:rFonts w:ascii="Arial" w:hAnsi="Arial" w:cs="Arial"/>
          <w:b/>
          <w:noProof/>
          <w:color w:val="auto"/>
          <w:sz w:val="22"/>
          <w:lang w:val="en-US"/>
        </w:rPr>
        <w:lastRenderedPageBreak/>
        <w:drawing>
          <wp:inline distT="0" distB="0" distL="0" distR="0">
            <wp:extent cx="6023610" cy="35852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3610" cy="3585210"/>
                    </a:xfrm>
                    <a:prstGeom prst="rect">
                      <a:avLst/>
                    </a:prstGeom>
                    <a:noFill/>
                  </pic:spPr>
                </pic:pic>
              </a:graphicData>
            </a:graphic>
          </wp:inline>
        </w:drawing>
      </w:r>
    </w:p>
    <w:p w:rsidR="003A53CF" w:rsidRDefault="003A53CF" w:rsidP="00B844FA">
      <w:pPr>
        <w:pStyle w:val="Heading2"/>
        <w:rPr>
          <w:rFonts w:ascii="Arial" w:hAnsi="Arial" w:cs="Arial"/>
          <w:b/>
          <w:color w:val="auto"/>
          <w:sz w:val="22"/>
        </w:rPr>
      </w:pPr>
    </w:p>
    <w:p w:rsidR="00202AB8" w:rsidRDefault="00202AB8" w:rsidP="00B844FA">
      <w:pPr>
        <w:pStyle w:val="Heading2"/>
        <w:rPr>
          <w:rFonts w:ascii="Arial" w:hAnsi="Arial" w:cs="Arial"/>
          <w:b/>
          <w:color w:val="auto"/>
          <w:sz w:val="22"/>
        </w:rPr>
      </w:pPr>
    </w:p>
    <w:p w:rsidR="002D7391" w:rsidRDefault="009D0DF9" w:rsidP="00B844FA">
      <w:pPr>
        <w:pStyle w:val="Heading2"/>
        <w:rPr>
          <w:rFonts w:ascii="Arial" w:hAnsi="Arial" w:cs="Arial"/>
          <w:b/>
          <w:color w:val="auto"/>
          <w:sz w:val="22"/>
        </w:rPr>
      </w:pPr>
      <w:r w:rsidRPr="0001675D">
        <w:rPr>
          <w:rFonts w:ascii="Arial" w:hAnsi="Arial" w:cs="Arial"/>
          <w:b/>
          <w:color w:val="auto"/>
          <w:sz w:val="22"/>
        </w:rPr>
        <w:t>Table</w:t>
      </w:r>
      <w:r>
        <w:rPr>
          <w:rFonts w:ascii="Arial" w:hAnsi="Arial" w:cs="Arial"/>
          <w:b/>
          <w:color w:val="auto"/>
          <w:sz w:val="22"/>
        </w:rPr>
        <w:t xml:space="preserve"> </w:t>
      </w:r>
      <w:r w:rsidRPr="0001675D">
        <w:rPr>
          <w:rFonts w:ascii="Arial" w:hAnsi="Arial" w:cs="Arial"/>
          <w:b/>
          <w:color w:val="auto"/>
          <w:sz w:val="22"/>
        </w:rPr>
        <w:t>1</w:t>
      </w:r>
      <w:r w:rsidRPr="00693A19">
        <w:rPr>
          <w:rFonts w:ascii="Arial" w:hAnsi="Arial" w:cs="Arial"/>
          <w:b/>
          <w:color w:val="auto"/>
          <w:sz w:val="22"/>
        </w:rPr>
        <w:t>: Average yearly rate of CDI (A04.7) diagnoses, per 10,000 patient bed days, Australian public hospitals</w:t>
      </w:r>
      <w:r w:rsidR="00CC0E4A" w:rsidRPr="00693A19">
        <w:rPr>
          <w:rFonts w:ascii="Arial" w:hAnsi="Arial" w:cs="Arial"/>
          <w:b/>
          <w:color w:val="auto"/>
          <w:sz w:val="22"/>
        </w:rPr>
        <w:t>,</w:t>
      </w:r>
      <w:r w:rsidR="00BB3106" w:rsidRPr="00693A19">
        <w:rPr>
          <w:rFonts w:ascii="Arial" w:hAnsi="Arial" w:cs="Arial"/>
          <w:b/>
          <w:color w:val="auto"/>
          <w:sz w:val="22"/>
        </w:rPr>
        <w:t xml:space="preserve"> 2012-2018</w:t>
      </w:r>
    </w:p>
    <w:p w:rsidR="00EF6A88" w:rsidRPr="00EF6A88" w:rsidRDefault="00EF6A88" w:rsidP="00EF6A88"/>
    <w:tbl>
      <w:tblPr>
        <w:tblpPr w:leftFromText="180" w:rightFromText="180" w:vertAnchor="text" w:horzAnchor="page" w:tblpX="1726"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50"/>
        <w:gridCol w:w="2410"/>
        <w:gridCol w:w="2835"/>
        <w:gridCol w:w="2551"/>
      </w:tblGrid>
      <w:tr w:rsidR="002D7391" w:rsidRPr="00DE3AF0" w:rsidTr="00097603">
        <w:tc>
          <w:tcPr>
            <w:tcW w:w="1050" w:type="dxa"/>
            <w:shd w:val="clear" w:color="auto" w:fill="8EAADB"/>
            <w:vAlign w:val="center"/>
          </w:tcPr>
          <w:p w:rsidR="002D7391" w:rsidRPr="00515FAF" w:rsidRDefault="002D7391" w:rsidP="00751522">
            <w:pPr>
              <w:spacing w:after="0" w:line="240" w:lineRule="auto"/>
              <w:jc w:val="center"/>
              <w:rPr>
                <w:rFonts w:ascii="Arial" w:eastAsia="Times New Roman" w:hAnsi="Arial" w:cs="Arial"/>
                <w:b/>
                <w:color w:val="000000"/>
                <w:sz w:val="22"/>
                <w:szCs w:val="22"/>
                <w:lang w:eastAsia="en-AU"/>
              </w:rPr>
            </w:pPr>
            <w:r>
              <w:rPr>
                <w:rFonts w:ascii="Arial" w:eastAsia="Times New Roman" w:hAnsi="Arial" w:cs="Arial"/>
                <w:b/>
                <w:color w:val="000000"/>
                <w:sz w:val="22"/>
                <w:szCs w:val="22"/>
                <w:lang w:eastAsia="en-AU"/>
              </w:rPr>
              <w:t>Year</w:t>
            </w:r>
          </w:p>
        </w:tc>
        <w:tc>
          <w:tcPr>
            <w:tcW w:w="2410" w:type="dxa"/>
            <w:shd w:val="clear" w:color="auto" w:fill="8EAADB"/>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Pr>
                <w:rFonts w:ascii="Arial" w:eastAsia="Times New Roman" w:hAnsi="Arial" w:cs="Arial"/>
                <w:b/>
                <w:color w:val="000000"/>
                <w:sz w:val="22"/>
                <w:szCs w:val="22"/>
                <w:lang w:eastAsia="en-AU"/>
              </w:rPr>
              <w:t>Principal</w:t>
            </w:r>
            <w:r w:rsidRPr="00515FAF">
              <w:rPr>
                <w:rFonts w:ascii="Arial" w:eastAsia="Times New Roman" w:hAnsi="Arial" w:cs="Arial"/>
                <w:b/>
                <w:color w:val="000000"/>
                <w:sz w:val="22"/>
                <w:szCs w:val="22"/>
                <w:lang w:eastAsia="en-AU"/>
              </w:rPr>
              <w:t xml:space="preserve"> CDI diagnos</w:t>
            </w:r>
            <w:r>
              <w:rPr>
                <w:rFonts w:ascii="Arial" w:eastAsia="Times New Roman" w:hAnsi="Arial" w:cs="Arial"/>
                <w:b/>
                <w:color w:val="000000"/>
                <w:sz w:val="22"/>
                <w:szCs w:val="22"/>
                <w:lang w:eastAsia="en-AU"/>
              </w:rPr>
              <w:t>e</w:t>
            </w:r>
            <w:r w:rsidRPr="00515FAF">
              <w:rPr>
                <w:rFonts w:ascii="Arial" w:eastAsia="Times New Roman" w:hAnsi="Arial" w:cs="Arial"/>
                <w:b/>
                <w:color w:val="000000"/>
                <w:sz w:val="22"/>
                <w:szCs w:val="22"/>
                <w:lang w:eastAsia="en-AU"/>
              </w:rPr>
              <w:t>s</w:t>
            </w:r>
            <w:r>
              <w:rPr>
                <w:rFonts w:ascii="Arial" w:eastAsia="Times New Roman" w:hAnsi="Arial" w:cs="Arial"/>
                <w:b/>
                <w:color w:val="000000"/>
                <w:sz w:val="22"/>
                <w:szCs w:val="22"/>
                <w:lang w:eastAsia="en-AU"/>
              </w:rPr>
              <w:t xml:space="preserve"> (range)</w:t>
            </w:r>
          </w:p>
        </w:tc>
        <w:tc>
          <w:tcPr>
            <w:tcW w:w="2835" w:type="dxa"/>
            <w:shd w:val="clear" w:color="auto" w:fill="8EAADB"/>
            <w:vAlign w:val="center"/>
          </w:tcPr>
          <w:p w:rsidR="002D7391" w:rsidRPr="00515FAF" w:rsidRDefault="002D7391" w:rsidP="00751522">
            <w:pPr>
              <w:spacing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Non-princ</w:t>
            </w:r>
            <w:r>
              <w:rPr>
                <w:rFonts w:ascii="Arial" w:eastAsia="Times New Roman" w:hAnsi="Arial" w:cs="Arial"/>
                <w:b/>
                <w:color w:val="000000"/>
                <w:sz w:val="22"/>
                <w:szCs w:val="22"/>
                <w:lang w:eastAsia="en-AU"/>
              </w:rPr>
              <w:t>ipal</w:t>
            </w:r>
            <w:r w:rsidRPr="00515FAF">
              <w:rPr>
                <w:rFonts w:ascii="Arial" w:eastAsia="Times New Roman" w:hAnsi="Arial" w:cs="Arial"/>
                <w:b/>
                <w:color w:val="000000"/>
                <w:sz w:val="22"/>
                <w:szCs w:val="22"/>
                <w:lang w:eastAsia="en-AU"/>
              </w:rPr>
              <w:t xml:space="preserve"> CDI</w:t>
            </w:r>
          </w:p>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Pr>
                <w:rFonts w:ascii="Arial" w:eastAsia="Times New Roman" w:hAnsi="Arial" w:cs="Arial"/>
                <w:b/>
                <w:color w:val="000000"/>
                <w:sz w:val="22"/>
                <w:szCs w:val="22"/>
                <w:lang w:eastAsia="en-AU"/>
              </w:rPr>
              <w:t>d</w:t>
            </w:r>
            <w:r w:rsidRPr="00515FAF">
              <w:rPr>
                <w:rFonts w:ascii="Arial" w:eastAsia="Times New Roman" w:hAnsi="Arial" w:cs="Arial"/>
                <w:b/>
                <w:color w:val="000000"/>
                <w:sz w:val="22"/>
                <w:szCs w:val="22"/>
                <w:lang w:eastAsia="en-AU"/>
              </w:rPr>
              <w:t>iagnos</w:t>
            </w:r>
            <w:r>
              <w:rPr>
                <w:rFonts w:ascii="Arial" w:eastAsia="Times New Roman" w:hAnsi="Arial" w:cs="Arial"/>
                <w:b/>
                <w:color w:val="000000"/>
                <w:sz w:val="22"/>
                <w:szCs w:val="22"/>
                <w:lang w:eastAsia="en-AU"/>
              </w:rPr>
              <w:t>e</w:t>
            </w:r>
            <w:r w:rsidRPr="00515FAF">
              <w:rPr>
                <w:rFonts w:ascii="Arial" w:eastAsia="Times New Roman" w:hAnsi="Arial" w:cs="Arial"/>
                <w:b/>
                <w:color w:val="000000"/>
                <w:sz w:val="22"/>
                <w:szCs w:val="22"/>
                <w:lang w:eastAsia="en-AU"/>
              </w:rPr>
              <w:t>s</w:t>
            </w:r>
            <w:r>
              <w:rPr>
                <w:rFonts w:ascii="Arial" w:eastAsia="Times New Roman" w:hAnsi="Arial" w:cs="Arial"/>
                <w:b/>
                <w:color w:val="000000"/>
                <w:sz w:val="22"/>
                <w:szCs w:val="22"/>
                <w:lang w:eastAsia="en-AU"/>
              </w:rPr>
              <w:t xml:space="preserve"> (range)</w:t>
            </w:r>
          </w:p>
        </w:tc>
        <w:tc>
          <w:tcPr>
            <w:tcW w:w="2551" w:type="dxa"/>
            <w:shd w:val="clear" w:color="auto" w:fill="8EAADB"/>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b/>
                <w:color w:val="000000"/>
                <w:sz w:val="22"/>
                <w:szCs w:val="22"/>
                <w:lang w:eastAsia="en-AU"/>
              </w:rPr>
              <w:t>A</w:t>
            </w:r>
            <w:r>
              <w:rPr>
                <w:rFonts w:ascii="Arial" w:eastAsia="Times New Roman" w:hAnsi="Arial" w:cs="Arial"/>
                <w:b/>
                <w:color w:val="000000"/>
                <w:sz w:val="22"/>
                <w:szCs w:val="22"/>
                <w:lang w:eastAsia="en-AU"/>
              </w:rPr>
              <w:t>ll</w:t>
            </w:r>
            <w:r w:rsidRPr="00515FAF">
              <w:rPr>
                <w:rFonts w:ascii="Arial" w:eastAsia="Times New Roman" w:hAnsi="Arial" w:cs="Arial"/>
                <w:b/>
                <w:color w:val="000000"/>
                <w:sz w:val="22"/>
                <w:szCs w:val="22"/>
                <w:lang w:eastAsia="en-AU"/>
              </w:rPr>
              <w:t xml:space="preserve"> CDI hospital diagnos</w:t>
            </w:r>
            <w:r>
              <w:rPr>
                <w:rFonts w:ascii="Arial" w:eastAsia="Times New Roman" w:hAnsi="Arial" w:cs="Arial"/>
                <w:b/>
                <w:color w:val="000000"/>
                <w:sz w:val="22"/>
                <w:szCs w:val="22"/>
                <w:lang w:eastAsia="en-AU"/>
              </w:rPr>
              <w:t>e</w:t>
            </w:r>
            <w:r w:rsidRPr="00515FAF">
              <w:rPr>
                <w:rFonts w:ascii="Arial" w:eastAsia="Times New Roman" w:hAnsi="Arial" w:cs="Arial"/>
                <w:b/>
                <w:color w:val="000000"/>
                <w:sz w:val="22"/>
                <w:szCs w:val="22"/>
                <w:lang w:eastAsia="en-AU"/>
              </w:rPr>
              <w:t>s</w:t>
            </w:r>
            <w:r>
              <w:rPr>
                <w:rFonts w:ascii="Arial" w:eastAsia="Times New Roman" w:hAnsi="Arial" w:cs="Arial"/>
                <w:b/>
                <w:color w:val="000000"/>
                <w:sz w:val="22"/>
                <w:szCs w:val="22"/>
                <w:lang w:eastAsia="en-AU"/>
              </w:rPr>
              <w:t xml:space="preserve"> (range)</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2012</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1.21</w:t>
            </w:r>
            <w:r>
              <w:rPr>
                <w:rFonts w:ascii="Arial" w:eastAsia="Times New Roman" w:hAnsi="Arial" w:cs="Arial"/>
                <w:color w:val="000000"/>
                <w:sz w:val="22"/>
                <w:szCs w:val="22"/>
                <w:lang w:eastAsia="en-AU"/>
              </w:rPr>
              <w:t xml:space="preserve"> </w:t>
            </w:r>
            <w:r w:rsidRPr="00B47BDC">
              <w:rPr>
                <w:rFonts w:ascii="Arial" w:eastAsia="Times New Roman" w:hAnsi="Arial" w:cs="Arial"/>
                <w:color w:val="000000"/>
                <w:sz w:val="22"/>
                <w:szCs w:val="22"/>
                <w:lang w:eastAsia="en-AU"/>
              </w:rPr>
              <w:t>(0.98-1.72)</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3.10</w:t>
            </w:r>
            <w:r>
              <w:rPr>
                <w:rFonts w:ascii="Arial" w:eastAsia="Times New Roman" w:hAnsi="Arial" w:cs="Arial"/>
                <w:color w:val="000000"/>
                <w:sz w:val="22"/>
                <w:szCs w:val="22"/>
                <w:lang w:eastAsia="en-AU"/>
              </w:rPr>
              <w:t xml:space="preserve"> (2.85-3.43)</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4.30</w:t>
            </w:r>
            <w:r>
              <w:rPr>
                <w:rFonts w:ascii="Arial" w:eastAsia="Times New Roman" w:hAnsi="Arial" w:cs="Arial"/>
                <w:color w:val="000000"/>
                <w:sz w:val="22"/>
                <w:szCs w:val="22"/>
                <w:lang w:eastAsia="en-AU"/>
              </w:rPr>
              <w:t xml:space="preserve"> (3.91-5.04)</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2013</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1.13</w:t>
            </w:r>
            <w:r>
              <w:rPr>
                <w:rFonts w:ascii="Arial" w:eastAsia="Times New Roman" w:hAnsi="Arial" w:cs="Arial"/>
                <w:color w:val="000000"/>
                <w:sz w:val="22"/>
                <w:szCs w:val="22"/>
                <w:lang w:eastAsia="en-AU"/>
              </w:rPr>
              <w:t xml:space="preserve"> (1.01-1.30)</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2.80</w:t>
            </w:r>
            <w:r>
              <w:rPr>
                <w:rFonts w:ascii="Arial" w:eastAsia="Times New Roman" w:hAnsi="Arial" w:cs="Arial"/>
                <w:color w:val="000000"/>
                <w:sz w:val="22"/>
                <w:szCs w:val="22"/>
                <w:lang w:eastAsia="en-AU"/>
              </w:rPr>
              <w:t xml:space="preserve"> (2.63-3.05)</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3.94</w:t>
            </w:r>
            <w:r>
              <w:rPr>
                <w:rFonts w:ascii="Arial" w:eastAsia="Times New Roman" w:hAnsi="Arial" w:cs="Arial"/>
                <w:color w:val="000000"/>
                <w:sz w:val="22"/>
                <w:szCs w:val="22"/>
                <w:lang w:eastAsia="en-AU"/>
              </w:rPr>
              <w:t xml:space="preserve"> (3.70-4.31)</w:t>
            </w:r>
          </w:p>
        </w:tc>
      </w:tr>
      <w:tr w:rsidR="002D7391" w:rsidRPr="00DE3AF0" w:rsidTr="00097603">
        <w:tc>
          <w:tcPr>
            <w:tcW w:w="1050" w:type="dxa"/>
            <w:shd w:val="clear" w:color="auto" w:fill="auto"/>
          </w:tcPr>
          <w:p w:rsidR="002D7391" w:rsidRPr="00B46D04" w:rsidRDefault="002D7391" w:rsidP="00751522">
            <w:pPr>
              <w:spacing w:before="120" w:after="0" w:line="240" w:lineRule="auto"/>
              <w:jc w:val="center"/>
              <w:rPr>
                <w:rFonts w:ascii="Arial" w:eastAsia="Times New Roman" w:hAnsi="Arial" w:cs="Arial"/>
                <w:b/>
                <w:color w:val="000000"/>
                <w:sz w:val="22"/>
                <w:szCs w:val="22"/>
                <w:lang w:eastAsia="en-AU"/>
              </w:rPr>
            </w:pPr>
            <w:r w:rsidRPr="00B46D04">
              <w:rPr>
                <w:rFonts w:ascii="Arial" w:eastAsia="Times New Roman" w:hAnsi="Arial" w:cs="Arial"/>
                <w:b/>
                <w:color w:val="000000"/>
                <w:sz w:val="22"/>
                <w:szCs w:val="22"/>
                <w:lang w:eastAsia="en-AU"/>
              </w:rPr>
              <w:t>2014</w:t>
            </w:r>
          </w:p>
        </w:tc>
        <w:tc>
          <w:tcPr>
            <w:tcW w:w="2410" w:type="dxa"/>
            <w:shd w:val="clear" w:color="auto" w:fill="auto"/>
            <w:vAlign w:val="center"/>
          </w:tcPr>
          <w:p w:rsidR="002D7391" w:rsidRPr="00B46D04" w:rsidRDefault="002D7391" w:rsidP="00751522">
            <w:pPr>
              <w:spacing w:after="0" w:line="240" w:lineRule="auto"/>
              <w:jc w:val="center"/>
              <w:rPr>
                <w:rFonts w:ascii="Arial" w:eastAsia="Times New Roman" w:hAnsi="Arial" w:cs="Arial"/>
                <w:color w:val="000000"/>
                <w:sz w:val="22"/>
                <w:szCs w:val="22"/>
                <w:lang w:eastAsia="en-AU"/>
              </w:rPr>
            </w:pPr>
            <w:r w:rsidRPr="00B46D04">
              <w:rPr>
                <w:rFonts w:ascii="Arial" w:eastAsia="Times New Roman" w:hAnsi="Arial" w:cs="Arial"/>
                <w:color w:val="000000"/>
                <w:sz w:val="22"/>
                <w:szCs w:val="22"/>
                <w:lang w:eastAsia="en-AU"/>
              </w:rPr>
              <w:t>1.08 (0.89-1.23)</w:t>
            </w:r>
          </w:p>
        </w:tc>
        <w:tc>
          <w:tcPr>
            <w:tcW w:w="2835" w:type="dxa"/>
            <w:shd w:val="clear" w:color="auto" w:fill="auto"/>
            <w:vAlign w:val="center"/>
          </w:tcPr>
          <w:p w:rsidR="002D7391" w:rsidRPr="00B46D04" w:rsidRDefault="002D7391" w:rsidP="00751522">
            <w:pPr>
              <w:spacing w:after="0" w:line="240" w:lineRule="auto"/>
              <w:jc w:val="center"/>
              <w:rPr>
                <w:rFonts w:ascii="Arial" w:eastAsia="Times New Roman" w:hAnsi="Arial" w:cs="Arial"/>
                <w:color w:val="000000"/>
                <w:sz w:val="22"/>
                <w:szCs w:val="22"/>
                <w:lang w:eastAsia="en-AU"/>
              </w:rPr>
            </w:pPr>
            <w:r w:rsidRPr="00B46D04">
              <w:rPr>
                <w:rFonts w:ascii="Arial" w:eastAsia="Times New Roman" w:hAnsi="Arial" w:cs="Arial"/>
                <w:color w:val="000000"/>
                <w:sz w:val="22"/>
                <w:szCs w:val="22"/>
                <w:lang w:eastAsia="en-AU"/>
              </w:rPr>
              <w:t>2.74 (2.47-2.94)</w:t>
            </w:r>
          </w:p>
        </w:tc>
        <w:tc>
          <w:tcPr>
            <w:tcW w:w="2551" w:type="dxa"/>
            <w:shd w:val="clear" w:color="auto" w:fill="auto"/>
            <w:vAlign w:val="center"/>
          </w:tcPr>
          <w:p w:rsidR="002D7391" w:rsidRPr="00B46D04" w:rsidRDefault="002D7391" w:rsidP="00751522">
            <w:pPr>
              <w:spacing w:after="0" w:line="240" w:lineRule="auto"/>
              <w:jc w:val="center"/>
              <w:rPr>
                <w:rFonts w:ascii="Arial" w:eastAsia="Times New Roman" w:hAnsi="Arial" w:cs="Arial"/>
                <w:color w:val="000000"/>
                <w:sz w:val="22"/>
                <w:szCs w:val="22"/>
                <w:lang w:eastAsia="en-AU"/>
              </w:rPr>
            </w:pPr>
            <w:r w:rsidRPr="00B46D04">
              <w:rPr>
                <w:rFonts w:ascii="Arial" w:eastAsia="Times New Roman" w:hAnsi="Arial" w:cs="Arial"/>
                <w:color w:val="000000"/>
                <w:sz w:val="22"/>
                <w:szCs w:val="22"/>
                <w:lang w:eastAsia="en-AU"/>
              </w:rPr>
              <w:t>3.81 (3.42-4.17)</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lastRenderedPageBreak/>
              <w:t>2015</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1.11</w:t>
            </w:r>
            <w:r>
              <w:rPr>
                <w:rFonts w:ascii="Arial" w:eastAsia="Times New Roman" w:hAnsi="Arial" w:cs="Arial"/>
                <w:color w:val="000000"/>
                <w:sz w:val="22"/>
                <w:szCs w:val="22"/>
                <w:lang w:eastAsia="en-AU"/>
              </w:rPr>
              <w:t xml:space="preserve"> (1.00-1.35)</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2.74</w:t>
            </w:r>
            <w:r>
              <w:rPr>
                <w:rFonts w:ascii="Arial" w:eastAsia="Times New Roman" w:hAnsi="Arial" w:cs="Arial"/>
                <w:color w:val="000000"/>
                <w:sz w:val="22"/>
                <w:szCs w:val="22"/>
                <w:lang w:eastAsia="en-AU"/>
              </w:rPr>
              <w:t xml:space="preserve"> (2.61-2.98)</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3.85</w:t>
            </w:r>
            <w:r>
              <w:rPr>
                <w:rFonts w:ascii="Arial" w:eastAsia="Times New Roman" w:hAnsi="Arial" w:cs="Arial"/>
                <w:color w:val="000000"/>
                <w:sz w:val="22"/>
                <w:szCs w:val="22"/>
                <w:lang w:eastAsia="en-AU"/>
              </w:rPr>
              <w:t xml:space="preserve"> (3.64-4.20)</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2016</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1.23</w:t>
            </w:r>
            <w:r>
              <w:rPr>
                <w:rFonts w:ascii="Arial" w:eastAsia="Times New Roman" w:hAnsi="Arial" w:cs="Arial"/>
                <w:color w:val="000000"/>
                <w:sz w:val="22"/>
                <w:szCs w:val="22"/>
                <w:lang w:eastAsia="en-AU"/>
              </w:rPr>
              <w:t xml:space="preserve"> (1.02-1.41)</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2.68</w:t>
            </w:r>
            <w:r>
              <w:rPr>
                <w:rFonts w:ascii="Arial" w:eastAsia="Times New Roman" w:hAnsi="Arial" w:cs="Arial"/>
                <w:color w:val="000000"/>
                <w:sz w:val="22"/>
                <w:szCs w:val="22"/>
                <w:lang w:eastAsia="en-AU"/>
              </w:rPr>
              <w:t xml:space="preserve"> (2.48-2.91)</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3.91 (3.54-4.32)</w:t>
            </w:r>
          </w:p>
        </w:tc>
      </w:tr>
      <w:tr w:rsidR="002D7391" w:rsidRPr="00DE3AF0" w:rsidTr="00097603">
        <w:tc>
          <w:tcPr>
            <w:tcW w:w="1050" w:type="dxa"/>
            <w:shd w:val="clear" w:color="auto" w:fill="auto"/>
          </w:tcPr>
          <w:p w:rsidR="002D7391" w:rsidRPr="00515FAF" w:rsidRDefault="002D7391" w:rsidP="00751522">
            <w:pPr>
              <w:spacing w:before="120" w:after="0" w:line="240" w:lineRule="auto"/>
              <w:jc w:val="center"/>
              <w:rPr>
                <w:rFonts w:ascii="Arial" w:eastAsia="Times New Roman" w:hAnsi="Arial" w:cs="Arial"/>
                <w:b/>
                <w:color w:val="000000"/>
                <w:sz w:val="22"/>
                <w:szCs w:val="22"/>
                <w:lang w:eastAsia="en-AU"/>
              </w:rPr>
            </w:pPr>
            <w:r w:rsidRPr="00515FAF">
              <w:rPr>
                <w:rFonts w:ascii="Arial" w:eastAsia="Times New Roman" w:hAnsi="Arial" w:cs="Arial"/>
                <w:b/>
                <w:color w:val="000000"/>
                <w:sz w:val="22"/>
                <w:szCs w:val="22"/>
                <w:lang w:eastAsia="en-AU"/>
              </w:rPr>
              <w:t>2017</w:t>
            </w:r>
          </w:p>
        </w:tc>
        <w:tc>
          <w:tcPr>
            <w:tcW w:w="2410"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1.21</w:t>
            </w:r>
            <w:r>
              <w:rPr>
                <w:rFonts w:ascii="Arial" w:eastAsia="Times New Roman" w:hAnsi="Arial" w:cs="Arial"/>
                <w:color w:val="000000"/>
                <w:sz w:val="22"/>
                <w:szCs w:val="22"/>
                <w:lang w:eastAsia="en-AU"/>
              </w:rPr>
              <w:t xml:space="preserve"> (1.05-1.50)</w:t>
            </w:r>
          </w:p>
        </w:tc>
        <w:tc>
          <w:tcPr>
            <w:tcW w:w="2835"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2.71</w:t>
            </w:r>
            <w:r>
              <w:rPr>
                <w:rFonts w:ascii="Arial" w:eastAsia="Times New Roman" w:hAnsi="Arial" w:cs="Arial"/>
                <w:color w:val="000000"/>
                <w:sz w:val="22"/>
                <w:szCs w:val="22"/>
                <w:lang w:eastAsia="en-AU"/>
              </w:rPr>
              <w:t xml:space="preserve"> (2.27-2.95)</w:t>
            </w:r>
          </w:p>
        </w:tc>
        <w:tc>
          <w:tcPr>
            <w:tcW w:w="2551" w:type="dxa"/>
            <w:shd w:val="clear" w:color="auto" w:fill="auto"/>
            <w:vAlign w:val="center"/>
          </w:tcPr>
          <w:p w:rsidR="002D7391" w:rsidRPr="00515FAF" w:rsidRDefault="002D7391" w:rsidP="00751522">
            <w:pPr>
              <w:spacing w:after="0" w:line="240" w:lineRule="auto"/>
              <w:jc w:val="center"/>
              <w:rPr>
                <w:rFonts w:ascii="Arial" w:eastAsia="Times New Roman" w:hAnsi="Arial" w:cs="Arial"/>
                <w:color w:val="000000"/>
                <w:sz w:val="22"/>
                <w:szCs w:val="22"/>
                <w:lang w:eastAsia="en-AU"/>
              </w:rPr>
            </w:pPr>
            <w:r w:rsidRPr="00515FAF">
              <w:rPr>
                <w:rFonts w:ascii="Arial" w:eastAsia="Times New Roman" w:hAnsi="Arial" w:cs="Arial"/>
                <w:color w:val="000000"/>
                <w:sz w:val="22"/>
                <w:szCs w:val="22"/>
                <w:lang w:eastAsia="en-AU"/>
              </w:rPr>
              <w:t>3.92</w:t>
            </w:r>
            <w:r>
              <w:rPr>
                <w:rFonts w:ascii="Arial" w:eastAsia="Times New Roman" w:hAnsi="Arial" w:cs="Arial"/>
                <w:color w:val="000000"/>
                <w:sz w:val="22"/>
                <w:szCs w:val="22"/>
                <w:lang w:eastAsia="en-AU"/>
              </w:rPr>
              <w:t xml:space="preserve"> (3.43-4.40)</w:t>
            </w:r>
          </w:p>
        </w:tc>
      </w:tr>
      <w:tr w:rsidR="00693A19" w:rsidRPr="00DE3AF0" w:rsidTr="00097603">
        <w:tc>
          <w:tcPr>
            <w:tcW w:w="1050" w:type="dxa"/>
            <w:shd w:val="clear" w:color="auto" w:fill="auto"/>
          </w:tcPr>
          <w:p w:rsidR="00693A19" w:rsidRPr="00515FAF" w:rsidRDefault="00693A19" w:rsidP="00751522">
            <w:pPr>
              <w:spacing w:before="120" w:after="0" w:line="240" w:lineRule="auto"/>
              <w:jc w:val="center"/>
              <w:rPr>
                <w:rFonts w:ascii="Arial" w:eastAsia="Times New Roman" w:hAnsi="Arial" w:cs="Arial"/>
                <w:b/>
                <w:color w:val="000000"/>
                <w:sz w:val="22"/>
                <w:szCs w:val="22"/>
                <w:lang w:eastAsia="en-AU"/>
              </w:rPr>
            </w:pPr>
            <w:r>
              <w:rPr>
                <w:rFonts w:ascii="Arial" w:eastAsia="Times New Roman" w:hAnsi="Arial" w:cs="Arial"/>
                <w:b/>
                <w:color w:val="000000"/>
                <w:sz w:val="22"/>
                <w:szCs w:val="22"/>
                <w:lang w:eastAsia="en-AU"/>
              </w:rPr>
              <w:t>2018</w:t>
            </w:r>
          </w:p>
        </w:tc>
        <w:tc>
          <w:tcPr>
            <w:tcW w:w="2410" w:type="dxa"/>
            <w:shd w:val="clear" w:color="auto" w:fill="auto"/>
            <w:vAlign w:val="center"/>
          </w:tcPr>
          <w:p w:rsidR="00693A19" w:rsidRPr="00515FAF" w:rsidRDefault="00693A19" w:rsidP="00751522">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1.27 (1.10-1.54)</w:t>
            </w:r>
          </w:p>
        </w:tc>
        <w:tc>
          <w:tcPr>
            <w:tcW w:w="2835" w:type="dxa"/>
            <w:shd w:val="clear" w:color="auto" w:fill="auto"/>
            <w:vAlign w:val="center"/>
          </w:tcPr>
          <w:p w:rsidR="00693A19" w:rsidRPr="00515FAF" w:rsidRDefault="00693A19" w:rsidP="00751522">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2.79 (2.58-3.06)</w:t>
            </w:r>
          </w:p>
        </w:tc>
        <w:tc>
          <w:tcPr>
            <w:tcW w:w="2551" w:type="dxa"/>
            <w:shd w:val="clear" w:color="auto" w:fill="auto"/>
            <w:vAlign w:val="center"/>
          </w:tcPr>
          <w:p w:rsidR="00693A19" w:rsidRPr="00515FAF" w:rsidRDefault="00693A19" w:rsidP="00751522">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4.05 (3.69-4.46)</w:t>
            </w:r>
          </w:p>
        </w:tc>
      </w:tr>
    </w:tbl>
    <w:p w:rsidR="009D0DF9" w:rsidRDefault="009D0DF9" w:rsidP="00582499">
      <w:pPr>
        <w:pStyle w:val="Heading2"/>
        <w:rPr>
          <w:rFonts w:ascii="Arial" w:hAnsi="Arial" w:cs="Arial"/>
          <w:b/>
          <w:color w:val="auto"/>
          <w:sz w:val="22"/>
        </w:rPr>
      </w:pPr>
    </w:p>
    <w:p w:rsidR="00B844FA" w:rsidRDefault="00B844FA" w:rsidP="00B844FA"/>
    <w:p w:rsidR="00B844FA" w:rsidRDefault="00B844FA" w:rsidP="00B844FA"/>
    <w:p w:rsidR="00B844FA" w:rsidRDefault="007224B3" w:rsidP="00B844FA">
      <w:pPr>
        <w:pStyle w:val="Heading2"/>
        <w:rPr>
          <w:rFonts w:ascii="Arial" w:hAnsi="Arial" w:cs="Arial"/>
          <w:b/>
          <w:color w:val="auto"/>
          <w:sz w:val="22"/>
        </w:rPr>
      </w:pPr>
      <w:r w:rsidRPr="001D2397">
        <w:rPr>
          <w:rFonts w:ascii="Arial" w:hAnsi="Arial" w:cs="Arial"/>
          <w:b/>
          <w:color w:val="auto"/>
          <w:sz w:val="22"/>
        </w:rPr>
        <w:t xml:space="preserve">Figure </w:t>
      </w:r>
      <w:r w:rsidRPr="001D2397">
        <w:rPr>
          <w:rFonts w:ascii="Arial" w:hAnsi="Arial" w:cs="Arial"/>
          <w:b/>
          <w:color w:val="auto"/>
          <w:sz w:val="22"/>
        </w:rPr>
        <w:fldChar w:fldCharType="begin"/>
      </w:r>
      <w:r w:rsidRPr="001D2397">
        <w:rPr>
          <w:rFonts w:ascii="Arial" w:hAnsi="Arial" w:cs="Arial"/>
          <w:b/>
          <w:color w:val="auto"/>
          <w:sz w:val="22"/>
        </w:rPr>
        <w:instrText xml:space="preserve"> SEQ Figure \* ARABIC </w:instrText>
      </w:r>
      <w:r w:rsidRPr="001D2397">
        <w:rPr>
          <w:rFonts w:ascii="Arial" w:hAnsi="Arial" w:cs="Arial"/>
          <w:b/>
          <w:color w:val="auto"/>
          <w:sz w:val="22"/>
        </w:rPr>
        <w:fldChar w:fldCharType="separate"/>
      </w:r>
      <w:r w:rsidR="001176F6">
        <w:rPr>
          <w:rFonts w:ascii="Arial" w:hAnsi="Arial" w:cs="Arial"/>
          <w:b/>
          <w:noProof/>
          <w:color w:val="auto"/>
          <w:sz w:val="22"/>
        </w:rPr>
        <w:t>2</w:t>
      </w:r>
      <w:r w:rsidRPr="001D2397">
        <w:rPr>
          <w:rFonts w:ascii="Arial" w:hAnsi="Arial" w:cs="Arial"/>
          <w:b/>
          <w:color w:val="auto"/>
          <w:sz w:val="22"/>
        </w:rPr>
        <w:fldChar w:fldCharType="end"/>
      </w:r>
      <w:r w:rsidR="00C81912">
        <w:rPr>
          <w:rFonts w:ascii="Arial" w:hAnsi="Arial" w:cs="Arial"/>
          <w:b/>
          <w:color w:val="auto"/>
          <w:sz w:val="22"/>
        </w:rPr>
        <w:t>:</w:t>
      </w:r>
      <w:r w:rsidRPr="001D2397">
        <w:rPr>
          <w:rFonts w:ascii="Arial" w:hAnsi="Arial" w:cs="Arial"/>
          <w:b/>
          <w:color w:val="auto"/>
          <w:sz w:val="22"/>
        </w:rPr>
        <w:t xml:space="preserve"> Statistical process control chart for </w:t>
      </w:r>
      <w:r w:rsidR="00BB1234" w:rsidRPr="001D2397">
        <w:rPr>
          <w:rFonts w:ascii="Arial" w:hAnsi="Arial" w:cs="Arial"/>
          <w:b/>
          <w:color w:val="auto"/>
          <w:sz w:val="22"/>
        </w:rPr>
        <w:t>CDI (</w:t>
      </w:r>
      <w:r w:rsidRPr="001D2397">
        <w:rPr>
          <w:rFonts w:ascii="Arial" w:hAnsi="Arial" w:cs="Arial"/>
          <w:b/>
          <w:color w:val="auto"/>
          <w:sz w:val="22"/>
        </w:rPr>
        <w:t>A04.7</w:t>
      </w:r>
      <w:r w:rsidR="00BB1234" w:rsidRPr="001D2397">
        <w:rPr>
          <w:rFonts w:ascii="Arial" w:hAnsi="Arial" w:cs="Arial"/>
          <w:b/>
          <w:color w:val="auto"/>
          <w:sz w:val="22"/>
        </w:rPr>
        <w:t>)</w:t>
      </w:r>
      <w:r w:rsidRPr="001D2397">
        <w:rPr>
          <w:rFonts w:ascii="Arial" w:hAnsi="Arial" w:cs="Arial"/>
          <w:b/>
          <w:color w:val="auto"/>
          <w:sz w:val="22"/>
        </w:rPr>
        <w:t xml:space="preserve"> diagnoses in Australia</w:t>
      </w:r>
      <w:r w:rsidR="006705FE" w:rsidRPr="001D2397">
        <w:rPr>
          <w:rFonts w:ascii="Arial" w:hAnsi="Arial" w:cs="Arial"/>
          <w:b/>
          <w:color w:val="auto"/>
          <w:sz w:val="22"/>
        </w:rPr>
        <w:t>n public hospitals</w:t>
      </w:r>
      <w:r w:rsidR="00BB3106" w:rsidRPr="001D2397">
        <w:rPr>
          <w:rFonts w:ascii="Arial" w:hAnsi="Arial" w:cs="Arial"/>
          <w:b/>
          <w:color w:val="auto"/>
          <w:sz w:val="22"/>
        </w:rPr>
        <w:t>, 2014-2018</w:t>
      </w:r>
    </w:p>
    <w:p w:rsidR="00EF6A88" w:rsidRPr="00EF6A88" w:rsidRDefault="00EF6A88" w:rsidP="00EF6A88"/>
    <w:p w:rsidR="00284735" w:rsidRPr="009018BE" w:rsidRDefault="007B5B2C" w:rsidP="00BD15C0">
      <w:r>
        <w:rPr>
          <w:noProof/>
          <w:lang w:val="en-US"/>
        </w:rPr>
        <w:drawing>
          <wp:inline distT="0" distB="0" distL="0" distR="0">
            <wp:extent cx="6114415" cy="370395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4415" cy="3703955"/>
                    </a:xfrm>
                    <a:prstGeom prst="rect">
                      <a:avLst/>
                    </a:prstGeom>
                    <a:noFill/>
                  </pic:spPr>
                </pic:pic>
              </a:graphicData>
            </a:graphic>
          </wp:inline>
        </w:drawing>
      </w:r>
    </w:p>
    <w:p w:rsidR="00111156" w:rsidRDefault="00111156" w:rsidP="003D19FD">
      <w:pPr>
        <w:spacing w:after="0"/>
        <w:rPr>
          <w:rFonts w:ascii="Arial" w:hAnsi="Arial" w:cs="Arial"/>
          <w:b/>
          <w:sz w:val="22"/>
        </w:rPr>
      </w:pPr>
    </w:p>
    <w:p w:rsidR="00EB76E1" w:rsidRDefault="00EB76E1" w:rsidP="003D19FD">
      <w:pPr>
        <w:spacing w:after="0"/>
        <w:rPr>
          <w:rFonts w:ascii="Arial" w:hAnsi="Arial" w:cs="Arial"/>
          <w:b/>
          <w:sz w:val="22"/>
        </w:rPr>
      </w:pPr>
    </w:p>
    <w:p w:rsidR="00B72749" w:rsidRDefault="00B72749" w:rsidP="003D19FD">
      <w:pPr>
        <w:spacing w:after="0"/>
        <w:rPr>
          <w:rFonts w:ascii="Arial" w:hAnsi="Arial" w:cs="Arial"/>
          <w:b/>
          <w:sz w:val="22"/>
        </w:rPr>
      </w:pPr>
    </w:p>
    <w:p w:rsidR="00111156" w:rsidRDefault="00284735" w:rsidP="003D19FD">
      <w:pPr>
        <w:spacing w:after="0"/>
        <w:rPr>
          <w:rFonts w:ascii="Arial" w:hAnsi="Arial" w:cs="Arial"/>
          <w:sz w:val="22"/>
        </w:rPr>
      </w:pPr>
      <w:r w:rsidRPr="00693663">
        <w:rPr>
          <w:rFonts w:ascii="Arial" w:hAnsi="Arial" w:cs="Arial"/>
          <w:b/>
          <w:sz w:val="22"/>
        </w:rPr>
        <w:t>Figure 3</w:t>
      </w:r>
      <w:r w:rsidR="00C81912">
        <w:rPr>
          <w:rFonts w:ascii="Arial" w:hAnsi="Arial" w:cs="Arial"/>
          <w:b/>
          <w:sz w:val="22"/>
        </w:rPr>
        <w:t>:</w:t>
      </w:r>
      <w:r w:rsidRPr="00693663">
        <w:rPr>
          <w:rFonts w:ascii="Arial" w:hAnsi="Arial" w:cs="Arial"/>
          <w:b/>
          <w:sz w:val="22"/>
        </w:rPr>
        <w:t xml:space="preserve"> R</w:t>
      </w:r>
      <w:r w:rsidR="009D4DEB" w:rsidRPr="00693663">
        <w:rPr>
          <w:rFonts w:ascii="Arial" w:hAnsi="Arial" w:cs="Arial"/>
          <w:b/>
          <w:sz w:val="22"/>
        </w:rPr>
        <w:t>ate</w:t>
      </w:r>
      <w:r w:rsidR="009463F6" w:rsidRPr="00693663">
        <w:rPr>
          <w:rFonts w:ascii="Arial" w:hAnsi="Arial" w:cs="Arial"/>
          <w:b/>
          <w:sz w:val="22"/>
        </w:rPr>
        <w:t xml:space="preserve"> of CDI diagnose</w:t>
      </w:r>
      <w:r w:rsidR="00BB3106" w:rsidRPr="00693663">
        <w:rPr>
          <w:rFonts w:ascii="Arial" w:hAnsi="Arial" w:cs="Arial"/>
          <w:b/>
          <w:sz w:val="22"/>
        </w:rPr>
        <w:t>s and antibiotic usage for</w:t>
      </w:r>
      <w:r w:rsidR="00693663" w:rsidRPr="00693663">
        <w:rPr>
          <w:rFonts w:ascii="Arial" w:hAnsi="Arial" w:cs="Arial"/>
          <w:b/>
          <w:sz w:val="22"/>
        </w:rPr>
        <w:t xml:space="preserve"> 2017 and </w:t>
      </w:r>
      <w:r w:rsidR="00BB3106" w:rsidRPr="00693663">
        <w:rPr>
          <w:rFonts w:ascii="Arial" w:hAnsi="Arial" w:cs="Arial"/>
          <w:b/>
          <w:sz w:val="22"/>
        </w:rPr>
        <w:t>2018</w:t>
      </w:r>
      <w:r w:rsidR="00F47F7C" w:rsidRPr="00F47F7C">
        <w:rPr>
          <w:rFonts w:ascii="Arial" w:hAnsi="Arial" w:cs="Arial"/>
          <w:sz w:val="22"/>
        </w:rPr>
        <w:t xml:space="preserve"> </w:t>
      </w:r>
    </w:p>
    <w:p w:rsidR="00111156" w:rsidRDefault="00111156" w:rsidP="003D19FD">
      <w:pPr>
        <w:spacing w:after="0"/>
        <w:rPr>
          <w:rFonts w:ascii="Arial" w:hAnsi="Arial" w:cs="Arial"/>
          <w:sz w:val="22"/>
        </w:rPr>
      </w:pPr>
    </w:p>
    <w:p w:rsidR="00DE4744" w:rsidRPr="002D7391" w:rsidRDefault="007B5B2C" w:rsidP="002D7391">
      <w:pPr>
        <w:rPr>
          <w:rFonts w:ascii="Arial" w:hAnsi="Arial" w:cs="Arial"/>
          <w:sz w:val="22"/>
        </w:rPr>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4139565</wp:posOffset>
                </wp:positionH>
                <wp:positionV relativeFrom="paragraph">
                  <wp:posOffset>3244215</wp:posOffset>
                </wp:positionV>
                <wp:extent cx="1376680" cy="238760"/>
                <wp:effectExtent l="0" t="635" r="0" b="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63" w:rsidRPr="002B2433" w:rsidRDefault="00B316A7" w:rsidP="00B316A7">
                            <w:pPr>
                              <w:rPr>
                                <w:rFonts w:ascii="Arial" w:hAnsi="Arial" w:cs="Arial"/>
                                <w:sz w:val="16"/>
                              </w:rPr>
                            </w:pPr>
                            <w:r w:rsidRPr="002B2433">
                              <w:rPr>
                                <w:rFonts w:ascii="Arial" w:hAnsi="Arial" w:cs="Arial"/>
                                <w:sz w:val="16"/>
                              </w:rPr>
                              <w:t xml:space="preserve">      *</w:t>
                            </w:r>
                            <w:r w:rsidRPr="00EA63B4">
                              <w:rPr>
                                <w:rFonts w:ascii="Arial" w:hAnsi="Arial" w:cs="Arial"/>
                                <w:sz w:val="14"/>
                              </w:rPr>
                              <w:t>Source NAUSP</w:t>
                            </w:r>
                            <w:r w:rsidR="00D27E98" w:rsidRPr="00EA63B4">
                              <w:rPr>
                                <w:rFonts w:ascii="Arial" w:hAnsi="Arial" w:cs="Arial"/>
                                <w:sz w:val="14"/>
                              </w:rPr>
                              <w:t>,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325.95pt;margin-top:255.45pt;width:108.4pt;height: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" stroked="f">
                <v:textbox>
                  <w:txbxContent>
                    <w:p w:rsidR="00693663" w:rsidRPr="002B2433" w:rsidRDefault="00B316A7" w:rsidP="00B316A7">
                      <w:pPr>
                        <w:rPr>
                          <w:rFonts w:ascii="Arial" w:hAnsi="Arial" w:cs="Arial"/>
                          <w:sz w:val="16"/>
                        </w:rPr>
                      </w:pPr>
                      <w:r w:rsidRPr="002B2433">
                        <w:rPr>
                          <w:rFonts w:ascii="Arial" w:hAnsi="Arial" w:cs="Arial"/>
                          <w:sz w:val="16"/>
                        </w:rPr>
                        <w:t xml:space="preserve">      *</w:t>
                      </w:r>
                      <w:r w:rsidRPr="00EA63B4">
                        <w:rPr>
                          <w:rFonts w:ascii="Arial" w:hAnsi="Arial" w:cs="Arial"/>
                          <w:sz w:val="14"/>
                        </w:rPr>
                        <w:t>Source NAUSP</w:t>
                      </w:r>
                      <w:r w:rsidR="00D27E98" w:rsidRPr="00EA63B4">
                        <w:rPr>
                          <w:rFonts w:ascii="Arial" w:hAnsi="Arial" w:cs="Arial"/>
                          <w:sz w:val="14"/>
                        </w:rPr>
                        <w:t>, 2018</w:t>
                      </w:r>
                    </w:p>
                  </w:txbxContent>
                </v:textbox>
              </v:shape>
            </w:pict>
          </mc:Fallback>
        </mc:AlternateContent>
      </w:r>
      <w:r>
        <w:rPr>
          <w:rFonts w:ascii="Arial" w:hAnsi="Arial" w:cs="Arial"/>
          <w:noProof/>
          <w:sz w:val="22"/>
          <w:lang w:val="en-US"/>
        </w:rPr>
        <w:drawing>
          <wp:inline distT="0" distB="0" distL="0" distR="0">
            <wp:extent cx="6080125" cy="349504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0125" cy="3495040"/>
                    </a:xfrm>
                    <a:prstGeom prst="rect">
                      <a:avLst/>
                    </a:prstGeom>
                    <a:noFill/>
                  </pic:spPr>
                </pic:pic>
              </a:graphicData>
            </a:graphic>
          </wp:inline>
        </w:drawing>
      </w:r>
    </w:p>
    <w:p w:rsidR="00BF11C0" w:rsidRPr="00581C64" w:rsidRDefault="00377EEA" w:rsidP="00581C64">
      <w:pPr>
        <w:pStyle w:val="Heading1"/>
        <w:rPr>
          <w:rFonts w:ascii="Arial" w:hAnsi="Arial"/>
          <w:sz w:val="28"/>
        </w:rPr>
      </w:pPr>
      <w:r w:rsidRPr="00581C64">
        <w:rPr>
          <w:rFonts w:ascii="Arial" w:hAnsi="Arial"/>
          <w:sz w:val="28"/>
        </w:rPr>
        <w:t>Commentary</w:t>
      </w:r>
    </w:p>
    <w:p w:rsidR="00DE5522" w:rsidRDefault="00356DB4" w:rsidP="002D7391">
      <w:pPr>
        <w:pStyle w:val="Heading3"/>
        <w:spacing w:before="0" w:line="276" w:lineRule="auto"/>
        <w:rPr>
          <w:rFonts w:ascii="Arial" w:hAnsi="Arial" w:cs="Arial"/>
          <w:color w:val="000000"/>
          <w:sz w:val="22"/>
        </w:rPr>
      </w:pPr>
      <w:r>
        <w:rPr>
          <w:rFonts w:ascii="Arial" w:hAnsi="Arial" w:cs="Arial"/>
          <w:color w:val="000000"/>
          <w:sz w:val="22"/>
        </w:rPr>
        <w:t>In 2018, p</w:t>
      </w:r>
      <w:r w:rsidR="009C631F" w:rsidRPr="00100E63">
        <w:rPr>
          <w:rFonts w:ascii="Arial" w:hAnsi="Arial" w:cs="Arial"/>
          <w:color w:val="000000"/>
          <w:sz w:val="22"/>
        </w:rPr>
        <w:t xml:space="preserve">rincipal </w:t>
      </w:r>
      <w:r w:rsidR="00A63D4C">
        <w:rPr>
          <w:rFonts w:ascii="Arial" w:hAnsi="Arial" w:cs="Arial"/>
          <w:color w:val="000000"/>
          <w:sz w:val="22"/>
        </w:rPr>
        <w:t xml:space="preserve">CDI diagnoses accounted for </w:t>
      </w:r>
      <w:r w:rsidR="004F6C29">
        <w:rPr>
          <w:rFonts w:ascii="Arial" w:hAnsi="Arial" w:cs="Arial"/>
          <w:color w:val="000000"/>
          <w:sz w:val="22"/>
        </w:rPr>
        <w:t>31</w:t>
      </w:r>
      <w:r>
        <w:rPr>
          <w:rFonts w:ascii="Arial" w:hAnsi="Arial" w:cs="Arial"/>
          <w:color w:val="000000"/>
          <w:sz w:val="22"/>
        </w:rPr>
        <w:t xml:space="preserve">% of all CDI diagnoses </w:t>
      </w:r>
      <w:r w:rsidR="00B51B93" w:rsidRPr="00100E63">
        <w:rPr>
          <w:rFonts w:ascii="Arial" w:hAnsi="Arial" w:cs="Arial"/>
          <w:color w:val="000000"/>
          <w:sz w:val="22"/>
          <w:szCs w:val="22"/>
        </w:rPr>
        <w:t xml:space="preserve">(Figure 1). </w:t>
      </w:r>
      <w:r w:rsidR="00EA0BE6" w:rsidRPr="00100E63">
        <w:rPr>
          <w:rFonts w:ascii="Arial" w:hAnsi="Arial" w:cs="Arial"/>
          <w:color w:val="000000"/>
          <w:sz w:val="22"/>
          <w:szCs w:val="22"/>
        </w:rPr>
        <w:t>The</w:t>
      </w:r>
      <w:r w:rsidR="00952938" w:rsidRPr="00100E63">
        <w:rPr>
          <w:rFonts w:ascii="Arial" w:hAnsi="Arial" w:cs="Arial"/>
          <w:color w:val="000000"/>
          <w:sz w:val="22"/>
          <w:szCs w:val="22"/>
        </w:rPr>
        <w:t xml:space="preserve"> average</w:t>
      </w:r>
      <w:r w:rsidR="007F311D" w:rsidRPr="00100E63">
        <w:rPr>
          <w:rFonts w:ascii="Arial" w:hAnsi="Arial" w:cs="Arial"/>
          <w:color w:val="000000"/>
          <w:sz w:val="22"/>
          <w:szCs w:val="22"/>
        </w:rPr>
        <w:t xml:space="preserve"> rate of </w:t>
      </w:r>
      <w:r w:rsidR="00710D40" w:rsidRPr="00100E63">
        <w:rPr>
          <w:rFonts w:ascii="Arial" w:hAnsi="Arial" w:cs="Arial"/>
          <w:color w:val="000000"/>
          <w:sz w:val="22"/>
          <w:szCs w:val="22"/>
        </w:rPr>
        <w:t xml:space="preserve">all </w:t>
      </w:r>
      <w:r w:rsidR="002D7391">
        <w:rPr>
          <w:rFonts w:ascii="Arial" w:hAnsi="Arial" w:cs="Arial"/>
          <w:color w:val="000000"/>
          <w:sz w:val="22"/>
          <w:szCs w:val="22"/>
        </w:rPr>
        <w:t>CDI diagnose</w:t>
      </w:r>
      <w:r w:rsidR="00EA0BE6" w:rsidRPr="00100E63">
        <w:rPr>
          <w:rFonts w:ascii="Arial" w:hAnsi="Arial" w:cs="Arial"/>
          <w:color w:val="000000"/>
          <w:sz w:val="22"/>
          <w:szCs w:val="22"/>
        </w:rPr>
        <w:t>s in</w:t>
      </w:r>
      <w:r w:rsidR="0097139A" w:rsidRPr="00100E63">
        <w:rPr>
          <w:rFonts w:ascii="Arial" w:hAnsi="Arial" w:cs="Arial"/>
          <w:color w:val="000000"/>
          <w:sz w:val="22"/>
          <w:szCs w:val="22"/>
        </w:rPr>
        <w:t xml:space="preserve"> </w:t>
      </w:r>
      <w:r w:rsidR="00351241">
        <w:rPr>
          <w:rFonts w:ascii="Arial" w:hAnsi="Arial" w:cs="Arial"/>
          <w:color w:val="000000"/>
          <w:sz w:val="22"/>
          <w:szCs w:val="22"/>
        </w:rPr>
        <w:t>2018</w:t>
      </w:r>
      <w:r w:rsidR="00EA0BE6" w:rsidRPr="00100E63">
        <w:rPr>
          <w:rFonts w:ascii="Arial" w:hAnsi="Arial" w:cs="Arial"/>
          <w:color w:val="000000"/>
          <w:sz w:val="22"/>
          <w:szCs w:val="22"/>
        </w:rPr>
        <w:t xml:space="preserve"> </w:t>
      </w:r>
      <w:r w:rsidR="00351241">
        <w:rPr>
          <w:rFonts w:ascii="Arial" w:hAnsi="Arial" w:cs="Arial"/>
          <w:color w:val="000000"/>
          <w:sz w:val="22"/>
          <w:szCs w:val="22"/>
        </w:rPr>
        <w:t>was 4.05</w:t>
      </w:r>
      <w:r w:rsidR="00EA0BE6" w:rsidRPr="00010368">
        <w:rPr>
          <w:rFonts w:ascii="Arial" w:hAnsi="Arial" w:cs="Arial"/>
          <w:color w:val="000000"/>
          <w:sz w:val="22"/>
          <w:szCs w:val="22"/>
        </w:rPr>
        <w:t xml:space="preserve"> diagnoses</w:t>
      </w:r>
      <w:r w:rsidR="00EA0BE6" w:rsidRPr="00100E63">
        <w:rPr>
          <w:rFonts w:ascii="Arial" w:hAnsi="Arial" w:cs="Arial"/>
          <w:color w:val="000000"/>
          <w:sz w:val="22"/>
          <w:szCs w:val="22"/>
        </w:rPr>
        <w:t xml:space="preserve"> per 10,000 patient bed days, with the range varying </w:t>
      </w:r>
      <w:r w:rsidR="003A6882" w:rsidRPr="00100E63">
        <w:rPr>
          <w:rFonts w:ascii="Arial" w:hAnsi="Arial" w:cs="Arial"/>
          <w:color w:val="000000"/>
          <w:sz w:val="22"/>
          <w:szCs w:val="22"/>
        </w:rPr>
        <w:t>from</w:t>
      </w:r>
      <w:r w:rsidR="00EA0BE6" w:rsidRPr="00100E63">
        <w:rPr>
          <w:rFonts w:ascii="Arial" w:hAnsi="Arial" w:cs="Arial"/>
          <w:color w:val="000000"/>
          <w:sz w:val="22"/>
          <w:szCs w:val="22"/>
        </w:rPr>
        <w:t xml:space="preserve"> </w:t>
      </w:r>
      <w:r w:rsidR="00351241">
        <w:rPr>
          <w:rFonts w:ascii="Arial" w:hAnsi="Arial" w:cs="Arial"/>
          <w:color w:val="000000"/>
          <w:sz w:val="22"/>
        </w:rPr>
        <w:t>3.69</w:t>
      </w:r>
      <w:r w:rsidR="00EA0BE6" w:rsidRPr="00100E63">
        <w:rPr>
          <w:rFonts w:ascii="Arial" w:hAnsi="Arial" w:cs="Arial"/>
          <w:color w:val="000000"/>
          <w:sz w:val="22"/>
        </w:rPr>
        <w:t xml:space="preserve"> </w:t>
      </w:r>
      <w:r w:rsidR="003A6882" w:rsidRPr="00100E63">
        <w:rPr>
          <w:rFonts w:ascii="Arial" w:hAnsi="Arial" w:cs="Arial"/>
          <w:color w:val="000000"/>
          <w:sz w:val="22"/>
        </w:rPr>
        <w:t>to</w:t>
      </w:r>
      <w:r w:rsidR="00351241">
        <w:rPr>
          <w:rFonts w:ascii="Arial" w:hAnsi="Arial" w:cs="Arial"/>
          <w:color w:val="000000"/>
          <w:sz w:val="22"/>
        </w:rPr>
        <w:t xml:space="preserve"> 4.46</w:t>
      </w:r>
      <w:r w:rsidR="00EA0BE6" w:rsidRPr="00100E63">
        <w:rPr>
          <w:rFonts w:ascii="Arial" w:hAnsi="Arial" w:cs="Arial"/>
          <w:color w:val="000000"/>
          <w:sz w:val="22"/>
        </w:rPr>
        <w:t xml:space="preserve"> diagnoses per 10,000 </w:t>
      </w:r>
      <w:r w:rsidR="00952938" w:rsidRPr="00100E63">
        <w:rPr>
          <w:rFonts w:ascii="Arial" w:hAnsi="Arial" w:cs="Arial"/>
          <w:color w:val="000000"/>
          <w:sz w:val="22"/>
        </w:rPr>
        <w:t xml:space="preserve">patient </w:t>
      </w:r>
      <w:r w:rsidR="00B51B93" w:rsidRPr="00100E63">
        <w:rPr>
          <w:rFonts w:ascii="Arial" w:hAnsi="Arial" w:cs="Arial"/>
          <w:color w:val="000000"/>
          <w:sz w:val="22"/>
        </w:rPr>
        <w:t>bed days</w:t>
      </w:r>
      <w:r w:rsidR="00B51B93" w:rsidRPr="00100E63">
        <w:rPr>
          <w:rFonts w:ascii="Arial" w:hAnsi="Arial" w:cs="Arial"/>
          <w:color w:val="000000"/>
          <w:sz w:val="22"/>
          <w:szCs w:val="22"/>
        </w:rPr>
        <w:t xml:space="preserve">. </w:t>
      </w:r>
      <w:r w:rsidR="00B51B93" w:rsidRPr="00100E63">
        <w:rPr>
          <w:rFonts w:ascii="Arial" w:hAnsi="Arial" w:cs="Arial"/>
          <w:color w:val="000000"/>
          <w:sz w:val="22"/>
        </w:rPr>
        <w:t>The average yearly rate for all CDI diagnoses (principal and non-principal</w:t>
      </w:r>
      <w:r>
        <w:rPr>
          <w:rFonts w:ascii="Arial" w:hAnsi="Arial" w:cs="Arial"/>
          <w:color w:val="000000"/>
          <w:sz w:val="22"/>
        </w:rPr>
        <w:t xml:space="preserve"> combined</w:t>
      </w:r>
      <w:r w:rsidR="00515DA1">
        <w:rPr>
          <w:rFonts w:ascii="Arial" w:hAnsi="Arial" w:cs="Arial"/>
          <w:color w:val="000000"/>
          <w:sz w:val="22"/>
        </w:rPr>
        <w:t>) in</w:t>
      </w:r>
      <w:r w:rsidR="00B51B93" w:rsidRPr="00356DB4">
        <w:rPr>
          <w:rFonts w:ascii="Arial" w:hAnsi="Arial" w:cs="Arial"/>
          <w:color w:val="000000"/>
          <w:sz w:val="22"/>
        </w:rPr>
        <w:t xml:space="preserve"> Australian public hospitals </w:t>
      </w:r>
      <w:r w:rsidRPr="00356DB4">
        <w:rPr>
          <w:rFonts w:ascii="Arial" w:hAnsi="Arial" w:cs="Arial"/>
          <w:color w:val="000000"/>
          <w:sz w:val="22"/>
        </w:rPr>
        <w:t xml:space="preserve">has been </w:t>
      </w:r>
      <w:r w:rsidR="00E5219B">
        <w:rPr>
          <w:rFonts w:ascii="Arial" w:hAnsi="Arial" w:cs="Arial"/>
          <w:color w:val="000000"/>
          <w:sz w:val="22"/>
        </w:rPr>
        <w:t xml:space="preserve">rising since </w:t>
      </w:r>
      <w:r w:rsidR="00351241" w:rsidRPr="00356DB4">
        <w:rPr>
          <w:rFonts w:ascii="Arial" w:hAnsi="Arial" w:cs="Arial"/>
          <w:color w:val="000000"/>
          <w:sz w:val="22"/>
        </w:rPr>
        <w:t>201</w:t>
      </w:r>
      <w:r w:rsidR="00C91960">
        <w:rPr>
          <w:rFonts w:ascii="Arial" w:hAnsi="Arial" w:cs="Arial"/>
          <w:color w:val="000000"/>
          <w:sz w:val="22"/>
        </w:rPr>
        <w:t>6</w:t>
      </w:r>
      <w:r w:rsidR="00B51B93" w:rsidRPr="00356DB4">
        <w:rPr>
          <w:rFonts w:ascii="Arial" w:hAnsi="Arial" w:cs="Arial"/>
          <w:color w:val="000000"/>
          <w:sz w:val="22"/>
        </w:rPr>
        <w:t xml:space="preserve"> (Table 1).</w:t>
      </w:r>
    </w:p>
    <w:p w:rsidR="002D7391" w:rsidRPr="002D7391" w:rsidRDefault="002D7391" w:rsidP="002D7391">
      <w:pPr>
        <w:spacing w:after="0"/>
      </w:pPr>
    </w:p>
    <w:p w:rsidR="0016215F" w:rsidRPr="003A53CF" w:rsidRDefault="003A53CF" w:rsidP="002D7391">
      <w:pPr>
        <w:spacing w:after="0" w:line="276" w:lineRule="auto"/>
        <w:rPr>
          <w:rFonts w:ascii="Arial" w:hAnsi="Arial" w:cs="Arial"/>
          <w:sz w:val="22"/>
          <w:szCs w:val="22"/>
        </w:rPr>
      </w:pPr>
      <w:r w:rsidRPr="00694DDA">
        <w:rPr>
          <w:rFonts w:ascii="Arial" w:hAnsi="Arial" w:cs="Arial"/>
          <w:sz w:val="22"/>
          <w:szCs w:val="22"/>
        </w:rPr>
        <w:lastRenderedPageBreak/>
        <w:t xml:space="preserve">The </w:t>
      </w:r>
      <w:r w:rsidR="00B46D04" w:rsidRPr="00694DDA">
        <w:rPr>
          <w:rFonts w:ascii="Arial" w:hAnsi="Arial" w:cs="Arial"/>
          <w:sz w:val="22"/>
          <w:szCs w:val="22"/>
        </w:rPr>
        <w:t xml:space="preserve">overall </w:t>
      </w:r>
      <w:r w:rsidR="00694DDA" w:rsidRPr="00694DDA">
        <w:rPr>
          <w:rFonts w:ascii="Arial" w:hAnsi="Arial" w:cs="Arial"/>
          <w:sz w:val="22"/>
          <w:szCs w:val="22"/>
        </w:rPr>
        <w:t>monthly</w:t>
      </w:r>
      <w:r w:rsidR="00B46D04" w:rsidRPr="00694DDA">
        <w:rPr>
          <w:rFonts w:ascii="Arial" w:hAnsi="Arial" w:cs="Arial"/>
          <w:sz w:val="22"/>
          <w:szCs w:val="22"/>
        </w:rPr>
        <w:t xml:space="preserve"> </w:t>
      </w:r>
      <w:r w:rsidRPr="00694DDA">
        <w:rPr>
          <w:rFonts w:ascii="Arial" w:hAnsi="Arial" w:cs="Arial"/>
          <w:sz w:val="22"/>
          <w:szCs w:val="22"/>
        </w:rPr>
        <w:t xml:space="preserve">rate of all </w:t>
      </w:r>
      <w:r w:rsidR="009018BE" w:rsidRPr="00694DDA">
        <w:rPr>
          <w:rFonts w:ascii="Arial" w:hAnsi="Arial" w:cs="Arial"/>
          <w:sz w:val="22"/>
          <w:szCs w:val="22"/>
        </w:rPr>
        <w:t>CDI diagnose</w:t>
      </w:r>
      <w:r w:rsidR="00DE5522" w:rsidRPr="00694DDA">
        <w:rPr>
          <w:rFonts w:ascii="Arial" w:hAnsi="Arial" w:cs="Arial"/>
          <w:sz w:val="22"/>
          <w:szCs w:val="22"/>
        </w:rPr>
        <w:t>s</w:t>
      </w:r>
      <w:r w:rsidR="00351241" w:rsidRPr="00694DDA">
        <w:rPr>
          <w:rFonts w:ascii="Arial" w:hAnsi="Arial" w:cs="Arial"/>
          <w:sz w:val="22"/>
          <w:szCs w:val="22"/>
        </w:rPr>
        <w:t xml:space="preserve"> </w:t>
      </w:r>
      <w:r w:rsidRPr="00694DDA">
        <w:rPr>
          <w:rFonts w:ascii="Arial" w:hAnsi="Arial" w:cs="Arial"/>
          <w:sz w:val="22"/>
          <w:szCs w:val="22"/>
        </w:rPr>
        <w:t>was</w:t>
      </w:r>
      <w:r w:rsidR="00356DB4" w:rsidRPr="00694DDA">
        <w:rPr>
          <w:rFonts w:ascii="Arial" w:hAnsi="Arial" w:cs="Arial"/>
          <w:sz w:val="22"/>
          <w:szCs w:val="22"/>
        </w:rPr>
        <w:t xml:space="preserve"> highest in January</w:t>
      </w:r>
      <w:r w:rsidR="00581C64">
        <w:rPr>
          <w:rFonts w:ascii="Arial" w:hAnsi="Arial" w:cs="Arial"/>
          <w:sz w:val="22"/>
          <w:szCs w:val="22"/>
        </w:rPr>
        <w:t xml:space="preserve"> </w:t>
      </w:r>
      <w:r w:rsidR="000524EE" w:rsidRPr="00694DDA">
        <w:rPr>
          <w:rFonts w:ascii="Arial" w:hAnsi="Arial" w:cs="Arial"/>
          <w:sz w:val="22"/>
          <w:szCs w:val="22"/>
        </w:rPr>
        <w:t>2018</w:t>
      </w:r>
      <w:r w:rsidR="00356DB4" w:rsidRPr="00694DDA">
        <w:rPr>
          <w:rFonts w:ascii="Arial" w:hAnsi="Arial" w:cs="Arial"/>
          <w:sz w:val="22"/>
          <w:szCs w:val="22"/>
        </w:rPr>
        <w:t xml:space="preserve"> (</w:t>
      </w:r>
      <w:r w:rsidR="00356DB4">
        <w:rPr>
          <w:rFonts w:ascii="Arial" w:hAnsi="Arial" w:cs="Arial"/>
          <w:sz w:val="22"/>
          <w:szCs w:val="22"/>
        </w:rPr>
        <w:t>4.46 diagnoses per 10,000 patient bed days)</w:t>
      </w:r>
      <w:r w:rsidR="001B34C1">
        <w:rPr>
          <w:rFonts w:ascii="Arial" w:hAnsi="Arial" w:cs="Arial"/>
          <w:sz w:val="22"/>
          <w:szCs w:val="22"/>
        </w:rPr>
        <w:t xml:space="preserve"> (Figure 1)</w:t>
      </w:r>
      <w:r w:rsidR="00356DB4">
        <w:rPr>
          <w:rFonts w:ascii="Arial" w:hAnsi="Arial" w:cs="Arial"/>
          <w:sz w:val="22"/>
          <w:szCs w:val="22"/>
        </w:rPr>
        <w:t>.</w:t>
      </w:r>
      <w:r w:rsidR="001B34C1" w:rsidRPr="001B34C1">
        <w:rPr>
          <w:rFonts w:ascii="Arial" w:hAnsi="Arial" w:cs="Arial"/>
          <w:sz w:val="22"/>
          <w:szCs w:val="22"/>
        </w:rPr>
        <w:t xml:space="preserve"> </w:t>
      </w:r>
      <w:r w:rsidR="00947CFD">
        <w:rPr>
          <w:rFonts w:ascii="Arial" w:hAnsi="Arial" w:cs="Arial"/>
          <w:sz w:val="22"/>
          <w:szCs w:val="22"/>
        </w:rPr>
        <w:t>T</w:t>
      </w:r>
      <w:r w:rsidR="00515DA1">
        <w:rPr>
          <w:rFonts w:ascii="Arial" w:hAnsi="Arial" w:cs="Arial"/>
          <w:sz w:val="22"/>
          <w:szCs w:val="22"/>
        </w:rPr>
        <w:t>he</w:t>
      </w:r>
      <w:r w:rsidR="004C5405">
        <w:rPr>
          <w:rFonts w:ascii="Arial" w:hAnsi="Arial" w:cs="Arial"/>
          <w:sz w:val="22"/>
          <w:szCs w:val="22"/>
        </w:rPr>
        <w:t xml:space="preserve"> highest</w:t>
      </w:r>
      <w:r w:rsidR="00515DA1">
        <w:rPr>
          <w:rFonts w:ascii="Arial" w:hAnsi="Arial" w:cs="Arial"/>
          <w:sz w:val="22"/>
          <w:szCs w:val="22"/>
        </w:rPr>
        <w:t xml:space="preserve"> rate for </w:t>
      </w:r>
      <w:r w:rsidR="00B46D04">
        <w:rPr>
          <w:rFonts w:ascii="Arial" w:hAnsi="Arial" w:cs="Arial"/>
          <w:sz w:val="22"/>
          <w:szCs w:val="22"/>
        </w:rPr>
        <w:t>n</w:t>
      </w:r>
      <w:r w:rsidR="001B34C1">
        <w:rPr>
          <w:rFonts w:ascii="Arial" w:hAnsi="Arial" w:cs="Arial"/>
          <w:sz w:val="22"/>
          <w:szCs w:val="22"/>
        </w:rPr>
        <w:t>on-prin</w:t>
      </w:r>
      <w:r w:rsidR="00B46D04">
        <w:rPr>
          <w:rFonts w:ascii="Arial" w:hAnsi="Arial" w:cs="Arial"/>
          <w:sz w:val="22"/>
          <w:szCs w:val="22"/>
        </w:rPr>
        <w:t>cip</w:t>
      </w:r>
      <w:r w:rsidR="00E5219B">
        <w:rPr>
          <w:rFonts w:ascii="Arial" w:hAnsi="Arial" w:cs="Arial"/>
          <w:sz w:val="22"/>
          <w:szCs w:val="22"/>
        </w:rPr>
        <w:t>al</w:t>
      </w:r>
      <w:r w:rsidR="00515DA1">
        <w:rPr>
          <w:rFonts w:ascii="Arial" w:hAnsi="Arial" w:cs="Arial"/>
          <w:sz w:val="22"/>
          <w:szCs w:val="22"/>
        </w:rPr>
        <w:t xml:space="preserve"> CDI diagnoses</w:t>
      </w:r>
      <w:r>
        <w:rPr>
          <w:rFonts w:ascii="Arial" w:hAnsi="Arial" w:cs="Arial"/>
          <w:sz w:val="22"/>
          <w:szCs w:val="22"/>
        </w:rPr>
        <w:t xml:space="preserve"> </w:t>
      </w:r>
      <w:r w:rsidR="001B34C1">
        <w:rPr>
          <w:rFonts w:ascii="Arial" w:hAnsi="Arial" w:cs="Arial"/>
          <w:sz w:val="22"/>
          <w:szCs w:val="22"/>
        </w:rPr>
        <w:t>(3.06 CDI diagnoses per 10,000 patient bed days)</w:t>
      </w:r>
      <w:r w:rsidR="00947CFD">
        <w:rPr>
          <w:rFonts w:ascii="Arial" w:hAnsi="Arial" w:cs="Arial"/>
          <w:sz w:val="22"/>
          <w:szCs w:val="22"/>
        </w:rPr>
        <w:t xml:space="preserve"> was in March 2018</w:t>
      </w:r>
      <w:r w:rsidR="00515DA1">
        <w:rPr>
          <w:rFonts w:ascii="Arial" w:hAnsi="Arial" w:cs="Arial"/>
          <w:sz w:val="22"/>
          <w:szCs w:val="22"/>
        </w:rPr>
        <w:t>. T</w:t>
      </w:r>
      <w:r>
        <w:rPr>
          <w:rFonts w:ascii="Arial" w:hAnsi="Arial" w:cs="Arial"/>
          <w:sz w:val="22"/>
          <w:szCs w:val="22"/>
        </w:rPr>
        <w:t>he rate of princip</w:t>
      </w:r>
      <w:r w:rsidR="00B46D04">
        <w:rPr>
          <w:rFonts w:ascii="Arial" w:hAnsi="Arial" w:cs="Arial"/>
          <w:sz w:val="22"/>
          <w:szCs w:val="22"/>
        </w:rPr>
        <w:t>al CDI diagnoses w</w:t>
      </w:r>
      <w:r w:rsidR="005D029D">
        <w:rPr>
          <w:rFonts w:ascii="Arial" w:hAnsi="Arial" w:cs="Arial"/>
          <w:sz w:val="22"/>
          <w:szCs w:val="22"/>
        </w:rPr>
        <w:t xml:space="preserve">as highest </w:t>
      </w:r>
      <w:r w:rsidR="004F6C29">
        <w:rPr>
          <w:rFonts w:ascii="Arial" w:hAnsi="Arial" w:cs="Arial"/>
          <w:sz w:val="22"/>
          <w:szCs w:val="22"/>
        </w:rPr>
        <w:t>in</w:t>
      </w:r>
      <w:r w:rsidR="00507A3F">
        <w:rPr>
          <w:rFonts w:ascii="Arial" w:hAnsi="Arial" w:cs="Arial"/>
          <w:sz w:val="22"/>
          <w:szCs w:val="22"/>
        </w:rPr>
        <w:t xml:space="preserve"> January 2018 (1.54 CDI diagnoses per 10,000 patien</w:t>
      </w:r>
      <w:r w:rsidR="00515DA1">
        <w:rPr>
          <w:rFonts w:ascii="Arial" w:hAnsi="Arial" w:cs="Arial"/>
          <w:sz w:val="22"/>
          <w:szCs w:val="22"/>
        </w:rPr>
        <w:t xml:space="preserve">t bed days) and </w:t>
      </w:r>
      <w:r w:rsidR="00507A3F">
        <w:rPr>
          <w:rFonts w:ascii="Arial" w:hAnsi="Arial" w:cs="Arial"/>
          <w:sz w:val="22"/>
          <w:szCs w:val="22"/>
        </w:rPr>
        <w:t>remained relatively unchanged throughout the rest of the year</w:t>
      </w:r>
      <w:r w:rsidR="00694DDA">
        <w:rPr>
          <w:rFonts w:ascii="Arial" w:hAnsi="Arial" w:cs="Arial"/>
          <w:sz w:val="22"/>
          <w:szCs w:val="22"/>
        </w:rPr>
        <w:t xml:space="preserve"> (</w:t>
      </w:r>
      <w:r w:rsidR="00515DA1">
        <w:rPr>
          <w:rFonts w:ascii="Arial" w:hAnsi="Arial" w:cs="Arial"/>
          <w:sz w:val="22"/>
          <w:szCs w:val="22"/>
        </w:rPr>
        <w:t>F</w:t>
      </w:r>
      <w:r w:rsidR="00694DDA">
        <w:rPr>
          <w:rFonts w:ascii="Arial" w:hAnsi="Arial" w:cs="Arial"/>
          <w:sz w:val="22"/>
          <w:szCs w:val="22"/>
        </w:rPr>
        <w:t>igure 1).</w:t>
      </w:r>
      <w:r>
        <w:rPr>
          <w:rFonts w:ascii="Arial" w:hAnsi="Arial" w:cs="Arial"/>
          <w:sz w:val="22"/>
          <w:szCs w:val="22"/>
        </w:rPr>
        <w:t xml:space="preserve"> </w:t>
      </w:r>
    </w:p>
    <w:p w:rsidR="004B6D78" w:rsidRPr="00EA0BE6" w:rsidRDefault="004B6D78" w:rsidP="002D7391">
      <w:pPr>
        <w:spacing w:after="0" w:line="276" w:lineRule="auto"/>
        <w:contextualSpacing/>
        <w:rPr>
          <w:rFonts w:ascii="Arial" w:hAnsi="Arial" w:cs="Arial"/>
          <w:sz w:val="22"/>
          <w:szCs w:val="22"/>
        </w:rPr>
      </w:pPr>
    </w:p>
    <w:p w:rsidR="009E3CEB" w:rsidRPr="005831BE" w:rsidRDefault="009043DB" w:rsidP="002D7391">
      <w:pPr>
        <w:spacing w:after="0" w:line="276" w:lineRule="auto"/>
        <w:rPr>
          <w:rFonts w:ascii="Arial" w:hAnsi="Arial" w:cs="Arial"/>
          <w:sz w:val="22"/>
        </w:rPr>
      </w:pPr>
      <w:r w:rsidRPr="005831BE">
        <w:rPr>
          <w:rFonts w:ascii="Arial" w:hAnsi="Arial" w:cs="Arial"/>
          <w:sz w:val="22"/>
        </w:rPr>
        <w:t xml:space="preserve">The </w:t>
      </w:r>
      <w:r w:rsidR="004C5405" w:rsidRPr="005831BE">
        <w:rPr>
          <w:rFonts w:ascii="Arial" w:hAnsi="Arial" w:cs="Arial"/>
          <w:sz w:val="22"/>
        </w:rPr>
        <w:t xml:space="preserve">quarterly </w:t>
      </w:r>
      <w:r w:rsidR="006226E5" w:rsidRPr="005831BE">
        <w:rPr>
          <w:rFonts w:ascii="Arial" w:hAnsi="Arial" w:cs="Arial"/>
          <w:sz w:val="22"/>
        </w:rPr>
        <w:t xml:space="preserve">rate of CDI diagnoses </w:t>
      </w:r>
      <w:r w:rsidR="00947CFD">
        <w:rPr>
          <w:rFonts w:ascii="Arial" w:hAnsi="Arial" w:cs="Arial"/>
          <w:sz w:val="22"/>
        </w:rPr>
        <w:t xml:space="preserve">from 2014 to 2018 is </w:t>
      </w:r>
      <w:r w:rsidR="00F2486E" w:rsidRPr="005831BE">
        <w:rPr>
          <w:rFonts w:ascii="Arial" w:hAnsi="Arial" w:cs="Arial"/>
          <w:sz w:val="22"/>
        </w:rPr>
        <w:t>presented in Figure 2</w:t>
      </w:r>
      <w:r w:rsidR="004C5405" w:rsidRPr="005831BE">
        <w:rPr>
          <w:rFonts w:ascii="Arial" w:hAnsi="Arial" w:cs="Arial"/>
          <w:sz w:val="22"/>
        </w:rPr>
        <w:t xml:space="preserve">. </w:t>
      </w:r>
      <w:r w:rsidR="00947CFD">
        <w:rPr>
          <w:rFonts w:ascii="Arial" w:hAnsi="Arial" w:cs="Arial"/>
          <w:sz w:val="22"/>
        </w:rPr>
        <w:t>T</w:t>
      </w:r>
      <w:r w:rsidR="00926974" w:rsidRPr="005831BE">
        <w:rPr>
          <w:rFonts w:ascii="Arial" w:hAnsi="Arial" w:cs="Arial"/>
          <w:sz w:val="22"/>
        </w:rPr>
        <w:t xml:space="preserve">he overall </w:t>
      </w:r>
      <w:r w:rsidR="004C5405" w:rsidRPr="005831BE">
        <w:rPr>
          <w:rFonts w:ascii="Arial" w:hAnsi="Arial" w:cs="Arial"/>
          <w:sz w:val="22"/>
        </w:rPr>
        <w:t>average</w:t>
      </w:r>
      <w:r w:rsidR="00926974" w:rsidRPr="005831BE">
        <w:rPr>
          <w:rFonts w:ascii="Arial" w:hAnsi="Arial" w:cs="Arial"/>
          <w:sz w:val="22"/>
        </w:rPr>
        <w:t xml:space="preserve"> quarterly rate of CDI diagnoses</w:t>
      </w:r>
      <w:r w:rsidRPr="005831BE">
        <w:rPr>
          <w:rFonts w:ascii="Arial" w:hAnsi="Arial" w:cs="Arial"/>
          <w:sz w:val="22"/>
        </w:rPr>
        <w:t xml:space="preserve"> does not represent a benchmark or a desirable rate</w:t>
      </w:r>
      <w:r w:rsidR="00926974" w:rsidRPr="005831BE">
        <w:rPr>
          <w:rFonts w:ascii="Arial" w:hAnsi="Arial" w:cs="Arial"/>
          <w:sz w:val="22"/>
        </w:rPr>
        <w:t xml:space="preserve"> of CDI</w:t>
      </w:r>
      <w:r w:rsidR="00C81912">
        <w:rPr>
          <w:rFonts w:ascii="Arial" w:hAnsi="Arial" w:cs="Arial"/>
          <w:sz w:val="22"/>
        </w:rPr>
        <w:t>;</w:t>
      </w:r>
      <w:r w:rsidR="00947CFD">
        <w:rPr>
          <w:rFonts w:ascii="Arial" w:hAnsi="Arial" w:cs="Arial"/>
          <w:sz w:val="22"/>
        </w:rPr>
        <w:t xml:space="preserve"> </w:t>
      </w:r>
      <w:r w:rsidR="005D029D">
        <w:rPr>
          <w:rFonts w:ascii="Arial" w:hAnsi="Arial" w:cs="Arial"/>
          <w:sz w:val="22"/>
        </w:rPr>
        <w:t>c</w:t>
      </w:r>
      <w:r w:rsidR="004C5405" w:rsidRPr="005831BE">
        <w:rPr>
          <w:rFonts w:ascii="Arial" w:hAnsi="Arial" w:cs="Arial"/>
          <w:sz w:val="22"/>
        </w:rPr>
        <w:t xml:space="preserve">ontrol limits </w:t>
      </w:r>
      <w:r w:rsidR="002D7C43" w:rsidRPr="005831BE">
        <w:rPr>
          <w:rFonts w:ascii="Arial" w:hAnsi="Arial" w:cs="Arial"/>
          <w:sz w:val="22"/>
        </w:rPr>
        <w:t xml:space="preserve">have been applied to assist in the identification of </w:t>
      </w:r>
      <w:r w:rsidR="004C5405" w:rsidRPr="005831BE">
        <w:rPr>
          <w:rFonts w:ascii="Arial" w:hAnsi="Arial" w:cs="Arial"/>
          <w:sz w:val="22"/>
        </w:rPr>
        <w:t xml:space="preserve">changes in rates and seasonal patterns </w:t>
      </w:r>
      <w:r w:rsidR="00947CFD">
        <w:rPr>
          <w:rFonts w:ascii="Arial" w:hAnsi="Arial" w:cs="Arial"/>
          <w:sz w:val="22"/>
        </w:rPr>
        <w:t>of CDI diagnoses over time. The</w:t>
      </w:r>
      <w:r w:rsidR="0058379C" w:rsidRPr="005831BE">
        <w:rPr>
          <w:rFonts w:ascii="Arial" w:hAnsi="Arial" w:cs="Arial"/>
          <w:sz w:val="22"/>
        </w:rPr>
        <w:t xml:space="preserve"> </w:t>
      </w:r>
      <w:r w:rsidR="00B42161" w:rsidRPr="005831BE">
        <w:rPr>
          <w:rFonts w:ascii="Arial" w:hAnsi="Arial" w:cs="Arial"/>
          <w:sz w:val="22"/>
        </w:rPr>
        <w:t>rate</w:t>
      </w:r>
      <w:r w:rsidR="00947CFD">
        <w:rPr>
          <w:rFonts w:ascii="Arial" w:hAnsi="Arial" w:cs="Arial"/>
          <w:sz w:val="22"/>
        </w:rPr>
        <w:t>s</w:t>
      </w:r>
      <w:r w:rsidR="00B42161" w:rsidRPr="005831BE">
        <w:rPr>
          <w:rFonts w:ascii="Arial" w:hAnsi="Arial" w:cs="Arial"/>
          <w:sz w:val="22"/>
        </w:rPr>
        <w:t xml:space="preserve"> of CDI diagnose</w:t>
      </w:r>
      <w:r w:rsidR="004C5405" w:rsidRPr="005831BE">
        <w:rPr>
          <w:rFonts w:ascii="Arial" w:hAnsi="Arial" w:cs="Arial"/>
          <w:sz w:val="22"/>
        </w:rPr>
        <w:t xml:space="preserve">s </w:t>
      </w:r>
      <w:r w:rsidR="0058379C" w:rsidRPr="005831BE">
        <w:rPr>
          <w:rFonts w:ascii="Arial" w:hAnsi="Arial" w:cs="Arial"/>
          <w:sz w:val="22"/>
        </w:rPr>
        <w:t>in the last quarter of 2017 (4.29 diagnoses per 10,000 patient bed days)</w:t>
      </w:r>
      <w:r w:rsidR="0058379C" w:rsidRPr="005831BE">
        <w:rPr>
          <w:rFonts w:ascii="Arial" w:hAnsi="Arial" w:cs="Arial"/>
          <w:sz w:val="22"/>
          <w:vertAlign w:val="superscript"/>
        </w:rPr>
        <w:t>14</w:t>
      </w:r>
      <w:r w:rsidR="0058379C" w:rsidRPr="005831BE">
        <w:rPr>
          <w:rFonts w:ascii="Arial" w:hAnsi="Arial" w:cs="Arial"/>
          <w:sz w:val="22"/>
        </w:rPr>
        <w:t xml:space="preserve"> and in the first quarter of 2018 (4.31 diagnoses per 10,000 patient bed </w:t>
      </w:r>
      <w:r w:rsidR="00947CFD">
        <w:rPr>
          <w:rFonts w:ascii="Arial" w:hAnsi="Arial" w:cs="Arial"/>
          <w:sz w:val="22"/>
        </w:rPr>
        <w:t>days) were</w:t>
      </w:r>
      <w:r w:rsidR="0058379C" w:rsidRPr="005831BE">
        <w:rPr>
          <w:rFonts w:ascii="Arial" w:hAnsi="Arial" w:cs="Arial"/>
          <w:sz w:val="22"/>
        </w:rPr>
        <w:t xml:space="preserve"> </w:t>
      </w:r>
      <w:r w:rsidR="009E3CEB" w:rsidRPr="005831BE">
        <w:rPr>
          <w:rFonts w:ascii="Arial" w:hAnsi="Arial" w:cs="Arial"/>
          <w:sz w:val="22"/>
        </w:rPr>
        <w:t>equal to</w:t>
      </w:r>
      <w:r w:rsidR="006226E5" w:rsidRPr="005831BE">
        <w:rPr>
          <w:rFonts w:ascii="Arial" w:hAnsi="Arial" w:cs="Arial"/>
          <w:sz w:val="22"/>
        </w:rPr>
        <w:t xml:space="preserve"> the upper control limit</w:t>
      </w:r>
      <w:r w:rsidR="005D029D">
        <w:rPr>
          <w:rFonts w:ascii="Arial" w:hAnsi="Arial" w:cs="Arial"/>
          <w:sz w:val="22"/>
        </w:rPr>
        <w:t xml:space="preserve"> (Figure 2)</w:t>
      </w:r>
      <w:r w:rsidR="0058379C" w:rsidRPr="005831BE">
        <w:rPr>
          <w:rFonts w:ascii="Arial" w:hAnsi="Arial" w:cs="Arial"/>
          <w:sz w:val="22"/>
        </w:rPr>
        <w:t>.</w:t>
      </w:r>
      <w:r w:rsidR="00202AB8" w:rsidRPr="005831BE">
        <w:rPr>
          <w:rFonts w:ascii="Arial" w:hAnsi="Arial" w:cs="Arial"/>
          <w:sz w:val="22"/>
        </w:rPr>
        <w:t xml:space="preserve"> </w:t>
      </w:r>
      <w:r w:rsidRPr="005831BE">
        <w:rPr>
          <w:rFonts w:ascii="Arial" w:hAnsi="Arial" w:cs="Arial"/>
          <w:sz w:val="22"/>
        </w:rPr>
        <w:t>The</w:t>
      </w:r>
      <w:r w:rsidR="00F2486E" w:rsidRPr="005831BE">
        <w:rPr>
          <w:rFonts w:ascii="Arial" w:hAnsi="Arial" w:cs="Arial"/>
          <w:sz w:val="22"/>
        </w:rPr>
        <w:t xml:space="preserve"> data suggests that there is an upward trend in the </w:t>
      </w:r>
      <w:r w:rsidRPr="005831BE">
        <w:rPr>
          <w:rFonts w:ascii="Arial" w:hAnsi="Arial" w:cs="Arial"/>
          <w:sz w:val="22"/>
        </w:rPr>
        <w:t>rate of CDI diagnoses over the five years</w:t>
      </w:r>
      <w:r w:rsidR="00F2486E" w:rsidRPr="005831BE">
        <w:rPr>
          <w:rFonts w:ascii="Arial" w:hAnsi="Arial" w:cs="Arial"/>
          <w:sz w:val="22"/>
        </w:rPr>
        <w:t xml:space="preserve">, but this was </w:t>
      </w:r>
      <w:r w:rsidRPr="005831BE">
        <w:rPr>
          <w:rFonts w:ascii="Arial" w:hAnsi="Arial" w:cs="Arial"/>
          <w:sz w:val="22"/>
        </w:rPr>
        <w:t xml:space="preserve">not statistically significant. </w:t>
      </w:r>
      <w:r w:rsidR="00202AB8" w:rsidRPr="005831BE">
        <w:rPr>
          <w:rFonts w:ascii="Arial" w:hAnsi="Arial" w:cs="Arial"/>
          <w:sz w:val="22"/>
        </w:rPr>
        <w:t>In the event that rates exceeded the upper control limit, further investigation</w:t>
      </w:r>
      <w:r w:rsidR="00CD09B5">
        <w:rPr>
          <w:rFonts w:ascii="Arial" w:hAnsi="Arial" w:cs="Arial"/>
          <w:sz w:val="22"/>
        </w:rPr>
        <w:t xml:space="preserve"> is recommended</w:t>
      </w:r>
      <w:r w:rsidR="00F2486E" w:rsidRPr="005831BE">
        <w:rPr>
          <w:rFonts w:ascii="Arial" w:hAnsi="Arial" w:cs="Arial"/>
          <w:sz w:val="22"/>
        </w:rPr>
        <w:t xml:space="preserve"> </w:t>
      </w:r>
      <w:r w:rsidR="00202AB8" w:rsidRPr="005831BE">
        <w:rPr>
          <w:rFonts w:ascii="Arial" w:hAnsi="Arial" w:cs="Arial"/>
          <w:sz w:val="22"/>
        </w:rPr>
        <w:t xml:space="preserve">to </w:t>
      </w:r>
      <w:r w:rsidR="001D2E74" w:rsidRPr="005831BE">
        <w:rPr>
          <w:rFonts w:ascii="Arial" w:hAnsi="Arial" w:cs="Arial"/>
          <w:sz w:val="22"/>
        </w:rPr>
        <w:t xml:space="preserve">determine </w:t>
      </w:r>
      <w:r w:rsidR="00F2486E" w:rsidRPr="005831BE">
        <w:rPr>
          <w:rFonts w:ascii="Arial" w:hAnsi="Arial" w:cs="Arial"/>
          <w:sz w:val="22"/>
        </w:rPr>
        <w:t xml:space="preserve">the probability of </w:t>
      </w:r>
      <w:r w:rsidR="001D2E74" w:rsidRPr="005831BE">
        <w:rPr>
          <w:rFonts w:ascii="Arial" w:hAnsi="Arial" w:cs="Arial"/>
          <w:sz w:val="22"/>
        </w:rPr>
        <w:t xml:space="preserve">a CDI </w:t>
      </w:r>
      <w:r w:rsidR="00202AB8" w:rsidRPr="005831BE">
        <w:rPr>
          <w:rFonts w:ascii="Arial" w:hAnsi="Arial" w:cs="Arial"/>
          <w:sz w:val="22"/>
        </w:rPr>
        <w:t>outbreak</w:t>
      </w:r>
      <w:r w:rsidR="00217083">
        <w:rPr>
          <w:rFonts w:ascii="Arial" w:hAnsi="Arial" w:cs="Arial"/>
          <w:sz w:val="22"/>
        </w:rPr>
        <w:t>.</w:t>
      </w:r>
      <w:r w:rsidR="00202AB8" w:rsidRPr="005831BE">
        <w:rPr>
          <w:rFonts w:ascii="Arial" w:hAnsi="Arial" w:cs="Arial"/>
          <w:sz w:val="22"/>
        </w:rPr>
        <w:t xml:space="preserve"> </w:t>
      </w:r>
    </w:p>
    <w:p w:rsidR="009A1FE1" w:rsidRDefault="000F272A" w:rsidP="002D7391">
      <w:pPr>
        <w:spacing w:after="0" w:line="276" w:lineRule="auto"/>
        <w:rPr>
          <w:rFonts w:ascii="Arial" w:hAnsi="Arial" w:cs="Arial"/>
          <w:sz w:val="22"/>
        </w:rPr>
      </w:pPr>
      <w:r>
        <w:rPr>
          <w:rFonts w:ascii="Arial" w:hAnsi="Arial" w:cs="Arial"/>
          <w:sz w:val="22"/>
        </w:rPr>
        <w:t xml:space="preserve"> </w:t>
      </w:r>
    </w:p>
    <w:p w:rsidR="00931D7D" w:rsidRDefault="00CD09B5" w:rsidP="00931D7D">
      <w:pPr>
        <w:spacing w:after="0" w:line="276" w:lineRule="auto"/>
        <w:rPr>
          <w:rFonts w:ascii="Arial" w:hAnsi="Arial" w:cs="Arial"/>
          <w:sz w:val="22"/>
        </w:rPr>
      </w:pPr>
      <w:r>
        <w:rPr>
          <w:rFonts w:ascii="Arial" w:hAnsi="Arial" w:cs="Arial"/>
          <w:sz w:val="22"/>
          <w:szCs w:val="22"/>
        </w:rPr>
        <w:t>U</w:t>
      </w:r>
      <w:r w:rsidR="00B02C9C" w:rsidRPr="00EE6EDC">
        <w:rPr>
          <w:rFonts w:ascii="Arial" w:hAnsi="Arial" w:cs="Arial"/>
          <w:sz w:val="22"/>
          <w:szCs w:val="22"/>
        </w:rPr>
        <w:t>sage</w:t>
      </w:r>
      <w:r w:rsidR="00931D7D" w:rsidRPr="00EE6EDC">
        <w:rPr>
          <w:rFonts w:ascii="Arial" w:hAnsi="Arial" w:cs="Arial"/>
          <w:sz w:val="22"/>
          <w:szCs w:val="22"/>
        </w:rPr>
        <w:t xml:space="preserve"> rates </w:t>
      </w:r>
      <w:r>
        <w:rPr>
          <w:rFonts w:ascii="Arial" w:hAnsi="Arial" w:cs="Arial"/>
          <w:sz w:val="22"/>
          <w:szCs w:val="22"/>
        </w:rPr>
        <w:t xml:space="preserve">for </w:t>
      </w:r>
      <w:r w:rsidRPr="00EE6EDC">
        <w:rPr>
          <w:rFonts w:ascii="Arial" w:hAnsi="Arial" w:cs="Arial"/>
          <w:sz w:val="22"/>
          <w:szCs w:val="22"/>
        </w:rPr>
        <w:t xml:space="preserve">2017 and 2018 </w:t>
      </w:r>
      <w:r w:rsidR="00931D7D" w:rsidRPr="00EE6EDC">
        <w:rPr>
          <w:rFonts w:ascii="Arial" w:hAnsi="Arial" w:cs="Arial"/>
          <w:sz w:val="22"/>
          <w:szCs w:val="22"/>
        </w:rPr>
        <w:t>of classes of an</w:t>
      </w:r>
      <w:r w:rsidR="00904DC3" w:rsidRPr="00EE6EDC">
        <w:rPr>
          <w:rFonts w:ascii="Arial" w:hAnsi="Arial" w:cs="Arial"/>
          <w:sz w:val="22"/>
          <w:szCs w:val="22"/>
        </w:rPr>
        <w:t>timicrobials</w:t>
      </w:r>
      <w:r w:rsidR="00931D7D" w:rsidRPr="00EE6EDC">
        <w:rPr>
          <w:rFonts w:ascii="Arial" w:hAnsi="Arial" w:cs="Arial"/>
          <w:sz w:val="22"/>
          <w:szCs w:val="22"/>
        </w:rPr>
        <w:t xml:space="preserve"> known to be associated with CDI</w:t>
      </w:r>
      <w:r w:rsidR="00111156" w:rsidRPr="00EE6EDC">
        <w:rPr>
          <w:rFonts w:ascii="Arial" w:hAnsi="Arial" w:cs="Arial"/>
          <w:sz w:val="22"/>
          <w:szCs w:val="22"/>
          <w:vertAlign w:val="superscript"/>
        </w:rPr>
        <w:t>1</w:t>
      </w:r>
      <w:r w:rsidR="00D9006C">
        <w:rPr>
          <w:rFonts w:ascii="Arial" w:hAnsi="Arial" w:cs="Arial"/>
          <w:sz w:val="22"/>
          <w:szCs w:val="22"/>
          <w:vertAlign w:val="superscript"/>
        </w:rPr>
        <w:t xml:space="preserve"> </w:t>
      </w:r>
      <w:r w:rsidR="00AB6EF9" w:rsidRPr="00EE6EDC">
        <w:rPr>
          <w:rFonts w:ascii="Arial" w:hAnsi="Arial" w:cs="Arial"/>
          <w:sz w:val="22"/>
          <w:szCs w:val="22"/>
        </w:rPr>
        <w:t>are presented with CDI diagnoses rates in Figu</w:t>
      </w:r>
      <w:r w:rsidR="00964429">
        <w:rPr>
          <w:rFonts w:ascii="Arial" w:hAnsi="Arial" w:cs="Arial"/>
          <w:sz w:val="22"/>
          <w:szCs w:val="22"/>
        </w:rPr>
        <w:t>re 3. Broad</w:t>
      </w:r>
      <w:r w:rsidR="00C81912">
        <w:rPr>
          <w:rFonts w:ascii="Arial" w:hAnsi="Arial" w:cs="Arial"/>
          <w:sz w:val="22"/>
          <w:szCs w:val="22"/>
        </w:rPr>
        <w:t>-</w:t>
      </w:r>
      <w:r w:rsidR="00964429">
        <w:rPr>
          <w:rFonts w:ascii="Arial" w:hAnsi="Arial" w:cs="Arial"/>
          <w:sz w:val="22"/>
          <w:szCs w:val="22"/>
        </w:rPr>
        <w:t>spectrum antimicrobials</w:t>
      </w:r>
      <w:r w:rsidR="00904DC3" w:rsidRPr="00EE6EDC">
        <w:rPr>
          <w:rFonts w:ascii="Arial" w:hAnsi="Arial" w:cs="Arial"/>
          <w:sz w:val="22"/>
          <w:szCs w:val="22"/>
        </w:rPr>
        <w:t xml:space="preserve"> are known to disrupt normal inte</w:t>
      </w:r>
      <w:r>
        <w:rPr>
          <w:rFonts w:ascii="Arial" w:hAnsi="Arial" w:cs="Arial"/>
          <w:sz w:val="22"/>
          <w:szCs w:val="22"/>
        </w:rPr>
        <w:t>stinal flora, which increases</w:t>
      </w:r>
      <w:r w:rsidR="00904DC3" w:rsidRPr="00EE6EDC">
        <w:rPr>
          <w:rFonts w:ascii="Arial" w:hAnsi="Arial" w:cs="Arial"/>
          <w:sz w:val="22"/>
          <w:szCs w:val="22"/>
        </w:rPr>
        <w:t xml:space="preserve"> an individual’s susceptibility to </w:t>
      </w:r>
      <w:r w:rsidR="00904DC3" w:rsidRPr="00EE6EDC">
        <w:rPr>
          <w:rFonts w:ascii="Arial" w:hAnsi="Arial" w:cs="Arial"/>
          <w:i/>
          <w:sz w:val="22"/>
          <w:szCs w:val="22"/>
        </w:rPr>
        <w:t>C.</w:t>
      </w:r>
      <w:r w:rsidR="00232463">
        <w:rPr>
          <w:rFonts w:ascii="Arial" w:hAnsi="Arial" w:cs="Arial"/>
          <w:i/>
          <w:sz w:val="22"/>
          <w:szCs w:val="22"/>
        </w:rPr>
        <w:t xml:space="preserve"> </w:t>
      </w:r>
      <w:r w:rsidR="00904DC3" w:rsidRPr="00EE6EDC">
        <w:rPr>
          <w:rFonts w:ascii="Arial" w:hAnsi="Arial" w:cs="Arial"/>
          <w:i/>
          <w:sz w:val="22"/>
          <w:szCs w:val="22"/>
        </w:rPr>
        <w:t>difficile</w:t>
      </w:r>
      <w:r w:rsidR="00904DC3" w:rsidRPr="00EE6EDC">
        <w:rPr>
          <w:rFonts w:ascii="Arial" w:hAnsi="Arial" w:cs="Arial"/>
          <w:sz w:val="22"/>
          <w:szCs w:val="22"/>
        </w:rPr>
        <w:t xml:space="preserve"> colonisation and infection.</w:t>
      </w:r>
      <w:r w:rsidR="00904DC3" w:rsidRPr="00EE6EDC">
        <w:rPr>
          <w:rFonts w:ascii="Arial" w:hAnsi="Arial" w:cs="Arial"/>
          <w:sz w:val="22"/>
          <w:szCs w:val="22"/>
          <w:vertAlign w:val="superscript"/>
        </w:rPr>
        <w:t>1,2</w:t>
      </w:r>
      <w:r w:rsidR="00AB6EF9" w:rsidRPr="00EE6EDC">
        <w:rPr>
          <w:rFonts w:ascii="Arial" w:hAnsi="Arial" w:cs="Arial"/>
          <w:sz w:val="22"/>
          <w:szCs w:val="22"/>
        </w:rPr>
        <w:t xml:space="preserve"> </w:t>
      </w:r>
      <w:r w:rsidR="00904DC3" w:rsidRPr="00EE6EDC">
        <w:rPr>
          <w:rFonts w:ascii="Arial" w:hAnsi="Arial" w:cs="Arial"/>
          <w:sz w:val="22"/>
          <w:szCs w:val="22"/>
        </w:rPr>
        <w:t>Antimicrobials</w:t>
      </w:r>
      <w:r w:rsidR="00EB76E1">
        <w:rPr>
          <w:rFonts w:ascii="Arial" w:hAnsi="Arial" w:cs="Arial"/>
          <w:sz w:val="22"/>
          <w:szCs w:val="22"/>
        </w:rPr>
        <w:t>,</w:t>
      </w:r>
      <w:r w:rsidR="00904DC3" w:rsidRPr="00EE6EDC">
        <w:rPr>
          <w:rFonts w:ascii="Arial" w:hAnsi="Arial" w:cs="Arial"/>
          <w:sz w:val="22"/>
          <w:szCs w:val="22"/>
        </w:rPr>
        <w:t xml:space="preserve"> </w:t>
      </w:r>
      <w:r w:rsidR="00AB6EF9" w:rsidRPr="00EE6EDC">
        <w:rPr>
          <w:rFonts w:ascii="Arial" w:hAnsi="Arial" w:cs="Arial"/>
          <w:sz w:val="22"/>
          <w:szCs w:val="22"/>
        </w:rPr>
        <w:t>such as third-and fourth-generation cephalosporins, fluoroquinolones and carbapenems</w:t>
      </w:r>
      <w:r w:rsidR="00EB76E1">
        <w:rPr>
          <w:rFonts w:ascii="Arial" w:hAnsi="Arial" w:cs="Arial"/>
          <w:sz w:val="22"/>
          <w:szCs w:val="22"/>
        </w:rPr>
        <w:t>,</w:t>
      </w:r>
      <w:r w:rsidR="00AB6EF9" w:rsidRPr="00EE6EDC">
        <w:rPr>
          <w:rFonts w:ascii="Arial" w:hAnsi="Arial" w:cs="Arial"/>
          <w:sz w:val="22"/>
          <w:szCs w:val="22"/>
        </w:rPr>
        <w:t xml:space="preserve"> are widely recognised as a </w:t>
      </w:r>
      <w:r w:rsidR="00904DC3" w:rsidRPr="00EE6EDC">
        <w:rPr>
          <w:rFonts w:ascii="Arial" w:hAnsi="Arial" w:cs="Arial"/>
          <w:sz w:val="22"/>
          <w:szCs w:val="22"/>
        </w:rPr>
        <w:t>risk factors for CDI.</w:t>
      </w:r>
      <w:r w:rsidR="00904DC3" w:rsidRPr="00EE6EDC">
        <w:rPr>
          <w:rFonts w:ascii="Arial" w:hAnsi="Arial" w:cs="Arial"/>
          <w:sz w:val="22"/>
          <w:szCs w:val="22"/>
          <w:vertAlign w:val="superscript"/>
        </w:rPr>
        <w:t>1,2</w:t>
      </w:r>
      <w:r w:rsidR="00232463">
        <w:rPr>
          <w:rFonts w:ascii="Arial" w:hAnsi="Arial" w:cs="Arial"/>
          <w:sz w:val="22"/>
          <w:szCs w:val="22"/>
          <w:vertAlign w:val="superscript"/>
        </w:rPr>
        <w:t xml:space="preserve"> </w:t>
      </w:r>
      <w:r w:rsidR="00232463">
        <w:rPr>
          <w:rFonts w:ascii="Arial" w:hAnsi="Arial" w:cs="Arial"/>
          <w:sz w:val="22"/>
          <w:szCs w:val="22"/>
        </w:rPr>
        <w:t>Specific narrow-spectrum a</w:t>
      </w:r>
      <w:r w:rsidR="00232463" w:rsidRPr="00EE6EDC">
        <w:rPr>
          <w:rFonts w:ascii="Arial" w:hAnsi="Arial" w:cs="Arial"/>
          <w:sz w:val="22"/>
          <w:szCs w:val="22"/>
        </w:rPr>
        <w:t>ntimicrobial</w:t>
      </w:r>
      <w:r w:rsidR="00232463">
        <w:rPr>
          <w:rFonts w:ascii="Arial" w:hAnsi="Arial" w:cs="Arial"/>
          <w:sz w:val="22"/>
          <w:szCs w:val="22"/>
        </w:rPr>
        <w:t xml:space="preserve"> agent</w:t>
      </w:r>
      <w:r w:rsidR="00232463" w:rsidRPr="00EE6EDC">
        <w:rPr>
          <w:rFonts w:ascii="Arial" w:hAnsi="Arial" w:cs="Arial"/>
          <w:sz w:val="22"/>
          <w:szCs w:val="22"/>
        </w:rPr>
        <w:t>s remain the first line of treatment for CDI, however CDI is also predominately caused by antimicrobial use</w:t>
      </w:r>
      <w:r w:rsidR="00232463" w:rsidRPr="004E6241">
        <w:rPr>
          <w:rFonts w:ascii="Arial" w:hAnsi="Arial" w:cs="Arial"/>
          <w:sz w:val="22"/>
          <w:szCs w:val="22"/>
        </w:rPr>
        <w:t>.</w:t>
      </w:r>
      <w:r w:rsidR="00232463" w:rsidRPr="004E6241">
        <w:rPr>
          <w:rFonts w:ascii="Arial" w:hAnsi="Arial" w:cs="Arial"/>
          <w:sz w:val="22"/>
          <w:szCs w:val="22"/>
          <w:vertAlign w:val="superscript"/>
        </w:rPr>
        <w:t>1</w:t>
      </w:r>
      <w:r w:rsidR="004E6241" w:rsidRPr="004E6241">
        <w:rPr>
          <w:rFonts w:ascii="Arial" w:hAnsi="Arial" w:cs="Arial"/>
          <w:sz w:val="22"/>
          <w:szCs w:val="22"/>
          <w:vertAlign w:val="superscript"/>
        </w:rPr>
        <w:t>5</w:t>
      </w:r>
      <w:r w:rsidR="00EF6A88">
        <w:rPr>
          <w:rFonts w:ascii="Arial" w:hAnsi="Arial" w:cs="Arial"/>
          <w:sz w:val="22"/>
          <w:szCs w:val="22"/>
          <w:vertAlign w:val="superscript"/>
        </w:rPr>
        <w:t xml:space="preserve"> </w:t>
      </w:r>
      <w:r w:rsidR="00C81912">
        <w:rPr>
          <w:rFonts w:ascii="Arial" w:hAnsi="Arial" w:cs="Arial"/>
          <w:sz w:val="22"/>
        </w:rPr>
        <w:t xml:space="preserve">Rates of </w:t>
      </w:r>
      <w:r w:rsidR="00C81912" w:rsidRPr="00C81912">
        <w:rPr>
          <w:rFonts w:ascii="Arial" w:hAnsi="Arial" w:cs="Arial"/>
          <w:sz w:val="22"/>
        </w:rPr>
        <w:t xml:space="preserve">CDI </w:t>
      </w:r>
      <w:r w:rsidR="009F4D26" w:rsidRPr="00C27B79">
        <w:rPr>
          <w:rFonts w:ascii="Arial" w:hAnsi="Arial" w:cs="Arial"/>
          <w:sz w:val="22"/>
        </w:rPr>
        <w:t>were</w:t>
      </w:r>
      <w:r w:rsidR="00596BD3" w:rsidRPr="00C27B79">
        <w:rPr>
          <w:rFonts w:ascii="Arial" w:hAnsi="Arial" w:cs="Arial"/>
          <w:sz w:val="22"/>
        </w:rPr>
        <w:t xml:space="preserve"> observed to increase</w:t>
      </w:r>
      <w:r>
        <w:rPr>
          <w:rFonts w:ascii="Arial" w:hAnsi="Arial" w:cs="Arial"/>
          <w:sz w:val="22"/>
        </w:rPr>
        <w:t xml:space="preserve"> steeply</w:t>
      </w:r>
      <w:r w:rsidR="00596BD3" w:rsidRPr="00C27B79">
        <w:rPr>
          <w:rFonts w:ascii="Arial" w:hAnsi="Arial" w:cs="Arial"/>
          <w:sz w:val="22"/>
        </w:rPr>
        <w:t xml:space="preserve"> in the second half 2017</w:t>
      </w:r>
      <w:r w:rsidR="00596BD3" w:rsidRPr="004E6241">
        <w:rPr>
          <w:rFonts w:ascii="Arial" w:hAnsi="Arial" w:cs="Arial"/>
          <w:sz w:val="22"/>
        </w:rPr>
        <w:t>.</w:t>
      </w:r>
      <w:r w:rsidR="00D9006C" w:rsidRPr="004E6241">
        <w:rPr>
          <w:rFonts w:ascii="Arial" w:hAnsi="Arial" w:cs="Arial"/>
          <w:sz w:val="22"/>
          <w:vertAlign w:val="superscript"/>
        </w:rPr>
        <w:t>14</w:t>
      </w:r>
      <w:r w:rsidR="004676E9" w:rsidRPr="00C27B79">
        <w:rPr>
          <w:rFonts w:ascii="Arial" w:hAnsi="Arial" w:cs="Arial"/>
          <w:sz w:val="22"/>
        </w:rPr>
        <w:t xml:space="preserve"> </w:t>
      </w:r>
      <w:r w:rsidR="00931D7D" w:rsidRPr="00C27B79">
        <w:rPr>
          <w:rFonts w:ascii="Arial" w:hAnsi="Arial" w:cs="Arial"/>
          <w:sz w:val="22"/>
        </w:rPr>
        <w:t>T</w:t>
      </w:r>
      <w:r w:rsidR="009F4D26" w:rsidRPr="00C27B79">
        <w:rPr>
          <w:rFonts w:ascii="Arial" w:hAnsi="Arial" w:cs="Arial"/>
          <w:sz w:val="22"/>
        </w:rPr>
        <w:t>his appeared to follow</w:t>
      </w:r>
      <w:r w:rsidR="00987B34" w:rsidRPr="00C27B79">
        <w:rPr>
          <w:rFonts w:ascii="Arial" w:hAnsi="Arial" w:cs="Arial"/>
          <w:sz w:val="22"/>
        </w:rPr>
        <w:t xml:space="preserve"> a</w:t>
      </w:r>
      <w:r w:rsidR="004676E9" w:rsidRPr="00C27B79">
        <w:rPr>
          <w:rFonts w:ascii="Arial" w:hAnsi="Arial" w:cs="Arial"/>
          <w:sz w:val="22"/>
        </w:rPr>
        <w:t xml:space="preserve"> </w:t>
      </w:r>
      <w:r w:rsidR="009F4D26" w:rsidRPr="00C27B79">
        <w:rPr>
          <w:rFonts w:ascii="Arial" w:hAnsi="Arial" w:cs="Arial"/>
          <w:sz w:val="22"/>
        </w:rPr>
        <w:t xml:space="preserve">steady increase in the </w:t>
      </w:r>
      <w:r w:rsidR="00310A64">
        <w:rPr>
          <w:rFonts w:ascii="Arial" w:hAnsi="Arial" w:cs="Arial"/>
          <w:sz w:val="22"/>
        </w:rPr>
        <w:t>use</w:t>
      </w:r>
      <w:r>
        <w:rPr>
          <w:rFonts w:ascii="Arial" w:hAnsi="Arial" w:cs="Arial"/>
          <w:sz w:val="22"/>
        </w:rPr>
        <w:t xml:space="preserve"> of third- and fourth-</w:t>
      </w:r>
      <w:r w:rsidR="009F4D26" w:rsidRPr="00C27B79">
        <w:rPr>
          <w:rFonts w:ascii="Arial" w:hAnsi="Arial" w:cs="Arial"/>
          <w:sz w:val="22"/>
        </w:rPr>
        <w:t xml:space="preserve">generation cephalosporins and a </w:t>
      </w:r>
      <w:r w:rsidR="004676E9" w:rsidRPr="00C27B79">
        <w:rPr>
          <w:rFonts w:ascii="Arial" w:hAnsi="Arial" w:cs="Arial"/>
          <w:sz w:val="22"/>
        </w:rPr>
        <w:t>decline t</w:t>
      </w:r>
      <w:r w:rsidR="005879ED" w:rsidRPr="00C27B79">
        <w:rPr>
          <w:rFonts w:ascii="Arial" w:hAnsi="Arial" w:cs="Arial"/>
          <w:sz w:val="22"/>
        </w:rPr>
        <w:t xml:space="preserve">he </w:t>
      </w:r>
      <w:r w:rsidR="00310A64">
        <w:rPr>
          <w:rFonts w:ascii="Arial" w:hAnsi="Arial" w:cs="Arial"/>
          <w:sz w:val="22"/>
        </w:rPr>
        <w:t>use</w:t>
      </w:r>
      <w:r w:rsidR="005879ED" w:rsidRPr="00C27B79">
        <w:rPr>
          <w:rFonts w:ascii="Arial" w:hAnsi="Arial" w:cs="Arial"/>
          <w:sz w:val="22"/>
        </w:rPr>
        <w:t xml:space="preserve"> of piperacillin</w:t>
      </w:r>
      <w:r>
        <w:rPr>
          <w:rFonts w:ascii="Arial" w:hAnsi="Arial" w:cs="Arial"/>
          <w:sz w:val="22"/>
        </w:rPr>
        <w:t>–</w:t>
      </w:r>
      <w:r w:rsidR="004676E9" w:rsidRPr="00C27B79">
        <w:rPr>
          <w:rFonts w:ascii="Arial" w:hAnsi="Arial" w:cs="Arial"/>
          <w:sz w:val="22"/>
        </w:rPr>
        <w:t>tazobact</w:t>
      </w:r>
      <w:r w:rsidR="009F4D26" w:rsidRPr="00C27B79">
        <w:rPr>
          <w:rFonts w:ascii="Arial" w:hAnsi="Arial" w:cs="Arial"/>
          <w:sz w:val="22"/>
        </w:rPr>
        <w:t xml:space="preserve">am </w:t>
      </w:r>
      <w:r>
        <w:rPr>
          <w:rFonts w:ascii="Arial" w:hAnsi="Arial" w:cs="Arial"/>
          <w:sz w:val="22"/>
        </w:rPr>
        <w:lastRenderedPageBreak/>
        <w:t xml:space="preserve">from mid-2017 onwards, in association with the </w:t>
      </w:r>
      <w:r w:rsidR="00964429">
        <w:rPr>
          <w:rFonts w:ascii="Arial" w:hAnsi="Arial" w:cs="Arial"/>
          <w:sz w:val="22"/>
        </w:rPr>
        <w:t xml:space="preserve">supply </w:t>
      </w:r>
      <w:r w:rsidR="004676E9" w:rsidRPr="00C27B79">
        <w:rPr>
          <w:rFonts w:ascii="Arial" w:hAnsi="Arial" w:cs="Arial"/>
          <w:sz w:val="22"/>
        </w:rPr>
        <w:t>shortage of pipera</w:t>
      </w:r>
      <w:r w:rsidR="005879ED" w:rsidRPr="00C27B79">
        <w:rPr>
          <w:rFonts w:ascii="Arial" w:hAnsi="Arial" w:cs="Arial"/>
          <w:sz w:val="22"/>
        </w:rPr>
        <w:t>cillin</w:t>
      </w:r>
      <w:r>
        <w:rPr>
          <w:rFonts w:ascii="Arial" w:hAnsi="Arial" w:cs="Arial"/>
          <w:sz w:val="22"/>
        </w:rPr>
        <w:t>–tazobactam that</w:t>
      </w:r>
      <w:r w:rsidR="004676E9" w:rsidRPr="00C27B79">
        <w:rPr>
          <w:rFonts w:ascii="Arial" w:hAnsi="Arial" w:cs="Arial"/>
          <w:sz w:val="22"/>
        </w:rPr>
        <w:t xml:space="preserve"> occurred during the second half of 2017</w:t>
      </w:r>
      <w:r>
        <w:rPr>
          <w:rFonts w:ascii="Arial" w:hAnsi="Arial" w:cs="Arial"/>
          <w:sz w:val="22"/>
        </w:rPr>
        <w:t>.</w:t>
      </w:r>
      <w:r w:rsidR="00111156" w:rsidRPr="004E6241">
        <w:rPr>
          <w:rFonts w:ascii="Arial" w:hAnsi="Arial" w:cs="Arial"/>
          <w:sz w:val="22"/>
          <w:vertAlign w:val="superscript"/>
        </w:rPr>
        <w:t>1</w:t>
      </w:r>
      <w:r w:rsidR="004E6241" w:rsidRPr="004E6241">
        <w:rPr>
          <w:rFonts w:ascii="Arial" w:hAnsi="Arial" w:cs="Arial"/>
          <w:sz w:val="22"/>
          <w:vertAlign w:val="superscript"/>
        </w:rPr>
        <w:t>3</w:t>
      </w:r>
      <w:r>
        <w:rPr>
          <w:rFonts w:ascii="Arial" w:hAnsi="Arial" w:cs="Arial"/>
          <w:sz w:val="22"/>
        </w:rPr>
        <w:t xml:space="preserve"> During the shortage, </w:t>
      </w:r>
      <w:r w:rsidR="005879ED" w:rsidRPr="00C27B79">
        <w:rPr>
          <w:rFonts w:ascii="Arial" w:hAnsi="Arial" w:cs="Arial"/>
          <w:sz w:val="22"/>
        </w:rPr>
        <w:t>third</w:t>
      </w:r>
      <w:r w:rsidR="001D6D98" w:rsidRPr="00C27B79">
        <w:rPr>
          <w:rFonts w:ascii="Arial" w:hAnsi="Arial" w:cs="Arial"/>
          <w:sz w:val="22"/>
        </w:rPr>
        <w:t>-</w:t>
      </w:r>
      <w:r w:rsidR="004676E9" w:rsidRPr="00C27B79">
        <w:rPr>
          <w:rFonts w:ascii="Arial" w:hAnsi="Arial" w:cs="Arial"/>
          <w:sz w:val="22"/>
        </w:rPr>
        <w:t>and fourth</w:t>
      </w:r>
      <w:r w:rsidR="001D6D98" w:rsidRPr="00C27B79">
        <w:rPr>
          <w:rFonts w:ascii="Arial" w:hAnsi="Arial" w:cs="Arial"/>
          <w:sz w:val="22"/>
        </w:rPr>
        <w:t>-</w:t>
      </w:r>
      <w:r w:rsidR="004676E9" w:rsidRPr="00C27B79">
        <w:rPr>
          <w:rFonts w:ascii="Arial" w:hAnsi="Arial" w:cs="Arial"/>
          <w:sz w:val="22"/>
        </w:rPr>
        <w:t>generation cephalosporins were the recommended alternative treatment for infections nor</w:t>
      </w:r>
      <w:r w:rsidR="005879ED" w:rsidRPr="00C27B79">
        <w:rPr>
          <w:rFonts w:ascii="Arial" w:hAnsi="Arial" w:cs="Arial"/>
          <w:sz w:val="22"/>
        </w:rPr>
        <w:t>mally treated with piperacillin</w:t>
      </w:r>
      <w:r w:rsidR="004676E9" w:rsidRPr="00C27B79">
        <w:rPr>
          <w:rFonts w:ascii="Arial" w:hAnsi="Arial" w:cs="Arial"/>
          <w:sz w:val="22"/>
        </w:rPr>
        <w:t>–</w:t>
      </w:r>
      <w:r w:rsidR="005879ED" w:rsidRPr="00C27B79">
        <w:rPr>
          <w:rFonts w:ascii="Arial" w:hAnsi="Arial" w:cs="Arial"/>
          <w:sz w:val="22"/>
        </w:rPr>
        <w:t>tazobactam</w:t>
      </w:r>
      <w:r w:rsidR="005879ED" w:rsidRPr="004E6241">
        <w:rPr>
          <w:rFonts w:ascii="Arial" w:hAnsi="Arial" w:cs="Arial"/>
          <w:sz w:val="22"/>
        </w:rPr>
        <w:t>.</w:t>
      </w:r>
      <w:r w:rsidR="00111156" w:rsidRPr="004E6241">
        <w:rPr>
          <w:rFonts w:ascii="Arial" w:hAnsi="Arial" w:cs="Arial"/>
          <w:sz w:val="22"/>
          <w:vertAlign w:val="superscript"/>
        </w:rPr>
        <w:t>1</w:t>
      </w:r>
      <w:r w:rsidR="004E6241" w:rsidRPr="004E6241">
        <w:rPr>
          <w:rFonts w:ascii="Arial" w:hAnsi="Arial" w:cs="Arial"/>
          <w:sz w:val="22"/>
          <w:vertAlign w:val="superscript"/>
        </w:rPr>
        <w:t>6</w:t>
      </w:r>
      <w:r w:rsidR="00987B34" w:rsidRPr="00C27B79">
        <w:rPr>
          <w:rFonts w:ascii="Arial" w:hAnsi="Arial" w:cs="Arial"/>
          <w:sz w:val="22"/>
        </w:rPr>
        <w:t xml:space="preserve"> Rates of CDI remained hig</w:t>
      </w:r>
      <w:r w:rsidR="00987B34">
        <w:rPr>
          <w:rFonts w:ascii="Arial" w:hAnsi="Arial" w:cs="Arial"/>
          <w:sz w:val="22"/>
        </w:rPr>
        <w:t>h throughout 2018</w:t>
      </w:r>
      <w:r w:rsidR="00931D7D">
        <w:rPr>
          <w:rFonts w:ascii="Arial" w:hAnsi="Arial" w:cs="Arial"/>
          <w:sz w:val="22"/>
        </w:rPr>
        <w:t>,</w:t>
      </w:r>
      <w:r w:rsidR="00987B34">
        <w:rPr>
          <w:rFonts w:ascii="Arial" w:hAnsi="Arial" w:cs="Arial"/>
          <w:sz w:val="22"/>
        </w:rPr>
        <w:t xml:space="preserve"> as did the rate of third-</w:t>
      </w:r>
      <w:r w:rsidR="009F4D26">
        <w:rPr>
          <w:rFonts w:ascii="Arial" w:hAnsi="Arial" w:cs="Arial"/>
          <w:sz w:val="22"/>
        </w:rPr>
        <w:t xml:space="preserve"> </w:t>
      </w:r>
      <w:r w:rsidR="00987B34" w:rsidRPr="001B0B2F">
        <w:rPr>
          <w:rFonts w:ascii="Arial" w:hAnsi="Arial" w:cs="Arial"/>
          <w:sz w:val="22"/>
        </w:rPr>
        <w:t xml:space="preserve">and </w:t>
      </w:r>
      <w:r w:rsidR="00987B34">
        <w:rPr>
          <w:rFonts w:ascii="Arial" w:hAnsi="Arial" w:cs="Arial"/>
          <w:sz w:val="22"/>
        </w:rPr>
        <w:t>fourth-</w:t>
      </w:r>
      <w:r w:rsidR="00964429">
        <w:rPr>
          <w:rFonts w:ascii="Arial" w:hAnsi="Arial" w:cs="Arial"/>
          <w:sz w:val="22"/>
        </w:rPr>
        <w:t>generation cephalosporin</w:t>
      </w:r>
      <w:r w:rsidR="00987B34">
        <w:rPr>
          <w:rFonts w:ascii="Arial" w:hAnsi="Arial" w:cs="Arial"/>
          <w:sz w:val="22"/>
        </w:rPr>
        <w:t xml:space="preserve"> </w:t>
      </w:r>
      <w:r w:rsidR="00310A64">
        <w:rPr>
          <w:rFonts w:ascii="Arial" w:hAnsi="Arial" w:cs="Arial"/>
          <w:sz w:val="22"/>
        </w:rPr>
        <w:t>usage</w:t>
      </w:r>
      <w:r w:rsidR="00987B34">
        <w:rPr>
          <w:rFonts w:ascii="Arial" w:hAnsi="Arial" w:cs="Arial"/>
          <w:sz w:val="22"/>
        </w:rPr>
        <w:t xml:space="preserve">. </w:t>
      </w:r>
      <w:r w:rsidR="00931D7D">
        <w:rPr>
          <w:rFonts w:ascii="Arial" w:hAnsi="Arial" w:cs="Arial"/>
          <w:sz w:val="22"/>
        </w:rPr>
        <w:t xml:space="preserve">Whilst the rate of hospital </w:t>
      </w:r>
      <w:r w:rsidR="00310A64">
        <w:rPr>
          <w:rFonts w:ascii="Arial" w:hAnsi="Arial" w:cs="Arial"/>
          <w:sz w:val="22"/>
        </w:rPr>
        <w:t>use</w:t>
      </w:r>
      <w:r w:rsidR="00931D7D">
        <w:rPr>
          <w:rFonts w:ascii="Arial" w:hAnsi="Arial" w:cs="Arial"/>
          <w:sz w:val="22"/>
        </w:rPr>
        <w:t xml:space="preserve"> </w:t>
      </w:r>
      <w:r w:rsidR="00C81912">
        <w:rPr>
          <w:rFonts w:ascii="Arial" w:hAnsi="Arial" w:cs="Arial"/>
          <w:sz w:val="22"/>
        </w:rPr>
        <w:t>of</w:t>
      </w:r>
      <w:r w:rsidR="00931D7D">
        <w:rPr>
          <w:rFonts w:ascii="Arial" w:hAnsi="Arial" w:cs="Arial"/>
          <w:sz w:val="22"/>
        </w:rPr>
        <w:t xml:space="preserve"> third-</w:t>
      </w:r>
      <w:r w:rsidR="00111156">
        <w:rPr>
          <w:rFonts w:ascii="Arial" w:hAnsi="Arial" w:cs="Arial"/>
          <w:sz w:val="22"/>
        </w:rPr>
        <w:t xml:space="preserve"> </w:t>
      </w:r>
      <w:r w:rsidR="00931D7D" w:rsidRPr="001B0B2F">
        <w:rPr>
          <w:rFonts w:ascii="Arial" w:hAnsi="Arial" w:cs="Arial"/>
          <w:sz w:val="22"/>
        </w:rPr>
        <w:t xml:space="preserve">and </w:t>
      </w:r>
      <w:r w:rsidR="00931D7D">
        <w:rPr>
          <w:rFonts w:ascii="Arial" w:hAnsi="Arial" w:cs="Arial"/>
          <w:sz w:val="22"/>
        </w:rPr>
        <w:t>fourth-</w:t>
      </w:r>
      <w:r w:rsidR="00931D7D" w:rsidRPr="001B0B2F">
        <w:rPr>
          <w:rFonts w:ascii="Arial" w:hAnsi="Arial" w:cs="Arial"/>
          <w:sz w:val="22"/>
        </w:rPr>
        <w:t>generation cephalosporins</w:t>
      </w:r>
      <w:r w:rsidR="00931D7D">
        <w:rPr>
          <w:rFonts w:ascii="Arial" w:hAnsi="Arial" w:cs="Arial"/>
          <w:sz w:val="22"/>
        </w:rPr>
        <w:t xml:space="preserve"> began to decline between January and May 2018,</w:t>
      </w:r>
      <w:r w:rsidR="00931D7D" w:rsidRPr="00FB040E">
        <w:rPr>
          <w:rFonts w:ascii="Arial" w:hAnsi="Arial" w:cs="Arial"/>
          <w:sz w:val="22"/>
        </w:rPr>
        <w:t xml:space="preserve"> </w:t>
      </w:r>
      <w:r w:rsidR="00310A64">
        <w:rPr>
          <w:rFonts w:ascii="Arial" w:hAnsi="Arial" w:cs="Arial"/>
          <w:sz w:val="22"/>
        </w:rPr>
        <w:t>usage</w:t>
      </w:r>
      <w:r w:rsidR="00931D7D">
        <w:rPr>
          <w:rFonts w:ascii="Arial" w:hAnsi="Arial" w:cs="Arial"/>
          <w:sz w:val="22"/>
        </w:rPr>
        <w:t xml:space="preserve"> rates plateaued after May 2018 and did not return to the 2017 levels of use</w:t>
      </w:r>
      <w:r w:rsidR="00575D73">
        <w:rPr>
          <w:rFonts w:ascii="Arial" w:hAnsi="Arial" w:cs="Arial"/>
          <w:sz w:val="22"/>
        </w:rPr>
        <w:t xml:space="preserve"> prior to the shortage</w:t>
      </w:r>
      <w:r w:rsidR="00931D7D">
        <w:rPr>
          <w:rFonts w:ascii="Arial" w:hAnsi="Arial" w:cs="Arial"/>
          <w:sz w:val="22"/>
        </w:rPr>
        <w:t>.</w:t>
      </w:r>
      <w:r w:rsidR="00575D73">
        <w:rPr>
          <w:rFonts w:ascii="Arial" w:hAnsi="Arial" w:cs="Arial"/>
          <w:sz w:val="22"/>
        </w:rPr>
        <w:t xml:space="preserve"> </w:t>
      </w:r>
      <w:r w:rsidR="00931D7D">
        <w:rPr>
          <w:rFonts w:ascii="Arial" w:hAnsi="Arial" w:cs="Arial"/>
          <w:sz w:val="22"/>
        </w:rPr>
        <w:t>T</w:t>
      </w:r>
      <w:r w:rsidR="00697CC9">
        <w:rPr>
          <w:rFonts w:ascii="Arial" w:hAnsi="Arial" w:cs="Arial"/>
          <w:sz w:val="22"/>
        </w:rPr>
        <w:t xml:space="preserve">he </w:t>
      </w:r>
      <w:r w:rsidR="00931D7D">
        <w:rPr>
          <w:rFonts w:ascii="Arial" w:hAnsi="Arial" w:cs="Arial"/>
          <w:sz w:val="22"/>
        </w:rPr>
        <w:t xml:space="preserve">reduction in third- and </w:t>
      </w:r>
      <w:r w:rsidR="00964429">
        <w:rPr>
          <w:rFonts w:ascii="Arial" w:hAnsi="Arial" w:cs="Arial"/>
          <w:sz w:val="22"/>
        </w:rPr>
        <w:t>fourth-generation cephalosporin</w:t>
      </w:r>
      <w:r w:rsidR="00931D7D">
        <w:rPr>
          <w:rFonts w:ascii="Arial" w:hAnsi="Arial" w:cs="Arial"/>
          <w:sz w:val="22"/>
        </w:rPr>
        <w:t xml:space="preserve"> </w:t>
      </w:r>
      <w:r w:rsidR="00964429">
        <w:rPr>
          <w:rFonts w:ascii="Arial" w:hAnsi="Arial" w:cs="Arial"/>
          <w:sz w:val="22"/>
        </w:rPr>
        <w:t>use did not continue once</w:t>
      </w:r>
      <w:r w:rsidR="00310A64">
        <w:rPr>
          <w:rFonts w:ascii="Arial" w:hAnsi="Arial" w:cs="Arial"/>
          <w:sz w:val="22"/>
        </w:rPr>
        <w:t xml:space="preserve"> </w:t>
      </w:r>
      <w:r w:rsidR="00931D7D">
        <w:rPr>
          <w:rFonts w:ascii="Arial" w:hAnsi="Arial" w:cs="Arial"/>
          <w:sz w:val="22"/>
        </w:rPr>
        <w:t xml:space="preserve">the </w:t>
      </w:r>
      <w:r w:rsidR="00964429">
        <w:rPr>
          <w:rFonts w:ascii="Arial" w:hAnsi="Arial" w:cs="Arial"/>
          <w:sz w:val="22"/>
        </w:rPr>
        <w:t xml:space="preserve">availability of </w:t>
      </w:r>
      <w:r w:rsidR="00931D7D">
        <w:rPr>
          <w:rFonts w:ascii="Arial" w:hAnsi="Arial" w:cs="Arial"/>
          <w:sz w:val="22"/>
        </w:rPr>
        <w:t>piperacillin</w:t>
      </w:r>
      <w:r>
        <w:rPr>
          <w:rFonts w:ascii="Arial" w:hAnsi="Arial" w:cs="Arial"/>
          <w:sz w:val="22"/>
        </w:rPr>
        <w:t>–</w:t>
      </w:r>
      <w:r w:rsidR="00931D7D">
        <w:rPr>
          <w:rFonts w:ascii="Arial" w:hAnsi="Arial" w:cs="Arial"/>
          <w:sz w:val="22"/>
        </w:rPr>
        <w:t>tazobactam</w:t>
      </w:r>
      <w:r w:rsidR="00931D7D" w:rsidDel="00A6261F">
        <w:rPr>
          <w:rFonts w:ascii="Arial" w:hAnsi="Arial" w:cs="Arial"/>
          <w:sz w:val="22"/>
        </w:rPr>
        <w:t xml:space="preserve"> </w:t>
      </w:r>
      <w:r w:rsidR="00964429">
        <w:rPr>
          <w:rFonts w:ascii="Arial" w:hAnsi="Arial" w:cs="Arial"/>
          <w:sz w:val="22"/>
        </w:rPr>
        <w:t>resumed and usage rates of piperacillin–tazobactam started to increase</w:t>
      </w:r>
      <w:r w:rsidR="00310A64">
        <w:rPr>
          <w:rFonts w:ascii="Arial" w:hAnsi="Arial" w:cs="Arial"/>
          <w:sz w:val="22"/>
        </w:rPr>
        <w:t>.</w:t>
      </w:r>
    </w:p>
    <w:p w:rsidR="00C56A2A" w:rsidRDefault="00C56A2A" w:rsidP="0033204C">
      <w:pPr>
        <w:spacing w:after="0" w:line="276" w:lineRule="auto"/>
        <w:rPr>
          <w:rFonts w:ascii="Arial" w:hAnsi="Arial" w:cs="Arial"/>
          <w:sz w:val="22"/>
        </w:rPr>
      </w:pPr>
    </w:p>
    <w:p w:rsidR="00EA3F3A" w:rsidRDefault="00EA3F3A" w:rsidP="0033204C">
      <w:pPr>
        <w:spacing w:after="0" w:line="276" w:lineRule="auto"/>
        <w:rPr>
          <w:rFonts w:ascii="Arial" w:hAnsi="Arial" w:cs="Arial"/>
          <w:sz w:val="22"/>
        </w:rPr>
      </w:pPr>
    </w:p>
    <w:p w:rsidR="00B602F1" w:rsidRDefault="00EA3F3A" w:rsidP="0033204C">
      <w:pPr>
        <w:spacing w:after="0" w:line="276" w:lineRule="auto"/>
        <w:rPr>
          <w:rFonts w:ascii="Arial" w:hAnsi="Arial" w:cs="Arial"/>
          <w:sz w:val="22"/>
        </w:rPr>
      </w:pPr>
      <w:r>
        <w:rPr>
          <w:rFonts w:ascii="Arial" w:hAnsi="Arial" w:cs="Arial"/>
          <w:sz w:val="22"/>
        </w:rPr>
        <w:t xml:space="preserve"> </w:t>
      </w:r>
    </w:p>
    <w:p w:rsidR="00E32583" w:rsidRPr="00C35C0D" w:rsidRDefault="00E62431" w:rsidP="00581C64">
      <w:pPr>
        <w:pStyle w:val="Heading1"/>
        <w:rPr>
          <w:rFonts w:ascii="Arial" w:hAnsi="Arial"/>
          <w:sz w:val="28"/>
        </w:rPr>
      </w:pPr>
      <w:r w:rsidRPr="00C35C0D">
        <w:rPr>
          <w:rFonts w:ascii="Arial" w:hAnsi="Arial"/>
          <w:sz w:val="28"/>
        </w:rPr>
        <w:lastRenderedPageBreak/>
        <w:t xml:space="preserve">Rate of non-principal CDI </w:t>
      </w:r>
      <w:r w:rsidR="00E32583" w:rsidRPr="00C35C0D">
        <w:rPr>
          <w:rFonts w:ascii="Arial" w:hAnsi="Arial"/>
          <w:sz w:val="28"/>
        </w:rPr>
        <w:t>diagnoses</w:t>
      </w:r>
    </w:p>
    <w:p w:rsidR="0054292F" w:rsidRDefault="0008247B" w:rsidP="0054292F">
      <w:pPr>
        <w:pStyle w:val="Heading1"/>
        <w:spacing w:before="0" w:after="0"/>
        <w:rPr>
          <w:rFonts w:ascii="Arial" w:hAnsi="Arial"/>
          <w:color w:val="auto"/>
          <w:sz w:val="22"/>
          <w:szCs w:val="22"/>
        </w:rPr>
      </w:pPr>
      <w:r w:rsidRPr="00E74DDC">
        <w:rPr>
          <w:rFonts w:ascii="Arial" w:hAnsi="Arial"/>
          <w:color w:val="auto"/>
          <w:sz w:val="22"/>
          <w:szCs w:val="22"/>
        </w:rPr>
        <w:t xml:space="preserve">Figure </w:t>
      </w:r>
      <w:r w:rsidR="003C2392" w:rsidRPr="00E74DDC">
        <w:rPr>
          <w:rFonts w:ascii="Arial" w:hAnsi="Arial"/>
          <w:color w:val="auto"/>
          <w:sz w:val="22"/>
          <w:szCs w:val="22"/>
        </w:rPr>
        <w:t>4</w:t>
      </w:r>
      <w:r w:rsidR="00C81912">
        <w:rPr>
          <w:rFonts w:ascii="Arial" w:hAnsi="Arial"/>
          <w:color w:val="auto"/>
          <w:sz w:val="22"/>
          <w:szCs w:val="22"/>
        </w:rPr>
        <w:t>:</w:t>
      </w:r>
      <w:r w:rsidRPr="00E74DDC">
        <w:rPr>
          <w:rFonts w:ascii="Arial" w:hAnsi="Arial"/>
          <w:color w:val="auto"/>
          <w:sz w:val="22"/>
          <w:szCs w:val="22"/>
        </w:rPr>
        <w:t xml:space="preserve"> </w:t>
      </w:r>
      <w:r w:rsidR="004C0454" w:rsidRPr="00E74DDC">
        <w:rPr>
          <w:rFonts w:ascii="Arial" w:hAnsi="Arial"/>
          <w:color w:val="auto"/>
          <w:sz w:val="22"/>
          <w:szCs w:val="22"/>
        </w:rPr>
        <w:t xml:space="preserve">Rate of </w:t>
      </w:r>
      <w:r w:rsidR="0001675D" w:rsidRPr="00E74DDC">
        <w:rPr>
          <w:rFonts w:ascii="Arial" w:hAnsi="Arial"/>
          <w:color w:val="auto"/>
          <w:sz w:val="22"/>
          <w:szCs w:val="22"/>
        </w:rPr>
        <w:t>CDI (A04.7)</w:t>
      </w:r>
      <w:r w:rsidRPr="00E74DDC">
        <w:rPr>
          <w:rFonts w:ascii="Arial" w:hAnsi="Arial"/>
          <w:color w:val="auto"/>
          <w:sz w:val="22"/>
          <w:szCs w:val="22"/>
        </w:rPr>
        <w:t xml:space="preserve"> </w:t>
      </w:r>
      <w:r w:rsidR="0001675D" w:rsidRPr="00E74DDC">
        <w:rPr>
          <w:rFonts w:ascii="Arial" w:hAnsi="Arial"/>
          <w:color w:val="auto"/>
          <w:sz w:val="22"/>
          <w:szCs w:val="22"/>
        </w:rPr>
        <w:t>n</w:t>
      </w:r>
      <w:r w:rsidRPr="00E74DDC">
        <w:rPr>
          <w:rFonts w:ascii="Arial" w:hAnsi="Arial"/>
          <w:color w:val="auto"/>
          <w:sz w:val="22"/>
          <w:szCs w:val="22"/>
        </w:rPr>
        <w:t>on-princip</w:t>
      </w:r>
      <w:r w:rsidR="00733D05" w:rsidRPr="00E74DDC">
        <w:rPr>
          <w:rFonts w:ascii="Arial" w:hAnsi="Arial"/>
          <w:color w:val="auto"/>
          <w:sz w:val="22"/>
          <w:szCs w:val="22"/>
        </w:rPr>
        <w:t>al</w:t>
      </w:r>
      <w:r w:rsidRPr="00E74DDC">
        <w:rPr>
          <w:rFonts w:ascii="Arial" w:hAnsi="Arial"/>
          <w:color w:val="auto"/>
          <w:sz w:val="22"/>
          <w:szCs w:val="22"/>
        </w:rPr>
        <w:t xml:space="preserve"> </w:t>
      </w:r>
      <w:r w:rsidR="0001675D" w:rsidRPr="00E74DDC">
        <w:rPr>
          <w:rFonts w:ascii="Arial" w:hAnsi="Arial"/>
          <w:color w:val="auto"/>
          <w:sz w:val="22"/>
          <w:szCs w:val="22"/>
        </w:rPr>
        <w:t>diagnoses</w:t>
      </w:r>
      <w:r w:rsidR="00131EC4" w:rsidRPr="00E74DDC">
        <w:rPr>
          <w:rFonts w:ascii="Arial" w:hAnsi="Arial"/>
          <w:color w:val="auto"/>
          <w:sz w:val="22"/>
          <w:szCs w:val="22"/>
        </w:rPr>
        <w:t xml:space="preserve"> </w:t>
      </w:r>
      <w:r w:rsidR="004C0454" w:rsidRPr="00E74DDC">
        <w:rPr>
          <w:rFonts w:ascii="Arial" w:hAnsi="Arial"/>
          <w:color w:val="auto"/>
          <w:sz w:val="22"/>
        </w:rPr>
        <w:t>by Condition of Onset Flag (COF</w:t>
      </w:r>
      <w:r w:rsidR="0054292F" w:rsidRPr="00E74DDC">
        <w:rPr>
          <w:rFonts w:ascii="Arial" w:hAnsi="Arial"/>
          <w:color w:val="auto"/>
          <w:sz w:val="22"/>
        </w:rPr>
        <w:t>)</w:t>
      </w:r>
      <w:r w:rsidR="004C0454" w:rsidRPr="00E74DDC">
        <w:rPr>
          <w:rFonts w:ascii="Arial" w:hAnsi="Arial"/>
          <w:color w:val="auto"/>
          <w:sz w:val="22"/>
        </w:rPr>
        <w:t xml:space="preserve"> </w:t>
      </w:r>
      <w:r w:rsidR="0054292F" w:rsidRPr="00E74DDC">
        <w:rPr>
          <w:rFonts w:ascii="Arial" w:hAnsi="Arial"/>
          <w:color w:val="auto"/>
          <w:sz w:val="22"/>
          <w:szCs w:val="22"/>
        </w:rPr>
        <w:t>in A</w:t>
      </w:r>
      <w:r w:rsidR="00BB3106" w:rsidRPr="00E74DDC">
        <w:rPr>
          <w:rFonts w:ascii="Arial" w:hAnsi="Arial"/>
          <w:color w:val="auto"/>
          <w:sz w:val="22"/>
          <w:szCs w:val="22"/>
        </w:rPr>
        <w:t>ustralian public hospitals, 2018</w:t>
      </w:r>
      <w:r w:rsidR="0054292F" w:rsidRPr="00E74DDC">
        <w:rPr>
          <w:rFonts w:ascii="Arial" w:hAnsi="Arial"/>
          <w:color w:val="auto"/>
          <w:sz w:val="22"/>
          <w:szCs w:val="22"/>
        </w:rPr>
        <w:t>*</w:t>
      </w:r>
      <w:r w:rsidR="0054292F">
        <w:rPr>
          <w:rFonts w:ascii="Arial" w:hAnsi="Arial"/>
          <w:color w:val="auto"/>
          <w:sz w:val="22"/>
          <w:szCs w:val="22"/>
        </w:rPr>
        <w:t xml:space="preserve"> </w:t>
      </w:r>
    </w:p>
    <w:p w:rsidR="00217083" w:rsidRDefault="007B5B2C" w:rsidP="004E6241">
      <w:pPr>
        <w:pStyle w:val="NoSpacing"/>
      </w:pPr>
      <w:r>
        <w:rPr>
          <w:rFonts w:ascii="Arial" w:hAnsi="Arial"/>
          <w:noProof/>
          <w:sz w:val="22"/>
          <w:szCs w:val="22"/>
          <w:lang w:val="en-US"/>
        </w:rPr>
        <mc:AlternateContent>
          <mc:Choice Requires="wps">
            <w:drawing>
              <wp:anchor distT="0" distB="0" distL="114300" distR="114300" simplePos="0" relativeHeight="251654144" behindDoc="0" locked="0" layoutInCell="1" allowOverlap="1">
                <wp:simplePos x="0" y="0"/>
                <wp:positionH relativeFrom="column">
                  <wp:posOffset>2895600</wp:posOffset>
                </wp:positionH>
                <wp:positionV relativeFrom="paragraph">
                  <wp:posOffset>897890</wp:posOffset>
                </wp:positionV>
                <wp:extent cx="2847975" cy="429895"/>
                <wp:effectExtent l="0" t="127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DDC" w:rsidRPr="00E74DDC" w:rsidRDefault="00D94DA6" w:rsidP="00E74DDC">
                            <w:pPr>
                              <w:ind w:left="815"/>
                              <w:jc w:val="right"/>
                              <w:rPr>
                                <w:color w:val="00B0F0"/>
                                <w:sz w:val="18"/>
                                <w:szCs w:val="18"/>
                              </w:rPr>
                            </w:pPr>
                            <w:r>
                              <w:rPr>
                                <w:rFonts w:ascii="Calibri" w:hAnsi="Calibri" w:cs="Calibri"/>
                                <w:color w:val="00B0F0"/>
                                <w:sz w:val="18"/>
                                <w:szCs w:val="18"/>
                              </w:rPr>
                              <w:t xml:space="preserve">   </w:t>
                            </w:r>
                            <w:r w:rsidR="00E74DDC" w:rsidRPr="00C90066">
                              <w:rPr>
                                <w:rFonts w:ascii="Calibri" w:hAnsi="Calibri" w:cs="Calibri"/>
                                <w:color w:val="00B0F0"/>
                                <w:sz w:val="18"/>
                                <w:szCs w:val="18"/>
                              </w:rPr>
                              <w:t>All non-principal CDI diagnoses, n= 5,709</w:t>
                            </w:r>
                          </w:p>
                          <w:p w:rsidR="00E74DDC" w:rsidRDefault="00E74D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228pt;margin-top:70.7pt;width:224.25pt;height:3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G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" filled="f" stroked="f">
                <v:textbox>
                  <w:txbxContent>
                    <w:p w:rsidR="00E74DDC" w:rsidRPr="00E74DDC" w:rsidRDefault="00D94DA6" w:rsidP="00E74DDC">
                      <w:pPr>
                        <w:ind w:left="815"/>
                        <w:jc w:val="right"/>
                        <w:rPr>
                          <w:color w:val="00B0F0"/>
                          <w:sz w:val="18"/>
                          <w:szCs w:val="18"/>
                        </w:rPr>
                      </w:pPr>
                      <w:r>
                        <w:rPr>
                          <w:rFonts w:ascii="Calibri" w:hAnsi="Calibri" w:cs="Calibri"/>
                          <w:color w:val="00B0F0"/>
                          <w:sz w:val="18"/>
                          <w:szCs w:val="18"/>
                        </w:rPr>
                        <w:t xml:space="preserve">   </w:t>
                      </w:r>
                      <w:r w:rsidR="00E74DDC" w:rsidRPr="00C90066">
                        <w:rPr>
                          <w:rFonts w:ascii="Calibri" w:hAnsi="Calibri" w:cs="Calibri"/>
                          <w:color w:val="00B0F0"/>
                          <w:sz w:val="18"/>
                          <w:szCs w:val="18"/>
                        </w:rPr>
                        <w:t>All non-principal CDI diagnoses, n= 5,709</w:t>
                      </w:r>
                    </w:p>
                    <w:p w:rsidR="00E74DDC" w:rsidRDefault="00E74DDC"/>
                  </w:txbxContent>
                </v:textbox>
              </v:shape>
            </w:pict>
          </mc:Fallback>
        </mc:AlternateContent>
      </w:r>
      <w:r>
        <w:rPr>
          <w:noProof/>
          <w:lang w:val="en-US"/>
        </w:rPr>
        <w:drawing>
          <wp:inline distT="0" distB="0" distL="0" distR="0">
            <wp:extent cx="5888990" cy="321881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8990" cy="3218815"/>
                    </a:xfrm>
                    <a:prstGeom prst="rect">
                      <a:avLst/>
                    </a:prstGeom>
                    <a:noFill/>
                  </pic:spPr>
                </pic:pic>
              </a:graphicData>
            </a:graphic>
          </wp:inline>
        </w:drawing>
      </w:r>
    </w:p>
    <w:p w:rsidR="00565FED" w:rsidRPr="00D75B1F" w:rsidRDefault="00565FED" w:rsidP="004E6241">
      <w:pPr>
        <w:pStyle w:val="NoSpacing"/>
        <w:rPr>
          <w:rFonts w:ascii="Arial" w:hAnsi="Arial" w:cs="Arial"/>
          <w:sz w:val="20"/>
        </w:rPr>
      </w:pPr>
      <w:r w:rsidRPr="00D75B1F">
        <w:rPr>
          <w:rFonts w:ascii="Arial" w:hAnsi="Arial" w:cs="Arial"/>
          <w:sz w:val="20"/>
        </w:rPr>
        <w:t>*Based on hospitals with highly reliable COF coding only (2018 n=528)</w:t>
      </w:r>
    </w:p>
    <w:p w:rsidR="00565FED" w:rsidRPr="008B4BC0" w:rsidRDefault="00565FED" w:rsidP="00227793">
      <w:pPr>
        <w:pStyle w:val="Heading1"/>
        <w:spacing w:before="0" w:after="0"/>
        <w:rPr>
          <w:color w:val="auto"/>
          <w:sz w:val="22"/>
          <w:szCs w:val="22"/>
        </w:rPr>
      </w:pPr>
    </w:p>
    <w:p w:rsidR="0097600E" w:rsidRDefault="0097600E" w:rsidP="00217083">
      <w:pPr>
        <w:pStyle w:val="Heading1"/>
        <w:spacing w:before="0" w:after="0"/>
        <w:rPr>
          <w:rFonts w:ascii="Arial" w:hAnsi="Arial"/>
          <w:color w:val="auto"/>
          <w:sz w:val="22"/>
          <w:szCs w:val="22"/>
        </w:rPr>
      </w:pPr>
    </w:p>
    <w:p w:rsidR="001D6D98" w:rsidRPr="00AC4157" w:rsidRDefault="00227793" w:rsidP="00217083">
      <w:pPr>
        <w:pStyle w:val="Heading1"/>
        <w:spacing w:before="0" w:after="0"/>
      </w:pPr>
      <w:r w:rsidRPr="0054292F">
        <w:rPr>
          <w:rFonts w:ascii="Arial" w:hAnsi="Arial"/>
          <w:color w:val="auto"/>
          <w:sz w:val="22"/>
          <w:szCs w:val="22"/>
        </w:rPr>
        <w:t xml:space="preserve">Figure </w:t>
      </w:r>
      <w:r w:rsidRPr="00E74DDC">
        <w:rPr>
          <w:rFonts w:ascii="Arial" w:hAnsi="Arial"/>
          <w:color w:val="auto"/>
          <w:sz w:val="22"/>
          <w:szCs w:val="22"/>
        </w:rPr>
        <w:t>5</w:t>
      </w:r>
      <w:r w:rsidR="00C81912">
        <w:rPr>
          <w:rFonts w:ascii="Arial" w:hAnsi="Arial"/>
          <w:color w:val="auto"/>
          <w:sz w:val="22"/>
          <w:szCs w:val="22"/>
        </w:rPr>
        <w:t>:</w:t>
      </w:r>
      <w:r w:rsidRPr="00E74DDC">
        <w:rPr>
          <w:rFonts w:ascii="Arial" w:hAnsi="Arial"/>
          <w:color w:val="auto"/>
          <w:sz w:val="22"/>
          <w:szCs w:val="22"/>
        </w:rPr>
        <w:t xml:space="preserve"> Estimated burden of pre-existing CDI (A04.7) presenting to hospitals, 2018*</w:t>
      </w:r>
    </w:p>
    <w:p w:rsidR="00E74DDC" w:rsidRDefault="007B5B2C" w:rsidP="00131EC4">
      <w:pPr>
        <w:spacing w:after="0"/>
        <w:ind w:right="687"/>
      </w:pPr>
      <w:r>
        <w:rPr>
          <w:noProof/>
          <w:lang w:val="en-US"/>
        </w:rPr>
        <w:drawing>
          <wp:inline distT="0" distB="0" distL="0" distR="0">
            <wp:extent cx="5883275" cy="34448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3275" cy="3444875"/>
                    </a:xfrm>
                    <a:prstGeom prst="rect">
                      <a:avLst/>
                    </a:prstGeom>
                    <a:noFill/>
                  </pic:spPr>
                </pic:pic>
              </a:graphicData>
            </a:graphic>
          </wp:inline>
        </w:drawing>
      </w:r>
    </w:p>
    <w:p w:rsidR="00BE1CD9" w:rsidRDefault="001525C1" w:rsidP="00BF11C0">
      <w:pPr>
        <w:spacing w:after="0"/>
        <w:rPr>
          <w:rFonts w:ascii="Arial" w:hAnsi="Arial" w:cs="Arial"/>
          <w:sz w:val="20"/>
        </w:rPr>
      </w:pPr>
      <w:r w:rsidRPr="00224CA9">
        <w:t>*</w:t>
      </w:r>
      <w:r w:rsidRPr="00224CA9">
        <w:rPr>
          <w:rFonts w:ascii="Arial" w:hAnsi="Arial" w:cs="Arial"/>
          <w:sz w:val="20"/>
        </w:rPr>
        <w:t xml:space="preserve">Based on hospitals with highly reliable Condition Onset Flag (COF) </w:t>
      </w:r>
      <w:r w:rsidR="00E74DDC" w:rsidRPr="00E74DDC">
        <w:rPr>
          <w:rFonts w:ascii="Arial" w:hAnsi="Arial" w:cs="Arial"/>
          <w:sz w:val="20"/>
        </w:rPr>
        <w:t>coding (n=528</w:t>
      </w:r>
      <w:r w:rsidRPr="00E74DDC">
        <w:rPr>
          <w:rFonts w:ascii="Arial" w:hAnsi="Arial" w:cs="Arial"/>
          <w:sz w:val="20"/>
        </w:rPr>
        <w:t>)</w:t>
      </w:r>
    </w:p>
    <w:p w:rsidR="00BE1CD9" w:rsidRDefault="00BE1CD9" w:rsidP="00BF11C0">
      <w:pPr>
        <w:spacing w:after="0"/>
        <w:rPr>
          <w:rFonts w:ascii="Arial" w:hAnsi="Arial" w:cs="Arial"/>
          <w:sz w:val="20"/>
        </w:rPr>
      </w:pPr>
    </w:p>
    <w:p w:rsidR="00284735" w:rsidRPr="00224CA9" w:rsidRDefault="00284735" w:rsidP="00BF11C0">
      <w:pPr>
        <w:spacing w:after="0"/>
        <w:rPr>
          <w:rFonts w:ascii="Arial" w:hAnsi="Arial" w:cs="Arial"/>
          <w:sz w:val="18"/>
          <w:szCs w:val="20"/>
        </w:rPr>
      </w:pPr>
      <w:r w:rsidRPr="00224CA9">
        <w:rPr>
          <w:rFonts w:ascii="Arial" w:hAnsi="Arial" w:cs="Arial"/>
          <w:sz w:val="18"/>
          <w:szCs w:val="20"/>
        </w:rPr>
        <w:t xml:space="preserve">Note: COF 1: Conditional Onset Flag 1, </w:t>
      </w:r>
      <w:r w:rsidR="00CA6B66">
        <w:rPr>
          <w:rFonts w:ascii="Arial" w:hAnsi="Arial" w:cs="Arial"/>
          <w:sz w:val="18"/>
          <w:szCs w:val="20"/>
        </w:rPr>
        <w:t>‘</w:t>
      </w:r>
      <w:r w:rsidRPr="00224CA9">
        <w:rPr>
          <w:rFonts w:ascii="Arial" w:hAnsi="Arial" w:cs="Arial"/>
          <w:sz w:val="18"/>
          <w:szCs w:val="20"/>
        </w:rPr>
        <w:t>refers to a condition that has arisen during the episode of admitted</w:t>
      </w:r>
      <w:r w:rsidR="00CA6B66">
        <w:rPr>
          <w:rFonts w:ascii="Arial" w:hAnsi="Arial" w:cs="Arial"/>
          <w:sz w:val="18"/>
          <w:szCs w:val="20"/>
        </w:rPr>
        <w:t xml:space="preserve"> patient</w:t>
      </w:r>
      <w:r w:rsidRPr="00224CA9">
        <w:rPr>
          <w:rFonts w:ascii="Arial" w:hAnsi="Arial" w:cs="Arial"/>
          <w:sz w:val="18"/>
          <w:szCs w:val="20"/>
        </w:rPr>
        <w:t xml:space="preserve"> care that would not have been present or suspected on admission</w:t>
      </w:r>
      <w:r w:rsidR="00CA6B66">
        <w:rPr>
          <w:rFonts w:ascii="Arial" w:hAnsi="Arial" w:cs="Arial"/>
          <w:sz w:val="18"/>
          <w:szCs w:val="20"/>
        </w:rPr>
        <w:t>’</w:t>
      </w:r>
      <w:r w:rsidRPr="00224CA9">
        <w:rPr>
          <w:rFonts w:ascii="Arial" w:hAnsi="Arial" w:cs="Arial"/>
          <w:sz w:val="18"/>
          <w:szCs w:val="20"/>
        </w:rPr>
        <w:t>.</w:t>
      </w:r>
    </w:p>
    <w:p w:rsidR="00D27E98" w:rsidRDefault="00284735" w:rsidP="00D27E98">
      <w:pPr>
        <w:rPr>
          <w:rFonts w:ascii="Arial" w:hAnsi="Arial" w:cs="Arial"/>
          <w:sz w:val="18"/>
          <w:szCs w:val="20"/>
        </w:rPr>
      </w:pPr>
      <w:r w:rsidRPr="00224CA9">
        <w:rPr>
          <w:rFonts w:ascii="Arial" w:hAnsi="Arial" w:cs="Arial"/>
          <w:sz w:val="18"/>
          <w:szCs w:val="20"/>
        </w:rPr>
        <w:t xml:space="preserve">COF 2: Condition Onset Flag 2, </w:t>
      </w:r>
      <w:r w:rsidR="00CA6B66">
        <w:rPr>
          <w:rFonts w:ascii="Arial" w:hAnsi="Arial" w:cs="Arial"/>
          <w:sz w:val="18"/>
          <w:szCs w:val="20"/>
        </w:rPr>
        <w:t>‘</w:t>
      </w:r>
      <w:r w:rsidRPr="00224CA9">
        <w:rPr>
          <w:rFonts w:ascii="Arial" w:hAnsi="Arial" w:cs="Arial"/>
          <w:sz w:val="18"/>
          <w:szCs w:val="20"/>
        </w:rPr>
        <w:t>refers to a condition previously existing or suspected on admission</w:t>
      </w:r>
      <w:r w:rsidR="00224CA9" w:rsidRPr="00224CA9">
        <w:rPr>
          <w:rFonts w:ascii="Arial" w:hAnsi="Arial" w:cs="Arial"/>
          <w:sz w:val="18"/>
          <w:szCs w:val="20"/>
        </w:rPr>
        <w:t xml:space="preserve"> su</w:t>
      </w:r>
      <w:r w:rsidRPr="00224CA9">
        <w:rPr>
          <w:rFonts w:ascii="Arial" w:hAnsi="Arial" w:cs="Arial"/>
          <w:sz w:val="18"/>
          <w:szCs w:val="20"/>
        </w:rPr>
        <w:t>ch as the presenting problem, a comorbidity or chronic disease</w:t>
      </w:r>
      <w:r w:rsidR="00CA6B66">
        <w:rPr>
          <w:rFonts w:ascii="Arial" w:hAnsi="Arial" w:cs="Arial"/>
          <w:sz w:val="18"/>
          <w:szCs w:val="20"/>
        </w:rPr>
        <w:t>’</w:t>
      </w:r>
      <w:r w:rsidRPr="00224CA9">
        <w:rPr>
          <w:rFonts w:ascii="Arial" w:hAnsi="Arial" w:cs="Arial"/>
          <w:sz w:val="18"/>
          <w:szCs w:val="20"/>
        </w:rPr>
        <w:t>.</w:t>
      </w:r>
      <w:r w:rsidRPr="00D9006C">
        <w:rPr>
          <w:rFonts w:ascii="Arial" w:hAnsi="Arial" w:cs="Arial"/>
          <w:sz w:val="18"/>
          <w:szCs w:val="20"/>
          <w:vertAlign w:val="superscript"/>
        </w:rPr>
        <w:t xml:space="preserve"> </w:t>
      </w:r>
      <w:r w:rsidR="00927C23" w:rsidRPr="00D9006C">
        <w:rPr>
          <w:rFonts w:ascii="Arial" w:hAnsi="Arial" w:cs="Arial"/>
          <w:sz w:val="18"/>
          <w:szCs w:val="20"/>
          <w:vertAlign w:val="superscript"/>
        </w:rPr>
        <w:t>11</w:t>
      </w:r>
      <w:r w:rsidR="00927C23">
        <w:rPr>
          <w:rFonts w:ascii="Arial" w:hAnsi="Arial" w:cs="Arial"/>
          <w:sz w:val="18"/>
          <w:szCs w:val="20"/>
        </w:rPr>
        <w:t xml:space="preserve"> </w:t>
      </w:r>
      <w:r w:rsidRPr="00224CA9">
        <w:rPr>
          <w:rFonts w:ascii="Arial" w:hAnsi="Arial" w:cs="Arial"/>
          <w:sz w:val="18"/>
          <w:szCs w:val="20"/>
        </w:rPr>
        <w:t>For further information on Conditional Onset Flags, see: Australian Institute of Health and Welfare. Episode of admitted patient care- condition onset flag</w:t>
      </w:r>
      <w:r w:rsidR="00224CA9" w:rsidRPr="00224CA9">
        <w:rPr>
          <w:rFonts w:ascii="Arial" w:hAnsi="Arial" w:cs="Arial"/>
          <w:sz w:val="18"/>
          <w:szCs w:val="20"/>
        </w:rPr>
        <w:t>, code N [online]: Available from:</w:t>
      </w:r>
      <w:r w:rsidR="00224CA9" w:rsidRPr="00224CA9">
        <w:rPr>
          <w:rFonts w:ascii="Arial" w:hAnsi="Arial" w:cs="Arial"/>
          <w:sz w:val="22"/>
          <w:szCs w:val="20"/>
        </w:rPr>
        <w:t xml:space="preserve"> </w:t>
      </w:r>
      <w:hyperlink r:id="rId17" w:history="1">
        <w:r w:rsidR="00224CA9" w:rsidRPr="00224CA9">
          <w:rPr>
            <w:rStyle w:val="Hyperlink"/>
            <w:rFonts w:ascii="Arial" w:hAnsi="Arial" w:cs="Arial"/>
            <w:sz w:val="18"/>
            <w:szCs w:val="20"/>
          </w:rPr>
          <w:t>https://meteor.aihw.gov.au/content/index.phtml/itemId/496512</w:t>
        </w:r>
      </w:hyperlink>
    </w:p>
    <w:p w:rsidR="00AC7681" w:rsidRDefault="00D27E98" w:rsidP="00EF6A88">
      <w:pPr>
        <w:spacing w:after="0"/>
        <w:rPr>
          <w:rFonts w:ascii="Arial" w:hAnsi="Arial" w:cs="Arial"/>
          <w:b/>
          <w:sz w:val="22"/>
        </w:rPr>
      </w:pPr>
      <w:r>
        <w:rPr>
          <w:rFonts w:ascii="Arial" w:hAnsi="Arial" w:cs="Arial"/>
          <w:sz w:val="18"/>
          <w:szCs w:val="20"/>
        </w:rPr>
        <w:br w:type="page"/>
      </w:r>
      <w:r w:rsidR="00C81912">
        <w:rPr>
          <w:rFonts w:ascii="Arial" w:hAnsi="Arial" w:cs="Arial"/>
          <w:b/>
          <w:sz w:val="22"/>
        </w:rPr>
        <w:lastRenderedPageBreak/>
        <w:t>Table 2:</w:t>
      </w:r>
      <w:r w:rsidR="00AC7681" w:rsidRPr="008D0C40">
        <w:rPr>
          <w:rFonts w:ascii="Arial" w:hAnsi="Arial" w:cs="Arial"/>
          <w:b/>
          <w:sz w:val="22"/>
        </w:rPr>
        <w:t xml:space="preserve"> Number of CDI-related separations</w:t>
      </w:r>
      <w:r w:rsidR="00AC7681">
        <w:rPr>
          <w:rFonts w:ascii="Arial" w:hAnsi="Arial" w:cs="Arial"/>
          <w:b/>
          <w:sz w:val="22"/>
        </w:rPr>
        <w:t xml:space="preserve"> (A04.7)</w:t>
      </w:r>
      <w:r w:rsidR="00AC7681" w:rsidRPr="008D0C40">
        <w:rPr>
          <w:rFonts w:ascii="Arial" w:hAnsi="Arial" w:cs="Arial"/>
          <w:b/>
          <w:sz w:val="22"/>
        </w:rPr>
        <w:t xml:space="preserve"> in Australian public hospitals </w:t>
      </w:r>
    </w:p>
    <w:p w:rsidR="00AC7681" w:rsidRDefault="00AC7681" w:rsidP="00EF6A88">
      <w:pPr>
        <w:spacing w:after="0"/>
        <w:rPr>
          <w:rFonts w:ascii="Arial" w:hAnsi="Arial" w:cs="Arial"/>
          <w:b/>
          <w:sz w:val="22"/>
        </w:rPr>
      </w:pPr>
      <w:r w:rsidRPr="008D0C40">
        <w:rPr>
          <w:rFonts w:ascii="Arial" w:hAnsi="Arial" w:cs="Arial"/>
          <w:b/>
          <w:sz w:val="22"/>
        </w:rPr>
        <w:t>(n=689),</w:t>
      </w:r>
      <w:r w:rsidR="0032474B">
        <w:rPr>
          <w:rFonts w:ascii="Arial" w:hAnsi="Arial" w:cs="Arial"/>
          <w:b/>
          <w:sz w:val="22"/>
        </w:rPr>
        <w:t xml:space="preserve"> </w:t>
      </w:r>
      <w:r w:rsidR="00580EC0">
        <w:rPr>
          <w:rFonts w:ascii="Arial" w:hAnsi="Arial" w:cs="Arial"/>
          <w:b/>
          <w:sz w:val="22"/>
        </w:rPr>
        <w:t>2016,</w:t>
      </w:r>
      <w:r w:rsidRPr="008D0C40">
        <w:rPr>
          <w:rFonts w:ascii="Arial" w:hAnsi="Arial" w:cs="Arial"/>
          <w:b/>
          <w:sz w:val="22"/>
        </w:rPr>
        <w:t xml:space="preserve"> 2017 and 2018</w:t>
      </w:r>
    </w:p>
    <w:p w:rsidR="00AC7681" w:rsidRDefault="007B5B2C" w:rsidP="00AC7681">
      <w:pPr>
        <w:spacing w:after="0"/>
        <w:rPr>
          <w:rFonts w:ascii="Arial" w:hAnsi="Arial" w:cs="Arial"/>
          <w:b/>
          <w:sz w:val="22"/>
        </w:rPr>
      </w:pPr>
      <w:r>
        <w:rPr>
          <w:rFonts w:ascii="Arial" w:hAnsi="Arial" w:cs="Arial"/>
          <w:b/>
          <w:noProof/>
          <w:sz w:val="22"/>
          <w:lang w:val="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172720</wp:posOffset>
                </wp:positionV>
                <wp:extent cx="6059170" cy="4071620"/>
                <wp:effectExtent l="9525" t="11430" r="8255" b="12700"/>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4071620"/>
                        </a:xfrm>
                        <a:prstGeom prst="rect">
                          <a:avLst/>
                        </a:prstGeom>
                        <a:noFill/>
                        <a:ln w="158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42"/>
                              <w:gridCol w:w="1231"/>
                              <w:gridCol w:w="1232"/>
                              <w:gridCol w:w="1231"/>
                              <w:gridCol w:w="1232"/>
                            </w:tblGrid>
                            <w:tr w:rsidR="00580EC0" w:rsidRPr="00DE3AF0" w:rsidTr="001D44A4">
                              <w:trPr>
                                <w:trHeight w:val="160"/>
                              </w:trPr>
                              <w:tc>
                                <w:tcPr>
                                  <w:tcW w:w="4442" w:type="dxa"/>
                                  <w:shd w:val="clear" w:color="auto" w:fill="8EAADB"/>
                                </w:tcPr>
                                <w:p w:rsidR="00580EC0" w:rsidRPr="00DE3AF0" w:rsidRDefault="00580EC0" w:rsidP="00580EC0">
                                  <w:pPr>
                                    <w:spacing w:after="0" w:line="240" w:lineRule="auto"/>
                                    <w:jc w:val="center"/>
                                    <w:rPr>
                                      <w:rFonts w:ascii="Arial Bold" w:eastAsia="Times New Roman" w:hAnsi="Arial Bold"/>
                                      <w:b/>
                                      <w:color w:val="000000"/>
                                      <w:sz w:val="22"/>
                                      <w:szCs w:val="22"/>
                                      <w:lang w:eastAsia="en-AU"/>
                                    </w:rPr>
                                  </w:pPr>
                                </w:p>
                              </w:tc>
                              <w:tc>
                                <w:tcPr>
                                  <w:tcW w:w="1231" w:type="dxa"/>
                                  <w:shd w:val="clear" w:color="auto" w:fill="8EAADB"/>
                                  <w:vAlign w:val="center"/>
                                </w:tcPr>
                                <w:p w:rsidR="00580EC0" w:rsidRPr="00580EC0" w:rsidRDefault="00580EC0" w:rsidP="00580EC0">
                                  <w:pPr>
                                    <w:spacing w:after="0" w:line="240" w:lineRule="auto"/>
                                    <w:jc w:val="center"/>
                                    <w:rPr>
                                      <w:rFonts w:ascii="Arial" w:eastAsia="Times New Roman" w:hAnsi="Arial" w:cs="Arial"/>
                                      <w:b/>
                                      <w:color w:val="000000"/>
                                      <w:sz w:val="20"/>
                                      <w:szCs w:val="22"/>
                                      <w:lang w:eastAsia="en-AU"/>
                                    </w:rPr>
                                  </w:pPr>
                                  <w:r w:rsidRPr="00580EC0">
                                    <w:rPr>
                                      <w:rFonts w:ascii="Arial" w:hAnsi="Arial" w:cs="Arial"/>
                                      <w:b/>
                                      <w:sz w:val="20"/>
                                    </w:rPr>
                                    <w:t>2016</w:t>
                                  </w:r>
                                </w:p>
                              </w:tc>
                              <w:tc>
                                <w:tcPr>
                                  <w:tcW w:w="1232" w:type="dxa"/>
                                  <w:shd w:val="clear" w:color="auto" w:fill="8EAADB"/>
                                  <w:vAlign w:val="center"/>
                                </w:tcPr>
                                <w:p w:rsidR="00580EC0" w:rsidRPr="00DE3AF0" w:rsidRDefault="00580EC0" w:rsidP="00580EC0">
                                  <w:pPr>
                                    <w:spacing w:after="0" w:line="240" w:lineRule="auto"/>
                                    <w:jc w:val="center"/>
                                    <w:rPr>
                                      <w:rFonts w:ascii="Arial Bold" w:eastAsia="Times New Roman" w:hAnsi="Arial Bold"/>
                                      <w:b/>
                                      <w:color w:val="000000"/>
                                      <w:sz w:val="20"/>
                                      <w:szCs w:val="22"/>
                                      <w:lang w:eastAsia="en-AU"/>
                                    </w:rPr>
                                  </w:pPr>
                                  <w:r>
                                    <w:rPr>
                                      <w:rFonts w:ascii="Arial Bold" w:eastAsia="Times New Roman" w:hAnsi="Arial Bold"/>
                                      <w:b/>
                                      <w:color w:val="000000"/>
                                      <w:sz w:val="20"/>
                                      <w:szCs w:val="22"/>
                                      <w:lang w:eastAsia="en-AU"/>
                                    </w:rPr>
                                    <w:t>2017</w:t>
                                  </w:r>
                                </w:p>
                              </w:tc>
                              <w:tc>
                                <w:tcPr>
                                  <w:tcW w:w="1231" w:type="dxa"/>
                                  <w:tcBorders>
                                    <w:right w:val="single" w:sz="18" w:space="0" w:color="auto"/>
                                  </w:tcBorders>
                                  <w:shd w:val="clear" w:color="auto" w:fill="8EAADB"/>
                                  <w:vAlign w:val="center"/>
                                </w:tcPr>
                                <w:p w:rsidR="00580EC0" w:rsidRPr="00DE3AF0" w:rsidRDefault="00580EC0" w:rsidP="00580EC0">
                                  <w:pPr>
                                    <w:spacing w:after="0" w:line="240" w:lineRule="auto"/>
                                    <w:jc w:val="center"/>
                                    <w:rPr>
                                      <w:rFonts w:ascii="Arial Bold" w:eastAsia="Times New Roman" w:hAnsi="Arial Bold"/>
                                      <w:b/>
                                      <w:color w:val="000000"/>
                                      <w:sz w:val="20"/>
                                      <w:szCs w:val="22"/>
                                      <w:lang w:eastAsia="en-AU"/>
                                    </w:rPr>
                                  </w:pPr>
                                  <w:r>
                                    <w:rPr>
                                      <w:rFonts w:ascii="Arial Bold" w:eastAsia="Times New Roman" w:hAnsi="Arial Bold"/>
                                      <w:b/>
                                      <w:color w:val="000000"/>
                                      <w:sz w:val="20"/>
                                      <w:szCs w:val="22"/>
                                      <w:lang w:eastAsia="en-AU"/>
                                    </w:rPr>
                                    <w:t>2018</w:t>
                                  </w:r>
                                </w:p>
                              </w:tc>
                              <w:tc>
                                <w:tcPr>
                                  <w:tcW w:w="1232" w:type="dxa"/>
                                  <w:tcBorders>
                                    <w:top w:val="single" w:sz="18" w:space="0" w:color="auto"/>
                                    <w:left w:val="single" w:sz="18" w:space="0" w:color="auto"/>
                                    <w:bottom w:val="single" w:sz="4" w:space="0" w:color="auto"/>
                                    <w:right w:val="single" w:sz="18" w:space="0" w:color="auto"/>
                                  </w:tcBorders>
                                  <w:shd w:val="clear" w:color="auto" w:fill="8EAADB"/>
                                </w:tcPr>
                                <w:p w:rsidR="00580EC0" w:rsidRPr="00DE3AF0" w:rsidRDefault="00580EC0" w:rsidP="00580EC0">
                                  <w:pPr>
                                    <w:spacing w:after="0" w:line="240" w:lineRule="auto"/>
                                    <w:jc w:val="center"/>
                                    <w:rPr>
                                      <w:rFonts w:ascii="Arial Bold" w:eastAsia="Times New Roman" w:hAnsi="Arial Bold"/>
                                      <w:b/>
                                      <w:color w:val="000000"/>
                                      <w:sz w:val="18"/>
                                      <w:szCs w:val="22"/>
                                      <w:lang w:eastAsia="en-AU"/>
                                    </w:rPr>
                                  </w:pPr>
                                  <w:r>
                                    <w:rPr>
                                      <w:rFonts w:ascii="Arial Bold" w:eastAsia="Times New Roman" w:hAnsi="Arial Bold"/>
                                      <w:b/>
                                      <w:color w:val="000000"/>
                                      <w:sz w:val="20"/>
                                      <w:szCs w:val="22"/>
                                      <w:lang w:eastAsia="en-AU"/>
                                    </w:rPr>
                                    <w:t xml:space="preserve">Relative change between 2017 and 2018 </w:t>
                                  </w:r>
                                </w:p>
                              </w:tc>
                            </w:tr>
                            <w:tr w:rsidR="00580EC0" w:rsidRPr="00DE3AF0" w:rsidTr="00580EC0">
                              <w:trPr>
                                <w:trHeight w:val="199"/>
                              </w:trPr>
                              <w:tc>
                                <w:tcPr>
                                  <w:tcW w:w="4442" w:type="dxa"/>
                                  <w:tcBorders>
                                    <w:bottom w:val="single" w:sz="12"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 xml:space="preserve">Number of separations in Australian public hospitals </w:t>
                                  </w:r>
                                </w:p>
                              </w:tc>
                              <w:tc>
                                <w:tcPr>
                                  <w:tcW w:w="1231" w:type="dxa"/>
                                  <w:tcBorders>
                                    <w:bottom w:val="single" w:sz="1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6,747,532</w:t>
                                  </w:r>
                                </w:p>
                              </w:tc>
                              <w:tc>
                                <w:tcPr>
                                  <w:tcW w:w="1232" w:type="dxa"/>
                                  <w:tcBorders>
                                    <w:bottom w:val="single" w:sz="1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7,021,452</w:t>
                                  </w:r>
                                </w:p>
                              </w:tc>
                              <w:tc>
                                <w:tcPr>
                                  <w:tcW w:w="1231" w:type="dxa"/>
                                  <w:tcBorders>
                                    <w:bottom w:val="single" w:sz="1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7,238,129</w:t>
                                  </w:r>
                                </w:p>
                              </w:tc>
                              <w:tc>
                                <w:tcPr>
                                  <w:tcW w:w="1232" w:type="dxa"/>
                                  <w:tcBorders>
                                    <w:left w:val="single" w:sz="18" w:space="0" w:color="auto"/>
                                    <w:bottom w:val="single" w:sz="12"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+3.08%</w:t>
                                  </w:r>
                                </w:p>
                              </w:tc>
                            </w:tr>
                            <w:tr w:rsidR="00580EC0" w:rsidRPr="00DE3AF0" w:rsidTr="00580EC0">
                              <w:trPr>
                                <w:trHeight w:val="199"/>
                              </w:trPr>
                              <w:tc>
                                <w:tcPr>
                                  <w:tcW w:w="4442" w:type="dxa"/>
                                  <w:tcBorders>
                                    <w:top w:val="single" w:sz="12"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of separations with a</w:t>
                                  </w:r>
                                  <w:r>
                                    <w:rPr>
                                      <w:rFonts w:ascii="Arial" w:eastAsia="Times New Roman" w:hAnsi="Arial"/>
                                      <w:color w:val="000000"/>
                                      <w:sz w:val="22"/>
                                      <w:szCs w:val="22"/>
                                      <w:lang w:eastAsia="en-AU"/>
                                    </w:rPr>
                                    <w:t xml:space="preserve"> CDI</w:t>
                                  </w:r>
                                  <w:r w:rsidRPr="00DE3AF0">
                                    <w:rPr>
                                      <w:rFonts w:ascii="Arial" w:eastAsia="Times New Roman" w:hAnsi="Arial"/>
                                      <w:color w:val="000000"/>
                                      <w:sz w:val="22"/>
                                      <w:szCs w:val="22"/>
                                      <w:lang w:eastAsia="en-AU"/>
                                    </w:rPr>
                                    <w:t xml:space="preserve"> diagnosis </w:t>
                                  </w:r>
                                </w:p>
                              </w:tc>
                              <w:tc>
                                <w:tcPr>
                                  <w:tcW w:w="1231" w:type="dxa"/>
                                  <w:tcBorders>
                                    <w:top w:val="single" w:sz="1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7,836</w:t>
                                  </w:r>
                                </w:p>
                              </w:tc>
                              <w:tc>
                                <w:tcPr>
                                  <w:tcW w:w="1232" w:type="dxa"/>
                                  <w:tcBorders>
                                    <w:top w:val="single" w:sz="1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8</w:t>
                                  </w:r>
                                  <w:r>
                                    <w:rPr>
                                      <w:rFonts w:ascii="Arial" w:eastAsia="Times New Roman" w:hAnsi="Arial"/>
                                      <w:color w:val="000000"/>
                                      <w:sz w:val="20"/>
                                      <w:szCs w:val="22"/>
                                      <w:lang w:eastAsia="en-AU"/>
                                    </w:rPr>
                                    <w:t>,</w:t>
                                  </w:r>
                                  <w:r w:rsidRPr="00DE3AF0">
                                    <w:rPr>
                                      <w:rFonts w:ascii="Arial" w:eastAsia="Times New Roman" w:hAnsi="Arial"/>
                                      <w:color w:val="000000"/>
                                      <w:sz w:val="20"/>
                                      <w:szCs w:val="22"/>
                                      <w:lang w:eastAsia="en-AU"/>
                                    </w:rPr>
                                    <w:t>095</w:t>
                                  </w:r>
                                </w:p>
                              </w:tc>
                              <w:tc>
                                <w:tcPr>
                                  <w:tcW w:w="1231" w:type="dxa"/>
                                  <w:tcBorders>
                                    <w:top w:val="single" w:sz="1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8,496</w:t>
                                  </w:r>
                                </w:p>
                              </w:tc>
                              <w:tc>
                                <w:tcPr>
                                  <w:tcW w:w="1232" w:type="dxa"/>
                                  <w:tcBorders>
                                    <w:top w:val="single" w:sz="12" w:space="0" w:color="auto"/>
                                    <w:left w:val="single" w:sz="18"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+4.95%</w:t>
                                  </w:r>
                                </w:p>
                              </w:tc>
                            </w:tr>
                            <w:tr w:rsidR="00580EC0" w:rsidRPr="00DE3AF0" w:rsidTr="00580EC0">
                              <w:trPr>
                                <w:trHeight w:val="186"/>
                              </w:trPr>
                              <w:tc>
                                <w:tcPr>
                                  <w:tcW w:w="4442" w:type="dxa"/>
                                  <w:tcBorders>
                                    <w:bottom w:val="single" w:sz="4"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 xml:space="preserve">Number of separations with a </w:t>
                                  </w:r>
                                  <w:r w:rsidRPr="0032048F">
                                    <w:rPr>
                                      <w:rFonts w:ascii="Arial" w:eastAsia="Times New Roman" w:hAnsi="Arial"/>
                                      <w:color w:val="000000"/>
                                      <w:sz w:val="22"/>
                                      <w:szCs w:val="22"/>
                                      <w:lang w:eastAsia="en-AU"/>
                                    </w:rPr>
                                    <w:t xml:space="preserve">principal </w:t>
                                  </w:r>
                                  <w:r w:rsidRPr="00835B71">
                                    <w:rPr>
                                      <w:rFonts w:ascii="Arial" w:eastAsia="Times New Roman" w:hAnsi="Arial"/>
                                      <w:color w:val="000000"/>
                                      <w:sz w:val="22"/>
                                      <w:szCs w:val="22"/>
                                      <w:lang w:eastAsia="en-AU"/>
                                    </w:rPr>
                                    <w:t>CDI</w:t>
                                  </w:r>
                                  <w:r w:rsidRPr="00DE3AF0">
                                    <w:rPr>
                                      <w:rFonts w:ascii="Arial" w:eastAsia="Times New Roman" w:hAnsi="Arial"/>
                                      <w:color w:val="000000"/>
                                      <w:sz w:val="22"/>
                                      <w:szCs w:val="22"/>
                                      <w:lang w:eastAsia="en-AU"/>
                                    </w:rPr>
                                    <w:t xml:space="preserve"> diagnosis </w:t>
                                  </w:r>
                                </w:p>
                              </w:tc>
                              <w:tc>
                                <w:tcPr>
                                  <w:tcW w:w="1231" w:type="dxa"/>
                                  <w:tcBorders>
                                    <w:bottom w:val="single" w:sz="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2,444</w:t>
                                  </w:r>
                                </w:p>
                              </w:tc>
                              <w:tc>
                                <w:tcPr>
                                  <w:tcW w:w="1232" w:type="dxa"/>
                                  <w:tcBorders>
                                    <w:bottom w:val="single" w:sz="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2</w:t>
                                  </w:r>
                                  <w:r>
                                    <w:rPr>
                                      <w:rFonts w:ascii="Arial" w:eastAsia="Times New Roman" w:hAnsi="Arial"/>
                                      <w:color w:val="000000"/>
                                      <w:sz w:val="20"/>
                                      <w:szCs w:val="22"/>
                                      <w:lang w:eastAsia="en-AU"/>
                                    </w:rPr>
                                    <w:t>,</w:t>
                                  </w:r>
                                  <w:r w:rsidRPr="00DE3AF0">
                                    <w:rPr>
                                      <w:rFonts w:ascii="Arial" w:eastAsia="Times New Roman" w:hAnsi="Arial"/>
                                      <w:color w:val="000000"/>
                                      <w:sz w:val="20"/>
                                      <w:szCs w:val="22"/>
                                      <w:lang w:eastAsia="en-AU"/>
                                    </w:rPr>
                                    <w:t>494</w:t>
                                  </w:r>
                                </w:p>
                              </w:tc>
                              <w:tc>
                                <w:tcPr>
                                  <w:tcW w:w="1231" w:type="dxa"/>
                                  <w:tcBorders>
                                    <w:bottom w:val="single" w:sz="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2,654</w:t>
                                  </w:r>
                                </w:p>
                              </w:tc>
                              <w:tc>
                                <w:tcPr>
                                  <w:tcW w:w="1232" w:type="dxa"/>
                                  <w:tcBorders>
                                    <w:left w:val="single" w:sz="18" w:space="0" w:color="auto"/>
                                    <w:bottom w:val="single" w:sz="2"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+6.42%</w:t>
                                  </w:r>
                                </w:p>
                              </w:tc>
                            </w:tr>
                            <w:tr w:rsidR="00580EC0" w:rsidRPr="00DE3AF0" w:rsidTr="00580EC0">
                              <w:trPr>
                                <w:trHeight w:val="199"/>
                              </w:trPr>
                              <w:tc>
                                <w:tcPr>
                                  <w:tcW w:w="4442" w:type="dxa"/>
                                  <w:tcBorders>
                                    <w:bottom w:val="single" w:sz="12" w:space="0" w:color="auto"/>
                                    <w:right w:val="single" w:sz="2" w:space="0" w:color="auto"/>
                                  </w:tcBorders>
                                  <w:shd w:val="clear" w:color="auto" w:fill="auto"/>
                                </w:tcPr>
                                <w:p w:rsidR="00580EC0" w:rsidRPr="00DE3AF0" w:rsidRDefault="00580EC0" w:rsidP="00C81912">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w:t>
                                  </w:r>
                                  <w:r>
                                    <w:rPr>
                                      <w:rFonts w:ascii="Arial" w:eastAsia="Times New Roman" w:hAnsi="Arial"/>
                                      <w:color w:val="000000"/>
                                      <w:sz w:val="22"/>
                                      <w:szCs w:val="22"/>
                                      <w:lang w:eastAsia="en-AU"/>
                                    </w:rPr>
                                    <w:t>f separations with a non-principal</w:t>
                                  </w:r>
                                  <w:r w:rsidRPr="00DE3AF0">
                                    <w:rPr>
                                      <w:rFonts w:ascii="Arial" w:eastAsia="Times New Roman" w:hAnsi="Arial"/>
                                      <w:color w:val="000000"/>
                                      <w:sz w:val="22"/>
                                      <w:szCs w:val="22"/>
                                      <w:lang w:eastAsia="en-AU"/>
                                    </w:rPr>
                                    <w:t xml:space="preserve"> </w:t>
                                  </w:r>
                                  <w:r>
                                    <w:rPr>
                                      <w:rFonts w:ascii="Arial" w:eastAsia="Times New Roman" w:hAnsi="Arial"/>
                                      <w:color w:val="000000"/>
                                      <w:sz w:val="22"/>
                                      <w:szCs w:val="22"/>
                                      <w:lang w:eastAsia="en-AU"/>
                                    </w:rPr>
                                    <w:t xml:space="preserve">CDI </w:t>
                                  </w:r>
                                  <w:r w:rsidRPr="00DE3AF0">
                                    <w:rPr>
                                      <w:rFonts w:ascii="Arial" w:eastAsia="Times New Roman" w:hAnsi="Arial"/>
                                      <w:color w:val="000000"/>
                                      <w:sz w:val="22"/>
                                      <w:szCs w:val="22"/>
                                      <w:lang w:eastAsia="en-AU"/>
                                    </w:rPr>
                                    <w:t xml:space="preserve">diagnosis </w:t>
                                  </w:r>
                                </w:p>
                              </w:tc>
                              <w:tc>
                                <w:tcPr>
                                  <w:tcW w:w="1231" w:type="dxa"/>
                                  <w:tcBorders>
                                    <w:bottom w:val="single" w:sz="1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5,392</w:t>
                                  </w:r>
                                </w:p>
                              </w:tc>
                              <w:tc>
                                <w:tcPr>
                                  <w:tcW w:w="1232" w:type="dxa"/>
                                  <w:tcBorders>
                                    <w:bottom w:val="single" w:sz="12" w:space="0" w:color="auto"/>
                                    <w:right w:val="single" w:sz="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5</w:t>
                                  </w:r>
                                  <w:r>
                                    <w:rPr>
                                      <w:rFonts w:ascii="Arial" w:eastAsia="Times New Roman" w:hAnsi="Arial"/>
                                      <w:color w:val="000000"/>
                                      <w:sz w:val="20"/>
                                      <w:szCs w:val="22"/>
                                      <w:lang w:eastAsia="en-AU"/>
                                    </w:rPr>
                                    <w:t>,</w:t>
                                  </w:r>
                                  <w:r w:rsidRPr="00DE3AF0">
                                    <w:rPr>
                                      <w:rFonts w:ascii="Arial" w:eastAsia="Times New Roman" w:hAnsi="Arial"/>
                                      <w:color w:val="000000"/>
                                      <w:sz w:val="20"/>
                                      <w:szCs w:val="22"/>
                                      <w:lang w:eastAsia="en-AU"/>
                                    </w:rPr>
                                    <w:t>601</w:t>
                                  </w:r>
                                </w:p>
                              </w:tc>
                              <w:tc>
                                <w:tcPr>
                                  <w:tcW w:w="1231" w:type="dxa"/>
                                  <w:tcBorders>
                                    <w:top w:val="single" w:sz="2" w:space="0" w:color="auto"/>
                                    <w:left w:val="single" w:sz="2" w:space="0" w:color="auto"/>
                                    <w:bottom w:val="single" w:sz="1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5,842</w:t>
                                  </w:r>
                                </w:p>
                              </w:tc>
                              <w:tc>
                                <w:tcPr>
                                  <w:tcW w:w="1232" w:type="dxa"/>
                                  <w:tcBorders>
                                    <w:top w:val="single" w:sz="2" w:space="0" w:color="auto"/>
                                    <w:left w:val="single" w:sz="18" w:space="0" w:color="auto"/>
                                    <w:bottom w:val="single" w:sz="12"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+4.30%</w:t>
                                  </w:r>
                                </w:p>
                              </w:tc>
                            </w:tr>
                            <w:tr w:rsidR="00580EC0" w:rsidRPr="00DE3AF0" w:rsidTr="00580EC0">
                              <w:trPr>
                                <w:trHeight w:val="199"/>
                              </w:trPr>
                              <w:tc>
                                <w:tcPr>
                                  <w:tcW w:w="4442" w:type="dxa"/>
                                  <w:tcBorders>
                                    <w:bottom w:val="single" w:sz="4" w:space="0" w:color="auto"/>
                                  </w:tcBorders>
                                  <w:shd w:val="clear" w:color="auto" w:fill="auto"/>
                                </w:tcPr>
                                <w:p w:rsidR="00580EC0" w:rsidRPr="00DE3AF0" w:rsidRDefault="00580EC0" w:rsidP="00C81912">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of</w:t>
                                  </w:r>
                                  <w:r>
                                    <w:rPr>
                                      <w:rFonts w:ascii="Arial" w:eastAsia="Times New Roman" w:hAnsi="Arial"/>
                                      <w:color w:val="000000"/>
                                      <w:sz w:val="22"/>
                                      <w:szCs w:val="22"/>
                                      <w:lang w:eastAsia="en-AU"/>
                                    </w:rPr>
                                    <w:t xml:space="preserve"> separations with a non-principal CDI </w:t>
                                  </w:r>
                                  <w:r w:rsidRPr="00DE3AF0">
                                    <w:rPr>
                                      <w:rFonts w:ascii="Arial" w:eastAsia="Times New Roman" w:hAnsi="Arial"/>
                                      <w:color w:val="000000"/>
                                      <w:sz w:val="22"/>
                                      <w:szCs w:val="22"/>
                                      <w:lang w:eastAsia="en-AU"/>
                                    </w:rPr>
                                    <w:t xml:space="preserve">diagnosis, with COF1* </w:t>
                                  </w:r>
                                </w:p>
                              </w:tc>
                              <w:tc>
                                <w:tcPr>
                                  <w:tcW w:w="1231" w:type="dxa"/>
                                  <w:tcBorders>
                                    <w:bottom w:val="single" w:sz="4"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1,767</w:t>
                                  </w:r>
                                </w:p>
                              </w:tc>
                              <w:tc>
                                <w:tcPr>
                                  <w:tcW w:w="1232" w:type="dxa"/>
                                  <w:tcBorders>
                                    <w:bottom w:val="single" w:sz="4"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Pr>
                                      <w:rFonts w:ascii="Arial" w:eastAsia="Times New Roman" w:hAnsi="Arial"/>
                                      <w:color w:val="000000"/>
                                      <w:sz w:val="20"/>
                                      <w:szCs w:val="22"/>
                                      <w:lang w:eastAsia="en-AU"/>
                                    </w:rPr>
                                    <w:t>1,876</w:t>
                                  </w:r>
                                </w:p>
                              </w:tc>
                              <w:tc>
                                <w:tcPr>
                                  <w:tcW w:w="1231" w:type="dxa"/>
                                  <w:tcBorders>
                                    <w:top w:val="single" w:sz="12" w:space="0" w:color="auto"/>
                                    <w:bottom w:val="single" w:sz="4"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1,699</w:t>
                                  </w:r>
                                </w:p>
                              </w:tc>
                              <w:tc>
                                <w:tcPr>
                                  <w:tcW w:w="1232" w:type="dxa"/>
                                  <w:tcBorders>
                                    <w:top w:val="single" w:sz="12" w:space="0" w:color="auto"/>
                                    <w:left w:val="single" w:sz="18" w:space="0" w:color="auto"/>
                                    <w:bottom w:val="single" w:sz="4"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-9.43%</w:t>
                                  </w:r>
                                </w:p>
                              </w:tc>
                            </w:tr>
                            <w:tr w:rsidR="00580EC0" w:rsidRPr="00DE3AF0" w:rsidTr="00580EC0">
                              <w:trPr>
                                <w:trHeight w:val="199"/>
                              </w:trPr>
                              <w:tc>
                                <w:tcPr>
                                  <w:tcW w:w="4442" w:type="dxa"/>
                                  <w:tcBorders>
                                    <w:top w:val="single" w:sz="4" w:space="0" w:color="auto"/>
                                    <w:bottom w:val="single" w:sz="12"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of</w:t>
                                  </w:r>
                                  <w:r>
                                    <w:rPr>
                                      <w:rFonts w:ascii="Arial" w:eastAsia="Times New Roman" w:hAnsi="Arial"/>
                                      <w:color w:val="000000"/>
                                      <w:sz w:val="22"/>
                                      <w:szCs w:val="22"/>
                                      <w:lang w:eastAsia="en-AU"/>
                                    </w:rPr>
                                    <w:t xml:space="preserve"> separations with a non</w:t>
                                  </w:r>
                                  <w:r w:rsidR="00C81912">
                                    <w:rPr>
                                      <w:rFonts w:ascii="Arial" w:eastAsia="Times New Roman" w:hAnsi="Arial"/>
                                      <w:color w:val="000000"/>
                                      <w:sz w:val="22"/>
                                      <w:szCs w:val="22"/>
                                      <w:lang w:eastAsia="en-AU"/>
                                    </w:rPr>
                                    <w:t>-</w:t>
                                  </w:r>
                                  <w:r>
                                    <w:rPr>
                                      <w:rFonts w:ascii="Arial" w:eastAsia="Times New Roman" w:hAnsi="Arial"/>
                                      <w:color w:val="000000"/>
                                      <w:sz w:val="22"/>
                                      <w:szCs w:val="22"/>
                                      <w:lang w:eastAsia="en-AU"/>
                                    </w:rPr>
                                    <w:t>principal</w:t>
                                  </w:r>
                                </w:p>
                                <w:p w:rsidR="00580EC0" w:rsidRPr="00DE3AF0" w:rsidRDefault="00580EC0" w:rsidP="00580EC0">
                                  <w:pPr>
                                    <w:spacing w:after="0" w:line="240" w:lineRule="auto"/>
                                    <w:rPr>
                                      <w:rFonts w:ascii="Arial" w:eastAsia="Times New Roman" w:hAnsi="Arial"/>
                                      <w:color w:val="000000"/>
                                      <w:sz w:val="22"/>
                                      <w:szCs w:val="22"/>
                                      <w:lang w:eastAsia="en-AU"/>
                                    </w:rPr>
                                  </w:pPr>
                                  <w:r>
                                    <w:rPr>
                                      <w:rFonts w:ascii="Arial" w:eastAsia="Times New Roman" w:hAnsi="Arial"/>
                                      <w:color w:val="000000"/>
                                      <w:sz w:val="22"/>
                                      <w:szCs w:val="22"/>
                                      <w:lang w:eastAsia="en-AU"/>
                                    </w:rPr>
                                    <w:t>CDI</w:t>
                                  </w:r>
                                  <w:r w:rsidRPr="00DE3AF0">
                                    <w:rPr>
                                      <w:rFonts w:ascii="Arial" w:eastAsia="Times New Roman" w:hAnsi="Arial"/>
                                      <w:color w:val="000000"/>
                                      <w:sz w:val="22"/>
                                      <w:szCs w:val="22"/>
                                      <w:lang w:eastAsia="en-AU"/>
                                    </w:rPr>
                                    <w:t xml:space="preserve"> diagnosis, with COF2*</w:t>
                                  </w:r>
                                </w:p>
                              </w:tc>
                              <w:tc>
                                <w:tcPr>
                                  <w:tcW w:w="1231" w:type="dxa"/>
                                  <w:tcBorders>
                                    <w:top w:val="single" w:sz="4" w:space="0" w:color="auto"/>
                                    <w:bottom w:val="single" w:sz="4"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3,476</w:t>
                                  </w:r>
                                </w:p>
                              </w:tc>
                              <w:tc>
                                <w:tcPr>
                                  <w:tcW w:w="1232" w:type="dxa"/>
                                  <w:tcBorders>
                                    <w:top w:val="single" w:sz="4" w:space="0" w:color="auto"/>
                                    <w:bottom w:val="single" w:sz="4"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Pr>
                                      <w:rFonts w:ascii="Arial" w:eastAsia="Times New Roman" w:hAnsi="Arial"/>
                                      <w:color w:val="000000"/>
                                      <w:sz w:val="20"/>
                                      <w:szCs w:val="22"/>
                                      <w:lang w:eastAsia="en-AU"/>
                                    </w:rPr>
                                    <w:t>3,600</w:t>
                                  </w:r>
                                </w:p>
                              </w:tc>
                              <w:tc>
                                <w:tcPr>
                                  <w:tcW w:w="1231" w:type="dxa"/>
                                  <w:tcBorders>
                                    <w:top w:val="single" w:sz="4" w:space="0" w:color="auto"/>
                                    <w:bottom w:val="single" w:sz="4"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4,010</w:t>
                                  </w:r>
                                </w:p>
                              </w:tc>
                              <w:tc>
                                <w:tcPr>
                                  <w:tcW w:w="1232" w:type="dxa"/>
                                  <w:tcBorders>
                                    <w:top w:val="single" w:sz="4" w:space="0" w:color="auto"/>
                                    <w:left w:val="single" w:sz="18" w:space="0" w:color="auto"/>
                                    <w:bottom w:val="single" w:sz="4"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+11.38%</w:t>
                                  </w:r>
                                </w:p>
                              </w:tc>
                            </w:tr>
                            <w:tr w:rsidR="00580EC0" w:rsidRPr="00DE3AF0" w:rsidTr="00580EC0">
                              <w:trPr>
                                <w:trHeight w:val="665"/>
                              </w:trPr>
                              <w:tc>
                                <w:tcPr>
                                  <w:tcW w:w="4442" w:type="dxa"/>
                                  <w:tcBorders>
                                    <w:top w:val="single" w:sz="12" w:space="0" w:color="auto"/>
                                    <w:bottom w:val="single" w:sz="12"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Estimated pre-existing burden</w:t>
                                  </w:r>
                                </w:p>
                                <w:p w:rsidR="00580EC0" w:rsidRPr="00DE3AF0" w:rsidRDefault="00580EC0" w:rsidP="00580EC0">
                                  <w:pPr>
                                    <w:spacing w:after="0" w:line="240" w:lineRule="auto"/>
                                    <w:rPr>
                                      <w:rFonts w:ascii="Arial" w:eastAsia="Times New Roman" w:hAnsi="Arial"/>
                                      <w:i/>
                                      <w:color w:val="000000"/>
                                      <w:sz w:val="22"/>
                                      <w:szCs w:val="22"/>
                                      <w:lang w:eastAsia="en-AU"/>
                                    </w:rPr>
                                  </w:pPr>
                                  <w:r>
                                    <w:rPr>
                                      <w:rFonts w:ascii="Arial" w:eastAsia="Times New Roman" w:hAnsi="Arial"/>
                                      <w:i/>
                                      <w:color w:val="000000"/>
                                      <w:sz w:val="22"/>
                                      <w:szCs w:val="22"/>
                                      <w:lang w:eastAsia="en-AU"/>
                                    </w:rPr>
                                    <w:t>Principal CDI+ non-principal</w:t>
                                  </w:r>
                                  <w:r w:rsidRPr="00DE3AF0">
                                    <w:rPr>
                                      <w:rFonts w:ascii="Arial" w:eastAsia="Times New Roman" w:hAnsi="Arial"/>
                                      <w:i/>
                                      <w:color w:val="000000"/>
                                      <w:sz w:val="22"/>
                                      <w:szCs w:val="22"/>
                                      <w:lang w:eastAsia="en-AU"/>
                                    </w:rPr>
                                    <w:t xml:space="preserve"> </w:t>
                                  </w:r>
                                  <w:r>
                                    <w:rPr>
                                      <w:rFonts w:ascii="Arial" w:eastAsia="Times New Roman" w:hAnsi="Arial"/>
                                      <w:i/>
                                      <w:color w:val="000000"/>
                                      <w:sz w:val="22"/>
                                      <w:szCs w:val="22"/>
                                      <w:lang w:eastAsia="en-AU"/>
                                    </w:rPr>
                                    <w:t>CDI</w:t>
                                  </w:r>
                                  <w:r w:rsidRPr="00DE3AF0">
                                    <w:rPr>
                                      <w:rFonts w:ascii="Arial" w:eastAsia="Times New Roman" w:hAnsi="Arial"/>
                                      <w:i/>
                                      <w:color w:val="000000"/>
                                      <w:sz w:val="22"/>
                                      <w:szCs w:val="22"/>
                                      <w:lang w:eastAsia="en-AU"/>
                                    </w:rPr>
                                    <w:t>, COF2*</w:t>
                                  </w:r>
                                </w:p>
                              </w:tc>
                              <w:tc>
                                <w:tcPr>
                                  <w:tcW w:w="1231" w:type="dxa"/>
                                  <w:tcBorders>
                                    <w:top w:val="single" w:sz="12" w:space="0" w:color="auto"/>
                                    <w:bottom w:val="single" w:sz="1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5,920</w:t>
                                  </w:r>
                                </w:p>
                              </w:tc>
                              <w:tc>
                                <w:tcPr>
                                  <w:tcW w:w="1232" w:type="dxa"/>
                                  <w:tcBorders>
                                    <w:top w:val="single" w:sz="12" w:space="0" w:color="auto"/>
                                    <w:bottom w:val="single" w:sz="1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Pr>
                                      <w:rFonts w:ascii="Arial" w:eastAsia="Times New Roman" w:hAnsi="Arial"/>
                                      <w:color w:val="000000"/>
                                      <w:sz w:val="20"/>
                                      <w:szCs w:val="22"/>
                                      <w:lang w:eastAsia="en-AU"/>
                                    </w:rPr>
                                    <w:t>6,094</w:t>
                                  </w:r>
                                </w:p>
                              </w:tc>
                              <w:tc>
                                <w:tcPr>
                                  <w:tcW w:w="1231" w:type="dxa"/>
                                  <w:tcBorders>
                                    <w:top w:val="single" w:sz="12" w:space="0" w:color="auto"/>
                                    <w:bottom w:val="single" w:sz="1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6,664</w:t>
                                  </w:r>
                                </w:p>
                              </w:tc>
                              <w:tc>
                                <w:tcPr>
                                  <w:tcW w:w="1232" w:type="dxa"/>
                                  <w:tcBorders>
                                    <w:top w:val="single" w:sz="12" w:space="0" w:color="auto"/>
                                    <w:left w:val="single" w:sz="18" w:space="0" w:color="auto"/>
                                    <w:bottom w:val="single" w:sz="18"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+9.35%</w:t>
                                  </w:r>
                                </w:p>
                              </w:tc>
                            </w:tr>
                          </w:tbl>
                          <w:p w:rsidR="00AC7681" w:rsidRDefault="00AC7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8" type="#_x0000_t202" style="position:absolute;margin-left:0;margin-top:13.6pt;width:477.1pt;height:3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" filled="f" strokecolor="white" strokeweight="1.25pt">
                <v:textbox>
                  <w:txbxConten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42"/>
                        <w:gridCol w:w="1231"/>
                        <w:gridCol w:w="1232"/>
                        <w:gridCol w:w="1231"/>
                        <w:gridCol w:w="1232"/>
                      </w:tblGrid>
                      <w:tr w:rsidR="00580EC0" w:rsidRPr="00DE3AF0" w:rsidTr="001D44A4">
                        <w:trPr>
                          <w:trHeight w:val="160"/>
                        </w:trPr>
                        <w:tc>
                          <w:tcPr>
                            <w:tcW w:w="4442" w:type="dxa"/>
                            <w:shd w:val="clear" w:color="auto" w:fill="8EAADB"/>
                          </w:tcPr>
                          <w:p w:rsidR="00580EC0" w:rsidRPr="00DE3AF0" w:rsidRDefault="00580EC0" w:rsidP="00580EC0">
                            <w:pPr>
                              <w:spacing w:after="0" w:line="240" w:lineRule="auto"/>
                              <w:jc w:val="center"/>
                              <w:rPr>
                                <w:rFonts w:ascii="Arial Bold" w:eastAsia="Times New Roman" w:hAnsi="Arial Bold"/>
                                <w:b/>
                                <w:color w:val="000000"/>
                                <w:sz w:val="22"/>
                                <w:szCs w:val="22"/>
                                <w:lang w:eastAsia="en-AU"/>
                              </w:rPr>
                            </w:pPr>
                          </w:p>
                        </w:tc>
                        <w:tc>
                          <w:tcPr>
                            <w:tcW w:w="1231" w:type="dxa"/>
                            <w:shd w:val="clear" w:color="auto" w:fill="8EAADB"/>
                            <w:vAlign w:val="center"/>
                          </w:tcPr>
                          <w:p w:rsidR="00580EC0" w:rsidRPr="00580EC0" w:rsidRDefault="00580EC0" w:rsidP="00580EC0">
                            <w:pPr>
                              <w:spacing w:after="0" w:line="240" w:lineRule="auto"/>
                              <w:jc w:val="center"/>
                              <w:rPr>
                                <w:rFonts w:ascii="Arial" w:eastAsia="Times New Roman" w:hAnsi="Arial" w:cs="Arial"/>
                                <w:b/>
                                <w:color w:val="000000"/>
                                <w:sz w:val="20"/>
                                <w:szCs w:val="22"/>
                                <w:lang w:eastAsia="en-AU"/>
                              </w:rPr>
                            </w:pPr>
                            <w:r w:rsidRPr="00580EC0">
                              <w:rPr>
                                <w:rFonts w:ascii="Arial" w:hAnsi="Arial" w:cs="Arial"/>
                                <w:b/>
                                <w:sz w:val="20"/>
                              </w:rPr>
                              <w:t>2016</w:t>
                            </w:r>
                          </w:p>
                        </w:tc>
                        <w:tc>
                          <w:tcPr>
                            <w:tcW w:w="1232" w:type="dxa"/>
                            <w:shd w:val="clear" w:color="auto" w:fill="8EAADB"/>
                            <w:vAlign w:val="center"/>
                          </w:tcPr>
                          <w:p w:rsidR="00580EC0" w:rsidRPr="00DE3AF0" w:rsidRDefault="00580EC0" w:rsidP="00580EC0">
                            <w:pPr>
                              <w:spacing w:after="0" w:line="240" w:lineRule="auto"/>
                              <w:jc w:val="center"/>
                              <w:rPr>
                                <w:rFonts w:ascii="Arial Bold" w:eastAsia="Times New Roman" w:hAnsi="Arial Bold"/>
                                <w:b/>
                                <w:color w:val="000000"/>
                                <w:sz w:val="20"/>
                                <w:szCs w:val="22"/>
                                <w:lang w:eastAsia="en-AU"/>
                              </w:rPr>
                            </w:pPr>
                            <w:r>
                              <w:rPr>
                                <w:rFonts w:ascii="Arial Bold" w:eastAsia="Times New Roman" w:hAnsi="Arial Bold"/>
                                <w:b/>
                                <w:color w:val="000000"/>
                                <w:sz w:val="20"/>
                                <w:szCs w:val="22"/>
                                <w:lang w:eastAsia="en-AU"/>
                              </w:rPr>
                              <w:t>2017</w:t>
                            </w:r>
                          </w:p>
                        </w:tc>
                        <w:tc>
                          <w:tcPr>
                            <w:tcW w:w="1231" w:type="dxa"/>
                            <w:tcBorders>
                              <w:right w:val="single" w:sz="18" w:space="0" w:color="auto"/>
                            </w:tcBorders>
                            <w:shd w:val="clear" w:color="auto" w:fill="8EAADB"/>
                            <w:vAlign w:val="center"/>
                          </w:tcPr>
                          <w:p w:rsidR="00580EC0" w:rsidRPr="00DE3AF0" w:rsidRDefault="00580EC0" w:rsidP="00580EC0">
                            <w:pPr>
                              <w:spacing w:after="0" w:line="240" w:lineRule="auto"/>
                              <w:jc w:val="center"/>
                              <w:rPr>
                                <w:rFonts w:ascii="Arial Bold" w:eastAsia="Times New Roman" w:hAnsi="Arial Bold"/>
                                <w:b/>
                                <w:color w:val="000000"/>
                                <w:sz w:val="20"/>
                                <w:szCs w:val="22"/>
                                <w:lang w:eastAsia="en-AU"/>
                              </w:rPr>
                            </w:pPr>
                            <w:r>
                              <w:rPr>
                                <w:rFonts w:ascii="Arial Bold" w:eastAsia="Times New Roman" w:hAnsi="Arial Bold"/>
                                <w:b/>
                                <w:color w:val="000000"/>
                                <w:sz w:val="20"/>
                                <w:szCs w:val="22"/>
                                <w:lang w:eastAsia="en-AU"/>
                              </w:rPr>
                              <w:t>2018</w:t>
                            </w:r>
                          </w:p>
                        </w:tc>
                        <w:tc>
                          <w:tcPr>
                            <w:tcW w:w="1232" w:type="dxa"/>
                            <w:tcBorders>
                              <w:top w:val="single" w:sz="18" w:space="0" w:color="auto"/>
                              <w:left w:val="single" w:sz="18" w:space="0" w:color="auto"/>
                              <w:bottom w:val="single" w:sz="4" w:space="0" w:color="auto"/>
                              <w:right w:val="single" w:sz="18" w:space="0" w:color="auto"/>
                            </w:tcBorders>
                            <w:shd w:val="clear" w:color="auto" w:fill="8EAADB"/>
                          </w:tcPr>
                          <w:p w:rsidR="00580EC0" w:rsidRPr="00DE3AF0" w:rsidRDefault="00580EC0" w:rsidP="00580EC0">
                            <w:pPr>
                              <w:spacing w:after="0" w:line="240" w:lineRule="auto"/>
                              <w:jc w:val="center"/>
                              <w:rPr>
                                <w:rFonts w:ascii="Arial Bold" w:eastAsia="Times New Roman" w:hAnsi="Arial Bold"/>
                                <w:b/>
                                <w:color w:val="000000"/>
                                <w:sz w:val="18"/>
                                <w:szCs w:val="22"/>
                                <w:lang w:eastAsia="en-AU"/>
                              </w:rPr>
                            </w:pPr>
                            <w:r>
                              <w:rPr>
                                <w:rFonts w:ascii="Arial Bold" w:eastAsia="Times New Roman" w:hAnsi="Arial Bold"/>
                                <w:b/>
                                <w:color w:val="000000"/>
                                <w:sz w:val="20"/>
                                <w:szCs w:val="22"/>
                                <w:lang w:eastAsia="en-AU"/>
                              </w:rPr>
                              <w:t xml:space="preserve">Relative change between 2017 and 2018 </w:t>
                            </w:r>
                          </w:p>
                        </w:tc>
                      </w:tr>
                      <w:tr w:rsidR="00580EC0" w:rsidRPr="00DE3AF0" w:rsidTr="00580EC0">
                        <w:trPr>
                          <w:trHeight w:val="199"/>
                        </w:trPr>
                        <w:tc>
                          <w:tcPr>
                            <w:tcW w:w="4442" w:type="dxa"/>
                            <w:tcBorders>
                              <w:bottom w:val="single" w:sz="12"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 xml:space="preserve">Number of separations in Australian public hospitals </w:t>
                            </w:r>
                          </w:p>
                        </w:tc>
                        <w:tc>
                          <w:tcPr>
                            <w:tcW w:w="1231" w:type="dxa"/>
                            <w:tcBorders>
                              <w:bottom w:val="single" w:sz="1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6,747,532</w:t>
                            </w:r>
                          </w:p>
                        </w:tc>
                        <w:tc>
                          <w:tcPr>
                            <w:tcW w:w="1232" w:type="dxa"/>
                            <w:tcBorders>
                              <w:bottom w:val="single" w:sz="1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7,021,452</w:t>
                            </w:r>
                          </w:p>
                        </w:tc>
                        <w:tc>
                          <w:tcPr>
                            <w:tcW w:w="1231" w:type="dxa"/>
                            <w:tcBorders>
                              <w:bottom w:val="single" w:sz="1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7,238,129</w:t>
                            </w:r>
                          </w:p>
                        </w:tc>
                        <w:tc>
                          <w:tcPr>
                            <w:tcW w:w="1232" w:type="dxa"/>
                            <w:tcBorders>
                              <w:left w:val="single" w:sz="18" w:space="0" w:color="auto"/>
                              <w:bottom w:val="single" w:sz="12"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+3.08%</w:t>
                            </w:r>
                          </w:p>
                        </w:tc>
                      </w:tr>
                      <w:tr w:rsidR="00580EC0" w:rsidRPr="00DE3AF0" w:rsidTr="00580EC0">
                        <w:trPr>
                          <w:trHeight w:val="199"/>
                        </w:trPr>
                        <w:tc>
                          <w:tcPr>
                            <w:tcW w:w="4442" w:type="dxa"/>
                            <w:tcBorders>
                              <w:top w:val="single" w:sz="12"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of separations with a</w:t>
                            </w:r>
                            <w:r>
                              <w:rPr>
                                <w:rFonts w:ascii="Arial" w:eastAsia="Times New Roman" w:hAnsi="Arial"/>
                                <w:color w:val="000000"/>
                                <w:sz w:val="22"/>
                                <w:szCs w:val="22"/>
                                <w:lang w:eastAsia="en-AU"/>
                              </w:rPr>
                              <w:t xml:space="preserve"> CDI</w:t>
                            </w:r>
                            <w:r w:rsidRPr="00DE3AF0">
                              <w:rPr>
                                <w:rFonts w:ascii="Arial" w:eastAsia="Times New Roman" w:hAnsi="Arial"/>
                                <w:color w:val="000000"/>
                                <w:sz w:val="22"/>
                                <w:szCs w:val="22"/>
                                <w:lang w:eastAsia="en-AU"/>
                              </w:rPr>
                              <w:t xml:space="preserve"> diagnosis </w:t>
                            </w:r>
                          </w:p>
                        </w:tc>
                        <w:tc>
                          <w:tcPr>
                            <w:tcW w:w="1231" w:type="dxa"/>
                            <w:tcBorders>
                              <w:top w:val="single" w:sz="1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7,836</w:t>
                            </w:r>
                          </w:p>
                        </w:tc>
                        <w:tc>
                          <w:tcPr>
                            <w:tcW w:w="1232" w:type="dxa"/>
                            <w:tcBorders>
                              <w:top w:val="single" w:sz="1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8</w:t>
                            </w:r>
                            <w:r>
                              <w:rPr>
                                <w:rFonts w:ascii="Arial" w:eastAsia="Times New Roman" w:hAnsi="Arial"/>
                                <w:color w:val="000000"/>
                                <w:sz w:val="20"/>
                                <w:szCs w:val="22"/>
                                <w:lang w:eastAsia="en-AU"/>
                              </w:rPr>
                              <w:t>,</w:t>
                            </w:r>
                            <w:r w:rsidRPr="00DE3AF0">
                              <w:rPr>
                                <w:rFonts w:ascii="Arial" w:eastAsia="Times New Roman" w:hAnsi="Arial"/>
                                <w:color w:val="000000"/>
                                <w:sz w:val="20"/>
                                <w:szCs w:val="22"/>
                                <w:lang w:eastAsia="en-AU"/>
                              </w:rPr>
                              <w:t>095</w:t>
                            </w:r>
                          </w:p>
                        </w:tc>
                        <w:tc>
                          <w:tcPr>
                            <w:tcW w:w="1231" w:type="dxa"/>
                            <w:tcBorders>
                              <w:top w:val="single" w:sz="1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8,496</w:t>
                            </w:r>
                          </w:p>
                        </w:tc>
                        <w:tc>
                          <w:tcPr>
                            <w:tcW w:w="1232" w:type="dxa"/>
                            <w:tcBorders>
                              <w:top w:val="single" w:sz="12" w:space="0" w:color="auto"/>
                              <w:left w:val="single" w:sz="18"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+4.95%</w:t>
                            </w:r>
                          </w:p>
                        </w:tc>
                      </w:tr>
                      <w:tr w:rsidR="00580EC0" w:rsidRPr="00DE3AF0" w:rsidTr="00580EC0">
                        <w:trPr>
                          <w:trHeight w:val="186"/>
                        </w:trPr>
                        <w:tc>
                          <w:tcPr>
                            <w:tcW w:w="4442" w:type="dxa"/>
                            <w:tcBorders>
                              <w:bottom w:val="single" w:sz="4"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 xml:space="preserve">Number of separations with a </w:t>
                            </w:r>
                            <w:r w:rsidRPr="0032048F">
                              <w:rPr>
                                <w:rFonts w:ascii="Arial" w:eastAsia="Times New Roman" w:hAnsi="Arial"/>
                                <w:color w:val="000000"/>
                                <w:sz w:val="22"/>
                                <w:szCs w:val="22"/>
                                <w:lang w:eastAsia="en-AU"/>
                              </w:rPr>
                              <w:t xml:space="preserve">principal </w:t>
                            </w:r>
                            <w:r w:rsidRPr="00835B71">
                              <w:rPr>
                                <w:rFonts w:ascii="Arial" w:eastAsia="Times New Roman" w:hAnsi="Arial"/>
                                <w:color w:val="000000"/>
                                <w:sz w:val="22"/>
                                <w:szCs w:val="22"/>
                                <w:lang w:eastAsia="en-AU"/>
                              </w:rPr>
                              <w:t>CDI</w:t>
                            </w:r>
                            <w:r w:rsidRPr="00DE3AF0">
                              <w:rPr>
                                <w:rFonts w:ascii="Arial" w:eastAsia="Times New Roman" w:hAnsi="Arial"/>
                                <w:color w:val="000000"/>
                                <w:sz w:val="22"/>
                                <w:szCs w:val="22"/>
                                <w:lang w:eastAsia="en-AU"/>
                              </w:rPr>
                              <w:t xml:space="preserve"> diagnosis </w:t>
                            </w:r>
                          </w:p>
                        </w:tc>
                        <w:tc>
                          <w:tcPr>
                            <w:tcW w:w="1231" w:type="dxa"/>
                            <w:tcBorders>
                              <w:bottom w:val="single" w:sz="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2,444</w:t>
                            </w:r>
                          </w:p>
                        </w:tc>
                        <w:tc>
                          <w:tcPr>
                            <w:tcW w:w="1232" w:type="dxa"/>
                            <w:tcBorders>
                              <w:bottom w:val="single" w:sz="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2</w:t>
                            </w:r>
                            <w:r>
                              <w:rPr>
                                <w:rFonts w:ascii="Arial" w:eastAsia="Times New Roman" w:hAnsi="Arial"/>
                                <w:color w:val="000000"/>
                                <w:sz w:val="20"/>
                                <w:szCs w:val="22"/>
                                <w:lang w:eastAsia="en-AU"/>
                              </w:rPr>
                              <w:t>,</w:t>
                            </w:r>
                            <w:r w:rsidRPr="00DE3AF0">
                              <w:rPr>
                                <w:rFonts w:ascii="Arial" w:eastAsia="Times New Roman" w:hAnsi="Arial"/>
                                <w:color w:val="000000"/>
                                <w:sz w:val="20"/>
                                <w:szCs w:val="22"/>
                                <w:lang w:eastAsia="en-AU"/>
                              </w:rPr>
                              <w:t>494</w:t>
                            </w:r>
                          </w:p>
                        </w:tc>
                        <w:tc>
                          <w:tcPr>
                            <w:tcW w:w="1231" w:type="dxa"/>
                            <w:tcBorders>
                              <w:bottom w:val="single" w:sz="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2,654</w:t>
                            </w:r>
                          </w:p>
                        </w:tc>
                        <w:tc>
                          <w:tcPr>
                            <w:tcW w:w="1232" w:type="dxa"/>
                            <w:tcBorders>
                              <w:left w:val="single" w:sz="18" w:space="0" w:color="auto"/>
                              <w:bottom w:val="single" w:sz="2"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+6.42%</w:t>
                            </w:r>
                          </w:p>
                        </w:tc>
                      </w:tr>
                      <w:tr w:rsidR="00580EC0" w:rsidRPr="00DE3AF0" w:rsidTr="00580EC0">
                        <w:trPr>
                          <w:trHeight w:val="199"/>
                        </w:trPr>
                        <w:tc>
                          <w:tcPr>
                            <w:tcW w:w="4442" w:type="dxa"/>
                            <w:tcBorders>
                              <w:bottom w:val="single" w:sz="12" w:space="0" w:color="auto"/>
                              <w:right w:val="single" w:sz="2" w:space="0" w:color="auto"/>
                            </w:tcBorders>
                            <w:shd w:val="clear" w:color="auto" w:fill="auto"/>
                          </w:tcPr>
                          <w:p w:rsidR="00580EC0" w:rsidRPr="00DE3AF0" w:rsidRDefault="00580EC0" w:rsidP="00C81912">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w:t>
                            </w:r>
                            <w:r>
                              <w:rPr>
                                <w:rFonts w:ascii="Arial" w:eastAsia="Times New Roman" w:hAnsi="Arial"/>
                                <w:color w:val="000000"/>
                                <w:sz w:val="22"/>
                                <w:szCs w:val="22"/>
                                <w:lang w:eastAsia="en-AU"/>
                              </w:rPr>
                              <w:t>f separations with a non-principal</w:t>
                            </w:r>
                            <w:r w:rsidRPr="00DE3AF0">
                              <w:rPr>
                                <w:rFonts w:ascii="Arial" w:eastAsia="Times New Roman" w:hAnsi="Arial"/>
                                <w:color w:val="000000"/>
                                <w:sz w:val="22"/>
                                <w:szCs w:val="22"/>
                                <w:lang w:eastAsia="en-AU"/>
                              </w:rPr>
                              <w:t xml:space="preserve"> </w:t>
                            </w:r>
                            <w:r>
                              <w:rPr>
                                <w:rFonts w:ascii="Arial" w:eastAsia="Times New Roman" w:hAnsi="Arial"/>
                                <w:color w:val="000000"/>
                                <w:sz w:val="22"/>
                                <w:szCs w:val="22"/>
                                <w:lang w:eastAsia="en-AU"/>
                              </w:rPr>
                              <w:t xml:space="preserve">CDI </w:t>
                            </w:r>
                            <w:r w:rsidRPr="00DE3AF0">
                              <w:rPr>
                                <w:rFonts w:ascii="Arial" w:eastAsia="Times New Roman" w:hAnsi="Arial"/>
                                <w:color w:val="000000"/>
                                <w:sz w:val="22"/>
                                <w:szCs w:val="22"/>
                                <w:lang w:eastAsia="en-AU"/>
                              </w:rPr>
                              <w:t xml:space="preserve">diagnosis </w:t>
                            </w:r>
                          </w:p>
                        </w:tc>
                        <w:tc>
                          <w:tcPr>
                            <w:tcW w:w="1231" w:type="dxa"/>
                            <w:tcBorders>
                              <w:bottom w:val="single" w:sz="1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5,392</w:t>
                            </w:r>
                          </w:p>
                        </w:tc>
                        <w:tc>
                          <w:tcPr>
                            <w:tcW w:w="1232" w:type="dxa"/>
                            <w:tcBorders>
                              <w:bottom w:val="single" w:sz="12" w:space="0" w:color="auto"/>
                              <w:right w:val="single" w:sz="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sidRPr="00DE3AF0">
                              <w:rPr>
                                <w:rFonts w:ascii="Arial" w:eastAsia="Times New Roman" w:hAnsi="Arial"/>
                                <w:color w:val="000000"/>
                                <w:sz w:val="20"/>
                                <w:szCs w:val="22"/>
                                <w:lang w:eastAsia="en-AU"/>
                              </w:rPr>
                              <w:t>5</w:t>
                            </w:r>
                            <w:r>
                              <w:rPr>
                                <w:rFonts w:ascii="Arial" w:eastAsia="Times New Roman" w:hAnsi="Arial"/>
                                <w:color w:val="000000"/>
                                <w:sz w:val="20"/>
                                <w:szCs w:val="22"/>
                                <w:lang w:eastAsia="en-AU"/>
                              </w:rPr>
                              <w:t>,</w:t>
                            </w:r>
                            <w:r w:rsidRPr="00DE3AF0">
                              <w:rPr>
                                <w:rFonts w:ascii="Arial" w:eastAsia="Times New Roman" w:hAnsi="Arial"/>
                                <w:color w:val="000000"/>
                                <w:sz w:val="20"/>
                                <w:szCs w:val="22"/>
                                <w:lang w:eastAsia="en-AU"/>
                              </w:rPr>
                              <w:t>601</w:t>
                            </w:r>
                          </w:p>
                        </w:tc>
                        <w:tc>
                          <w:tcPr>
                            <w:tcW w:w="1231" w:type="dxa"/>
                            <w:tcBorders>
                              <w:top w:val="single" w:sz="2" w:space="0" w:color="auto"/>
                              <w:left w:val="single" w:sz="2" w:space="0" w:color="auto"/>
                              <w:bottom w:val="single" w:sz="1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5,842</w:t>
                            </w:r>
                          </w:p>
                        </w:tc>
                        <w:tc>
                          <w:tcPr>
                            <w:tcW w:w="1232" w:type="dxa"/>
                            <w:tcBorders>
                              <w:top w:val="single" w:sz="2" w:space="0" w:color="auto"/>
                              <w:left w:val="single" w:sz="18" w:space="0" w:color="auto"/>
                              <w:bottom w:val="single" w:sz="12"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+4.30%</w:t>
                            </w:r>
                          </w:p>
                        </w:tc>
                      </w:tr>
                      <w:tr w:rsidR="00580EC0" w:rsidRPr="00DE3AF0" w:rsidTr="00580EC0">
                        <w:trPr>
                          <w:trHeight w:val="199"/>
                        </w:trPr>
                        <w:tc>
                          <w:tcPr>
                            <w:tcW w:w="4442" w:type="dxa"/>
                            <w:tcBorders>
                              <w:bottom w:val="single" w:sz="4" w:space="0" w:color="auto"/>
                            </w:tcBorders>
                            <w:shd w:val="clear" w:color="auto" w:fill="auto"/>
                          </w:tcPr>
                          <w:p w:rsidR="00580EC0" w:rsidRPr="00DE3AF0" w:rsidRDefault="00580EC0" w:rsidP="00C81912">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of</w:t>
                            </w:r>
                            <w:r>
                              <w:rPr>
                                <w:rFonts w:ascii="Arial" w:eastAsia="Times New Roman" w:hAnsi="Arial"/>
                                <w:color w:val="000000"/>
                                <w:sz w:val="22"/>
                                <w:szCs w:val="22"/>
                                <w:lang w:eastAsia="en-AU"/>
                              </w:rPr>
                              <w:t xml:space="preserve"> separations with a non-principal CDI </w:t>
                            </w:r>
                            <w:r w:rsidRPr="00DE3AF0">
                              <w:rPr>
                                <w:rFonts w:ascii="Arial" w:eastAsia="Times New Roman" w:hAnsi="Arial"/>
                                <w:color w:val="000000"/>
                                <w:sz w:val="22"/>
                                <w:szCs w:val="22"/>
                                <w:lang w:eastAsia="en-AU"/>
                              </w:rPr>
                              <w:t xml:space="preserve">diagnosis, with COF1* </w:t>
                            </w:r>
                          </w:p>
                        </w:tc>
                        <w:tc>
                          <w:tcPr>
                            <w:tcW w:w="1231" w:type="dxa"/>
                            <w:tcBorders>
                              <w:bottom w:val="single" w:sz="4"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1,767</w:t>
                            </w:r>
                          </w:p>
                        </w:tc>
                        <w:tc>
                          <w:tcPr>
                            <w:tcW w:w="1232" w:type="dxa"/>
                            <w:tcBorders>
                              <w:bottom w:val="single" w:sz="4"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Pr>
                                <w:rFonts w:ascii="Arial" w:eastAsia="Times New Roman" w:hAnsi="Arial"/>
                                <w:color w:val="000000"/>
                                <w:sz w:val="20"/>
                                <w:szCs w:val="22"/>
                                <w:lang w:eastAsia="en-AU"/>
                              </w:rPr>
                              <w:t>1,876</w:t>
                            </w:r>
                          </w:p>
                        </w:tc>
                        <w:tc>
                          <w:tcPr>
                            <w:tcW w:w="1231" w:type="dxa"/>
                            <w:tcBorders>
                              <w:top w:val="single" w:sz="12" w:space="0" w:color="auto"/>
                              <w:bottom w:val="single" w:sz="4"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1,699</w:t>
                            </w:r>
                          </w:p>
                        </w:tc>
                        <w:tc>
                          <w:tcPr>
                            <w:tcW w:w="1232" w:type="dxa"/>
                            <w:tcBorders>
                              <w:top w:val="single" w:sz="12" w:space="0" w:color="auto"/>
                              <w:left w:val="single" w:sz="18" w:space="0" w:color="auto"/>
                              <w:bottom w:val="single" w:sz="4"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-9.43%</w:t>
                            </w:r>
                          </w:p>
                        </w:tc>
                      </w:tr>
                      <w:tr w:rsidR="00580EC0" w:rsidRPr="00DE3AF0" w:rsidTr="00580EC0">
                        <w:trPr>
                          <w:trHeight w:val="199"/>
                        </w:trPr>
                        <w:tc>
                          <w:tcPr>
                            <w:tcW w:w="4442" w:type="dxa"/>
                            <w:tcBorders>
                              <w:top w:val="single" w:sz="4" w:space="0" w:color="auto"/>
                              <w:bottom w:val="single" w:sz="12"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Number of</w:t>
                            </w:r>
                            <w:r>
                              <w:rPr>
                                <w:rFonts w:ascii="Arial" w:eastAsia="Times New Roman" w:hAnsi="Arial"/>
                                <w:color w:val="000000"/>
                                <w:sz w:val="22"/>
                                <w:szCs w:val="22"/>
                                <w:lang w:eastAsia="en-AU"/>
                              </w:rPr>
                              <w:t xml:space="preserve"> separations with a non</w:t>
                            </w:r>
                            <w:r w:rsidR="00C81912">
                              <w:rPr>
                                <w:rFonts w:ascii="Arial" w:eastAsia="Times New Roman" w:hAnsi="Arial"/>
                                <w:color w:val="000000"/>
                                <w:sz w:val="22"/>
                                <w:szCs w:val="22"/>
                                <w:lang w:eastAsia="en-AU"/>
                              </w:rPr>
                              <w:t>-</w:t>
                            </w:r>
                            <w:r>
                              <w:rPr>
                                <w:rFonts w:ascii="Arial" w:eastAsia="Times New Roman" w:hAnsi="Arial"/>
                                <w:color w:val="000000"/>
                                <w:sz w:val="22"/>
                                <w:szCs w:val="22"/>
                                <w:lang w:eastAsia="en-AU"/>
                              </w:rPr>
                              <w:t>principal</w:t>
                            </w:r>
                          </w:p>
                          <w:p w:rsidR="00580EC0" w:rsidRPr="00DE3AF0" w:rsidRDefault="00580EC0" w:rsidP="00580EC0">
                            <w:pPr>
                              <w:spacing w:after="0" w:line="240" w:lineRule="auto"/>
                              <w:rPr>
                                <w:rFonts w:ascii="Arial" w:eastAsia="Times New Roman" w:hAnsi="Arial"/>
                                <w:color w:val="000000"/>
                                <w:sz w:val="22"/>
                                <w:szCs w:val="22"/>
                                <w:lang w:eastAsia="en-AU"/>
                              </w:rPr>
                            </w:pPr>
                            <w:r>
                              <w:rPr>
                                <w:rFonts w:ascii="Arial" w:eastAsia="Times New Roman" w:hAnsi="Arial"/>
                                <w:color w:val="000000"/>
                                <w:sz w:val="22"/>
                                <w:szCs w:val="22"/>
                                <w:lang w:eastAsia="en-AU"/>
                              </w:rPr>
                              <w:t>CDI</w:t>
                            </w:r>
                            <w:r w:rsidRPr="00DE3AF0">
                              <w:rPr>
                                <w:rFonts w:ascii="Arial" w:eastAsia="Times New Roman" w:hAnsi="Arial"/>
                                <w:color w:val="000000"/>
                                <w:sz w:val="22"/>
                                <w:szCs w:val="22"/>
                                <w:lang w:eastAsia="en-AU"/>
                              </w:rPr>
                              <w:t xml:space="preserve"> diagnosis, with COF2*</w:t>
                            </w:r>
                          </w:p>
                        </w:tc>
                        <w:tc>
                          <w:tcPr>
                            <w:tcW w:w="1231" w:type="dxa"/>
                            <w:tcBorders>
                              <w:top w:val="single" w:sz="4" w:space="0" w:color="auto"/>
                              <w:bottom w:val="single" w:sz="4"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3,476</w:t>
                            </w:r>
                          </w:p>
                        </w:tc>
                        <w:tc>
                          <w:tcPr>
                            <w:tcW w:w="1232" w:type="dxa"/>
                            <w:tcBorders>
                              <w:top w:val="single" w:sz="4" w:space="0" w:color="auto"/>
                              <w:bottom w:val="single" w:sz="4"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Pr>
                                <w:rFonts w:ascii="Arial" w:eastAsia="Times New Roman" w:hAnsi="Arial"/>
                                <w:color w:val="000000"/>
                                <w:sz w:val="20"/>
                                <w:szCs w:val="22"/>
                                <w:lang w:eastAsia="en-AU"/>
                              </w:rPr>
                              <w:t>3,600</w:t>
                            </w:r>
                          </w:p>
                        </w:tc>
                        <w:tc>
                          <w:tcPr>
                            <w:tcW w:w="1231" w:type="dxa"/>
                            <w:tcBorders>
                              <w:top w:val="single" w:sz="4" w:space="0" w:color="auto"/>
                              <w:bottom w:val="single" w:sz="4"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4,010</w:t>
                            </w:r>
                          </w:p>
                        </w:tc>
                        <w:tc>
                          <w:tcPr>
                            <w:tcW w:w="1232" w:type="dxa"/>
                            <w:tcBorders>
                              <w:top w:val="single" w:sz="4" w:space="0" w:color="auto"/>
                              <w:left w:val="single" w:sz="18" w:space="0" w:color="auto"/>
                              <w:bottom w:val="single" w:sz="4"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+11.38%</w:t>
                            </w:r>
                          </w:p>
                        </w:tc>
                      </w:tr>
                      <w:tr w:rsidR="00580EC0" w:rsidRPr="00DE3AF0" w:rsidTr="00580EC0">
                        <w:trPr>
                          <w:trHeight w:val="665"/>
                        </w:trPr>
                        <w:tc>
                          <w:tcPr>
                            <w:tcW w:w="4442" w:type="dxa"/>
                            <w:tcBorders>
                              <w:top w:val="single" w:sz="12" w:space="0" w:color="auto"/>
                              <w:bottom w:val="single" w:sz="12" w:space="0" w:color="auto"/>
                            </w:tcBorders>
                            <w:shd w:val="clear" w:color="auto" w:fill="auto"/>
                          </w:tcPr>
                          <w:p w:rsidR="00580EC0" w:rsidRPr="00DE3AF0" w:rsidRDefault="00580EC0" w:rsidP="00580EC0">
                            <w:pPr>
                              <w:spacing w:after="0" w:line="240" w:lineRule="auto"/>
                              <w:rPr>
                                <w:rFonts w:ascii="Arial" w:eastAsia="Times New Roman" w:hAnsi="Arial"/>
                                <w:color w:val="000000"/>
                                <w:sz w:val="22"/>
                                <w:szCs w:val="22"/>
                                <w:lang w:eastAsia="en-AU"/>
                              </w:rPr>
                            </w:pPr>
                            <w:r w:rsidRPr="00DE3AF0">
                              <w:rPr>
                                <w:rFonts w:ascii="Arial" w:eastAsia="Times New Roman" w:hAnsi="Arial"/>
                                <w:color w:val="000000"/>
                                <w:sz w:val="22"/>
                                <w:szCs w:val="22"/>
                                <w:lang w:eastAsia="en-AU"/>
                              </w:rPr>
                              <w:t>Estimated pre-existing burden</w:t>
                            </w:r>
                          </w:p>
                          <w:p w:rsidR="00580EC0" w:rsidRPr="00DE3AF0" w:rsidRDefault="00580EC0" w:rsidP="00580EC0">
                            <w:pPr>
                              <w:spacing w:after="0" w:line="240" w:lineRule="auto"/>
                              <w:rPr>
                                <w:rFonts w:ascii="Arial" w:eastAsia="Times New Roman" w:hAnsi="Arial"/>
                                <w:i/>
                                <w:color w:val="000000"/>
                                <w:sz w:val="22"/>
                                <w:szCs w:val="22"/>
                                <w:lang w:eastAsia="en-AU"/>
                              </w:rPr>
                            </w:pPr>
                            <w:r>
                              <w:rPr>
                                <w:rFonts w:ascii="Arial" w:eastAsia="Times New Roman" w:hAnsi="Arial"/>
                                <w:i/>
                                <w:color w:val="000000"/>
                                <w:sz w:val="22"/>
                                <w:szCs w:val="22"/>
                                <w:lang w:eastAsia="en-AU"/>
                              </w:rPr>
                              <w:t>Principal CDI+ non-principal</w:t>
                            </w:r>
                            <w:r w:rsidRPr="00DE3AF0">
                              <w:rPr>
                                <w:rFonts w:ascii="Arial" w:eastAsia="Times New Roman" w:hAnsi="Arial"/>
                                <w:i/>
                                <w:color w:val="000000"/>
                                <w:sz w:val="22"/>
                                <w:szCs w:val="22"/>
                                <w:lang w:eastAsia="en-AU"/>
                              </w:rPr>
                              <w:t xml:space="preserve"> </w:t>
                            </w:r>
                            <w:r>
                              <w:rPr>
                                <w:rFonts w:ascii="Arial" w:eastAsia="Times New Roman" w:hAnsi="Arial"/>
                                <w:i/>
                                <w:color w:val="000000"/>
                                <w:sz w:val="22"/>
                                <w:szCs w:val="22"/>
                                <w:lang w:eastAsia="en-AU"/>
                              </w:rPr>
                              <w:t>CDI</w:t>
                            </w:r>
                            <w:r w:rsidRPr="00DE3AF0">
                              <w:rPr>
                                <w:rFonts w:ascii="Arial" w:eastAsia="Times New Roman" w:hAnsi="Arial"/>
                                <w:i/>
                                <w:color w:val="000000"/>
                                <w:sz w:val="22"/>
                                <w:szCs w:val="22"/>
                                <w:lang w:eastAsia="en-AU"/>
                              </w:rPr>
                              <w:t>, COF2*</w:t>
                            </w:r>
                          </w:p>
                        </w:tc>
                        <w:tc>
                          <w:tcPr>
                            <w:tcW w:w="1231" w:type="dxa"/>
                            <w:tcBorders>
                              <w:top w:val="single" w:sz="12" w:space="0" w:color="auto"/>
                              <w:bottom w:val="single" w:sz="12" w:space="0" w:color="auto"/>
                            </w:tcBorders>
                          </w:tcPr>
                          <w:p w:rsidR="00580EC0" w:rsidRPr="00580EC0" w:rsidRDefault="00580EC0" w:rsidP="00580EC0">
                            <w:pPr>
                              <w:spacing w:after="0" w:line="240" w:lineRule="auto"/>
                              <w:jc w:val="center"/>
                              <w:rPr>
                                <w:rFonts w:ascii="Arial" w:eastAsia="Times New Roman" w:hAnsi="Arial" w:cs="Arial"/>
                                <w:color w:val="000000"/>
                                <w:sz w:val="20"/>
                                <w:szCs w:val="22"/>
                                <w:lang w:eastAsia="en-AU"/>
                              </w:rPr>
                            </w:pPr>
                            <w:r w:rsidRPr="00580EC0">
                              <w:rPr>
                                <w:rFonts w:ascii="Arial" w:hAnsi="Arial" w:cs="Arial"/>
                                <w:sz w:val="20"/>
                              </w:rPr>
                              <w:t>5,920</w:t>
                            </w:r>
                          </w:p>
                        </w:tc>
                        <w:tc>
                          <w:tcPr>
                            <w:tcW w:w="1232" w:type="dxa"/>
                            <w:tcBorders>
                              <w:top w:val="single" w:sz="12" w:space="0" w:color="auto"/>
                              <w:bottom w:val="single" w:sz="12" w:space="0" w:color="auto"/>
                            </w:tcBorders>
                            <w:shd w:val="clear" w:color="auto" w:fill="auto"/>
                          </w:tcPr>
                          <w:p w:rsidR="00580EC0" w:rsidRPr="00DE3AF0" w:rsidRDefault="00580EC0" w:rsidP="00580EC0">
                            <w:pPr>
                              <w:spacing w:after="0" w:line="240" w:lineRule="auto"/>
                              <w:jc w:val="center"/>
                              <w:rPr>
                                <w:rFonts w:ascii="Arial" w:eastAsia="Times New Roman" w:hAnsi="Arial"/>
                                <w:color w:val="000000"/>
                                <w:sz w:val="20"/>
                                <w:szCs w:val="22"/>
                                <w:lang w:eastAsia="en-AU"/>
                              </w:rPr>
                            </w:pPr>
                            <w:r>
                              <w:rPr>
                                <w:rFonts w:ascii="Arial" w:eastAsia="Times New Roman" w:hAnsi="Arial"/>
                                <w:color w:val="000000"/>
                                <w:sz w:val="20"/>
                                <w:szCs w:val="22"/>
                                <w:lang w:eastAsia="en-AU"/>
                              </w:rPr>
                              <w:t>6,094</w:t>
                            </w:r>
                          </w:p>
                        </w:tc>
                        <w:tc>
                          <w:tcPr>
                            <w:tcW w:w="1231" w:type="dxa"/>
                            <w:tcBorders>
                              <w:top w:val="single" w:sz="12" w:space="0" w:color="auto"/>
                              <w:bottom w:val="single" w:sz="12" w:space="0" w:color="auto"/>
                              <w:right w:val="single" w:sz="18" w:space="0" w:color="auto"/>
                            </w:tcBorders>
                            <w:shd w:val="clear" w:color="auto" w:fill="auto"/>
                          </w:tcPr>
                          <w:p w:rsidR="00580EC0" w:rsidRPr="008D0C40" w:rsidRDefault="00580EC0" w:rsidP="00580EC0">
                            <w:pPr>
                              <w:jc w:val="center"/>
                              <w:rPr>
                                <w:rFonts w:ascii="Arial" w:hAnsi="Arial" w:cs="Arial"/>
                                <w:sz w:val="20"/>
                              </w:rPr>
                            </w:pPr>
                            <w:r w:rsidRPr="008D0C40">
                              <w:rPr>
                                <w:rFonts w:ascii="Arial" w:hAnsi="Arial" w:cs="Arial"/>
                                <w:sz w:val="20"/>
                              </w:rPr>
                              <w:t>6,664</w:t>
                            </w:r>
                          </w:p>
                        </w:tc>
                        <w:tc>
                          <w:tcPr>
                            <w:tcW w:w="1232" w:type="dxa"/>
                            <w:tcBorders>
                              <w:top w:val="single" w:sz="12" w:space="0" w:color="auto"/>
                              <w:left w:val="single" w:sz="18" w:space="0" w:color="auto"/>
                              <w:bottom w:val="single" w:sz="18" w:space="0" w:color="auto"/>
                              <w:right w:val="single" w:sz="18" w:space="0" w:color="auto"/>
                            </w:tcBorders>
                            <w:shd w:val="clear" w:color="auto" w:fill="auto"/>
                          </w:tcPr>
                          <w:p w:rsidR="00580EC0" w:rsidRPr="00580EC0" w:rsidRDefault="00580EC0" w:rsidP="00580EC0">
                            <w:pPr>
                              <w:jc w:val="center"/>
                              <w:rPr>
                                <w:rFonts w:ascii="Arial" w:hAnsi="Arial" w:cs="Arial"/>
                                <w:b/>
                                <w:sz w:val="20"/>
                              </w:rPr>
                            </w:pPr>
                            <w:r w:rsidRPr="00580EC0">
                              <w:rPr>
                                <w:rFonts w:ascii="Arial" w:hAnsi="Arial" w:cs="Arial"/>
                                <w:b/>
                                <w:sz w:val="20"/>
                              </w:rPr>
                              <w:t>+9.35%</w:t>
                            </w:r>
                          </w:p>
                        </w:tc>
                      </w:tr>
                    </w:tbl>
                    <w:p w:rsidR="00AC7681" w:rsidRDefault="00AC7681"/>
                  </w:txbxContent>
                </v:textbox>
              </v:shape>
            </w:pict>
          </mc:Fallback>
        </mc:AlternateContent>
      </w:r>
    </w:p>
    <w:p w:rsidR="00AC7681" w:rsidRDefault="00AC7681" w:rsidP="00AC7681">
      <w:pPr>
        <w:spacing w:after="0"/>
      </w:pPr>
    </w:p>
    <w:p w:rsidR="00AC7681" w:rsidRDefault="00AC7681" w:rsidP="007303ED">
      <w:pPr>
        <w:spacing w:after="0"/>
        <w:rPr>
          <w:rFonts w:ascii="Arial" w:hAnsi="Arial" w:cs="Arial"/>
          <w:b/>
          <w:sz w:val="22"/>
        </w:rPr>
      </w:pPr>
    </w:p>
    <w:p w:rsidR="00AC7681" w:rsidRDefault="00AC7681" w:rsidP="007303ED">
      <w:pPr>
        <w:spacing w:after="0"/>
        <w:rPr>
          <w:rFonts w:ascii="Arial" w:hAnsi="Arial" w:cs="Arial"/>
          <w:b/>
          <w:sz w:val="22"/>
        </w:rPr>
      </w:pPr>
    </w:p>
    <w:p w:rsidR="00AC7681" w:rsidRDefault="00AC7681" w:rsidP="007303ED">
      <w:pPr>
        <w:spacing w:after="0"/>
        <w:rPr>
          <w:rFonts w:ascii="Arial" w:hAnsi="Arial" w:cs="Arial"/>
          <w:b/>
          <w:sz w:val="22"/>
        </w:rPr>
      </w:pPr>
    </w:p>
    <w:p w:rsidR="00AC7681" w:rsidRDefault="00AC7681" w:rsidP="007303ED">
      <w:pPr>
        <w:spacing w:after="0"/>
        <w:rPr>
          <w:rFonts w:ascii="Arial" w:hAnsi="Arial" w:cs="Arial"/>
          <w:b/>
          <w:sz w:val="22"/>
        </w:rPr>
      </w:pPr>
    </w:p>
    <w:p w:rsidR="00111156" w:rsidRPr="00AC7681" w:rsidRDefault="00111156" w:rsidP="00AC7681"/>
    <w:p w:rsidR="00121840" w:rsidRPr="0001675D" w:rsidRDefault="00121840" w:rsidP="0001675D">
      <w:pPr>
        <w:pStyle w:val="Heading2"/>
        <w:rPr>
          <w:rFonts w:ascii="Arial" w:hAnsi="Arial" w:cs="Arial"/>
          <w:b/>
          <w:color w:val="auto"/>
          <w:sz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C42768" w:rsidRDefault="00C42768" w:rsidP="00121840">
      <w:pPr>
        <w:pStyle w:val="Heading3"/>
        <w:spacing w:before="0"/>
        <w:rPr>
          <w:b/>
          <w:color w:val="auto"/>
          <w:sz w:val="22"/>
          <w:szCs w:val="22"/>
        </w:rPr>
      </w:pPr>
    </w:p>
    <w:p w:rsidR="00580EC0" w:rsidRDefault="00580EC0" w:rsidP="00121840">
      <w:pPr>
        <w:pStyle w:val="Heading3"/>
        <w:spacing w:before="0"/>
        <w:rPr>
          <w:b/>
          <w:color w:val="auto"/>
          <w:sz w:val="22"/>
          <w:szCs w:val="22"/>
        </w:rPr>
      </w:pPr>
    </w:p>
    <w:p w:rsidR="00580EC0" w:rsidRDefault="00580EC0" w:rsidP="00121840">
      <w:pPr>
        <w:pStyle w:val="Heading3"/>
        <w:spacing w:before="0"/>
        <w:rPr>
          <w:b/>
          <w:color w:val="auto"/>
          <w:sz w:val="22"/>
          <w:szCs w:val="22"/>
        </w:rPr>
      </w:pPr>
    </w:p>
    <w:p w:rsidR="00580EC0" w:rsidRDefault="00580EC0" w:rsidP="00121840">
      <w:pPr>
        <w:pStyle w:val="Heading3"/>
        <w:spacing w:before="0"/>
        <w:rPr>
          <w:b/>
          <w:color w:val="auto"/>
          <w:sz w:val="22"/>
          <w:szCs w:val="22"/>
        </w:rPr>
      </w:pPr>
    </w:p>
    <w:p w:rsidR="00121840" w:rsidRPr="00030D19" w:rsidRDefault="00B24332" w:rsidP="00121840">
      <w:pPr>
        <w:pStyle w:val="Heading3"/>
        <w:spacing w:before="0"/>
        <w:rPr>
          <w:b/>
          <w:sz w:val="22"/>
          <w:szCs w:val="22"/>
        </w:rPr>
      </w:pPr>
      <w:r w:rsidRPr="00E74DDC">
        <w:rPr>
          <w:b/>
          <w:color w:val="auto"/>
          <w:sz w:val="22"/>
          <w:szCs w:val="22"/>
        </w:rPr>
        <w:t>*</w:t>
      </w:r>
      <w:r w:rsidR="00121840" w:rsidRPr="00E74DDC">
        <w:rPr>
          <w:b/>
          <w:color w:val="auto"/>
          <w:sz w:val="22"/>
          <w:szCs w:val="22"/>
        </w:rPr>
        <w:t>Based on hospitals with highly reliable COF coding only</w:t>
      </w:r>
      <w:r w:rsidR="006C5EB5" w:rsidRPr="00E74DDC">
        <w:rPr>
          <w:b/>
          <w:color w:val="auto"/>
          <w:sz w:val="22"/>
          <w:szCs w:val="22"/>
        </w:rPr>
        <w:t xml:space="preserve"> (</w:t>
      </w:r>
      <w:r w:rsidR="00580EC0">
        <w:rPr>
          <w:b/>
          <w:color w:val="auto"/>
          <w:sz w:val="22"/>
          <w:szCs w:val="22"/>
        </w:rPr>
        <w:t xml:space="preserve">2018 </w:t>
      </w:r>
      <w:r w:rsidR="006C5EB5" w:rsidRPr="00E74DDC">
        <w:rPr>
          <w:b/>
          <w:color w:val="auto"/>
          <w:sz w:val="22"/>
          <w:szCs w:val="22"/>
        </w:rPr>
        <w:t>n=</w:t>
      </w:r>
      <w:r w:rsidR="00E74DDC" w:rsidRPr="00E74DDC">
        <w:rPr>
          <w:b/>
          <w:color w:val="auto"/>
          <w:sz w:val="22"/>
          <w:szCs w:val="22"/>
        </w:rPr>
        <w:t>528</w:t>
      </w:r>
      <w:r w:rsidR="00BB3106" w:rsidRPr="00E74DDC">
        <w:rPr>
          <w:b/>
          <w:color w:val="auto"/>
          <w:sz w:val="22"/>
          <w:szCs w:val="22"/>
        </w:rPr>
        <w:t>)</w:t>
      </w:r>
    </w:p>
    <w:p w:rsidR="00BF11C0" w:rsidRPr="00581C64" w:rsidRDefault="00121840" w:rsidP="00581C64">
      <w:pPr>
        <w:pStyle w:val="Heading1"/>
        <w:rPr>
          <w:rFonts w:ascii="Arial" w:hAnsi="Arial"/>
          <w:sz w:val="28"/>
        </w:rPr>
      </w:pPr>
      <w:r w:rsidRPr="00581C64">
        <w:rPr>
          <w:rFonts w:ascii="Arial" w:hAnsi="Arial"/>
          <w:sz w:val="28"/>
        </w:rPr>
        <w:t>Commentary</w:t>
      </w:r>
    </w:p>
    <w:p w:rsidR="00A6188F" w:rsidRPr="005831BE" w:rsidRDefault="00EE08AE" w:rsidP="00AC4157">
      <w:pPr>
        <w:pStyle w:val="Heading3"/>
        <w:spacing w:before="0" w:line="276" w:lineRule="auto"/>
        <w:rPr>
          <w:rFonts w:ascii="Arial" w:hAnsi="Arial" w:cs="Arial"/>
          <w:color w:val="auto"/>
          <w:sz w:val="22"/>
          <w:szCs w:val="22"/>
        </w:rPr>
      </w:pPr>
      <w:r w:rsidRPr="005831BE">
        <w:rPr>
          <w:rFonts w:ascii="Arial" w:hAnsi="Arial" w:cs="Arial"/>
          <w:color w:val="auto"/>
          <w:sz w:val="22"/>
          <w:szCs w:val="22"/>
        </w:rPr>
        <w:t>The d</w:t>
      </w:r>
      <w:r w:rsidR="009C3BB6" w:rsidRPr="005831BE">
        <w:rPr>
          <w:rFonts w:ascii="Arial" w:hAnsi="Arial" w:cs="Arial"/>
          <w:color w:val="auto"/>
          <w:sz w:val="22"/>
          <w:szCs w:val="22"/>
        </w:rPr>
        <w:t xml:space="preserve">ata presented in </w:t>
      </w:r>
      <w:r w:rsidR="00E13290" w:rsidRPr="005831BE">
        <w:rPr>
          <w:rFonts w:ascii="Arial" w:hAnsi="Arial" w:cs="Arial"/>
          <w:color w:val="auto"/>
          <w:sz w:val="22"/>
          <w:szCs w:val="22"/>
        </w:rPr>
        <w:t>F</w:t>
      </w:r>
      <w:r w:rsidR="009C3BB6" w:rsidRPr="005831BE">
        <w:rPr>
          <w:rFonts w:ascii="Arial" w:hAnsi="Arial" w:cs="Arial"/>
          <w:color w:val="auto"/>
          <w:sz w:val="22"/>
          <w:szCs w:val="22"/>
        </w:rPr>
        <w:t xml:space="preserve">igures 4 and 5 </w:t>
      </w:r>
      <w:r w:rsidRPr="005831BE">
        <w:rPr>
          <w:rFonts w:ascii="Arial" w:hAnsi="Arial" w:cs="Arial"/>
          <w:color w:val="auto"/>
          <w:sz w:val="22"/>
          <w:szCs w:val="22"/>
        </w:rPr>
        <w:t xml:space="preserve">are from hospitals recognised to be </w:t>
      </w:r>
      <w:r w:rsidR="009C3BB6" w:rsidRPr="005831BE">
        <w:rPr>
          <w:rFonts w:ascii="Arial" w:hAnsi="Arial" w:cs="Arial"/>
          <w:color w:val="auto"/>
          <w:sz w:val="22"/>
          <w:szCs w:val="22"/>
        </w:rPr>
        <w:t xml:space="preserve">highly reliable </w:t>
      </w:r>
      <w:r w:rsidRPr="005831BE">
        <w:rPr>
          <w:rFonts w:ascii="Arial" w:hAnsi="Arial" w:cs="Arial"/>
          <w:color w:val="auto"/>
          <w:sz w:val="22"/>
          <w:szCs w:val="22"/>
        </w:rPr>
        <w:t xml:space="preserve">with regards to </w:t>
      </w:r>
      <w:r w:rsidR="00EC4975">
        <w:rPr>
          <w:rFonts w:ascii="Arial" w:hAnsi="Arial" w:cs="Arial"/>
          <w:color w:val="auto"/>
          <w:sz w:val="22"/>
          <w:szCs w:val="22"/>
        </w:rPr>
        <w:t>COF coding. T</w:t>
      </w:r>
      <w:r w:rsidR="009C3BB6" w:rsidRPr="005831BE">
        <w:rPr>
          <w:rFonts w:ascii="Arial" w:hAnsi="Arial" w:cs="Arial"/>
          <w:color w:val="auto"/>
          <w:sz w:val="22"/>
          <w:szCs w:val="22"/>
        </w:rPr>
        <w:t>h</w:t>
      </w:r>
      <w:r w:rsidRPr="005831BE">
        <w:rPr>
          <w:rFonts w:ascii="Arial" w:hAnsi="Arial" w:cs="Arial"/>
          <w:color w:val="auto"/>
          <w:sz w:val="22"/>
          <w:szCs w:val="22"/>
        </w:rPr>
        <w:t>e</w:t>
      </w:r>
      <w:r w:rsidR="00EC4975">
        <w:rPr>
          <w:rFonts w:ascii="Arial" w:hAnsi="Arial" w:cs="Arial"/>
          <w:color w:val="auto"/>
          <w:sz w:val="22"/>
          <w:szCs w:val="22"/>
        </w:rPr>
        <w:t xml:space="preserve"> data have</w:t>
      </w:r>
      <w:r w:rsidR="009C3BB6" w:rsidRPr="005831BE">
        <w:rPr>
          <w:rFonts w:ascii="Arial" w:hAnsi="Arial" w:cs="Arial"/>
          <w:color w:val="auto"/>
          <w:sz w:val="22"/>
          <w:szCs w:val="22"/>
        </w:rPr>
        <w:t xml:space="preserve"> been filtered to </w:t>
      </w:r>
      <w:r w:rsidR="00A6188F" w:rsidRPr="005831BE">
        <w:rPr>
          <w:rFonts w:ascii="Arial" w:hAnsi="Arial" w:cs="Arial"/>
          <w:color w:val="auto"/>
          <w:sz w:val="22"/>
          <w:szCs w:val="22"/>
        </w:rPr>
        <w:t>exclude</w:t>
      </w:r>
      <w:r w:rsidR="009C3BB6" w:rsidRPr="005831BE">
        <w:rPr>
          <w:rFonts w:ascii="Arial" w:hAnsi="Arial" w:cs="Arial"/>
          <w:color w:val="auto"/>
          <w:sz w:val="22"/>
          <w:szCs w:val="22"/>
        </w:rPr>
        <w:t xml:space="preserve"> hospitals wi</w:t>
      </w:r>
      <w:r w:rsidR="00EC4975">
        <w:rPr>
          <w:rFonts w:ascii="Arial" w:hAnsi="Arial" w:cs="Arial"/>
          <w:color w:val="auto"/>
          <w:sz w:val="22"/>
          <w:szCs w:val="22"/>
        </w:rPr>
        <w:t xml:space="preserve">th </w:t>
      </w:r>
      <w:r w:rsidR="006B2602">
        <w:rPr>
          <w:rFonts w:ascii="Arial" w:hAnsi="Arial" w:cs="Arial"/>
          <w:color w:val="auto"/>
          <w:sz w:val="22"/>
          <w:szCs w:val="22"/>
        </w:rPr>
        <w:t xml:space="preserve">an </w:t>
      </w:r>
      <w:r w:rsidR="00EC4975">
        <w:rPr>
          <w:rFonts w:ascii="Arial" w:hAnsi="Arial" w:cs="Arial"/>
          <w:color w:val="auto"/>
          <w:sz w:val="22"/>
          <w:szCs w:val="22"/>
        </w:rPr>
        <w:t>overall low volume of activity</w:t>
      </w:r>
      <w:r w:rsidR="009C3BB6" w:rsidRPr="005831BE">
        <w:rPr>
          <w:rFonts w:ascii="Arial" w:hAnsi="Arial" w:cs="Arial"/>
          <w:color w:val="auto"/>
          <w:sz w:val="22"/>
          <w:szCs w:val="22"/>
        </w:rPr>
        <w:t>, hospitals where COF coding is very low for any condition</w:t>
      </w:r>
      <w:r w:rsidR="00EC4975">
        <w:rPr>
          <w:rFonts w:ascii="Arial" w:hAnsi="Arial" w:cs="Arial"/>
          <w:color w:val="auto"/>
          <w:sz w:val="22"/>
          <w:szCs w:val="22"/>
        </w:rPr>
        <w:t>,</w:t>
      </w:r>
      <w:r w:rsidR="009C3BB6" w:rsidRPr="005831BE">
        <w:rPr>
          <w:rFonts w:ascii="Arial" w:hAnsi="Arial" w:cs="Arial"/>
          <w:color w:val="auto"/>
          <w:sz w:val="22"/>
          <w:szCs w:val="22"/>
        </w:rPr>
        <w:t xml:space="preserve"> </w:t>
      </w:r>
      <w:r w:rsidR="00A6188F" w:rsidRPr="005831BE">
        <w:rPr>
          <w:rFonts w:ascii="Arial" w:hAnsi="Arial" w:cs="Arial"/>
          <w:color w:val="auto"/>
          <w:sz w:val="22"/>
          <w:szCs w:val="22"/>
        </w:rPr>
        <w:t>and</w:t>
      </w:r>
      <w:r w:rsidR="009C3BB6" w:rsidRPr="005831BE">
        <w:rPr>
          <w:rFonts w:ascii="Arial" w:hAnsi="Arial" w:cs="Arial"/>
          <w:color w:val="auto"/>
          <w:sz w:val="22"/>
          <w:szCs w:val="22"/>
        </w:rPr>
        <w:t xml:space="preserve"> hospitals with more than 10%</w:t>
      </w:r>
      <w:r w:rsidR="00A6188F" w:rsidRPr="005831BE">
        <w:rPr>
          <w:rFonts w:ascii="Arial" w:hAnsi="Arial" w:cs="Arial"/>
          <w:color w:val="auto"/>
          <w:sz w:val="22"/>
          <w:szCs w:val="22"/>
        </w:rPr>
        <w:t xml:space="preserve"> of </w:t>
      </w:r>
      <w:r w:rsidR="00EC4975">
        <w:rPr>
          <w:rFonts w:ascii="Arial" w:hAnsi="Arial" w:cs="Arial"/>
          <w:color w:val="auto"/>
          <w:sz w:val="22"/>
          <w:szCs w:val="22"/>
        </w:rPr>
        <w:t>patient records where the COF was</w:t>
      </w:r>
      <w:r w:rsidR="00A6188F" w:rsidRPr="005831BE">
        <w:rPr>
          <w:rFonts w:ascii="Arial" w:hAnsi="Arial" w:cs="Arial"/>
          <w:color w:val="auto"/>
          <w:sz w:val="22"/>
          <w:szCs w:val="22"/>
        </w:rPr>
        <w:t xml:space="preserve"> coded as unknown onset for any diagnosis.</w:t>
      </w:r>
      <w:r w:rsidR="00A6188F" w:rsidRPr="005831BE">
        <w:rPr>
          <w:rFonts w:ascii="Arial" w:hAnsi="Arial" w:cs="Arial"/>
          <w:color w:val="auto"/>
          <w:sz w:val="22"/>
          <w:szCs w:val="22"/>
          <w:vertAlign w:val="superscript"/>
        </w:rPr>
        <w:t>17</w:t>
      </w:r>
    </w:p>
    <w:p w:rsidR="00C03211" w:rsidRDefault="00C03211" w:rsidP="00AC4157">
      <w:pPr>
        <w:pStyle w:val="Heading3"/>
        <w:spacing w:before="0" w:line="276" w:lineRule="auto"/>
        <w:rPr>
          <w:rFonts w:ascii="Arial" w:hAnsi="Arial" w:cs="Arial"/>
          <w:color w:val="000000"/>
          <w:sz w:val="22"/>
          <w:szCs w:val="22"/>
        </w:rPr>
      </w:pPr>
    </w:p>
    <w:p w:rsidR="00EA48E7" w:rsidRDefault="00570FED" w:rsidP="00AC4157">
      <w:pPr>
        <w:pStyle w:val="Heading3"/>
        <w:spacing w:before="0" w:line="276" w:lineRule="auto"/>
        <w:rPr>
          <w:rFonts w:ascii="Arial" w:hAnsi="Arial" w:cs="Arial"/>
          <w:color w:val="000000"/>
          <w:sz w:val="22"/>
          <w:szCs w:val="22"/>
        </w:rPr>
      </w:pPr>
      <w:r>
        <w:rPr>
          <w:rFonts w:ascii="Arial" w:hAnsi="Arial" w:cs="Arial"/>
          <w:color w:val="000000"/>
          <w:sz w:val="22"/>
          <w:szCs w:val="22"/>
        </w:rPr>
        <w:lastRenderedPageBreak/>
        <w:t>Figure 4 sho</w:t>
      </w:r>
      <w:r w:rsidR="00217083">
        <w:rPr>
          <w:rFonts w:ascii="Arial" w:hAnsi="Arial" w:cs="Arial"/>
          <w:color w:val="000000"/>
          <w:sz w:val="22"/>
          <w:szCs w:val="22"/>
        </w:rPr>
        <w:t>w</w:t>
      </w:r>
      <w:r>
        <w:rPr>
          <w:rFonts w:ascii="Arial" w:hAnsi="Arial" w:cs="Arial"/>
          <w:color w:val="000000"/>
          <w:sz w:val="22"/>
          <w:szCs w:val="22"/>
        </w:rPr>
        <w:t xml:space="preserve">s the </w:t>
      </w:r>
      <w:r w:rsidR="00AB3C6A">
        <w:rPr>
          <w:rFonts w:ascii="Arial" w:hAnsi="Arial" w:cs="Arial"/>
          <w:color w:val="000000"/>
          <w:sz w:val="22"/>
          <w:szCs w:val="22"/>
        </w:rPr>
        <w:t>rates of non-princip</w:t>
      </w:r>
      <w:r w:rsidR="001D6D98">
        <w:rPr>
          <w:rFonts w:ascii="Arial" w:hAnsi="Arial" w:cs="Arial"/>
          <w:color w:val="000000"/>
          <w:sz w:val="22"/>
          <w:szCs w:val="22"/>
        </w:rPr>
        <w:t>al</w:t>
      </w:r>
      <w:r w:rsidR="00AB3C6A">
        <w:rPr>
          <w:rFonts w:ascii="Arial" w:hAnsi="Arial" w:cs="Arial"/>
          <w:color w:val="000000"/>
          <w:sz w:val="22"/>
          <w:szCs w:val="22"/>
        </w:rPr>
        <w:t xml:space="preserve"> CDI diagnoses for </w:t>
      </w:r>
      <w:r w:rsidR="001F3098">
        <w:rPr>
          <w:rFonts w:ascii="Arial" w:hAnsi="Arial" w:cs="Arial"/>
          <w:color w:val="000000"/>
          <w:sz w:val="22"/>
          <w:szCs w:val="22"/>
        </w:rPr>
        <w:t>2018</w:t>
      </w:r>
      <w:r w:rsidR="00EC4975">
        <w:rPr>
          <w:rFonts w:ascii="Arial" w:hAnsi="Arial" w:cs="Arial"/>
          <w:color w:val="000000"/>
          <w:sz w:val="22"/>
          <w:szCs w:val="22"/>
        </w:rPr>
        <w:t>. Of all</w:t>
      </w:r>
      <w:r w:rsidR="00AB3C6A">
        <w:rPr>
          <w:rFonts w:ascii="Arial" w:hAnsi="Arial" w:cs="Arial"/>
          <w:color w:val="000000"/>
          <w:sz w:val="22"/>
          <w:szCs w:val="22"/>
        </w:rPr>
        <w:t xml:space="preserve"> non-princip</w:t>
      </w:r>
      <w:r w:rsidR="001D6D98">
        <w:rPr>
          <w:rFonts w:ascii="Arial" w:hAnsi="Arial" w:cs="Arial"/>
          <w:color w:val="000000"/>
          <w:sz w:val="22"/>
          <w:szCs w:val="22"/>
        </w:rPr>
        <w:t>al</w:t>
      </w:r>
      <w:r w:rsidR="00AB3C6A">
        <w:rPr>
          <w:rFonts w:ascii="Arial" w:hAnsi="Arial" w:cs="Arial"/>
          <w:color w:val="000000"/>
          <w:sz w:val="22"/>
          <w:szCs w:val="22"/>
        </w:rPr>
        <w:t xml:space="preserve"> CDI diagnoses, </w:t>
      </w:r>
      <w:r w:rsidR="00CA6B66">
        <w:rPr>
          <w:rFonts w:ascii="Arial" w:hAnsi="Arial" w:cs="Arial"/>
          <w:color w:val="000000"/>
          <w:sz w:val="22"/>
          <w:szCs w:val="22"/>
        </w:rPr>
        <w:t xml:space="preserve">approximately </w:t>
      </w:r>
      <w:r w:rsidR="00967E58">
        <w:rPr>
          <w:rFonts w:ascii="Arial" w:hAnsi="Arial" w:cs="Arial"/>
          <w:color w:val="000000"/>
          <w:sz w:val="22"/>
          <w:szCs w:val="22"/>
        </w:rPr>
        <w:t>30</w:t>
      </w:r>
      <w:r w:rsidR="00CA6B66">
        <w:rPr>
          <w:rFonts w:ascii="Arial" w:hAnsi="Arial" w:cs="Arial"/>
          <w:color w:val="000000"/>
          <w:sz w:val="22"/>
          <w:szCs w:val="22"/>
        </w:rPr>
        <w:t>%</w:t>
      </w:r>
      <w:r w:rsidR="00EC4975">
        <w:rPr>
          <w:rFonts w:ascii="Arial" w:hAnsi="Arial" w:cs="Arial"/>
          <w:color w:val="000000"/>
          <w:sz w:val="22"/>
          <w:szCs w:val="22"/>
        </w:rPr>
        <w:t xml:space="preserve"> </w:t>
      </w:r>
      <w:r w:rsidR="004421A6">
        <w:rPr>
          <w:rFonts w:ascii="Arial" w:hAnsi="Arial" w:cs="Arial"/>
          <w:color w:val="000000"/>
          <w:sz w:val="22"/>
          <w:szCs w:val="22"/>
        </w:rPr>
        <w:t>arose during an inpatient</w:t>
      </w:r>
      <w:r w:rsidR="006D1557">
        <w:rPr>
          <w:rFonts w:ascii="Arial" w:hAnsi="Arial" w:cs="Arial"/>
          <w:color w:val="000000"/>
          <w:sz w:val="22"/>
          <w:szCs w:val="22"/>
        </w:rPr>
        <w:t xml:space="preserve"> admission</w:t>
      </w:r>
      <w:r w:rsidR="00EC4975">
        <w:rPr>
          <w:rFonts w:ascii="Arial" w:hAnsi="Arial" w:cs="Arial"/>
          <w:color w:val="000000"/>
          <w:sz w:val="22"/>
          <w:szCs w:val="22"/>
        </w:rPr>
        <w:t>,</w:t>
      </w:r>
      <w:r w:rsidR="006D1557">
        <w:rPr>
          <w:rFonts w:ascii="Arial" w:hAnsi="Arial" w:cs="Arial"/>
          <w:color w:val="000000"/>
          <w:sz w:val="22"/>
          <w:szCs w:val="22"/>
        </w:rPr>
        <w:t xml:space="preserve"> and </w:t>
      </w:r>
      <w:r w:rsidR="00227793">
        <w:rPr>
          <w:rFonts w:ascii="Arial" w:hAnsi="Arial" w:cs="Arial"/>
          <w:color w:val="000000"/>
          <w:sz w:val="22"/>
          <w:szCs w:val="22"/>
        </w:rPr>
        <w:t>may</w:t>
      </w:r>
      <w:r w:rsidR="006D1557">
        <w:rPr>
          <w:rFonts w:ascii="Arial" w:hAnsi="Arial" w:cs="Arial"/>
          <w:color w:val="000000"/>
          <w:sz w:val="22"/>
          <w:szCs w:val="22"/>
        </w:rPr>
        <w:t xml:space="preserve"> be considered</w:t>
      </w:r>
      <w:r w:rsidR="00943F1B">
        <w:rPr>
          <w:rFonts w:ascii="Arial" w:hAnsi="Arial" w:cs="Arial"/>
          <w:color w:val="000000"/>
          <w:sz w:val="22"/>
          <w:szCs w:val="22"/>
        </w:rPr>
        <w:t xml:space="preserve"> </w:t>
      </w:r>
      <w:r w:rsidR="000712B5" w:rsidRPr="00100E63">
        <w:rPr>
          <w:rFonts w:ascii="Arial" w:hAnsi="Arial" w:cs="Arial"/>
          <w:color w:val="000000"/>
          <w:sz w:val="22"/>
          <w:szCs w:val="22"/>
        </w:rPr>
        <w:t xml:space="preserve">directly </w:t>
      </w:r>
      <w:r w:rsidR="00943F1B">
        <w:rPr>
          <w:rFonts w:ascii="Arial" w:hAnsi="Arial" w:cs="Arial"/>
          <w:color w:val="000000"/>
          <w:sz w:val="22"/>
          <w:szCs w:val="22"/>
        </w:rPr>
        <w:t xml:space="preserve">related </w:t>
      </w:r>
      <w:r w:rsidR="000712B5" w:rsidRPr="00100E63">
        <w:rPr>
          <w:rFonts w:ascii="Arial" w:hAnsi="Arial" w:cs="Arial"/>
          <w:color w:val="000000"/>
          <w:sz w:val="22"/>
          <w:szCs w:val="22"/>
        </w:rPr>
        <w:t>to the health care provided during the separation for which a CDI diagnosis was assigned</w:t>
      </w:r>
      <w:r w:rsidR="00C97386" w:rsidRPr="00100E63">
        <w:rPr>
          <w:rFonts w:ascii="Arial" w:hAnsi="Arial" w:cs="Arial"/>
          <w:color w:val="000000"/>
          <w:sz w:val="22"/>
          <w:szCs w:val="22"/>
        </w:rPr>
        <w:t xml:space="preserve"> (COF1). </w:t>
      </w:r>
      <w:r w:rsidR="00353F75">
        <w:rPr>
          <w:rFonts w:ascii="Arial" w:hAnsi="Arial" w:cs="Arial"/>
          <w:color w:val="000000"/>
          <w:sz w:val="22"/>
          <w:szCs w:val="22"/>
        </w:rPr>
        <w:t>There was little variation in the m</w:t>
      </w:r>
      <w:r w:rsidR="00EA48E7">
        <w:rPr>
          <w:rFonts w:ascii="Arial" w:hAnsi="Arial" w:cs="Arial"/>
          <w:color w:val="000000"/>
          <w:sz w:val="22"/>
          <w:szCs w:val="22"/>
        </w:rPr>
        <w:t xml:space="preserve">onthly rates of </w:t>
      </w:r>
      <w:r w:rsidR="00B85A52">
        <w:rPr>
          <w:rFonts w:ascii="Arial" w:hAnsi="Arial" w:cs="Arial"/>
          <w:color w:val="000000"/>
          <w:sz w:val="22"/>
          <w:szCs w:val="22"/>
        </w:rPr>
        <w:t>non</w:t>
      </w:r>
      <w:r w:rsidR="00405970">
        <w:rPr>
          <w:rFonts w:ascii="Arial" w:hAnsi="Arial" w:cs="Arial"/>
          <w:color w:val="000000"/>
          <w:sz w:val="22"/>
          <w:szCs w:val="22"/>
        </w:rPr>
        <w:t>-</w:t>
      </w:r>
      <w:r w:rsidR="00B85A52">
        <w:rPr>
          <w:rFonts w:ascii="Arial" w:hAnsi="Arial" w:cs="Arial"/>
          <w:color w:val="000000"/>
          <w:sz w:val="22"/>
          <w:szCs w:val="22"/>
        </w:rPr>
        <w:t xml:space="preserve">principal </w:t>
      </w:r>
      <w:r w:rsidR="00EA48E7">
        <w:rPr>
          <w:rFonts w:ascii="Arial" w:hAnsi="Arial" w:cs="Arial"/>
          <w:color w:val="000000"/>
          <w:sz w:val="22"/>
          <w:szCs w:val="22"/>
        </w:rPr>
        <w:t xml:space="preserve">CDI </w:t>
      </w:r>
      <w:r w:rsidR="00967E58">
        <w:rPr>
          <w:rFonts w:ascii="Arial" w:hAnsi="Arial" w:cs="Arial"/>
          <w:color w:val="000000"/>
          <w:sz w:val="22"/>
          <w:szCs w:val="22"/>
        </w:rPr>
        <w:t>diagnoses throughout 2018</w:t>
      </w:r>
      <w:r w:rsidR="00EA48E7">
        <w:rPr>
          <w:rFonts w:ascii="Arial" w:hAnsi="Arial" w:cs="Arial"/>
          <w:color w:val="000000"/>
          <w:sz w:val="22"/>
          <w:szCs w:val="22"/>
        </w:rPr>
        <w:t xml:space="preserve">:                                                                                                                                                         </w:t>
      </w:r>
    </w:p>
    <w:p w:rsidR="00EA48E7" w:rsidRDefault="00EA48E7" w:rsidP="00AC4157">
      <w:pPr>
        <w:pStyle w:val="Heading3"/>
        <w:numPr>
          <w:ilvl w:val="0"/>
          <w:numId w:val="14"/>
        </w:numPr>
        <w:spacing w:before="0" w:after="80" w:line="276" w:lineRule="auto"/>
        <w:rPr>
          <w:rFonts w:ascii="Arial" w:hAnsi="Arial" w:cs="Arial"/>
          <w:color w:val="000000"/>
          <w:sz w:val="22"/>
          <w:szCs w:val="22"/>
        </w:rPr>
      </w:pPr>
      <w:r w:rsidRPr="00100E63">
        <w:rPr>
          <w:rFonts w:ascii="Arial" w:hAnsi="Arial" w:cs="Arial"/>
          <w:color w:val="000000"/>
          <w:sz w:val="22"/>
          <w:szCs w:val="22"/>
        </w:rPr>
        <w:t xml:space="preserve">The rate of </w:t>
      </w:r>
      <w:r>
        <w:rPr>
          <w:rFonts w:ascii="Arial" w:hAnsi="Arial" w:cs="Arial"/>
          <w:color w:val="000000"/>
          <w:sz w:val="22"/>
          <w:szCs w:val="22"/>
        </w:rPr>
        <w:t xml:space="preserve">all non-principal </w:t>
      </w:r>
      <w:r w:rsidRPr="00100E63">
        <w:rPr>
          <w:rFonts w:ascii="Arial" w:hAnsi="Arial" w:cs="Arial"/>
          <w:color w:val="000000"/>
          <w:sz w:val="22"/>
          <w:szCs w:val="22"/>
        </w:rPr>
        <w:t xml:space="preserve">CDI diagnoses </w:t>
      </w:r>
      <w:r w:rsidR="00967E58">
        <w:rPr>
          <w:rFonts w:ascii="Arial" w:hAnsi="Arial" w:cs="Arial"/>
          <w:color w:val="000000"/>
          <w:sz w:val="22"/>
          <w:szCs w:val="22"/>
        </w:rPr>
        <w:t>ranged from 2.58 to 3.06</w:t>
      </w:r>
      <w:r>
        <w:rPr>
          <w:rFonts w:ascii="Arial" w:hAnsi="Arial" w:cs="Arial"/>
          <w:color w:val="000000"/>
          <w:sz w:val="22"/>
          <w:szCs w:val="22"/>
        </w:rPr>
        <w:t xml:space="preserve"> diagnoses per 10,000 patient bed</w:t>
      </w:r>
      <w:r w:rsidR="00EC4975">
        <w:rPr>
          <w:rFonts w:ascii="Arial" w:hAnsi="Arial" w:cs="Arial"/>
          <w:color w:val="000000"/>
          <w:sz w:val="22"/>
          <w:szCs w:val="22"/>
        </w:rPr>
        <w:t xml:space="preserve"> days; t</w:t>
      </w:r>
      <w:r w:rsidR="00967E58">
        <w:rPr>
          <w:rFonts w:ascii="Arial" w:hAnsi="Arial" w:cs="Arial"/>
          <w:color w:val="000000"/>
          <w:sz w:val="22"/>
          <w:szCs w:val="22"/>
        </w:rPr>
        <w:t>he average rate was 2.79</w:t>
      </w:r>
      <w:r>
        <w:rPr>
          <w:rFonts w:ascii="Arial" w:hAnsi="Arial" w:cs="Arial"/>
          <w:color w:val="000000"/>
          <w:sz w:val="22"/>
          <w:szCs w:val="22"/>
        </w:rPr>
        <w:t xml:space="preserve"> diagnoses per 10,000 patient bed days</w:t>
      </w:r>
    </w:p>
    <w:p w:rsidR="00EA48E7" w:rsidRPr="00FA13F6" w:rsidRDefault="00EA48E7" w:rsidP="001D6D98">
      <w:pPr>
        <w:numPr>
          <w:ilvl w:val="0"/>
          <w:numId w:val="14"/>
        </w:numPr>
        <w:spacing w:after="80" w:line="276" w:lineRule="auto"/>
        <w:contextualSpacing/>
        <w:rPr>
          <w:rFonts w:ascii="Arial" w:hAnsi="Arial" w:cs="Arial"/>
          <w:sz w:val="22"/>
          <w:szCs w:val="22"/>
        </w:rPr>
      </w:pPr>
      <w:r w:rsidRPr="00FA13F6">
        <w:rPr>
          <w:rFonts w:ascii="Arial" w:hAnsi="Arial" w:cs="Arial"/>
          <w:sz w:val="22"/>
        </w:rPr>
        <w:t xml:space="preserve">The </w:t>
      </w:r>
      <w:r w:rsidR="003D1D04">
        <w:rPr>
          <w:rFonts w:ascii="Arial" w:hAnsi="Arial" w:cs="Arial"/>
          <w:sz w:val="22"/>
        </w:rPr>
        <w:t xml:space="preserve">average monthly </w:t>
      </w:r>
      <w:r w:rsidRPr="00FA13F6">
        <w:rPr>
          <w:rFonts w:ascii="Arial" w:hAnsi="Arial" w:cs="Arial"/>
          <w:sz w:val="22"/>
        </w:rPr>
        <w:t xml:space="preserve">rate of CDI </w:t>
      </w:r>
      <w:r>
        <w:rPr>
          <w:rFonts w:ascii="Arial" w:hAnsi="Arial" w:cs="Arial"/>
          <w:sz w:val="22"/>
        </w:rPr>
        <w:t xml:space="preserve">non-principal </w:t>
      </w:r>
      <w:r w:rsidRPr="00FA13F6">
        <w:rPr>
          <w:rFonts w:ascii="Arial" w:hAnsi="Arial" w:cs="Arial"/>
          <w:sz w:val="22"/>
        </w:rPr>
        <w:t xml:space="preserve">diagnoses flagged as a </w:t>
      </w:r>
      <w:r w:rsidR="003D1D04">
        <w:rPr>
          <w:rFonts w:ascii="Arial" w:hAnsi="Arial" w:cs="Arial"/>
          <w:color w:val="000000"/>
          <w:sz w:val="22"/>
          <w:szCs w:val="22"/>
        </w:rPr>
        <w:t xml:space="preserve">COF1 was 0.81 diagnoses per 10,000 patient bed days, and ranged </w:t>
      </w:r>
      <w:r w:rsidR="00967E58">
        <w:rPr>
          <w:rFonts w:ascii="Arial" w:hAnsi="Arial" w:cs="Arial"/>
          <w:color w:val="000000"/>
          <w:sz w:val="22"/>
          <w:szCs w:val="22"/>
        </w:rPr>
        <w:t>from 0.68 to 1.00</w:t>
      </w:r>
      <w:r w:rsidRPr="00FA13F6">
        <w:rPr>
          <w:rFonts w:ascii="Arial" w:hAnsi="Arial" w:cs="Arial"/>
          <w:color w:val="000000"/>
          <w:sz w:val="22"/>
          <w:szCs w:val="22"/>
        </w:rPr>
        <w:t xml:space="preserve"> diagnoses per 10,000 patient be</w:t>
      </w:r>
      <w:r w:rsidR="00967E58">
        <w:rPr>
          <w:rFonts w:ascii="Arial" w:hAnsi="Arial" w:cs="Arial"/>
          <w:color w:val="000000"/>
          <w:sz w:val="22"/>
          <w:szCs w:val="22"/>
        </w:rPr>
        <w:t xml:space="preserve">d days. </w:t>
      </w:r>
    </w:p>
    <w:p w:rsidR="00EA48E7" w:rsidRDefault="00EA48E7" w:rsidP="001D6D98">
      <w:pPr>
        <w:numPr>
          <w:ilvl w:val="0"/>
          <w:numId w:val="14"/>
        </w:numPr>
        <w:spacing w:before="240" w:after="120" w:line="276" w:lineRule="auto"/>
        <w:contextualSpacing/>
        <w:rPr>
          <w:rFonts w:ascii="Arial" w:hAnsi="Arial" w:cs="Arial"/>
          <w:sz w:val="22"/>
          <w:szCs w:val="22"/>
        </w:rPr>
      </w:pPr>
      <w:r>
        <w:rPr>
          <w:rFonts w:ascii="Arial" w:hAnsi="Arial" w:cs="Arial"/>
          <w:sz w:val="22"/>
          <w:szCs w:val="22"/>
        </w:rPr>
        <w:t xml:space="preserve">The </w:t>
      </w:r>
      <w:r w:rsidR="003D1D04">
        <w:rPr>
          <w:rFonts w:ascii="Arial" w:hAnsi="Arial" w:cs="Arial"/>
          <w:sz w:val="22"/>
          <w:szCs w:val="22"/>
        </w:rPr>
        <w:t xml:space="preserve">average monthly </w:t>
      </w:r>
      <w:r>
        <w:rPr>
          <w:rFonts w:ascii="Arial" w:hAnsi="Arial" w:cs="Arial"/>
          <w:sz w:val="22"/>
          <w:szCs w:val="22"/>
        </w:rPr>
        <w:t>rate of CDI non-principal diagnoses flagged as a COF2</w:t>
      </w:r>
      <w:r w:rsidR="00967E58">
        <w:rPr>
          <w:rFonts w:ascii="Arial" w:hAnsi="Arial" w:cs="Arial"/>
          <w:sz w:val="22"/>
          <w:szCs w:val="22"/>
        </w:rPr>
        <w:t xml:space="preserve"> </w:t>
      </w:r>
      <w:r w:rsidR="003D1D04">
        <w:rPr>
          <w:rFonts w:ascii="Arial" w:hAnsi="Arial" w:cs="Arial"/>
          <w:sz w:val="22"/>
          <w:szCs w:val="22"/>
        </w:rPr>
        <w:t>was</w:t>
      </w:r>
      <w:r w:rsidR="003465FF">
        <w:rPr>
          <w:rFonts w:ascii="Arial" w:hAnsi="Arial" w:cs="Arial"/>
          <w:sz w:val="22"/>
          <w:szCs w:val="22"/>
        </w:rPr>
        <w:t xml:space="preserve"> </w:t>
      </w:r>
      <w:r w:rsidR="003D1D04">
        <w:rPr>
          <w:rFonts w:ascii="Arial" w:hAnsi="Arial" w:cs="Arial"/>
          <w:sz w:val="22"/>
          <w:szCs w:val="22"/>
        </w:rPr>
        <w:t xml:space="preserve">1.91 diagnoses per 10,000 patient bed days, and </w:t>
      </w:r>
      <w:r w:rsidR="00967E58">
        <w:rPr>
          <w:rFonts w:ascii="Arial" w:hAnsi="Arial" w:cs="Arial"/>
          <w:sz w:val="22"/>
          <w:szCs w:val="22"/>
        </w:rPr>
        <w:t>ranged from 1.72 to 2.17</w:t>
      </w:r>
      <w:r>
        <w:rPr>
          <w:rFonts w:ascii="Arial" w:hAnsi="Arial" w:cs="Arial"/>
          <w:sz w:val="22"/>
          <w:szCs w:val="22"/>
        </w:rPr>
        <w:t xml:space="preserve"> diagnoses per 10,000 patient bed</w:t>
      </w:r>
      <w:r w:rsidR="00967E58">
        <w:rPr>
          <w:rFonts w:ascii="Arial" w:hAnsi="Arial" w:cs="Arial"/>
          <w:sz w:val="22"/>
          <w:szCs w:val="22"/>
        </w:rPr>
        <w:t xml:space="preserve"> days. </w:t>
      </w:r>
    </w:p>
    <w:p w:rsidR="00EA48E7" w:rsidRDefault="00EA48E7" w:rsidP="00EA48E7">
      <w:pPr>
        <w:spacing w:before="240" w:after="120" w:line="276" w:lineRule="auto"/>
        <w:ind w:left="720"/>
        <w:contextualSpacing/>
        <w:rPr>
          <w:rFonts w:ascii="Arial" w:hAnsi="Arial" w:cs="Arial"/>
          <w:sz w:val="22"/>
          <w:szCs w:val="22"/>
        </w:rPr>
      </w:pPr>
    </w:p>
    <w:p w:rsidR="00614D8D" w:rsidRDefault="00AB3C6A" w:rsidP="00614D8D">
      <w:pPr>
        <w:spacing w:before="240" w:line="276" w:lineRule="auto"/>
        <w:contextualSpacing/>
        <w:rPr>
          <w:rFonts w:ascii="Arial" w:hAnsi="Arial" w:cs="Arial"/>
          <w:sz w:val="22"/>
          <w:szCs w:val="22"/>
        </w:rPr>
      </w:pPr>
      <w:r>
        <w:rPr>
          <w:rFonts w:ascii="Arial" w:hAnsi="Arial" w:cs="Arial"/>
          <w:sz w:val="22"/>
          <w:szCs w:val="22"/>
        </w:rPr>
        <w:t>Figure 5 describes the est</w:t>
      </w:r>
      <w:r w:rsidR="004421A6">
        <w:rPr>
          <w:rFonts w:ascii="Arial" w:hAnsi="Arial" w:cs="Arial"/>
          <w:sz w:val="22"/>
          <w:szCs w:val="22"/>
        </w:rPr>
        <w:t xml:space="preserve">imated burden of patients </w:t>
      </w:r>
      <w:r>
        <w:rPr>
          <w:rFonts w:ascii="Arial" w:hAnsi="Arial" w:cs="Arial"/>
          <w:sz w:val="22"/>
          <w:szCs w:val="22"/>
        </w:rPr>
        <w:t>admitted to Australian public hospitals in 2018 with pre-existing C</w:t>
      </w:r>
      <w:r w:rsidR="004421A6">
        <w:rPr>
          <w:rFonts w:ascii="Arial" w:hAnsi="Arial" w:cs="Arial"/>
          <w:sz w:val="22"/>
          <w:szCs w:val="22"/>
        </w:rPr>
        <w:t>DI symptoms. A</w:t>
      </w:r>
      <w:r w:rsidR="0043699E">
        <w:rPr>
          <w:rFonts w:ascii="Arial" w:hAnsi="Arial" w:cs="Arial"/>
          <w:sz w:val="22"/>
          <w:szCs w:val="22"/>
        </w:rPr>
        <w:t xml:space="preserve">t least </w:t>
      </w:r>
      <w:r w:rsidR="007809A3">
        <w:rPr>
          <w:rFonts w:ascii="Arial" w:hAnsi="Arial" w:cs="Arial"/>
          <w:sz w:val="22"/>
          <w:szCs w:val="22"/>
        </w:rPr>
        <w:t>78</w:t>
      </w:r>
      <w:r w:rsidR="00614D8D" w:rsidRPr="00486944">
        <w:rPr>
          <w:rFonts w:ascii="Arial" w:hAnsi="Arial" w:cs="Arial"/>
          <w:sz w:val="22"/>
          <w:szCs w:val="22"/>
        </w:rPr>
        <w:t>%</w:t>
      </w:r>
      <w:r w:rsidR="007809A3">
        <w:rPr>
          <w:rFonts w:ascii="Arial" w:hAnsi="Arial" w:cs="Arial"/>
          <w:sz w:val="22"/>
          <w:szCs w:val="22"/>
        </w:rPr>
        <w:t xml:space="preserve"> (n=6</w:t>
      </w:r>
      <w:r w:rsidR="003465FF">
        <w:rPr>
          <w:rFonts w:ascii="Arial" w:hAnsi="Arial" w:cs="Arial"/>
          <w:sz w:val="22"/>
          <w:szCs w:val="22"/>
        </w:rPr>
        <w:t>,</w:t>
      </w:r>
      <w:r w:rsidR="007809A3">
        <w:rPr>
          <w:rFonts w:ascii="Arial" w:hAnsi="Arial" w:cs="Arial"/>
          <w:sz w:val="22"/>
          <w:szCs w:val="22"/>
        </w:rPr>
        <w:t>664)</w:t>
      </w:r>
      <w:r w:rsidR="00614D8D" w:rsidRPr="00486944">
        <w:rPr>
          <w:rFonts w:ascii="Arial" w:hAnsi="Arial" w:cs="Arial"/>
          <w:sz w:val="22"/>
          <w:szCs w:val="22"/>
        </w:rPr>
        <w:t xml:space="preserve"> </w:t>
      </w:r>
      <w:r>
        <w:rPr>
          <w:rFonts w:ascii="Arial" w:hAnsi="Arial" w:cs="Arial"/>
          <w:sz w:val="22"/>
          <w:szCs w:val="22"/>
        </w:rPr>
        <w:t xml:space="preserve">of </w:t>
      </w:r>
      <w:r w:rsidR="006D1557">
        <w:rPr>
          <w:rFonts w:ascii="Arial" w:hAnsi="Arial" w:cs="Arial"/>
          <w:sz w:val="22"/>
          <w:szCs w:val="22"/>
        </w:rPr>
        <w:t xml:space="preserve">all </w:t>
      </w:r>
      <w:r>
        <w:rPr>
          <w:rFonts w:ascii="Arial" w:hAnsi="Arial" w:cs="Arial"/>
          <w:sz w:val="22"/>
          <w:szCs w:val="22"/>
        </w:rPr>
        <w:t>patients with a CDI diagnos</w:t>
      </w:r>
      <w:r w:rsidR="006D1557">
        <w:rPr>
          <w:rFonts w:ascii="Arial" w:hAnsi="Arial" w:cs="Arial"/>
          <w:sz w:val="22"/>
          <w:szCs w:val="22"/>
        </w:rPr>
        <w:t>i</w:t>
      </w:r>
      <w:r>
        <w:rPr>
          <w:rFonts w:ascii="Arial" w:hAnsi="Arial" w:cs="Arial"/>
          <w:sz w:val="22"/>
          <w:szCs w:val="22"/>
        </w:rPr>
        <w:t xml:space="preserve">s </w:t>
      </w:r>
      <w:r w:rsidR="00565FED">
        <w:rPr>
          <w:rFonts w:ascii="Arial" w:hAnsi="Arial" w:cs="Arial"/>
          <w:sz w:val="22"/>
          <w:szCs w:val="22"/>
        </w:rPr>
        <w:t xml:space="preserve">had acquired </w:t>
      </w:r>
      <w:r w:rsidR="004421A6">
        <w:rPr>
          <w:rFonts w:ascii="Arial" w:hAnsi="Arial" w:cs="Arial"/>
          <w:i/>
          <w:sz w:val="22"/>
          <w:szCs w:val="22"/>
        </w:rPr>
        <w:t>C.</w:t>
      </w:r>
      <w:r w:rsidR="003D1D04" w:rsidRPr="003D1D04">
        <w:rPr>
          <w:rFonts w:ascii="Arial" w:hAnsi="Arial" w:cs="Arial"/>
          <w:i/>
          <w:sz w:val="22"/>
          <w:szCs w:val="22"/>
        </w:rPr>
        <w:t xml:space="preserve"> difficile</w:t>
      </w:r>
      <w:r w:rsidR="00614D8D" w:rsidRPr="00486944">
        <w:rPr>
          <w:rFonts w:ascii="Arial" w:hAnsi="Arial" w:cs="Arial"/>
          <w:sz w:val="22"/>
          <w:szCs w:val="22"/>
        </w:rPr>
        <w:t xml:space="preserve"> either in the community or during a previous health</w:t>
      </w:r>
      <w:r w:rsidR="00614D8D">
        <w:rPr>
          <w:rFonts w:ascii="Arial" w:hAnsi="Arial" w:cs="Arial"/>
          <w:sz w:val="22"/>
          <w:szCs w:val="22"/>
        </w:rPr>
        <w:t xml:space="preserve"> </w:t>
      </w:r>
      <w:r w:rsidR="00B918E5">
        <w:rPr>
          <w:rFonts w:ascii="Arial" w:hAnsi="Arial" w:cs="Arial"/>
          <w:sz w:val="22"/>
          <w:szCs w:val="22"/>
        </w:rPr>
        <w:t xml:space="preserve">care admission, and </w:t>
      </w:r>
      <w:r w:rsidR="006D1557">
        <w:rPr>
          <w:rFonts w:ascii="Arial" w:hAnsi="Arial" w:cs="Arial"/>
          <w:sz w:val="22"/>
          <w:szCs w:val="22"/>
        </w:rPr>
        <w:t xml:space="preserve">their diagnosis was </w:t>
      </w:r>
      <w:r w:rsidR="00614D8D" w:rsidRPr="00486944">
        <w:rPr>
          <w:rFonts w:ascii="Arial" w:hAnsi="Arial" w:cs="Arial"/>
          <w:sz w:val="22"/>
          <w:szCs w:val="22"/>
        </w:rPr>
        <w:t>not related to the health</w:t>
      </w:r>
      <w:r w:rsidR="00614D8D">
        <w:rPr>
          <w:rFonts w:ascii="Arial" w:hAnsi="Arial" w:cs="Arial"/>
          <w:sz w:val="22"/>
          <w:szCs w:val="22"/>
        </w:rPr>
        <w:t xml:space="preserve"> </w:t>
      </w:r>
      <w:r w:rsidR="00614D8D" w:rsidRPr="00486944">
        <w:rPr>
          <w:rFonts w:ascii="Arial" w:hAnsi="Arial" w:cs="Arial"/>
          <w:sz w:val="22"/>
          <w:szCs w:val="22"/>
        </w:rPr>
        <w:t xml:space="preserve">care delivered during the separation for </w:t>
      </w:r>
      <w:r w:rsidR="003D1D04">
        <w:rPr>
          <w:rFonts w:ascii="Arial" w:hAnsi="Arial" w:cs="Arial"/>
          <w:sz w:val="22"/>
          <w:szCs w:val="22"/>
        </w:rPr>
        <w:t>which the diagnosis was made</w:t>
      </w:r>
      <w:r>
        <w:rPr>
          <w:rFonts w:ascii="Arial" w:hAnsi="Arial" w:cs="Arial"/>
          <w:sz w:val="22"/>
          <w:szCs w:val="22"/>
        </w:rPr>
        <w:t xml:space="preserve">. </w:t>
      </w:r>
      <w:r w:rsidR="006D1557">
        <w:rPr>
          <w:rFonts w:ascii="Arial" w:hAnsi="Arial" w:cs="Arial"/>
          <w:sz w:val="22"/>
          <w:szCs w:val="22"/>
        </w:rPr>
        <w:t>Therefore</w:t>
      </w:r>
      <w:r w:rsidR="00227793">
        <w:rPr>
          <w:rFonts w:ascii="Arial" w:hAnsi="Arial" w:cs="Arial"/>
          <w:sz w:val="22"/>
          <w:szCs w:val="22"/>
        </w:rPr>
        <w:t>,</w:t>
      </w:r>
      <w:r w:rsidR="006D1557">
        <w:rPr>
          <w:rFonts w:ascii="Arial" w:hAnsi="Arial" w:cs="Arial"/>
          <w:sz w:val="22"/>
          <w:szCs w:val="22"/>
        </w:rPr>
        <w:t xml:space="preserve"> of all patients diagnosed with CDI, only 22% </w:t>
      </w:r>
      <w:r w:rsidR="00227793">
        <w:rPr>
          <w:rFonts w:ascii="Arial" w:hAnsi="Arial" w:cs="Arial"/>
          <w:sz w:val="22"/>
          <w:szCs w:val="22"/>
        </w:rPr>
        <w:t xml:space="preserve">might be considered </w:t>
      </w:r>
      <w:r w:rsidR="006D1557">
        <w:rPr>
          <w:rFonts w:ascii="Arial" w:hAnsi="Arial" w:cs="Arial"/>
          <w:sz w:val="22"/>
          <w:szCs w:val="22"/>
        </w:rPr>
        <w:t>true inpatient healthcare</w:t>
      </w:r>
      <w:r w:rsidR="001D6D98">
        <w:rPr>
          <w:rFonts w:ascii="Arial" w:hAnsi="Arial" w:cs="Arial"/>
          <w:sz w:val="22"/>
          <w:szCs w:val="22"/>
        </w:rPr>
        <w:t>-</w:t>
      </w:r>
      <w:r w:rsidR="006D1557">
        <w:rPr>
          <w:rFonts w:ascii="Arial" w:hAnsi="Arial" w:cs="Arial"/>
          <w:sz w:val="22"/>
          <w:szCs w:val="22"/>
        </w:rPr>
        <w:t>acquired CDI.</w:t>
      </w:r>
    </w:p>
    <w:p w:rsidR="007A6B6E" w:rsidRPr="00FA13F6" w:rsidRDefault="007A6B6E" w:rsidP="007A6B6E">
      <w:pPr>
        <w:spacing w:before="240" w:after="120" w:line="276" w:lineRule="auto"/>
        <w:ind w:left="720"/>
        <w:contextualSpacing/>
        <w:rPr>
          <w:rFonts w:ascii="Arial" w:hAnsi="Arial" w:cs="Arial"/>
          <w:sz w:val="22"/>
          <w:szCs w:val="22"/>
        </w:rPr>
      </w:pPr>
    </w:p>
    <w:p w:rsidR="00C35C0D" w:rsidRDefault="00227793" w:rsidP="007303ED">
      <w:pPr>
        <w:spacing w:before="240" w:line="276" w:lineRule="auto"/>
        <w:contextualSpacing/>
        <w:rPr>
          <w:rFonts w:ascii="Arial" w:hAnsi="Arial" w:cs="Arial"/>
          <w:sz w:val="22"/>
          <w:szCs w:val="22"/>
        </w:rPr>
      </w:pPr>
      <w:r>
        <w:rPr>
          <w:rFonts w:ascii="Arial" w:hAnsi="Arial" w:cs="Arial"/>
          <w:sz w:val="22"/>
          <w:szCs w:val="22"/>
        </w:rPr>
        <w:t>A year on year comparison shows that</w:t>
      </w:r>
      <w:r w:rsidR="004421A6">
        <w:rPr>
          <w:rFonts w:ascii="Arial" w:hAnsi="Arial" w:cs="Arial"/>
          <w:sz w:val="22"/>
          <w:szCs w:val="22"/>
        </w:rPr>
        <w:t>,</w:t>
      </w:r>
      <w:r>
        <w:rPr>
          <w:rFonts w:ascii="Arial" w:hAnsi="Arial" w:cs="Arial"/>
          <w:sz w:val="22"/>
          <w:szCs w:val="22"/>
        </w:rPr>
        <w:t xml:space="preserve"> </w:t>
      </w:r>
      <w:r w:rsidR="001D44A4">
        <w:rPr>
          <w:rFonts w:ascii="Arial" w:hAnsi="Arial" w:cs="Arial"/>
          <w:sz w:val="22"/>
          <w:szCs w:val="22"/>
        </w:rPr>
        <w:t>since 2016</w:t>
      </w:r>
      <w:r w:rsidR="004421A6">
        <w:rPr>
          <w:rFonts w:ascii="Arial" w:hAnsi="Arial" w:cs="Arial"/>
          <w:sz w:val="22"/>
          <w:szCs w:val="22"/>
        </w:rPr>
        <w:t>,</w:t>
      </w:r>
      <w:r w:rsidR="001D44A4">
        <w:rPr>
          <w:rFonts w:ascii="Arial" w:hAnsi="Arial" w:cs="Arial"/>
          <w:sz w:val="22"/>
          <w:szCs w:val="22"/>
        </w:rPr>
        <w:t xml:space="preserve"> the number of overall separations </w:t>
      </w:r>
      <w:r w:rsidR="001201C4">
        <w:rPr>
          <w:rFonts w:ascii="Arial" w:hAnsi="Arial" w:cs="Arial"/>
          <w:sz w:val="22"/>
          <w:szCs w:val="22"/>
        </w:rPr>
        <w:t xml:space="preserve">from Australian public hospitals </w:t>
      </w:r>
      <w:r w:rsidR="00EF1440">
        <w:rPr>
          <w:rFonts w:ascii="Arial" w:hAnsi="Arial" w:cs="Arial"/>
          <w:sz w:val="22"/>
          <w:szCs w:val="22"/>
        </w:rPr>
        <w:t>has increased,</w:t>
      </w:r>
      <w:r w:rsidR="00D40AB1">
        <w:rPr>
          <w:rFonts w:ascii="Arial" w:hAnsi="Arial" w:cs="Arial"/>
          <w:sz w:val="22"/>
          <w:szCs w:val="22"/>
        </w:rPr>
        <w:t xml:space="preserve"> </w:t>
      </w:r>
      <w:r w:rsidR="001D44A4">
        <w:rPr>
          <w:rFonts w:ascii="Arial" w:hAnsi="Arial" w:cs="Arial"/>
          <w:sz w:val="22"/>
          <w:szCs w:val="22"/>
        </w:rPr>
        <w:t>as has the number of separations with a CDI diagnoses (2016 n= 7,836, 2017 n= 8,095, 2018 n=8,496). B</w:t>
      </w:r>
      <w:r w:rsidR="007809A3">
        <w:rPr>
          <w:rFonts w:ascii="Arial" w:hAnsi="Arial" w:cs="Arial"/>
          <w:sz w:val="22"/>
          <w:szCs w:val="22"/>
        </w:rPr>
        <w:t>etween 2017 and 2018</w:t>
      </w:r>
      <w:r w:rsidR="008602EA">
        <w:rPr>
          <w:rFonts w:ascii="Arial" w:hAnsi="Arial" w:cs="Arial"/>
          <w:sz w:val="22"/>
          <w:szCs w:val="22"/>
        </w:rPr>
        <w:t>, the total number of h</w:t>
      </w:r>
      <w:r w:rsidR="008602EA" w:rsidRPr="00EA0BE6">
        <w:rPr>
          <w:rFonts w:ascii="Arial" w:hAnsi="Arial" w:cs="Arial"/>
          <w:sz w:val="22"/>
          <w:szCs w:val="22"/>
        </w:rPr>
        <w:t>ospital separations</w:t>
      </w:r>
      <w:r w:rsidR="008602EA">
        <w:rPr>
          <w:rFonts w:ascii="Arial" w:hAnsi="Arial" w:cs="Arial"/>
          <w:sz w:val="22"/>
          <w:szCs w:val="22"/>
        </w:rPr>
        <w:t xml:space="preserve"> in Australia i</w:t>
      </w:r>
      <w:r w:rsidR="007809A3">
        <w:rPr>
          <w:rFonts w:ascii="Arial" w:hAnsi="Arial" w:cs="Arial"/>
          <w:sz w:val="22"/>
          <w:szCs w:val="22"/>
        </w:rPr>
        <w:t>ncreased by 3</w:t>
      </w:r>
      <w:r w:rsidR="00562249">
        <w:rPr>
          <w:rFonts w:ascii="Arial" w:hAnsi="Arial" w:cs="Arial"/>
          <w:sz w:val="22"/>
          <w:szCs w:val="22"/>
        </w:rPr>
        <w:t>.08</w:t>
      </w:r>
      <w:r w:rsidR="005A6590">
        <w:rPr>
          <w:rFonts w:ascii="Arial" w:hAnsi="Arial" w:cs="Arial"/>
          <w:sz w:val="22"/>
          <w:szCs w:val="22"/>
        </w:rPr>
        <w:t>%</w:t>
      </w:r>
      <w:r w:rsidR="00EA48E7">
        <w:rPr>
          <w:rFonts w:ascii="Arial" w:hAnsi="Arial" w:cs="Arial"/>
          <w:sz w:val="22"/>
          <w:szCs w:val="22"/>
        </w:rPr>
        <w:t xml:space="preserve"> (Table 2)</w:t>
      </w:r>
      <w:r w:rsidR="005A6590">
        <w:rPr>
          <w:rFonts w:ascii="Arial" w:hAnsi="Arial" w:cs="Arial"/>
          <w:sz w:val="22"/>
          <w:szCs w:val="22"/>
        </w:rPr>
        <w:t>. The t</w:t>
      </w:r>
      <w:r w:rsidR="008602EA">
        <w:rPr>
          <w:rFonts w:ascii="Arial" w:hAnsi="Arial" w:cs="Arial"/>
          <w:sz w:val="22"/>
          <w:szCs w:val="22"/>
        </w:rPr>
        <w:t>otal number of CDI diagnoses during t</w:t>
      </w:r>
      <w:r w:rsidR="007809A3">
        <w:rPr>
          <w:rFonts w:ascii="Arial" w:hAnsi="Arial" w:cs="Arial"/>
          <w:sz w:val="22"/>
          <w:szCs w:val="22"/>
        </w:rPr>
        <w:t>his period</w:t>
      </w:r>
      <w:r w:rsidR="007848B3">
        <w:rPr>
          <w:rFonts w:ascii="Arial" w:hAnsi="Arial" w:cs="Arial"/>
          <w:sz w:val="22"/>
          <w:szCs w:val="22"/>
        </w:rPr>
        <w:t xml:space="preserve"> </w:t>
      </w:r>
      <w:r w:rsidR="007809A3">
        <w:rPr>
          <w:rFonts w:ascii="Arial" w:hAnsi="Arial" w:cs="Arial"/>
          <w:sz w:val="22"/>
          <w:szCs w:val="22"/>
        </w:rPr>
        <w:t xml:space="preserve">increased by </w:t>
      </w:r>
      <w:r w:rsidR="007809A3">
        <w:rPr>
          <w:rFonts w:ascii="Arial" w:hAnsi="Arial" w:cs="Arial"/>
          <w:sz w:val="22"/>
          <w:szCs w:val="22"/>
        </w:rPr>
        <w:lastRenderedPageBreak/>
        <w:t>4.</w:t>
      </w:r>
      <w:r w:rsidR="00C67A88">
        <w:rPr>
          <w:rFonts w:ascii="Arial" w:hAnsi="Arial" w:cs="Arial"/>
          <w:sz w:val="22"/>
          <w:szCs w:val="22"/>
        </w:rPr>
        <w:t>9</w:t>
      </w:r>
      <w:r w:rsidR="00562249">
        <w:rPr>
          <w:rFonts w:ascii="Arial" w:hAnsi="Arial" w:cs="Arial"/>
          <w:sz w:val="22"/>
          <w:szCs w:val="22"/>
        </w:rPr>
        <w:t>5</w:t>
      </w:r>
      <w:r w:rsidR="005A6590">
        <w:rPr>
          <w:rFonts w:ascii="Arial" w:hAnsi="Arial" w:cs="Arial"/>
          <w:sz w:val="22"/>
          <w:szCs w:val="22"/>
        </w:rPr>
        <w:t>%</w:t>
      </w:r>
      <w:r w:rsidR="00F73B46">
        <w:rPr>
          <w:rFonts w:ascii="Arial" w:hAnsi="Arial" w:cs="Arial"/>
          <w:sz w:val="22"/>
          <w:szCs w:val="22"/>
        </w:rPr>
        <w:t xml:space="preserve">. </w:t>
      </w:r>
      <w:r w:rsidR="00A30EC2">
        <w:rPr>
          <w:rFonts w:ascii="Arial" w:hAnsi="Arial" w:cs="Arial"/>
          <w:sz w:val="22"/>
          <w:szCs w:val="22"/>
        </w:rPr>
        <w:t>There was a 9.</w:t>
      </w:r>
      <w:r w:rsidR="00C67A88">
        <w:rPr>
          <w:rFonts w:ascii="Arial" w:hAnsi="Arial" w:cs="Arial"/>
          <w:sz w:val="22"/>
          <w:szCs w:val="22"/>
        </w:rPr>
        <w:t>4</w:t>
      </w:r>
      <w:r w:rsidR="00562249">
        <w:rPr>
          <w:rFonts w:ascii="Arial" w:hAnsi="Arial" w:cs="Arial"/>
          <w:sz w:val="22"/>
          <w:szCs w:val="22"/>
        </w:rPr>
        <w:t>3</w:t>
      </w:r>
      <w:r w:rsidR="00A30EC2">
        <w:rPr>
          <w:rFonts w:ascii="Arial" w:hAnsi="Arial" w:cs="Arial"/>
          <w:sz w:val="22"/>
          <w:szCs w:val="22"/>
        </w:rPr>
        <w:t>% decline in</w:t>
      </w:r>
      <w:r w:rsidR="004421A6">
        <w:rPr>
          <w:rFonts w:ascii="Arial" w:hAnsi="Arial" w:cs="Arial"/>
          <w:sz w:val="22"/>
          <w:szCs w:val="22"/>
        </w:rPr>
        <w:t xml:space="preserve"> </w:t>
      </w:r>
      <w:r w:rsidR="001201C4">
        <w:rPr>
          <w:rFonts w:ascii="Arial" w:hAnsi="Arial" w:cs="Arial"/>
          <w:sz w:val="22"/>
          <w:szCs w:val="22"/>
        </w:rPr>
        <w:t xml:space="preserve">the number of </w:t>
      </w:r>
      <w:r w:rsidR="004421A6">
        <w:rPr>
          <w:rFonts w:ascii="Arial" w:hAnsi="Arial" w:cs="Arial"/>
          <w:sz w:val="22"/>
          <w:szCs w:val="22"/>
        </w:rPr>
        <w:t xml:space="preserve">separations </w:t>
      </w:r>
      <w:r w:rsidR="008602EA" w:rsidRPr="00EA0BE6">
        <w:rPr>
          <w:rFonts w:ascii="Arial" w:hAnsi="Arial" w:cs="Arial"/>
          <w:sz w:val="22"/>
          <w:szCs w:val="22"/>
        </w:rPr>
        <w:t xml:space="preserve">classified as </w:t>
      </w:r>
      <w:r w:rsidR="001201C4">
        <w:rPr>
          <w:rFonts w:ascii="Arial" w:hAnsi="Arial" w:cs="Arial"/>
          <w:sz w:val="22"/>
          <w:szCs w:val="22"/>
        </w:rPr>
        <w:t xml:space="preserve">a </w:t>
      </w:r>
      <w:r w:rsidR="004421A6">
        <w:rPr>
          <w:rFonts w:ascii="Arial" w:hAnsi="Arial" w:cs="Arial"/>
          <w:sz w:val="22"/>
          <w:szCs w:val="22"/>
        </w:rPr>
        <w:t>non-princip</w:t>
      </w:r>
      <w:r w:rsidR="00083582">
        <w:rPr>
          <w:rFonts w:ascii="Arial" w:hAnsi="Arial" w:cs="Arial"/>
          <w:sz w:val="22"/>
          <w:szCs w:val="22"/>
        </w:rPr>
        <w:t>a</w:t>
      </w:r>
      <w:r w:rsidR="004421A6">
        <w:rPr>
          <w:rFonts w:ascii="Arial" w:hAnsi="Arial" w:cs="Arial"/>
          <w:sz w:val="22"/>
          <w:szCs w:val="22"/>
        </w:rPr>
        <w:t>l CDI diagnosis</w:t>
      </w:r>
      <w:r w:rsidR="001201C4">
        <w:rPr>
          <w:rFonts w:ascii="Arial" w:hAnsi="Arial" w:cs="Arial"/>
          <w:sz w:val="22"/>
          <w:szCs w:val="22"/>
        </w:rPr>
        <w:t xml:space="preserve"> with</w:t>
      </w:r>
      <w:r w:rsidR="004421A6">
        <w:rPr>
          <w:rFonts w:ascii="Arial" w:hAnsi="Arial" w:cs="Arial"/>
          <w:sz w:val="22"/>
          <w:szCs w:val="22"/>
        </w:rPr>
        <w:t xml:space="preserve"> </w:t>
      </w:r>
      <w:r w:rsidR="001201C4">
        <w:rPr>
          <w:rFonts w:ascii="Arial" w:hAnsi="Arial" w:cs="Arial"/>
          <w:sz w:val="22"/>
          <w:szCs w:val="22"/>
        </w:rPr>
        <w:t xml:space="preserve">a </w:t>
      </w:r>
      <w:r w:rsidR="008602EA" w:rsidRPr="00EA0BE6">
        <w:rPr>
          <w:rFonts w:ascii="Arial" w:hAnsi="Arial" w:cs="Arial"/>
          <w:sz w:val="22"/>
          <w:szCs w:val="22"/>
        </w:rPr>
        <w:t>COF1</w:t>
      </w:r>
      <w:r w:rsidR="001201C4">
        <w:rPr>
          <w:rFonts w:ascii="Arial" w:hAnsi="Arial" w:cs="Arial"/>
          <w:sz w:val="22"/>
          <w:szCs w:val="22"/>
        </w:rPr>
        <w:t xml:space="preserve"> code</w:t>
      </w:r>
      <w:r w:rsidR="00A30EC2">
        <w:rPr>
          <w:rFonts w:ascii="Arial" w:hAnsi="Arial" w:cs="Arial"/>
          <w:sz w:val="22"/>
          <w:szCs w:val="22"/>
        </w:rPr>
        <w:t>, whereas</w:t>
      </w:r>
      <w:r w:rsidR="007809A3">
        <w:rPr>
          <w:rFonts w:ascii="Arial" w:hAnsi="Arial" w:cs="Arial"/>
          <w:sz w:val="22"/>
          <w:szCs w:val="22"/>
        </w:rPr>
        <w:t xml:space="preserve"> the number of separations wi</w:t>
      </w:r>
      <w:r w:rsidR="00A30EC2">
        <w:rPr>
          <w:rFonts w:ascii="Arial" w:hAnsi="Arial" w:cs="Arial"/>
          <w:sz w:val="22"/>
          <w:szCs w:val="22"/>
        </w:rPr>
        <w:t>th a non-principal CDI diagnos</w:t>
      </w:r>
      <w:r w:rsidR="007848B3">
        <w:rPr>
          <w:rFonts w:ascii="Arial" w:hAnsi="Arial" w:cs="Arial"/>
          <w:sz w:val="22"/>
          <w:szCs w:val="22"/>
        </w:rPr>
        <w:t>is</w:t>
      </w:r>
      <w:r w:rsidR="007809A3">
        <w:rPr>
          <w:rFonts w:ascii="Arial" w:hAnsi="Arial" w:cs="Arial"/>
          <w:sz w:val="22"/>
          <w:szCs w:val="22"/>
        </w:rPr>
        <w:t xml:space="preserve"> </w:t>
      </w:r>
      <w:r w:rsidR="001201C4">
        <w:rPr>
          <w:rFonts w:ascii="Arial" w:hAnsi="Arial" w:cs="Arial"/>
          <w:sz w:val="22"/>
          <w:szCs w:val="22"/>
        </w:rPr>
        <w:t xml:space="preserve">with a </w:t>
      </w:r>
      <w:r w:rsidR="007809A3">
        <w:rPr>
          <w:rFonts w:ascii="Arial" w:hAnsi="Arial" w:cs="Arial"/>
          <w:sz w:val="22"/>
          <w:szCs w:val="22"/>
        </w:rPr>
        <w:t>COF2</w:t>
      </w:r>
      <w:r w:rsidR="001201C4">
        <w:rPr>
          <w:rFonts w:ascii="Arial" w:hAnsi="Arial" w:cs="Arial"/>
          <w:sz w:val="22"/>
          <w:szCs w:val="22"/>
        </w:rPr>
        <w:t xml:space="preserve"> code</w:t>
      </w:r>
      <w:r w:rsidR="007809A3">
        <w:rPr>
          <w:rFonts w:ascii="Arial" w:hAnsi="Arial" w:cs="Arial"/>
          <w:sz w:val="22"/>
          <w:szCs w:val="22"/>
        </w:rPr>
        <w:t xml:space="preserve"> increased by 1</w:t>
      </w:r>
      <w:r w:rsidR="00C67A88">
        <w:rPr>
          <w:rFonts w:ascii="Arial" w:hAnsi="Arial" w:cs="Arial"/>
          <w:sz w:val="22"/>
          <w:szCs w:val="22"/>
        </w:rPr>
        <w:t>1.</w:t>
      </w:r>
      <w:r w:rsidR="00562249">
        <w:rPr>
          <w:rFonts w:ascii="Arial" w:hAnsi="Arial" w:cs="Arial"/>
          <w:sz w:val="22"/>
          <w:szCs w:val="22"/>
        </w:rPr>
        <w:t>38</w:t>
      </w:r>
      <w:r w:rsidR="007809A3">
        <w:rPr>
          <w:rFonts w:ascii="Arial" w:hAnsi="Arial" w:cs="Arial"/>
          <w:sz w:val="22"/>
          <w:szCs w:val="22"/>
        </w:rPr>
        <w:t>%.</w:t>
      </w:r>
      <w:r w:rsidR="00EA48E7">
        <w:rPr>
          <w:rFonts w:ascii="Arial" w:hAnsi="Arial" w:cs="Arial"/>
          <w:sz w:val="22"/>
          <w:szCs w:val="22"/>
        </w:rPr>
        <w:t xml:space="preserve"> T</w:t>
      </w:r>
      <w:r w:rsidR="0004645D">
        <w:rPr>
          <w:rFonts w:ascii="Arial" w:hAnsi="Arial" w:cs="Arial"/>
          <w:sz w:val="22"/>
          <w:szCs w:val="22"/>
        </w:rPr>
        <w:t xml:space="preserve">he estimated </w:t>
      </w:r>
      <w:r w:rsidR="0004645D" w:rsidRPr="00486944">
        <w:rPr>
          <w:rFonts w:ascii="Arial" w:hAnsi="Arial" w:cs="Arial"/>
          <w:sz w:val="22"/>
          <w:szCs w:val="22"/>
        </w:rPr>
        <w:t>proportion</w:t>
      </w:r>
      <w:r w:rsidR="0004645D">
        <w:rPr>
          <w:rFonts w:ascii="Arial" w:hAnsi="Arial" w:cs="Arial"/>
          <w:sz w:val="22"/>
          <w:szCs w:val="22"/>
        </w:rPr>
        <w:t xml:space="preserve"> of pre-existing CDI</w:t>
      </w:r>
      <w:r w:rsidR="0004645D" w:rsidRPr="00486944">
        <w:rPr>
          <w:rFonts w:ascii="Arial" w:hAnsi="Arial" w:cs="Arial"/>
          <w:sz w:val="22"/>
          <w:szCs w:val="22"/>
        </w:rPr>
        <w:t xml:space="preserve"> increa</w:t>
      </w:r>
      <w:r w:rsidR="007809A3">
        <w:rPr>
          <w:rFonts w:ascii="Arial" w:hAnsi="Arial" w:cs="Arial"/>
          <w:sz w:val="22"/>
          <w:szCs w:val="22"/>
        </w:rPr>
        <w:t xml:space="preserve">sed by </w:t>
      </w:r>
      <w:r w:rsidR="00C67A88">
        <w:rPr>
          <w:rFonts w:ascii="Arial" w:hAnsi="Arial" w:cs="Arial"/>
          <w:sz w:val="22"/>
          <w:szCs w:val="22"/>
        </w:rPr>
        <w:t>9.3</w:t>
      </w:r>
      <w:r w:rsidR="00562249">
        <w:rPr>
          <w:rFonts w:ascii="Arial" w:hAnsi="Arial" w:cs="Arial"/>
          <w:sz w:val="22"/>
          <w:szCs w:val="22"/>
        </w:rPr>
        <w:t>5</w:t>
      </w:r>
      <w:r w:rsidR="00F73B46">
        <w:rPr>
          <w:rFonts w:ascii="Arial" w:hAnsi="Arial" w:cs="Arial"/>
          <w:sz w:val="22"/>
          <w:szCs w:val="22"/>
        </w:rPr>
        <w:t>% between</w:t>
      </w:r>
      <w:r w:rsidR="007809A3">
        <w:rPr>
          <w:rFonts w:ascii="Arial" w:hAnsi="Arial" w:cs="Arial"/>
          <w:sz w:val="22"/>
          <w:szCs w:val="22"/>
        </w:rPr>
        <w:t xml:space="preserve"> 2017 and 2018</w:t>
      </w:r>
      <w:r w:rsidR="005A6590">
        <w:rPr>
          <w:rFonts w:ascii="Arial" w:hAnsi="Arial" w:cs="Arial"/>
          <w:sz w:val="22"/>
          <w:szCs w:val="22"/>
        </w:rPr>
        <w:t>.</w:t>
      </w:r>
      <w:r w:rsidR="00DB068E">
        <w:rPr>
          <w:rFonts w:ascii="Arial" w:hAnsi="Arial" w:cs="Arial"/>
          <w:sz w:val="22"/>
          <w:szCs w:val="22"/>
        </w:rPr>
        <w:t xml:space="preserve"> </w:t>
      </w:r>
      <w:r w:rsidR="00DB068E" w:rsidRPr="00DB068E">
        <w:rPr>
          <w:rFonts w:ascii="Arial" w:hAnsi="Arial" w:cs="Arial"/>
          <w:sz w:val="22"/>
        </w:rPr>
        <w:t>While the overall burden of CDI presenting to the health system appears to be increasing, the majority of this burden appears to not be healthcare-acquired</w:t>
      </w:r>
      <w:r w:rsidR="00DB068E">
        <w:rPr>
          <w:rFonts w:ascii="Arial" w:hAnsi="Arial" w:cs="Arial"/>
          <w:sz w:val="22"/>
          <w:szCs w:val="22"/>
        </w:rPr>
        <w:t>.</w:t>
      </w:r>
      <w:r w:rsidR="005A6590" w:rsidRPr="00DB068E">
        <w:rPr>
          <w:rFonts w:ascii="Arial" w:hAnsi="Arial" w:cs="Arial"/>
          <w:sz w:val="22"/>
          <w:szCs w:val="22"/>
        </w:rPr>
        <w:t xml:space="preserve"> </w:t>
      </w:r>
      <w:r w:rsidR="001201C4">
        <w:rPr>
          <w:rFonts w:ascii="Arial" w:hAnsi="Arial" w:cs="Arial"/>
          <w:sz w:val="22"/>
          <w:szCs w:val="22"/>
        </w:rPr>
        <w:t>More detail</w:t>
      </w:r>
      <w:r w:rsidR="001D44A4">
        <w:rPr>
          <w:rFonts w:ascii="Arial" w:hAnsi="Arial" w:cs="Arial"/>
          <w:sz w:val="22"/>
          <w:szCs w:val="22"/>
        </w:rPr>
        <w:t xml:space="preserve"> on the year</w:t>
      </w:r>
      <w:r w:rsidR="00083582">
        <w:rPr>
          <w:rFonts w:ascii="Arial" w:hAnsi="Arial" w:cs="Arial"/>
          <w:sz w:val="22"/>
          <w:szCs w:val="22"/>
        </w:rPr>
        <w:t>-</w:t>
      </w:r>
      <w:r w:rsidR="001D44A4">
        <w:rPr>
          <w:rFonts w:ascii="Arial" w:hAnsi="Arial" w:cs="Arial"/>
          <w:sz w:val="22"/>
          <w:szCs w:val="22"/>
        </w:rPr>
        <w:t>on</w:t>
      </w:r>
      <w:r w:rsidR="00083582">
        <w:rPr>
          <w:rFonts w:ascii="Arial" w:hAnsi="Arial" w:cs="Arial"/>
          <w:sz w:val="22"/>
          <w:szCs w:val="22"/>
        </w:rPr>
        <w:t>-</w:t>
      </w:r>
      <w:r w:rsidR="001D44A4">
        <w:rPr>
          <w:rFonts w:ascii="Arial" w:hAnsi="Arial" w:cs="Arial"/>
          <w:sz w:val="22"/>
          <w:szCs w:val="22"/>
        </w:rPr>
        <w:t>year comparison of CDI rates from</w:t>
      </w:r>
      <w:r w:rsidR="001201C4">
        <w:rPr>
          <w:rFonts w:ascii="Arial" w:hAnsi="Arial" w:cs="Arial"/>
          <w:sz w:val="22"/>
          <w:szCs w:val="22"/>
        </w:rPr>
        <w:t xml:space="preserve"> 2016, 2017 and 2018 will be</w:t>
      </w:r>
      <w:r w:rsidR="00083582">
        <w:rPr>
          <w:rFonts w:ascii="Arial" w:hAnsi="Arial" w:cs="Arial"/>
          <w:sz w:val="22"/>
          <w:szCs w:val="22"/>
        </w:rPr>
        <w:t xml:space="preserve"> included</w:t>
      </w:r>
      <w:r w:rsidR="001D44A4">
        <w:rPr>
          <w:rFonts w:ascii="Arial" w:hAnsi="Arial" w:cs="Arial"/>
          <w:sz w:val="22"/>
          <w:szCs w:val="22"/>
        </w:rPr>
        <w:t xml:space="preserve"> in</w:t>
      </w:r>
      <w:r w:rsidR="001D44A4" w:rsidRPr="001D44A4">
        <w:rPr>
          <w:rFonts w:ascii="Arial" w:hAnsi="Arial" w:cs="Arial"/>
          <w:sz w:val="22"/>
        </w:rPr>
        <w:t xml:space="preserve"> </w:t>
      </w:r>
      <w:r w:rsidR="001D44A4">
        <w:rPr>
          <w:rFonts w:ascii="Arial" w:hAnsi="Arial" w:cs="Arial"/>
          <w:sz w:val="22"/>
        </w:rPr>
        <w:t>an amalgam report to be published by the Commission in 2020.</w:t>
      </w:r>
      <w:r w:rsidR="001D44A4">
        <w:rPr>
          <w:rFonts w:ascii="Arial" w:hAnsi="Arial" w:cs="Arial"/>
          <w:sz w:val="22"/>
          <w:szCs w:val="22"/>
        </w:rPr>
        <w:t xml:space="preserve"> </w:t>
      </w:r>
    </w:p>
    <w:p w:rsidR="00565FED" w:rsidRDefault="00565FED" w:rsidP="00344053">
      <w:pPr>
        <w:pStyle w:val="Heading1"/>
        <w:rPr>
          <w:rFonts w:ascii="Arial" w:hAnsi="Arial"/>
          <w:sz w:val="28"/>
        </w:rPr>
      </w:pPr>
    </w:p>
    <w:p w:rsidR="00121840" w:rsidRPr="00C35C0D" w:rsidRDefault="009F3670" w:rsidP="00344053">
      <w:pPr>
        <w:pStyle w:val="Heading1"/>
        <w:rPr>
          <w:rFonts w:ascii="Arial" w:hAnsi="Arial"/>
          <w:sz w:val="28"/>
        </w:rPr>
      </w:pPr>
      <w:r w:rsidRPr="00C35C0D">
        <w:rPr>
          <w:rFonts w:ascii="Arial" w:hAnsi="Arial"/>
          <w:sz w:val="28"/>
        </w:rPr>
        <w:t xml:space="preserve">Hospital length of stay </w:t>
      </w:r>
      <w:r w:rsidR="00383584" w:rsidRPr="00C35C0D">
        <w:rPr>
          <w:rFonts w:ascii="Arial" w:hAnsi="Arial"/>
          <w:sz w:val="28"/>
        </w:rPr>
        <w:t xml:space="preserve">for patients </w:t>
      </w:r>
      <w:r w:rsidRPr="00C35C0D">
        <w:rPr>
          <w:rFonts w:ascii="Arial" w:hAnsi="Arial"/>
          <w:sz w:val="28"/>
        </w:rPr>
        <w:t>with a CDI d</w:t>
      </w:r>
      <w:r w:rsidR="00D11FA8" w:rsidRPr="00C35C0D">
        <w:rPr>
          <w:rFonts w:ascii="Arial" w:hAnsi="Arial"/>
          <w:sz w:val="28"/>
        </w:rPr>
        <w:t>iagnose</w:t>
      </w:r>
      <w:r w:rsidRPr="00C35C0D">
        <w:rPr>
          <w:rFonts w:ascii="Arial" w:hAnsi="Arial"/>
          <w:sz w:val="28"/>
        </w:rPr>
        <w:t>s</w:t>
      </w:r>
    </w:p>
    <w:p w:rsidR="00407FB7" w:rsidRPr="0097478E" w:rsidRDefault="00121840" w:rsidP="0097478E">
      <w:pPr>
        <w:pStyle w:val="Heading2"/>
        <w:rPr>
          <w:rFonts w:ascii="Arial" w:hAnsi="Arial" w:cs="Arial"/>
          <w:b/>
          <w:color w:val="auto"/>
          <w:sz w:val="22"/>
        </w:rPr>
      </w:pPr>
      <w:r w:rsidRPr="008D0C40">
        <w:rPr>
          <w:rFonts w:ascii="Arial" w:hAnsi="Arial" w:cs="Arial"/>
          <w:b/>
          <w:color w:val="auto"/>
          <w:sz w:val="22"/>
        </w:rPr>
        <w:t xml:space="preserve">Table </w:t>
      </w:r>
      <w:r w:rsidR="0001675D" w:rsidRPr="008D0C40">
        <w:rPr>
          <w:rFonts w:ascii="Arial" w:hAnsi="Arial" w:cs="Arial"/>
          <w:b/>
          <w:color w:val="auto"/>
          <w:sz w:val="22"/>
        </w:rPr>
        <w:t>3</w:t>
      </w:r>
      <w:r w:rsidR="00083582">
        <w:rPr>
          <w:rFonts w:ascii="Arial" w:hAnsi="Arial" w:cs="Arial"/>
          <w:b/>
          <w:color w:val="auto"/>
          <w:sz w:val="22"/>
        </w:rPr>
        <w:t>:</w:t>
      </w:r>
      <w:r w:rsidRPr="008D0C40">
        <w:rPr>
          <w:rFonts w:ascii="Arial" w:hAnsi="Arial" w:cs="Arial"/>
          <w:b/>
          <w:color w:val="auto"/>
          <w:sz w:val="22"/>
        </w:rPr>
        <w:t xml:space="preserve"> Average length of stay </w:t>
      </w:r>
      <w:r w:rsidR="00407FB7" w:rsidRPr="008D0C40">
        <w:rPr>
          <w:rFonts w:ascii="Arial" w:hAnsi="Arial" w:cs="Arial"/>
          <w:b/>
          <w:color w:val="auto"/>
          <w:sz w:val="22"/>
        </w:rPr>
        <w:t xml:space="preserve">(days) for patients with a </w:t>
      </w:r>
      <w:r w:rsidR="00E569C7" w:rsidRPr="008D0C40">
        <w:rPr>
          <w:rFonts w:ascii="Arial" w:hAnsi="Arial" w:cs="Arial"/>
          <w:b/>
          <w:color w:val="auto"/>
          <w:sz w:val="22"/>
        </w:rPr>
        <w:t>CDI</w:t>
      </w:r>
      <w:r w:rsidR="009A316C" w:rsidRPr="008D0C40">
        <w:rPr>
          <w:rFonts w:ascii="Arial" w:hAnsi="Arial" w:cs="Arial"/>
          <w:b/>
          <w:color w:val="auto"/>
          <w:sz w:val="22"/>
        </w:rPr>
        <w:t xml:space="preserve"> (A04.7)</w:t>
      </w:r>
      <w:r w:rsidR="00943F1B" w:rsidRPr="008D0C40">
        <w:rPr>
          <w:rFonts w:ascii="Arial" w:hAnsi="Arial" w:cs="Arial"/>
          <w:b/>
          <w:color w:val="auto"/>
          <w:sz w:val="22"/>
        </w:rPr>
        <w:t xml:space="preserve"> diagnosi</w:t>
      </w:r>
      <w:r w:rsidRPr="008D0C40">
        <w:rPr>
          <w:rFonts w:ascii="Arial" w:hAnsi="Arial" w:cs="Arial"/>
          <w:b/>
          <w:color w:val="auto"/>
          <w:sz w:val="22"/>
        </w:rPr>
        <w:t>s</w:t>
      </w:r>
      <w:r w:rsidR="00407FB7" w:rsidRPr="008D0C40">
        <w:rPr>
          <w:rFonts w:ascii="Arial" w:hAnsi="Arial" w:cs="Arial"/>
          <w:b/>
          <w:color w:val="auto"/>
          <w:sz w:val="22"/>
        </w:rPr>
        <w:t xml:space="preserve"> in Australian public hospitals</w:t>
      </w:r>
      <w:r w:rsidR="00245940" w:rsidRPr="008D0C40">
        <w:rPr>
          <w:rFonts w:ascii="Arial" w:hAnsi="Arial" w:cs="Arial"/>
          <w:b/>
          <w:color w:val="auto"/>
          <w:sz w:val="22"/>
        </w:rPr>
        <w:t>,</w:t>
      </w:r>
      <w:r w:rsidR="00A40EDC" w:rsidRPr="008D0C40">
        <w:rPr>
          <w:rFonts w:ascii="Arial" w:hAnsi="Arial" w:cs="Arial"/>
          <w:b/>
          <w:color w:val="auto"/>
          <w:sz w:val="22"/>
        </w:rPr>
        <w:t xml:space="preserve"> 2012-2018</w:t>
      </w:r>
      <w:r w:rsidRPr="0001675D">
        <w:rPr>
          <w:rFonts w:ascii="Arial" w:hAnsi="Arial" w:cs="Arial"/>
          <w:b/>
          <w:color w:val="auto"/>
          <w:sz w:val="22"/>
        </w:rPr>
        <w:t> </w:t>
      </w:r>
    </w:p>
    <w:tbl>
      <w:tblPr>
        <w:tblpPr w:leftFromText="180" w:rightFromText="180" w:vertAnchor="text" w:tblpY="1"/>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10"/>
        <w:gridCol w:w="2190"/>
        <w:gridCol w:w="2190"/>
        <w:gridCol w:w="2190"/>
      </w:tblGrid>
      <w:tr w:rsidR="00344DD5" w:rsidRPr="00DE3AF0" w:rsidTr="00D40AB1">
        <w:trPr>
          <w:trHeight w:val="204"/>
        </w:trPr>
        <w:tc>
          <w:tcPr>
            <w:tcW w:w="2210" w:type="dxa"/>
            <w:shd w:val="clear" w:color="auto" w:fill="8EAADB"/>
            <w:vAlign w:val="center"/>
          </w:tcPr>
          <w:p w:rsidR="00344DD5" w:rsidRPr="00F5522D" w:rsidRDefault="00344DD5" w:rsidP="003E5C74">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b/>
                <w:color w:val="000000"/>
                <w:sz w:val="22"/>
                <w:szCs w:val="22"/>
                <w:lang w:eastAsia="en-AU"/>
              </w:rPr>
              <w:t>Year</w:t>
            </w:r>
          </w:p>
        </w:tc>
        <w:tc>
          <w:tcPr>
            <w:tcW w:w="2190" w:type="dxa"/>
            <w:shd w:val="clear" w:color="auto" w:fill="8EAADB"/>
          </w:tcPr>
          <w:p w:rsidR="00344DD5" w:rsidRPr="00F5522D" w:rsidRDefault="001D44A4" w:rsidP="00083582">
            <w:pPr>
              <w:spacing w:after="0" w:line="240" w:lineRule="auto"/>
              <w:jc w:val="center"/>
              <w:rPr>
                <w:rFonts w:ascii="Arial" w:eastAsia="Times New Roman" w:hAnsi="Arial" w:cs="Arial"/>
                <w:b/>
                <w:color w:val="000000"/>
                <w:sz w:val="22"/>
                <w:szCs w:val="22"/>
                <w:lang w:eastAsia="en-AU"/>
              </w:rPr>
            </w:pPr>
            <w:r>
              <w:rPr>
                <w:rFonts w:ascii="Arial" w:eastAsia="Times New Roman" w:hAnsi="Arial" w:cs="Arial"/>
                <w:b/>
                <w:color w:val="000000"/>
                <w:sz w:val="22"/>
                <w:szCs w:val="22"/>
                <w:lang w:eastAsia="en-AU"/>
              </w:rPr>
              <w:t>Length of stay (days) for p</w:t>
            </w:r>
            <w:r w:rsidR="00344DD5" w:rsidRPr="00F5522D">
              <w:rPr>
                <w:rFonts w:ascii="Arial" w:eastAsia="Times New Roman" w:hAnsi="Arial" w:cs="Arial"/>
                <w:b/>
                <w:color w:val="000000"/>
                <w:sz w:val="22"/>
                <w:szCs w:val="22"/>
                <w:lang w:eastAsia="en-AU"/>
              </w:rPr>
              <w:t xml:space="preserve">rincipal </w:t>
            </w:r>
            <w:r w:rsidR="00344DD5">
              <w:rPr>
                <w:rFonts w:ascii="Arial" w:eastAsia="Times New Roman" w:hAnsi="Arial" w:cs="Arial"/>
                <w:b/>
                <w:color w:val="000000"/>
                <w:sz w:val="22"/>
                <w:szCs w:val="22"/>
                <w:lang w:eastAsia="en-AU"/>
              </w:rPr>
              <w:t>CDI</w:t>
            </w:r>
            <w:r w:rsidR="00943F1B">
              <w:rPr>
                <w:rFonts w:ascii="Arial" w:eastAsia="Times New Roman" w:hAnsi="Arial" w:cs="Arial"/>
                <w:b/>
                <w:color w:val="000000"/>
                <w:sz w:val="22"/>
                <w:szCs w:val="22"/>
                <w:lang w:eastAsia="en-AU"/>
              </w:rPr>
              <w:t xml:space="preserve"> diagnosi</w:t>
            </w:r>
            <w:r w:rsidR="00344DD5" w:rsidRPr="00F5522D">
              <w:rPr>
                <w:rFonts w:ascii="Arial" w:eastAsia="Times New Roman" w:hAnsi="Arial" w:cs="Arial"/>
                <w:b/>
                <w:color w:val="000000"/>
                <w:sz w:val="22"/>
                <w:szCs w:val="22"/>
                <w:lang w:eastAsia="en-AU"/>
              </w:rPr>
              <w:t>s</w:t>
            </w:r>
            <w:r>
              <w:rPr>
                <w:rFonts w:ascii="Arial" w:eastAsia="Times New Roman" w:hAnsi="Arial" w:cs="Arial"/>
                <w:b/>
                <w:color w:val="000000"/>
                <w:sz w:val="22"/>
                <w:szCs w:val="22"/>
                <w:lang w:eastAsia="en-AU"/>
              </w:rPr>
              <w:t xml:space="preserve"> </w:t>
            </w:r>
          </w:p>
        </w:tc>
        <w:tc>
          <w:tcPr>
            <w:tcW w:w="2190" w:type="dxa"/>
            <w:shd w:val="clear" w:color="auto" w:fill="8EAADB"/>
          </w:tcPr>
          <w:p w:rsidR="00344DD5" w:rsidRPr="00F5522D" w:rsidRDefault="001D44A4" w:rsidP="003E5C74">
            <w:pPr>
              <w:spacing w:after="0" w:line="240" w:lineRule="auto"/>
              <w:jc w:val="center"/>
              <w:rPr>
                <w:rFonts w:ascii="Arial" w:eastAsia="Times New Roman" w:hAnsi="Arial" w:cs="Arial"/>
                <w:b/>
                <w:color w:val="000000"/>
                <w:sz w:val="22"/>
                <w:szCs w:val="22"/>
                <w:lang w:eastAsia="en-AU"/>
              </w:rPr>
            </w:pPr>
            <w:r>
              <w:rPr>
                <w:rFonts w:ascii="Arial" w:eastAsia="Times New Roman" w:hAnsi="Arial" w:cs="Arial"/>
                <w:b/>
                <w:color w:val="000000"/>
                <w:sz w:val="22"/>
                <w:szCs w:val="22"/>
                <w:lang w:eastAsia="en-AU"/>
              </w:rPr>
              <w:t>Length of stay (days) for n</w:t>
            </w:r>
            <w:r w:rsidR="00344DD5">
              <w:rPr>
                <w:rFonts w:ascii="Arial" w:eastAsia="Times New Roman" w:hAnsi="Arial" w:cs="Arial"/>
                <w:b/>
                <w:color w:val="000000"/>
                <w:sz w:val="22"/>
                <w:szCs w:val="22"/>
                <w:lang w:eastAsia="en-AU"/>
              </w:rPr>
              <w:t>on-principal</w:t>
            </w:r>
            <w:r w:rsidR="00344DD5" w:rsidRPr="00F5522D">
              <w:rPr>
                <w:rFonts w:ascii="Arial" w:eastAsia="Times New Roman" w:hAnsi="Arial" w:cs="Arial"/>
                <w:b/>
                <w:color w:val="000000"/>
                <w:sz w:val="22"/>
                <w:szCs w:val="22"/>
                <w:lang w:eastAsia="en-AU"/>
              </w:rPr>
              <w:t xml:space="preserve"> </w:t>
            </w:r>
            <w:r w:rsidR="00344DD5">
              <w:rPr>
                <w:rFonts w:ascii="Arial" w:eastAsia="Times New Roman" w:hAnsi="Arial" w:cs="Arial"/>
                <w:b/>
                <w:color w:val="000000"/>
                <w:sz w:val="22"/>
                <w:szCs w:val="22"/>
                <w:lang w:eastAsia="en-AU"/>
              </w:rPr>
              <w:t>CDI</w:t>
            </w:r>
            <w:r w:rsidR="00943F1B">
              <w:rPr>
                <w:rFonts w:ascii="Arial" w:eastAsia="Times New Roman" w:hAnsi="Arial" w:cs="Arial"/>
                <w:b/>
                <w:color w:val="000000"/>
                <w:sz w:val="22"/>
                <w:szCs w:val="22"/>
                <w:lang w:eastAsia="en-AU"/>
              </w:rPr>
              <w:t xml:space="preserve"> diagnosi</w:t>
            </w:r>
            <w:r w:rsidR="00344DD5" w:rsidRPr="00F5522D">
              <w:rPr>
                <w:rFonts w:ascii="Arial" w:eastAsia="Times New Roman" w:hAnsi="Arial" w:cs="Arial"/>
                <w:b/>
                <w:color w:val="000000"/>
                <w:sz w:val="22"/>
                <w:szCs w:val="22"/>
                <w:lang w:eastAsia="en-AU"/>
              </w:rPr>
              <w:t>s</w:t>
            </w:r>
            <w:r>
              <w:rPr>
                <w:rFonts w:ascii="Arial" w:eastAsia="Times New Roman" w:hAnsi="Arial" w:cs="Arial"/>
                <w:b/>
                <w:color w:val="000000"/>
                <w:sz w:val="22"/>
                <w:szCs w:val="22"/>
                <w:lang w:eastAsia="en-AU"/>
              </w:rPr>
              <w:t xml:space="preserve"> </w:t>
            </w:r>
          </w:p>
        </w:tc>
        <w:tc>
          <w:tcPr>
            <w:tcW w:w="2190" w:type="dxa"/>
            <w:shd w:val="clear" w:color="auto" w:fill="8EAADB"/>
          </w:tcPr>
          <w:p w:rsidR="00344DD5" w:rsidRPr="00F5522D" w:rsidRDefault="001D44A4" w:rsidP="003E5C74">
            <w:pPr>
              <w:spacing w:after="0" w:line="240" w:lineRule="auto"/>
              <w:jc w:val="center"/>
              <w:rPr>
                <w:rFonts w:ascii="Arial" w:eastAsia="Times New Roman" w:hAnsi="Arial" w:cs="Arial"/>
                <w:color w:val="000000"/>
                <w:sz w:val="22"/>
                <w:szCs w:val="22"/>
                <w:lang w:eastAsia="en-AU"/>
              </w:rPr>
            </w:pPr>
            <w:r>
              <w:rPr>
                <w:rFonts w:ascii="Arial" w:eastAsia="Times New Roman" w:hAnsi="Arial" w:cs="Arial"/>
                <w:b/>
                <w:color w:val="000000"/>
                <w:sz w:val="22"/>
                <w:szCs w:val="22"/>
                <w:lang w:eastAsia="en-AU"/>
              </w:rPr>
              <w:t>Length of stay (days) for a</w:t>
            </w:r>
            <w:r w:rsidR="00943F1B">
              <w:rPr>
                <w:rFonts w:ascii="Arial" w:eastAsia="Times New Roman" w:hAnsi="Arial" w:cs="Arial"/>
                <w:b/>
                <w:color w:val="000000"/>
                <w:sz w:val="22"/>
                <w:szCs w:val="22"/>
                <w:lang w:eastAsia="en-AU"/>
              </w:rPr>
              <w:t>ny</w:t>
            </w:r>
            <w:r w:rsidR="00344DD5" w:rsidRPr="00F5522D">
              <w:rPr>
                <w:rFonts w:ascii="Arial" w:eastAsia="Times New Roman" w:hAnsi="Arial" w:cs="Arial"/>
                <w:b/>
                <w:color w:val="000000"/>
                <w:sz w:val="22"/>
                <w:szCs w:val="22"/>
                <w:lang w:eastAsia="en-AU"/>
              </w:rPr>
              <w:t xml:space="preserve"> </w:t>
            </w:r>
            <w:r w:rsidR="00344DD5">
              <w:rPr>
                <w:rFonts w:ascii="Arial" w:eastAsia="Times New Roman" w:hAnsi="Arial" w:cs="Arial"/>
                <w:b/>
                <w:color w:val="000000"/>
                <w:sz w:val="22"/>
                <w:szCs w:val="22"/>
                <w:lang w:eastAsia="en-AU"/>
              </w:rPr>
              <w:t>CDI</w:t>
            </w:r>
            <w:r w:rsidR="00943F1B">
              <w:rPr>
                <w:rFonts w:ascii="Arial" w:eastAsia="Times New Roman" w:hAnsi="Arial" w:cs="Arial"/>
                <w:b/>
                <w:color w:val="000000"/>
                <w:sz w:val="22"/>
                <w:szCs w:val="22"/>
                <w:lang w:eastAsia="en-AU"/>
              </w:rPr>
              <w:t xml:space="preserve"> diagnosi</w:t>
            </w:r>
            <w:r w:rsidR="00344DD5" w:rsidRPr="00F5522D">
              <w:rPr>
                <w:rFonts w:ascii="Arial" w:eastAsia="Times New Roman" w:hAnsi="Arial" w:cs="Arial"/>
                <w:b/>
                <w:color w:val="000000"/>
                <w:sz w:val="22"/>
                <w:szCs w:val="22"/>
                <w:lang w:eastAsia="en-AU"/>
              </w:rPr>
              <w:t>s</w:t>
            </w:r>
            <w:r>
              <w:rPr>
                <w:rFonts w:ascii="Arial" w:eastAsia="Times New Roman" w:hAnsi="Arial" w:cs="Arial"/>
                <w:b/>
                <w:color w:val="000000"/>
                <w:sz w:val="22"/>
                <w:szCs w:val="22"/>
                <w:lang w:eastAsia="en-AU"/>
              </w:rPr>
              <w:t xml:space="preserve"> </w:t>
            </w:r>
          </w:p>
        </w:tc>
      </w:tr>
      <w:tr w:rsidR="00344DD5" w:rsidRPr="00DE3AF0" w:rsidTr="00D40AB1">
        <w:trPr>
          <w:trHeight w:val="204"/>
        </w:trPr>
        <w:tc>
          <w:tcPr>
            <w:tcW w:w="2210" w:type="dxa"/>
            <w:shd w:val="clear" w:color="auto" w:fill="auto"/>
            <w:vAlign w:val="center"/>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2012</w:t>
            </w:r>
          </w:p>
        </w:tc>
        <w:tc>
          <w:tcPr>
            <w:tcW w:w="2190" w:type="dxa"/>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8.34</w:t>
            </w:r>
          </w:p>
        </w:tc>
        <w:tc>
          <w:tcPr>
            <w:tcW w:w="2190" w:type="dxa"/>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22.73</w:t>
            </w:r>
          </w:p>
        </w:tc>
        <w:tc>
          <w:tcPr>
            <w:tcW w:w="2190" w:type="dxa"/>
            <w:shd w:val="clear" w:color="auto" w:fill="auto"/>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18.69</w:t>
            </w:r>
          </w:p>
        </w:tc>
      </w:tr>
      <w:tr w:rsidR="00344DD5" w:rsidRPr="00DE3AF0" w:rsidTr="00D40AB1">
        <w:trPr>
          <w:trHeight w:val="218"/>
        </w:trPr>
        <w:tc>
          <w:tcPr>
            <w:tcW w:w="2210" w:type="dxa"/>
            <w:shd w:val="clear" w:color="auto" w:fill="auto"/>
            <w:vAlign w:val="center"/>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2013</w:t>
            </w:r>
          </w:p>
        </w:tc>
        <w:tc>
          <w:tcPr>
            <w:tcW w:w="2190" w:type="dxa"/>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7.91</w:t>
            </w:r>
          </w:p>
        </w:tc>
        <w:tc>
          <w:tcPr>
            <w:tcW w:w="2190" w:type="dxa"/>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20.91</w:t>
            </w:r>
          </w:p>
        </w:tc>
        <w:tc>
          <w:tcPr>
            <w:tcW w:w="2190" w:type="dxa"/>
            <w:shd w:val="clear" w:color="auto" w:fill="auto"/>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17.17</w:t>
            </w:r>
          </w:p>
        </w:tc>
      </w:tr>
      <w:tr w:rsidR="00344DD5" w:rsidRPr="00DE3AF0" w:rsidTr="00D40AB1">
        <w:trPr>
          <w:trHeight w:val="204"/>
        </w:trPr>
        <w:tc>
          <w:tcPr>
            <w:tcW w:w="2210" w:type="dxa"/>
            <w:shd w:val="clear" w:color="auto" w:fill="auto"/>
            <w:vAlign w:val="center"/>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2014</w:t>
            </w:r>
          </w:p>
        </w:tc>
        <w:tc>
          <w:tcPr>
            <w:tcW w:w="2190" w:type="dxa"/>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7.79</w:t>
            </w:r>
          </w:p>
        </w:tc>
        <w:tc>
          <w:tcPr>
            <w:tcW w:w="2190" w:type="dxa"/>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22.10</w:t>
            </w:r>
          </w:p>
        </w:tc>
        <w:tc>
          <w:tcPr>
            <w:tcW w:w="2190" w:type="dxa"/>
            <w:shd w:val="clear" w:color="auto" w:fill="auto"/>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18.05</w:t>
            </w:r>
          </w:p>
        </w:tc>
      </w:tr>
      <w:tr w:rsidR="00344DD5" w:rsidRPr="00DE3AF0" w:rsidTr="00D40AB1">
        <w:trPr>
          <w:trHeight w:val="204"/>
        </w:trPr>
        <w:tc>
          <w:tcPr>
            <w:tcW w:w="2210" w:type="dxa"/>
            <w:shd w:val="clear" w:color="auto" w:fill="auto"/>
            <w:vAlign w:val="center"/>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2015</w:t>
            </w:r>
          </w:p>
        </w:tc>
        <w:tc>
          <w:tcPr>
            <w:tcW w:w="2190" w:type="dxa"/>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7.60</w:t>
            </w:r>
          </w:p>
        </w:tc>
        <w:tc>
          <w:tcPr>
            <w:tcW w:w="2190" w:type="dxa"/>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20.68</w:t>
            </w:r>
          </w:p>
        </w:tc>
        <w:tc>
          <w:tcPr>
            <w:tcW w:w="2190" w:type="dxa"/>
            <w:shd w:val="clear" w:color="auto" w:fill="auto"/>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16.91</w:t>
            </w:r>
          </w:p>
        </w:tc>
      </w:tr>
      <w:tr w:rsidR="00344DD5" w:rsidRPr="00DE3AF0" w:rsidTr="00D40AB1">
        <w:trPr>
          <w:trHeight w:val="218"/>
        </w:trPr>
        <w:tc>
          <w:tcPr>
            <w:tcW w:w="2210" w:type="dxa"/>
            <w:tcBorders>
              <w:bottom w:val="single" w:sz="4" w:space="0" w:color="auto"/>
            </w:tcBorders>
            <w:shd w:val="clear" w:color="auto" w:fill="auto"/>
            <w:vAlign w:val="center"/>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2016</w:t>
            </w:r>
          </w:p>
        </w:tc>
        <w:tc>
          <w:tcPr>
            <w:tcW w:w="2190" w:type="dxa"/>
            <w:tcBorders>
              <w:bottom w:val="single" w:sz="4" w:space="0" w:color="auto"/>
            </w:tcBorders>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7.38</w:t>
            </w:r>
          </w:p>
        </w:tc>
        <w:tc>
          <w:tcPr>
            <w:tcW w:w="2190" w:type="dxa"/>
            <w:tcBorders>
              <w:bottom w:val="single" w:sz="4" w:space="0" w:color="auto"/>
            </w:tcBorders>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19.78</w:t>
            </w:r>
          </w:p>
        </w:tc>
        <w:tc>
          <w:tcPr>
            <w:tcW w:w="2190" w:type="dxa"/>
            <w:tcBorders>
              <w:bottom w:val="single" w:sz="4" w:space="0" w:color="auto"/>
            </w:tcBorders>
            <w:shd w:val="clear" w:color="auto" w:fill="auto"/>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16.08</w:t>
            </w:r>
          </w:p>
        </w:tc>
      </w:tr>
      <w:tr w:rsidR="00344DD5" w:rsidRPr="00DE3AF0" w:rsidTr="00D40AB1">
        <w:trPr>
          <w:trHeight w:val="267"/>
        </w:trPr>
        <w:tc>
          <w:tcPr>
            <w:tcW w:w="2210" w:type="dxa"/>
            <w:tcBorders>
              <w:bottom w:val="single" w:sz="4" w:space="0" w:color="auto"/>
            </w:tcBorders>
            <w:shd w:val="clear" w:color="auto" w:fill="auto"/>
            <w:vAlign w:val="center"/>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2017</w:t>
            </w:r>
          </w:p>
        </w:tc>
        <w:tc>
          <w:tcPr>
            <w:tcW w:w="2190" w:type="dxa"/>
            <w:tcBorders>
              <w:bottom w:val="single" w:sz="4" w:space="0" w:color="auto"/>
            </w:tcBorders>
            <w:vAlign w:val="center"/>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7.76</w:t>
            </w:r>
          </w:p>
        </w:tc>
        <w:tc>
          <w:tcPr>
            <w:tcW w:w="2190" w:type="dxa"/>
            <w:tcBorders>
              <w:bottom w:val="single" w:sz="4" w:space="0" w:color="auto"/>
            </w:tcBorders>
            <w:vAlign w:val="center"/>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19.99</w:t>
            </w:r>
          </w:p>
        </w:tc>
        <w:tc>
          <w:tcPr>
            <w:tcW w:w="2190" w:type="dxa"/>
            <w:tcBorders>
              <w:bottom w:val="single" w:sz="4" w:space="0" w:color="auto"/>
            </w:tcBorders>
            <w:shd w:val="clear" w:color="auto" w:fill="auto"/>
            <w:vAlign w:val="center"/>
          </w:tcPr>
          <w:p w:rsidR="00344DD5" w:rsidRPr="00F5522D" w:rsidRDefault="00344DD5" w:rsidP="00E0312E">
            <w:pPr>
              <w:spacing w:after="0" w:line="240" w:lineRule="auto"/>
              <w:jc w:val="center"/>
              <w:rPr>
                <w:rFonts w:ascii="Arial" w:eastAsia="Times New Roman" w:hAnsi="Arial" w:cs="Arial"/>
                <w:color w:val="000000"/>
                <w:sz w:val="22"/>
                <w:szCs w:val="22"/>
                <w:lang w:eastAsia="en-AU"/>
              </w:rPr>
            </w:pPr>
            <w:r w:rsidRPr="00F5522D">
              <w:rPr>
                <w:rFonts w:ascii="Arial" w:eastAsia="Times New Roman" w:hAnsi="Arial" w:cs="Arial"/>
                <w:color w:val="000000"/>
                <w:sz w:val="22"/>
                <w:szCs w:val="22"/>
                <w:lang w:eastAsia="en-AU"/>
              </w:rPr>
              <w:t>16.16</w:t>
            </w:r>
          </w:p>
        </w:tc>
      </w:tr>
      <w:tr w:rsidR="008D0C40" w:rsidRPr="00DE3AF0" w:rsidTr="00D40AB1">
        <w:trPr>
          <w:trHeight w:val="267"/>
        </w:trPr>
        <w:tc>
          <w:tcPr>
            <w:tcW w:w="2210" w:type="dxa"/>
            <w:tcBorders>
              <w:top w:val="single" w:sz="4" w:space="0" w:color="auto"/>
            </w:tcBorders>
            <w:shd w:val="clear" w:color="auto" w:fill="auto"/>
            <w:vAlign w:val="center"/>
          </w:tcPr>
          <w:p w:rsidR="008D0C40" w:rsidRPr="00F5522D" w:rsidRDefault="008D0C40" w:rsidP="00E0312E">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2018</w:t>
            </w:r>
          </w:p>
        </w:tc>
        <w:tc>
          <w:tcPr>
            <w:tcW w:w="2190" w:type="dxa"/>
            <w:tcBorders>
              <w:top w:val="single" w:sz="4" w:space="0" w:color="auto"/>
            </w:tcBorders>
            <w:vAlign w:val="center"/>
          </w:tcPr>
          <w:p w:rsidR="008D0C40" w:rsidRPr="00F5522D" w:rsidRDefault="008D0C40" w:rsidP="00E0312E">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7.01</w:t>
            </w:r>
          </w:p>
        </w:tc>
        <w:tc>
          <w:tcPr>
            <w:tcW w:w="2190" w:type="dxa"/>
            <w:tcBorders>
              <w:top w:val="single" w:sz="4" w:space="0" w:color="auto"/>
            </w:tcBorders>
            <w:vAlign w:val="center"/>
          </w:tcPr>
          <w:p w:rsidR="008D0C40" w:rsidRPr="00F5522D" w:rsidRDefault="00D026CF" w:rsidP="00E0312E">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19.56</w:t>
            </w:r>
          </w:p>
        </w:tc>
        <w:tc>
          <w:tcPr>
            <w:tcW w:w="2190" w:type="dxa"/>
            <w:tcBorders>
              <w:top w:val="single" w:sz="4" w:space="0" w:color="auto"/>
            </w:tcBorders>
            <w:shd w:val="clear" w:color="auto" w:fill="auto"/>
            <w:vAlign w:val="center"/>
          </w:tcPr>
          <w:p w:rsidR="008D0C40" w:rsidRPr="00F5522D" w:rsidRDefault="006D52B0" w:rsidP="00E0312E">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15.64</w:t>
            </w:r>
          </w:p>
        </w:tc>
      </w:tr>
      <w:tr w:rsidR="009A64AB" w:rsidRPr="00DE3AF0" w:rsidTr="00D40AB1">
        <w:trPr>
          <w:trHeight w:val="267"/>
        </w:trPr>
        <w:tc>
          <w:tcPr>
            <w:tcW w:w="2210" w:type="dxa"/>
            <w:shd w:val="clear" w:color="auto" w:fill="auto"/>
            <w:vAlign w:val="center"/>
          </w:tcPr>
          <w:p w:rsidR="009A64AB" w:rsidRPr="00DA4C81" w:rsidRDefault="009A64AB" w:rsidP="00E0312E">
            <w:pPr>
              <w:spacing w:after="0" w:line="240" w:lineRule="auto"/>
              <w:jc w:val="center"/>
              <w:rPr>
                <w:rFonts w:ascii="Arial" w:eastAsia="Times New Roman" w:hAnsi="Arial" w:cs="Arial"/>
                <w:b/>
                <w:color w:val="000000"/>
                <w:sz w:val="22"/>
                <w:szCs w:val="22"/>
                <w:lang w:eastAsia="en-AU"/>
              </w:rPr>
            </w:pPr>
            <w:r w:rsidRPr="00492C4A">
              <w:rPr>
                <w:rFonts w:ascii="Arial" w:eastAsia="Times New Roman" w:hAnsi="Arial" w:cs="Arial"/>
                <w:color w:val="000000"/>
                <w:sz w:val="22"/>
                <w:szCs w:val="22"/>
                <w:lang w:eastAsia="en-AU"/>
              </w:rPr>
              <w:t>Overall rate of change (slope</w:t>
            </w:r>
            <w:r>
              <w:rPr>
                <w:rFonts w:ascii="Arial" w:eastAsia="Times New Roman" w:hAnsi="Arial" w:cs="Arial"/>
                <w:color w:val="000000"/>
                <w:sz w:val="22"/>
                <w:szCs w:val="22"/>
                <w:lang w:eastAsia="en-AU"/>
              </w:rPr>
              <w:t xml:space="preserve"> for linear trend</w:t>
            </w:r>
            <w:r w:rsidRPr="00492C4A">
              <w:rPr>
                <w:rFonts w:ascii="Arial" w:eastAsia="Times New Roman" w:hAnsi="Arial" w:cs="Arial"/>
                <w:color w:val="000000"/>
                <w:sz w:val="22"/>
                <w:szCs w:val="22"/>
                <w:lang w:eastAsia="en-AU"/>
              </w:rPr>
              <w:t xml:space="preserve">) </w:t>
            </w:r>
          </w:p>
        </w:tc>
        <w:tc>
          <w:tcPr>
            <w:tcW w:w="2190" w:type="dxa"/>
            <w:vAlign w:val="center"/>
          </w:tcPr>
          <w:p w:rsidR="009A64AB" w:rsidRDefault="009A64AB" w:rsidP="004E6241">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Slope</w:t>
            </w:r>
            <w:r w:rsidR="00083582">
              <w:rPr>
                <w:rFonts w:ascii="Arial" w:eastAsia="Times New Roman" w:hAnsi="Arial" w:cs="Arial"/>
                <w:color w:val="000000"/>
                <w:sz w:val="22"/>
                <w:szCs w:val="22"/>
                <w:lang w:eastAsia="en-AU"/>
              </w:rPr>
              <w:t xml:space="preserve"> </w:t>
            </w:r>
            <w:r>
              <w:rPr>
                <w:rFonts w:ascii="Arial" w:eastAsia="Times New Roman" w:hAnsi="Arial" w:cs="Arial"/>
                <w:color w:val="000000"/>
                <w:sz w:val="22"/>
                <w:szCs w:val="22"/>
                <w:lang w:eastAsia="en-AU"/>
              </w:rPr>
              <w:t>= -0.17</w:t>
            </w:r>
          </w:p>
          <w:p w:rsidR="009A64AB" w:rsidRPr="00DA4C81" w:rsidRDefault="009A64AB" w:rsidP="00E0312E">
            <w:pPr>
              <w:spacing w:after="0" w:line="240" w:lineRule="auto"/>
              <w:jc w:val="center"/>
              <w:rPr>
                <w:rFonts w:ascii="Arial" w:eastAsia="Times New Roman" w:hAnsi="Arial" w:cs="Arial"/>
                <w:b/>
                <w:color w:val="000000"/>
                <w:sz w:val="22"/>
                <w:szCs w:val="22"/>
                <w:lang w:eastAsia="en-AU"/>
              </w:rPr>
            </w:pPr>
            <w:r>
              <w:rPr>
                <w:rFonts w:ascii="Arial" w:eastAsia="Times New Roman" w:hAnsi="Arial" w:cs="Arial"/>
                <w:color w:val="000000"/>
                <w:sz w:val="22"/>
                <w:szCs w:val="22"/>
                <w:lang w:eastAsia="en-AU"/>
              </w:rPr>
              <w:t>(p=0.012)</w:t>
            </w:r>
          </w:p>
        </w:tc>
        <w:tc>
          <w:tcPr>
            <w:tcW w:w="2190" w:type="dxa"/>
            <w:vAlign w:val="center"/>
          </w:tcPr>
          <w:p w:rsidR="009A64AB" w:rsidRDefault="009A64AB" w:rsidP="004E6241">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Slope</w:t>
            </w:r>
            <w:r w:rsidR="00083582">
              <w:rPr>
                <w:rFonts w:ascii="Arial" w:eastAsia="Times New Roman" w:hAnsi="Arial" w:cs="Arial"/>
                <w:color w:val="000000"/>
                <w:sz w:val="22"/>
                <w:szCs w:val="22"/>
                <w:lang w:eastAsia="en-AU"/>
              </w:rPr>
              <w:t xml:space="preserve"> </w:t>
            </w:r>
            <w:r>
              <w:rPr>
                <w:rFonts w:ascii="Arial" w:eastAsia="Times New Roman" w:hAnsi="Arial" w:cs="Arial"/>
                <w:color w:val="000000"/>
                <w:sz w:val="22"/>
                <w:szCs w:val="22"/>
                <w:lang w:eastAsia="en-AU"/>
              </w:rPr>
              <w:t>= -0.49</w:t>
            </w:r>
          </w:p>
          <w:p w:rsidR="009A64AB" w:rsidRPr="00DA4C81" w:rsidRDefault="009A64AB" w:rsidP="00E0312E">
            <w:pPr>
              <w:spacing w:after="0" w:line="240" w:lineRule="auto"/>
              <w:jc w:val="center"/>
              <w:rPr>
                <w:rFonts w:ascii="Arial" w:eastAsia="Times New Roman" w:hAnsi="Arial" w:cs="Arial"/>
                <w:b/>
                <w:color w:val="000000"/>
                <w:sz w:val="22"/>
                <w:szCs w:val="22"/>
                <w:lang w:eastAsia="en-AU"/>
              </w:rPr>
            </w:pPr>
            <w:r>
              <w:rPr>
                <w:rFonts w:ascii="Arial" w:eastAsia="Times New Roman" w:hAnsi="Arial" w:cs="Arial"/>
                <w:color w:val="000000"/>
                <w:sz w:val="22"/>
                <w:szCs w:val="22"/>
                <w:lang w:eastAsia="en-AU"/>
              </w:rPr>
              <w:t>(p=0.009)</w:t>
            </w:r>
          </w:p>
        </w:tc>
        <w:tc>
          <w:tcPr>
            <w:tcW w:w="2190" w:type="dxa"/>
            <w:shd w:val="clear" w:color="auto" w:fill="auto"/>
            <w:vAlign w:val="center"/>
          </w:tcPr>
          <w:p w:rsidR="009A64AB" w:rsidRDefault="009A64AB" w:rsidP="004E6241">
            <w:pPr>
              <w:spacing w:after="0" w:line="240" w:lineRule="auto"/>
              <w:jc w:val="center"/>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Slope</w:t>
            </w:r>
            <w:r w:rsidR="00083582">
              <w:rPr>
                <w:rFonts w:ascii="Arial" w:eastAsia="Times New Roman" w:hAnsi="Arial" w:cs="Arial"/>
                <w:color w:val="000000"/>
                <w:sz w:val="22"/>
                <w:szCs w:val="22"/>
                <w:lang w:eastAsia="en-AU"/>
              </w:rPr>
              <w:t xml:space="preserve"> </w:t>
            </w:r>
            <w:r>
              <w:rPr>
                <w:rFonts w:ascii="Arial" w:eastAsia="Times New Roman" w:hAnsi="Arial" w:cs="Arial"/>
                <w:color w:val="000000"/>
                <w:sz w:val="22"/>
                <w:szCs w:val="22"/>
                <w:lang w:eastAsia="en-AU"/>
              </w:rPr>
              <w:t>= -0.47</w:t>
            </w:r>
          </w:p>
          <w:p w:rsidR="009A64AB" w:rsidRPr="00DA4C81" w:rsidRDefault="009A64AB" w:rsidP="00E0312E">
            <w:pPr>
              <w:spacing w:after="0" w:line="240" w:lineRule="auto"/>
              <w:jc w:val="center"/>
              <w:rPr>
                <w:rFonts w:ascii="Arial" w:eastAsia="Times New Roman" w:hAnsi="Arial" w:cs="Arial"/>
                <w:b/>
                <w:color w:val="000000"/>
                <w:sz w:val="22"/>
                <w:szCs w:val="22"/>
                <w:lang w:eastAsia="en-AU"/>
              </w:rPr>
            </w:pPr>
            <w:r>
              <w:rPr>
                <w:rFonts w:ascii="Arial" w:eastAsia="Times New Roman" w:hAnsi="Arial" w:cs="Arial"/>
                <w:color w:val="000000"/>
                <w:sz w:val="22"/>
                <w:szCs w:val="22"/>
                <w:lang w:eastAsia="en-AU"/>
              </w:rPr>
              <w:t>(p=0.004)</w:t>
            </w:r>
          </w:p>
        </w:tc>
      </w:tr>
    </w:tbl>
    <w:p w:rsidR="00F5522D" w:rsidRDefault="00F5522D" w:rsidP="00121840"/>
    <w:p w:rsidR="00CC204F" w:rsidRDefault="00CC204F" w:rsidP="00121840"/>
    <w:p w:rsidR="00CC204F" w:rsidRDefault="00CC204F" w:rsidP="00121840"/>
    <w:p w:rsidR="00121840" w:rsidRPr="00C35C0D" w:rsidRDefault="00121840" w:rsidP="00245940">
      <w:pPr>
        <w:pStyle w:val="Heading1"/>
        <w:spacing w:after="160"/>
        <w:rPr>
          <w:rFonts w:ascii="Arial" w:hAnsi="Arial"/>
          <w:sz w:val="28"/>
        </w:rPr>
      </w:pPr>
      <w:r w:rsidRPr="003A6665">
        <w:rPr>
          <w:rFonts w:ascii="Arial" w:hAnsi="Arial"/>
          <w:sz w:val="28"/>
        </w:rPr>
        <w:t>Commentary</w:t>
      </w:r>
    </w:p>
    <w:p w:rsidR="00F65CD5" w:rsidRDefault="00BC1F8B" w:rsidP="00EF1440">
      <w:pPr>
        <w:spacing w:before="240" w:line="276" w:lineRule="auto"/>
        <w:rPr>
          <w:rFonts w:ascii="Arial" w:hAnsi="Arial" w:cs="Arial"/>
          <w:sz w:val="22"/>
        </w:rPr>
      </w:pPr>
      <w:r w:rsidRPr="00C27B79">
        <w:rPr>
          <w:rFonts w:ascii="Arial" w:hAnsi="Arial" w:cs="Arial"/>
          <w:sz w:val="22"/>
        </w:rPr>
        <w:t xml:space="preserve">Table 3 shows the progressive </w:t>
      </w:r>
      <w:r w:rsidR="00EF1440">
        <w:rPr>
          <w:rFonts w:ascii="Arial" w:hAnsi="Arial" w:cs="Arial"/>
          <w:sz w:val="22"/>
        </w:rPr>
        <w:t xml:space="preserve">and significant </w:t>
      </w:r>
      <w:r w:rsidRPr="00C27B79">
        <w:rPr>
          <w:rFonts w:ascii="Arial" w:hAnsi="Arial" w:cs="Arial"/>
          <w:sz w:val="22"/>
        </w:rPr>
        <w:t>reduction in the length of stay each year since 2012 for patients admitted to Australian public hospitals with a diagnosis of CDI.</w:t>
      </w:r>
      <w:r w:rsidR="000C2D30">
        <w:rPr>
          <w:rFonts w:ascii="Arial" w:hAnsi="Arial" w:cs="Arial"/>
          <w:sz w:val="22"/>
        </w:rPr>
        <w:t xml:space="preserve"> </w:t>
      </w:r>
      <w:r w:rsidR="007219E2" w:rsidRPr="00C27B79">
        <w:rPr>
          <w:rFonts w:ascii="Arial" w:hAnsi="Arial" w:cs="Arial"/>
          <w:sz w:val="22"/>
        </w:rPr>
        <w:t>Data</w:t>
      </w:r>
      <w:r w:rsidR="000C2D30">
        <w:rPr>
          <w:rFonts w:ascii="Arial" w:hAnsi="Arial" w:cs="Arial"/>
          <w:sz w:val="22"/>
        </w:rPr>
        <w:t xml:space="preserve"> for 2019</w:t>
      </w:r>
      <w:r w:rsidR="007219E2" w:rsidRPr="00C27B79">
        <w:rPr>
          <w:rFonts w:ascii="Arial" w:hAnsi="Arial" w:cs="Arial"/>
          <w:sz w:val="22"/>
        </w:rPr>
        <w:t xml:space="preserve"> from the </w:t>
      </w:r>
      <w:hyperlink r:id="rId18" w:history="1">
        <w:r w:rsidR="007219E2" w:rsidRPr="00C27B79">
          <w:rPr>
            <w:rStyle w:val="Hyperlink"/>
            <w:rFonts w:ascii="Arial" w:hAnsi="Arial" w:cs="Arial"/>
            <w:sz w:val="22"/>
          </w:rPr>
          <w:t>Australian Institute of Health and Welfare</w:t>
        </w:r>
      </w:hyperlink>
      <w:r w:rsidR="000C2D30">
        <w:rPr>
          <w:rFonts w:ascii="Arial" w:hAnsi="Arial" w:cs="Arial"/>
          <w:sz w:val="22"/>
        </w:rPr>
        <w:t xml:space="preserve"> indicate</w:t>
      </w:r>
      <w:r w:rsidR="007219E2" w:rsidRPr="00C27B79">
        <w:rPr>
          <w:rFonts w:ascii="Arial" w:hAnsi="Arial" w:cs="Arial"/>
          <w:sz w:val="22"/>
        </w:rPr>
        <w:t xml:space="preserve"> that</w:t>
      </w:r>
      <w:r w:rsidR="00EB4A09">
        <w:rPr>
          <w:rFonts w:ascii="Arial" w:hAnsi="Arial" w:cs="Arial"/>
          <w:sz w:val="22"/>
        </w:rPr>
        <w:t>,</w:t>
      </w:r>
      <w:r w:rsidR="007219E2" w:rsidRPr="00C27B79">
        <w:rPr>
          <w:rFonts w:ascii="Arial" w:hAnsi="Arial" w:cs="Arial"/>
          <w:sz w:val="22"/>
        </w:rPr>
        <w:t xml:space="preserve"> in general, the average length of stay for any admission in an Australian pu</w:t>
      </w:r>
      <w:r w:rsidR="000C2D30">
        <w:rPr>
          <w:rFonts w:ascii="Arial" w:hAnsi="Arial" w:cs="Arial"/>
          <w:sz w:val="22"/>
        </w:rPr>
        <w:t>blic hospital has declined since 2014</w:t>
      </w:r>
      <w:r w:rsidR="007219E2" w:rsidRPr="00C27B79">
        <w:rPr>
          <w:rFonts w:ascii="Arial" w:hAnsi="Arial" w:cs="Arial"/>
          <w:sz w:val="22"/>
        </w:rPr>
        <w:t xml:space="preserve"> (2014-2015 </w:t>
      </w:r>
      <w:r w:rsidR="00835767" w:rsidRPr="00C27B79">
        <w:rPr>
          <w:rFonts w:ascii="Arial" w:hAnsi="Arial" w:cs="Arial"/>
          <w:sz w:val="22"/>
        </w:rPr>
        <w:t xml:space="preserve">and 2015-2016 </w:t>
      </w:r>
      <w:r w:rsidR="007219E2" w:rsidRPr="004E6241">
        <w:rPr>
          <w:rFonts w:ascii="Arial" w:hAnsi="Arial" w:cs="Arial"/>
          <w:sz w:val="22"/>
        </w:rPr>
        <w:t>length of stay was 2.8 days</w:t>
      </w:r>
      <w:r w:rsidR="00EB4A09">
        <w:rPr>
          <w:rFonts w:ascii="Arial" w:hAnsi="Arial" w:cs="Arial"/>
          <w:sz w:val="22"/>
        </w:rPr>
        <w:t>,</w:t>
      </w:r>
      <w:r w:rsidR="007219E2" w:rsidRPr="004E6241">
        <w:rPr>
          <w:rFonts w:ascii="Arial" w:hAnsi="Arial" w:cs="Arial"/>
          <w:sz w:val="22"/>
        </w:rPr>
        <w:t xml:space="preserve"> and 2017-2018 </w:t>
      </w:r>
      <w:r w:rsidR="00835767" w:rsidRPr="004E6241">
        <w:rPr>
          <w:rFonts w:ascii="Arial" w:hAnsi="Arial" w:cs="Arial"/>
          <w:sz w:val="22"/>
        </w:rPr>
        <w:t xml:space="preserve">and 2018-2019 </w:t>
      </w:r>
      <w:r w:rsidR="007219E2" w:rsidRPr="004E6241">
        <w:rPr>
          <w:rFonts w:ascii="Arial" w:hAnsi="Arial" w:cs="Arial"/>
          <w:sz w:val="22"/>
        </w:rPr>
        <w:t>length of stay was 2.7</w:t>
      </w:r>
      <w:r w:rsidR="00835767" w:rsidRPr="004E6241">
        <w:rPr>
          <w:rFonts w:ascii="Arial" w:hAnsi="Arial" w:cs="Arial"/>
          <w:sz w:val="22"/>
        </w:rPr>
        <w:t xml:space="preserve"> days</w:t>
      </w:r>
      <w:r w:rsidR="007219E2" w:rsidRPr="004E6241">
        <w:rPr>
          <w:rFonts w:ascii="Arial" w:hAnsi="Arial" w:cs="Arial"/>
          <w:sz w:val="22"/>
        </w:rPr>
        <w:t>).</w:t>
      </w:r>
      <w:r w:rsidR="00835767" w:rsidRPr="004E6241">
        <w:rPr>
          <w:rFonts w:ascii="Arial" w:hAnsi="Arial" w:cs="Arial"/>
          <w:sz w:val="22"/>
          <w:vertAlign w:val="superscript"/>
        </w:rPr>
        <w:t>1</w:t>
      </w:r>
      <w:r w:rsidR="00A6188F">
        <w:rPr>
          <w:rFonts w:ascii="Arial" w:hAnsi="Arial" w:cs="Arial"/>
          <w:sz w:val="22"/>
          <w:vertAlign w:val="superscript"/>
        </w:rPr>
        <w:t>8</w:t>
      </w:r>
      <w:r w:rsidR="007219E2" w:rsidRPr="004E6241">
        <w:rPr>
          <w:rFonts w:ascii="Arial" w:hAnsi="Arial" w:cs="Arial"/>
          <w:sz w:val="22"/>
        </w:rPr>
        <w:t xml:space="preserve"> </w:t>
      </w:r>
      <w:r w:rsidR="00492C4A" w:rsidRPr="004E6241">
        <w:rPr>
          <w:rFonts w:ascii="Arial" w:hAnsi="Arial" w:cs="Arial"/>
          <w:sz w:val="22"/>
        </w:rPr>
        <w:t>In</w:t>
      </w:r>
      <w:r w:rsidR="00492C4A" w:rsidRPr="00C27B79">
        <w:rPr>
          <w:rFonts w:ascii="Arial" w:hAnsi="Arial" w:cs="Arial"/>
          <w:sz w:val="22"/>
        </w:rPr>
        <w:t xml:space="preserve"> 2018, the length of stay for each category of CDI diagnoses (princip</w:t>
      </w:r>
      <w:r w:rsidR="0043699E" w:rsidRPr="00C27B79">
        <w:rPr>
          <w:rFonts w:ascii="Arial" w:hAnsi="Arial" w:cs="Arial"/>
          <w:sz w:val="22"/>
        </w:rPr>
        <w:t>al</w:t>
      </w:r>
      <w:r w:rsidR="00492C4A" w:rsidRPr="00C27B79">
        <w:rPr>
          <w:rFonts w:ascii="Arial" w:hAnsi="Arial" w:cs="Arial"/>
          <w:sz w:val="22"/>
        </w:rPr>
        <w:t>, non-princip</w:t>
      </w:r>
      <w:r w:rsidR="0043699E" w:rsidRPr="00C27B79">
        <w:rPr>
          <w:rFonts w:ascii="Arial" w:hAnsi="Arial" w:cs="Arial"/>
          <w:sz w:val="22"/>
        </w:rPr>
        <w:t>al</w:t>
      </w:r>
      <w:r w:rsidR="00492C4A" w:rsidRPr="00C27B79">
        <w:rPr>
          <w:rFonts w:ascii="Arial" w:hAnsi="Arial" w:cs="Arial"/>
          <w:sz w:val="22"/>
        </w:rPr>
        <w:t xml:space="preserve"> and any CDI diagnos</w:t>
      </w:r>
      <w:r w:rsidR="0043699E" w:rsidRPr="00C27B79">
        <w:rPr>
          <w:rFonts w:ascii="Arial" w:hAnsi="Arial" w:cs="Arial"/>
          <w:sz w:val="22"/>
        </w:rPr>
        <w:t>i</w:t>
      </w:r>
      <w:r w:rsidR="00492C4A" w:rsidRPr="00C27B79">
        <w:rPr>
          <w:rFonts w:ascii="Arial" w:hAnsi="Arial" w:cs="Arial"/>
          <w:sz w:val="22"/>
        </w:rPr>
        <w:t xml:space="preserve">s) </w:t>
      </w:r>
      <w:r w:rsidR="000C2D30">
        <w:rPr>
          <w:rFonts w:ascii="Arial" w:hAnsi="Arial" w:cs="Arial"/>
          <w:sz w:val="22"/>
        </w:rPr>
        <w:t>was the lowest</w:t>
      </w:r>
      <w:r w:rsidR="00492C4A" w:rsidRPr="00C27B79">
        <w:rPr>
          <w:rFonts w:ascii="Arial" w:hAnsi="Arial" w:cs="Arial"/>
          <w:sz w:val="22"/>
        </w:rPr>
        <w:t xml:space="preserve"> since 2012</w:t>
      </w:r>
      <w:r w:rsidR="007219E2" w:rsidRPr="00C27B79">
        <w:rPr>
          <w:rFonts w:ascii="Arial" w:hAnsi="Arial" w:cs="Arial"/>
          <w:sz w:val="22"/>
        </w:rPr>
        <w:t xml:space="preserve">. </w:t>
      </w:r>
      <w:r w:rsidR="00AC297C" w:rsidRPr="00C27B79">
        <w:rPr>
          <w:rFonts w:ascii="Arial" w:hAnsi="Arial" w:cs="Arial"/>
          <w:sz w:val="22"/>
        </w:rPr>
        <w:t>In 2018</w:t>
      </w:r>
      <w:r w:rsidR="003932AC" w:rsidRPr="00C27B79">
        <w:rPr>
          <w:rFonts w:ascii="Arial" w:hAnsi="Arial" w:cs="Arial"/>
          <w:sz w:val="22"/>
        </w:rPr>
        <w:t>, the average length of stay for patients with any CDI diagnosis (principal and non-pr</w:t>
      </w:r>
      <w:r w:rsidR="00AC297C" w:rsidRPr="00C27B79">
        <w:rPr>
          <w:rFonts w:ascii="Arial" w:hAnsi="Arial" w:cs="Arial"/>
          <w:sz w:val="22"/>
        </w:rPr>
        <w:t>incipal CDI diagnosis) was</w:t>
      </w:r>
      <w:r w:rsidR="000344BF" w:rsidRPr="00C27B79">
        <w:rPr>
          <w:rFonts w:ascii="Arial" w:hAnsi="Arial" w:cs="Arial"/>
          <w:sz w:val="22"/>
        </w:rPr>
        <w:t xml:space="preserve"> 15.64</w:t>
      </w:r>
      <w:r w:rsidR="00AC297C" w:rsidRPr="00C27B79">
        <w:rPr>
          <w:rFonts w:ascii="Arial" w:hAnsi="Arial" w:cs="Arial"/>
          <w:sz w:val="22"/>
        </w:rPr>
        <w:t xml:space="preserve"> </w:t>
      </w:r>
      <w:r w:rsidR="003932AC" w:rsidRPr="00C27B79">
        <w:rPr>
          <w:rFonts w:ascii="Arial" w:hAnsi="Arial" w:cs="Arial"/>
          <w:sz w:val="22"/>
        </w:rPr>
        <w:t>days</w:t>
      </w:r>
      <w:r w:rsidR="00A30EC2" w:rsidRPr="00C27B79">
        <w:rPr>
          <w:rFonts w:ascii="Arial" w:hAnsi="Arial" w:cs="Arial"/>
          <w:sz w:val="22"/>
        </w:rPr>
        <w:t xml:space="preserve">. </w:t>
      </w:r>
    </w:p>
    <w:p w:rsidR="00EB4A09" w:rsidRDefault="004F0C63" w:rsidP="00EF1440">
      <w:pPr>
        <w:spacing w:before="240" w:line="276" w:lineRule="auto"/>
        <w:rPr>
          <w:rFonts w:ascii="Arial" w:hAnsi="Arial" w:cs="Arial"/>
          <w:sz w:val="22"/>
        </w:rPr>
      </w:pPr>
      <w:r w:rsidRPr="00C27B79">
        <w:rPr>
          <w:rFonts w:ascii="Arial" w:hAnsi="Arial" w:cs="Arial"/>
          <w:sz w:val="22"/>
        </w:rPr>
        <w:t>A long length of stay can have a major impact on healthcare resources</w:t>
      </w:r>
      <w:r w:rsidRPr="004E6241">
        <w:rPr>
          <w:rFonts w:ascii="Arial" w:hAnsi="Arial" w:cs="Arial"/>
          <w:sz w:val="22"/>
        </w:rPr>
        <w:t>.</w:t>
      </w:r>
      <w:r w:rsidRPr="004E6241">
        <w:rPr>
          <w:rFonts w:ascii="Arial" w:hAnsi="Arial" w:cs="Arial"/>
          <w:sz w:val="22"/>
          <w:vertAlign w:val="superscript"/>
        </w:rPr>
        <w:t>1</w:t>
      </w:r>
      <w:r w:rsidR="00A6188F">
        <w:rPr>
          <w:rFonts w:ascii="Arial" w:hAnsi="Arial" w:cs="Arial"/>
          <w:sz w:val="22"/>
          <w:vertAlign w:val="superscript"/>
        </w:rPr>
        <w:t>9</w:t>
      </w:r>
      <w:r w:rsidRPr="004E6241">
        <w:rPr>
          <w:rFonts w:ascii="Arial" w:hAnsi="Arial" w:cs="Arial"/>
          <w:sz w:val="22"/>
        </w:rPr>
        <w:t xml:space="preserve"> </w:t>
      </w:r>
      <w:r w:rsidR="00A30EC2" w:rsidRPr="004E6241">
        <w:rPr>
          <w:rFonts w:ascii="Arial" w:hAnsi="Arial" w:cs="Arial"/>
          <w:sz w:val="22"/>
        </w:rPr>
        <w:t>T</w:t>
      </w:r>
      <w:r w:rsidR="003932AC" w:rsidRPr="004E6241">
        <w:rPr>
          <w:rFonts w:ascii="Arial" w:hAnsi="Arial" w:cs="Arial"/>
          <w:sz w:val="22"/>
        </w:rPr>
        <w:t>he</w:t>
      </w:r>
      <w:r w:rsidR="003932AC">
        <w:rPr>
          <w:rFonts w:ascii="Arial" w:hAnsi="Arial" w:cs="Arial"/>
          <w:sz w:val="22"/>
        </w:rPr>
        <w:t xml:space="preserve"> average length of stay for a patient with</w:t>
      </w:r>
      <w:r w:rsidR="00BC1F8B">
        <w:rPr>
          <w:rFonts w:ascii="Arial" w:hAnsi="Arial" w:cs="Arial"/>
          <w:sz w:val="22"/>
        </w:rPr>
        <w:t xml:space="preserve"> a princip</w:t>
      </w:r>
      <w:r w:rsidR="0043699E">
        <w:rPr>
          <w:rFonts w:ascii="Arial" w:hAnsi="Arial" w:cs="Arial"/>
          <w:sz w:val="22"/>
        </w:rPr>
        <w:t>al</w:t>
      </w:r>
      <w:r w:rsidR="00BC1F8B">
        <w:rPr>
          <w:rFonts w:ascii="Arial" w:hAnsi="Arial" w:cs="Arial"/>
          <w:sz w:val="22"/>
        </w:rPr>
        <w:t xml:space="preserve"> CDI diagnos</w:t>
      </w:r>
      <w:r w:rsidR="00541F50">
        <w:rPr>
          <w:rFonts w:ascii="Arial" w:hAnsi="Arial" w:cs="Arial"/>
          <w:sz w:val="22"/>
        </w:rPr>
        <w:t>i</w:t>
      </w:r>
      <w:r w:rsidR="00BC1F8B">
        <w:rPr>
          <w:rFonts w:ascii="Arial" w:hAnsi="Arial" w:cs="Arial"/>
          <w:sz w:val="22"/>
        </w:rPr>
        <w:t xml:space="preserve">s was 7.01 days, which </w:t>
      </w:r>
      <w:r w:rsidR="00541F50">
        <w:rPr>
          <w:rFonts w:ascii="Arial" w:hAnsi="Arial" w:cs="Arial"/>
          <w:sz w:val="22"/>
        </w:rPr>
        <w:t xml:space="preserve">is </w:t>
      </w:r>
      <w:r w:rsidR="007848B3">
        <w:rPr>
          <w:rFonts w:ascii="Arial" w:hAnsi="Arial" w:cs="Arial"/>
          <w:sz w:val="22"/>
        </w:rPr>
        <w:t xml:space="preserve">less </w:t>
      </w:r>
      <w:r w:rsidR="00BC1F8B">
        <w:rPr>
          <w:rFonts w:ascii="Arial" w:hAnsi="Arial" w:cs="Arial"/>
          <w:sz w:val="22"/>
        </w:rPr>
        <w:t>than half of the length of stay for a patient with a non</w:t>
      </w:r>
      <w:r w:rsidR="00BA340D">
        <w:rPr>
          <w:rFonts w:ascii="Arial" w:hAnsi="Arial" w:cs="Arial"/>
          <w:sz w:val="22"/>
        </w:rPr>
        <w:t>-</w:t>
      </w:r>
      <w:r w:rsidR="00BC1F8B">
        <w:rPr>
          <w:rFonts w:ascii="Arial" w:hAnsi="Arial" w:cs="Arial"/>
          <w:sz w:val="22"/>
        </w:rPr>
        <w:t>princip</w:t>
      </w:r>
      <w:r w:rsidR="0043699E">
        <w:rPr>
          <w:rFonts w:ascii="Arial" w:hAnsi="Arial" w:cs="Arial"/>
          <w:sz w:val="22"/>
        </w:rPr>
        <w:t>al</w:t>
      </w:r>
      <w:r w:rsidR="00BC1F8B">
        <w:rPr>
          <w:rFonts w:ascii="Arial" w:hAnsi="Arial" w:cs="Arial"/>
          <w:sz w:val="22"/>
        </w:rPr>
        <w:t xml:space="preserve"> CDI diagnos</w:t>
      </w:r>
      <w:r w:rsidR="00541F50">
        <w:rPr>
          <w:rFonts w:ascii="Arial" w:hAnsi="Arial" w:cs="Arial"/>
          <w:sz w:val="22"/>
        </w:rPr>
        <w:t>i</w:t>
      </w:r>
      <w:r w:rsidR="00BC1F8B">
        <w:rPr>
          <w:rFonts w:ascii="Arial" w:hAnsi="Arial" w:cs="Arial"/>
          <w:sz w:val="22"/>
        </w:rPr>
        <w:t>s (19.56 days).</w:t>
      </w:r>
      <w:r w:rsidR="00EC66AE">
        <w:rPr>
          <w:rFonts w:ascii="Arial" w:hAnsi="Arial" w:cs="Arial"/>
          <w:sz w:val="22"/>
        </w:rPr>
        <w:t xml:space="preserve"> </w:t>
      </w:r>
      <w:r w:rsidR="00337A61">
        <w:rPr>
          <w:rFonts w:ascii="Arial" w:hAnsi="Arial" w:cs="Arial"/>
          <w:sz w:val="22"/>
        </w:rPr>
        <w:t>Any association between length of stay and CDI should be interpreted with care</w:t>
      </w:r>
      <w:r w:rsidR="00BA340D">
        <w:rPr>
          <w:rFonts w:ascii="Arial" w:hAnsi="Arial" w:cs="Arial"/>
          <w:sz w:val="22"/>
        </w:rPr>
        <w:t>. Length of stay is naturally impacted by many factors such as underlying co-morbidities</w:t>
      </w:r>
      <w:r w:rsidR="007537F7">
        <w:rPr>
          <w:rFonts w:ascii="Arial" w:hAnsi="Arial" w:cs="Arial"/>
          <w:sz w:val="22"/>
        </w:rPr>
        <w:t>, severity of disease</w:t>
      </w:r>
      <w:r w:rsidR="00BA340D">
        <w:rPr>
          <w:rFonts w:ascii="Arial" w:hAnsi="Arial" w:cs="Arial"/>
          <w:sz w:val="22"/>
        </w:rPr>
        <w:t xml:space="preserve"> and </w:t>
      </w:r>
      <w:r w:rsidR="007537F7">
        <w:rPr>
          <w:rFonts w:ascii="Arial" w:hAnsi="Arial" w:cs="Arial"/>
          <w:sz w:val="22"/>
        </w:rPr>
        <w:t>treatment modalities</w:t>
      </w:r>
      <w:r w:rsidR="00EB4A09">
        <w:rPr>
          <w:rFonts w:ascii="Arial" w:hAnsi="Arial" w:cs="Arial"/>
          <w:sz w:val="22"/>
        </w:rPr>
        <w:t>;</w:t>
      </w:r>
      <w:r w:rsidR="007537F7">
        <w:rPr>
          <w:rFonts w:ascii="Arial" w:hAnsi="Arial" w:cs="Arial"/>
          <w:sz w:val="22"/>
        </w:rPr>
        <w:t xml:space="preserve"> as such, a prolonged </w:t>
      </w:r>
      <w:r w:rsidR="00E57EC7">
        <w:rPr>
          <w:rFonts w:ascii="Arial" w:hAnsi="Arial" w:cs="Arial"/>
          <w:sz w:val="22"/>
        </w:rPr>
        <w:t>separation</w:t>
      </w:r>
      <w:r w:rsidR="007537F7">
        <w:rPr>
          <w:rFonts w:ascii="Arial" w:hAnsi="Arial" w:cs="Arial"/>
          <w:sz w:val="22"/>
        </w:rPr>
        <w:t xml:space="preserve"> cannot solely be attributed to the acquisition of </w:t>
      </w:r>
      <w:r w:rsidR="007537F7" w:rsidRPr="004E6241">
        <w:rPr>
          <w:rFonts w:ascii="Arial" w:hAnsi="Arial" w:cs="Arial"/>
          <w:sz w:val="22"/>
        </w:rPr>
        <w:t>CDI.</w:t>
      </w:r>
      <w:r w:rsidR="007537F7" w:rsidRPr="004E6241">
        <w:rPr>
          <w:rFonts w:ascii="Arial" w:hAnsi="Arial" w:cs="Arial"/>
          <w:sz w:val="22"/>
          <w:vertAlign w:val="superscript"/>
        </w:rPr>
        <w:t>1</w:t>
      </w:r>
      <w:r w:rsidR="00A6188F">
        <w:rPr>
          <w:rFonts w:ascii="Arial" w:hAnsi="Arial" w:cs="Arial"/>
          <w:sz w:val="22"/>
          <w:vertAlign w:val="superscript"/>
        </w:rPr>
        <w:t>9</w:t>
      </w:r>
      <w:r w:rsidR="00BA340D">
        <w:rPr>
          <w:rFonts w:ascii="Arial" w:hAnsi="Arial" w:cs="Arial"/>
          <w:sz w:val="22"/>
        </w:rPr>
        <w:t xml:space="preserve"> </w:t>
      </w:r>
    </w:p>
    <w:p w:rsidR="00EF1440" w:rsidRDefault="00EF1440" w:rsidP="00EF1440">
      <w:pPr>
        <w:spacing w:before="240" w:line="276" w:lineRule="auto"/>
        <w:rPr>
          <w:rFonts w:ascii="Arial" w:hAnsi="Arial" w:cs="Arial"/>
          <w:sz w:val="22"/>
        </w:rPr>
      </w:pPr>
      <w:r>
        <w:rPr>
          <w:rFonts w:ascii="Arial" w:hAnsi="Arial" w:cs="Arial"/>
          <w:sz w:val="22"/>
        </w:rPr>
        <w:t xml:space="preserve">There </w:t>
      </w:r>
      <w:r w:rsidR="00EB4A09">
        <w:rPr>
          <w:rFonts w:ascii="Arial" w:hAnsi="Arial" w:cs="Arial"/>
          <w:sz w:val="22"/>
        </w:rPr>
        <w:t>wa</w:t>
      </w:r>
      <w:r>
        <w:rPr>
          <w:rFonts w:ascii="Arial" w:hAnsi="Arial" w:cs="Arial"/>
          <w:sz w:val="22"/>
        </w:rPr>
        <w:t>s a significant downward trend in length of stay associated with CDI between 2012 and 2018, whether as an admission diagnosis or as a complication of hospitalisation. A r</w:t>
      </w:r>
      <w:r w:rsidR="00F65CD5">
        <w:rPr>
          <w:rFonts w:ascii="Arial" w:hAnsi="Arial" w:cs="Arial"/>
          <w:sz w:val="22"/>
        </w:rPr>
        <w:t>ange of factors may be</w:t>
      </w:r>
      <w:r>
        <w:rPr>
          <w:rFonts w:ascii="Arial" w:hAnsi="Arial" w:cs="Arial"/>
          <w:sz w:val="22"/>
        </w:rPr>
        <w:t xml:space="preserve"> contributing to this trend, including earlier recognition and treatment</w:t>
      </w:r>
      <w:r w:rsidR="00217083">
        <w:rPr>
          <w:rFonts w:ascii="Arial" w:hAnsi="Arial" w:cs="Arial"/>
          <w:sz w:val="22"/>
        </w:rPr>
        <w:t xml:space="preserve">, and the application of appropriate infection prevention and control strategies to prevent further </w:t>
      </w:r>
      <w:r w:rsidR="00F65CD5">
        <w:rPr>
          <w:rFonts w:ascii="Arial" w:hAnsi="Arial" w:cs="Arial"/>
          <w:sz w:val="22"/>
        </w:rPr>
        <w:t>transmission of CDI</w:t>
      </w:r>
      <w:r>
        <w:rPr>
          <w:rFonts w:ascii="Arial" w:hAnsi="Arial" w:cs="Arial"/>
          <w:sz w:val="22"/>
        </w:rPr>
        <w:t>.</w:t>
      </w:r>
    </w:p>
    <w:p w:rsidR="00121840" w:rsidRPr="00C35C0D" w:rsidRDefault="00692F90" w:rsidP="00344053">
      <w:pPr>
        <w:pStyle w:val="Heading1"/>
        <w:rPr>
          <w:rFonts w:ascii="Arial" w:hAnsi="Arial"/>
          <w:sz w:val="28"/>
        </w:rPr>
      </w:pPr>
      <w:r>
        <w:rPr>
          <w:rFonts w:ascii="Arial" w:hAnsi="Arial"/>
          <w:sz w:val="28"/>
        </w:rPr>
        <w:br w:type="page"/>
      </w:r>
      <w:r w:rsidR="00C60670">
        <w:rPr>
          <w:rFonts w:ascii="Arial" w:hAnsi="Arial"/>
          <w:sz w:val="28"/>
        </w:rPr>
        <w:lastRenderedPageBreak/>
        <w:t>C</w:t>
      </w:r>
      <w:r w:rsidR="00650EE5">
        <w:rPr>
          <w:rFonts w:ascii="Arial" w:hAnsi="Arial"/>
          <w:sz w:val="28"/>
        </w:rPr>
        <w:t>onclusion</w:t>
      </w:r>
    </w:p>
    <w:p w:rsidR="00881590" w:rsidRPr="005831BE" w:rsidRDefault="00881590" w:rsidP="00FD54A3">
      <w:pPr>
        <w:spacing w:after="0" w:line="276" w:lineRule="auto"/>
        <w:rPr>
          <w:rFonts w:ascii="Arial" w:hAnsi="Arial" w:cs="Arial"/>
          <w:sz w:val="22"/>
        </w:rPr>
      </w:pPr>
      <w:r w:rsidRPr="005831BE">
        <w:rPr>
          <w:rFonts w:ascii="Arial" w:hAnsi="Arial" w:cs="Arial"/>
          <w:sz w:val="22"/>
        </w:rPr>
        <w:t>In 2018, the average rate for all CDI diagnoses (princip</w:t>
      </w:r>
      <w:r w:rsidR="0043699E" w:rsidRPr="005831BE">
        <w:rPr>
          <w:rFonts w:ascii="Arial" w:hAnsi="Arial" w:cs="Arial"/>
          <w:sz w:val="22"/>
        </w:rPr>
        <w:t>al</w:t>
      </w:r>
      <w:r w:rsidRPr="005831BE">
        <w:rPr>
          <w:rFonts w:ascii="Arial" w:hAnsi="Arial" w:cs="Arial"/>
          <w:sz w:val="22"/>
        </w:rPr>
        <w:t xml:space="preserve"> and non-princip</w:t>
      </w:r>
      <w:r w:rsidR="0043699E" w:rsidRPr="005831BE">
        <w:rPr>
          <w:rFonts w:ascii="Arial" w:hAnsi="Arial" w:cs="Arial"/>
          <w:sz w:val="22"/>
        </w:rPr>
        <w:t>al</w:t>
      </w:r>
      <w:r w:rsidR="00B067D1">
        <w:rPr>
          <w:rFonts w:ascii="Arial" w:hAnsi="Arial" w:cs="Arial"/>
          <w:sz w:val="22"/>
        </w:rPr>
        <w:t xml:space="preserve"> combined</w:t>
      </w:r>
      <w:r w:rsidRPr="005831BE">
        <w:rPr>
          <w:rFonts w:ascii="Arial" w:hAnsi="Arial" w:cs="Arial"/>
          <w:sz w:val="22"/>
        </w:rPr>
        <w:t xml:space="preserve">) was 4.05 diagnoses per 10,000 patient bed days. </w:t>
      </w:r>
      <w:r w:rsidR="00B64D71" w:rsidRPr="005831BE">
        <w:rPr>
          <w:rFonts w:ascii="Arial" w:hAnsi="Arial" w:cs="Arial"/>
          <w:sz w:val="22"/>
        </w:rPr>
        <w:t>The</w:t>
      </w:r>
      <w:r w:rsidR="00C60670">
        <w:rPr>
          <w:rFonts w:ascii="Arial" w:hAnsi="Arial" w:cs="Arial"/>
          <w:sz w:val="22"/>
        </w:rPr>
        <w:t xml:space="preserve">re </w:t>
      </w:r>
      <w:r w:rsidR="00EB4A09">
        <w:rPr>
          <w:rFonts w:ascii="Arial" w:hAnsi="Arial" w:cs="Arial"/>
          <w:sz w:val="22"/>
        </w:rPr>
        <w:t>wa</w:t>
      </w:r>
      <w:r w:rsidR="00C60670">
        <w:rPr>
          <w:rFonts w:ascii="Arial" w:hAnsi="Arial" w:cs="Arial"/>
          <w:sz w:val="22"/>
        </w:rPr>
        <w:t>s an upward trend in the</w:t>
      </w:r>
      <w:r w:rsidR="00B64D71" w:rsidRPr="005831BE">
        <w:rPr>
          <w:rFonts w:ascii="Arial" w:hAnsi="Arial" w:cs="Arial"/>
          <w:sz w:val="22"/>
        </w:rPr>
        <w:t xml:space="preserve"> average yearly rate for all CDI diagnoses</w:t>
      </w:r>
      <w:r w:rsidR="00E13290" w:rsidRPr="005831BE">
        <w:rPr>
          <w:rFonts w:ascii="Arial" w:hAnsi="Arial" w:cs="Arial"/>
          <w:sz w:val="22"/>
        </w:rPr>
        <w:t xml:space="preserve"> </w:t>
      </w:r>
      <w:r w:rsidR="00B64D71" w:rsidRPr="005831BE">
        <w:rPr>
          <w:rFonts w:ascii="Arial" w:hAnsi="Arial" w:cs="Arial"/>
          <w:sz w:val="22"/>
        </w:rPr>
        <w:t>since 201</w:t>
      </w:r>
      <w:r w:rsidRPr="005831BE">
        <w:rPr>
          <w:rFonts w:ascii="Arial" w:hAnsi="Arial" w:cs="Arial"/>
          <w:sz w:val="22"/>
        </w:rPr>
        <w:t>6</w:t>
      </w:r>
      <w:r w:rsidR="00B64D71" w:rsidRPr="005831BE">
        <w:rPr>
          <w:rFonts w:ascii="Arial" w:hAnsi="Arial" w:cs="Arial"/>
          <w:sz w:val="22"/>
        </w:rPr>
        <w:t xml:space="preserve">. </w:t>
      </w:r>
      <w:r w:rsidR="0063699F" w:rsidRPr="005831BE">
        <w:rPr>
          <w:rFonts w:ascii="Arial" w:hAnsi="Arial" w:cs="Arial"/>
          <w:sz w:val="22"/>
        </w:rPr>
        <w:t xml:space="preserve">The highest monthly rate of CDI diagnoses was in </w:t>
      </w:r>
      <w:r w:rsidR="00552C39" w:rsidRPr="005831BE">
        <w:rPr>
          <w:rFonts w:ascii="Arial" w:hAnsi="Arial" w:cs="Arial"/>
          <w:sz w:val="22"/>
        </w:rPr>
        <w:t>January 2018 (</w:t>
      </w:r>
      <w:r w:rsidR="00B64D71" w:rsidRPr="005831BE">
        <w:rPr>
          <w:rFonts w:ascii="Arial" w:hAnsi="Arial" w:cs="Arial"/>
          <w:sz w:val="22"/>
        </w:rPr>
        <w:t>4.46 diagnoses per 10,000 patient bed days</w:t>
      </w:r>
      <w:r w:rsidR="00552C39" w:rsidRPr="005831BE">
        <w:rPr>
          <w:rFonts w:ascii="Arial" w:hAnsi="Arial" w:cs="Arial"/>
          <w:sz w:val="22"/>
        </w:rPr>
        <w:t>)</w:t>
      </w:r>
      <w:r w:rsidR="00B64D71" w:rsidRPr="005831BE">
        <w:rPr>
          <w:rFonts w:ascii="Arial" w:hAnsi="Arial" w:cs="Arial"/>
          <w:sz w:val="22"/>
        </w:rPr>
        <w:t xml:space="preserve">. </w:t>
      </w:r>
      <w:r w:rsidR="00C60670">
        <w:rPr>
          <w:rFonts w:ascii="Arial" w:hAnsi="Arial" w:cs="Arial"/>
          <w:sz w:val="22"/>
        </w:rPr>
        <w:t>Rates of CDI diagnoses</w:t>
      </w:r>
      <w:r w:rsidR="002546DB" w:rsidRPr="005831BE">
        <w:rPr>
          <w:rFonts w:ascii="Arial" w:hAnsi="Arial" w:cs="Arial"/>
          <w:sz w:val="22"/>
        </w:rPr>
        <w:t xml:space="preserve"> appear</w:t>
      </w:r>
      <w:r w:rsidR="00C60670">
        <w:rPr>
          <w:rFonts w:ascii="Arial" w:hAnsi="Arial" w:cs="Arial"/>
          <w:sz w:val="22"/>
        </w:rPr>
        <w:t>ed</w:t>
      </w:r>
      <w:r w:rsidR="002546DB" w:rsidRPr="005831BE">
        <w:rPr>
          <w:rFonts w:ascii="Arial" w:hAnsi="Arial" w:cs="Arial"/>
          <w:sz w:val="22"/>
        </w:rPr>
        <w:t xml:space="preserve"> to decline slightly until September</w:t>
      </w:r>
      <w:r w:rsidR="00EB4A09">
        <w:rPr>
          <w:rFonts w:ascii="Arial" w:hAnsi="Arial" w:cs="Arial"/>
          <w:sz w:val="22"/>
        </w:rPr>
        <w:t xml:space="preserve"> 2018</w:t>
      </w:r>
      <w:r w:rsidR="002546DB" w:rsidRPr="005831BE">
        <w:rPr>
          <w:rFonts w:ascii="Arial" w:hAnsi="Arial" w:cs="Arial"/>
          <w:sz w:val="22"/>
        </w:rPr>
        <w:t>, whe</w:t>
      </w:r>
      <w:r w:rsidR="00EE08AE" w:rsidRPr="005831BE">
        <w:rPr>
          <w:rFonts w:ascii="Arial" w:hAnsi="Arial" w:cs="Arial"/>
          <w:sz w:val="22"/>
        </w:rPr>
        <w:t>n</w:t>
      </w:r>
      <w:r w:rsidR="002546DB" w:rsidRPr="005831BE">
        <w:rPr>
          <w:rFonts w:ascii="Arial" w:hAnsi="Arial" w:cs="Arial"/>
          <w:sz w:val="22"/>
        </w:rPr>
        <w:t xml:space="preserve"> the monthly rates </w:t>
      </w:r>
      <w:r w:rsidR="00EE08AE" w:rsidRPr="005831BE">
        <w:rPr>
          <w:rFonts w:ascii="Arial" w:hAnsi="Arial" w:cs="Arial"/>
          <w:sz w:val="22"/>
        </w:rPr>
        <w:t xml:space="preserve">began </w:t>
      </w:r>
      <w:r w:rsidR="002546DB" w:rsidRPr="005831BE">
        <w:rPr>
          <w:rFonts w:ascii="Arial" w:hAnsi="Arial" w:cs="Arial"/>
          <w:sz w:val="22"/>
        </w:rPr>
        <w:t xml:space="preserve">to be increasing again (Figures 4 and 5). </w:t>
      </w:r>
    </w:p>
    <w:p w:rsidR="0043699E" w:rsidRDefault="0043699E" w:rsidP="00FD54A3">
      <w:pPr>
        <w:spacing w:after="0" w:line="276" w:lineRule="auto"/>
        <w:rPr>
          <w:rFonts w:ascii="Arial" w:hAnsi="Arial" w:cs="Arial"/>
          <w:sz w:val="22"/>
        </w:rPr>
      </w:pPr>
    </w:p>
    <w:p w:rsidR="0043699E" w:rsidRDefault="00EF1440" w:rsidP="00FD54A3">
      <w:pPr>
        <w:spacing w:after="0" w:line="276" w:lineRule="auto"/>
        <w:rPr>
          <w:rFonts w:ascii="Arial" w:hAnsi="Arial" w:cs="Arial"/>
          <w:sz w:val="22"/>
        </w:rPr>
      </w:pPr>
      <w:r>
        <w:rPr>
          <w:rFonts w:ascii="Arial" w:hAnsi="Arial" w:cs="Arial"/>
          <w:sz w:val="22"/>
        </w:rPr>
        <w:t>Usage</w:t>
      </w:r>
      <w:r w:rsidR="005B0D5C">
        <w:rPr>
          <w:rFonts w:ascii="Arial" w:hAnsi="Arial" w:cs="Arial"/>
          <w:sz w:val="22"/>
        </w:rPr>
        <w:t xml:space="preserve"> patterns</w:t>
      </w:r>
      <w:r w:rsidR="00886AAD">
        <w:rPr>
          <w:rFonts w:ascii="Arial" w:hAnsi="Arial" w:cs="Arial"/>
          <w:sz w:val="22"/>
        </w:rPr>
        <w:t xml:space="preserve"> for certain classes of antimicrobials</w:t>
      </w:r>
      <w:r w:rsidR="005B0D5C">
        <w:rPr>
          <w:rFonts w:ascii="Arial" w:hAnsi="Arial" w:cs="Arial"/>
          <w:sz w:val="22"/>
        </w:rPr>
        <w:t>,</w:t>
      </w:r>
      <w:r w:rsidR="00C60670">
        <w:rPr>
          <w:rFonts w:ascii="Arial" w:hAnsi="Arial" w:cs="Arial"/>
          <w:sz w:val="22"/>
        </w:rPr>
        <w:t xml:space="preserve"> and rates of CDI </w:t>
      </w:r>
      <w:r w:rsidR="00886AAD">
        <w:rPr>
          <w:rFonts w:ascii="Arial" w:hAnsi="Arial" w:cs="Arial"/>
          <w:sz w:val="22"/>
        </w:rPr>
        <w:t>appear</w:t>
      </w:r>
      <w:r w:rsidR="00C60670">
        <w:rPr>
          <w:rFonts w:ascii="Arial" w:hAnsi="Arial" w:cs="Arial"/>
          <w:sz w:val="22"/>
        </w:rPr>
        <w:t>ed</w:t>
      </w:r>
      <w:r w:rsidR="00886AAD">
        <w:rPr>
          <w:rFonts w:ascii="Arial" w:hAnsi="Arial" w:cs="Arial"/>
          <w:sz w:val="22"/>
        </w:rPr>
        <w:t xml:space="preserve"> to follow a similar pattern</w:t>
      </w:r>
      <w:r w:rsidR="005B0D5C">
        <w:rPr>
          <w:rFonts w:ascii="Arial" w:hAnsi="Arial" w:cs="Arial"/>
          <w:sz w:val="22"/>
        </w:rPr>
        <w:t>s</w:t>
      </w:r>
      <w:r w:rsidR="00886AAD">
        <w:rPr>
          <w:rFonts w:ascii="Arial" w:hAnsi="Arial" w:cs="Arial"/>
          <w:sz w:val="22"/>
        </w:rPr>
        <w:t xml:space="preserve"> in 2017 and 2018 when plotted together.</w:t>
      </w:r>
      <w:r w:rsidR="00C60670">
        <w:rPr>
          <w:rFonts w:ascii="Arial" w:hAnsi="Arial" w:cs="Arial"/>
          <w:sz w:val="22"/>
        </w:rPr>
        <w:t xml:space="preserve"> T</w:t>
      </w:r>
      <w:r w:rsidR="00886AAD">
        <w:rPr>
          <w:rFonts w:ascii="Arial" w:hAnsi="Arial" w:cs="Arial"/>
          <w:sz w:val="22"/>
        </w:rPr>
        <w:t>here may be value in continuing</w:t>
      </w:r>
      <w:r w:rsidR="00DA4C81">
        <w:rPr>
          <w:rFonts w:ascii="Arial" w:hAnsi="Arial" w:cs="Arial"/>
          <w:sz w:val="22"/>
        </w:rPr>
        <w:t xml:space="preserve"> </w:t>
      </w:r>
      <w:r w:rsidR="00886AAD">
        <w:rPr>
          <w:rFonts w:ascii="Arial" w:hAnsi="Arial" w:cs="Arial"/>
          <w:sz w:val="22"/>
        </w:rPr>
        <w:t xml:space="preserve">to </w:t>
      </w:r>
      <w:r w:rsidR="0054663D">
        <w:rPr>
          <w:rFonts w:ascii="Arial" w:hAnsi="Arial" w:cs="Arial"/>
          <w:sz w:val="22"/>
        </w:rPr>
        <w:t>monitor</w:t>
      </w:r>
      <w:r w:rsidR="00886AAD">
        <w:rPr>
          <w:rFonts w:ascii="Arial" w:hAnsi="Arial" w:cs="Arial"/>
          <w:sz w:val="22"/>
        </w:rPr>
        <w:t xml:space="preserve"> </w:t>
      </w:r>
      <w:r>
        <w:rPr>
          <w:rFonts w:ascii="Arial" w:hAnsi="Arial" w:cs="Arial"/>
          <w:sz w:val="22"/>
        </w:rPr>
        <w:t>usage</w:t>
      </w:r>
      <w:r w:rsidR="003F0EF9">
        <w:rPr>
          <w:rFonts w:ascii="Arial" w:hAnsi="Arial" w:cs="Arial"/>
          <w:sz w:val="22"/>
        </w:rPr>
        <w:t xml:space="preserve"> or </w:t>
      </w:r>
      <w:r w:rsidR="00C60670">
        <w:rPr>
          <w:rFonts w:ascii="Arial" w:hAnsi="Arial" w:cs="Arial"/>
          <w:sz w:val="22"/>
        </w:rPr>
        <w:t>prescribing patterns for</w:t>
      </w:r>
      <w:r w:rsidR="00886AAD">
        <w:rPr>
          <w:rFonts w:ascii="Arial" w:hAnsi="Arial" w:cs="Arial"/>
          <w:sz w:val="22"/>
        </w:rPr>
        <w:t xml:space="preserve"> antimicrobial</w:t>
      </w:r>
      <w:r w:rsidR="0054663D">
        <w:rPr>
          <w:rFonts w:ascii="Arial" w:hAnsi="Arial" w:cs="Arial"/>
          <w:sz w:val="22"/>
        </w:rPr>
        <w:t>s</w:t>
      </w:r>
      <w:r w:rsidR="00886AAD">
        <w:rPr>
          <w:rFonts w:ascii="Arial" w:hAnsi="Arial" w:cs="Arial"/>
          <w:sz w:val="22"/>
        </w:rPr>
        <w:t xml:space="preserve"> in conjunction with CDI</w:t>
      </w:r>
      <w:r w:rsidR="002F4D0C">
        <w:rPr>
          <w:rFonts w:ascii="Arial" w:hAnsi="Arial" w:cs="Arial"/>
          <w:sz w:val="22"/>
        </w:rPr>
        <w:t xml:space="preserve"> </w:t>
      </w:r>
      <w:r w:rsidR="00DD4832">
        <w:rPr>
          <w:rFonts w:ascii="Arial" w:hAnsi="Arial" w:cs="Arial"/>
          <w:sz w:val="22"/>
        </w:rPr>
        <w:t xml:space="preserve">or other </w:t>
      </w:r>
      <w:r w:rsidR="00705A88">
        <w:rPr>
          <w:rFonts w:ascii="Arial" w:hAnsi="Arial" w:cs="Arial"/>
          <w:sz w:val="22"/>
        </w:rPr>
        <w:t xml:space="preserve">healthcare-associated infection </w:t>
      </w:r>
      <w:r w:rsidR="002F4D0C">
        <w:rPr>
          <w:rFonts w:ascii="Arial" w:hAnsi="Arial" w:cs="Arial"/>
          <w:sz w:val="22"/>
        </w:rPr>
        <w:t>rates</w:t>
      </w:r>
      <w:r w:rsidR="00DD4832">
        <w:rPr>
          <w:rFonts w:ascii="Arial" w:hAnsi="Arial" w:cs="Arial"/>
          <w:sz w:val="22"/>
        </w:rPr>
        <w:t xml:space="preserve"> </w:t>
      </w:r>
      <w:r w:rsidR="00165274">
        <w:rPr>
          <w:rFonts w:ascii="Arial" w:hAnsi="Arial" w:cs="Arial"/>
          <w:sz w:val="22"/>
        </w:rPr>
        <w:t xml:space="preserve">to better understand the effect of </w:t>
      </w:r>
      <w:r w:rsidR="004F0C63">
        <w:rPr>
          <w:rFonts w:ascii="Arial" w:hAnsi="Arial" w:cs="Arial"/>
          <w:sz w:val="22"/>
        </w:rPr>
        <w:t xml:space="preserve">prescribing practices and </w:t>
      </w:r>
      <w:r w:rsidR="00165274">
        <w:rPr>
          <w:rFonts w:ascii="Arial" w:hAnsi="Arial" w:cs="Arial"/>
          <w:sz w:val="22"/>
        </w:rPr>
        <w:t>antimicrobial shortages</w:t>
      </w:r>
      <w:r w:rsidR="00C60670">
        <w:rPr>
          <w:rFonts w:ascii="Arial" w:hAnsi="Arial" w:cs="Arial"/>
          <w:sz w:val="22"/>
        </w:rPr>
        <w:t xml:space="preserve"> on CDI, along with other factors that may influence CDI rates</w:t>
      </w:r>
      <w:r w:rsidR="002F4D0C">
        <w:rPr>
          <w:rFonts w:ascii="Arial" w:hAnsi="Arial" w:cs="Arial"/>
          <w:sz w:val="22"/>
        </w:rPr>
        <w:t xml:space="preserve">. </w:t>
      </w:r>
    </w:p>
    <w:p w:rsidR="00DD4832" w:rsidRDefault="00DD4832" w:rsidP="00FD54A3">
      <w:pPr>
        <w:spacing w:after="0" w:line="276" w:lineRule="auto"/>
        <w:rPr>
          <w:rFonts w:ascii="Arial" w:hAnsi="Arial" w:cs="Arial"/>
          <w:sz w:val="22"/>
        </w:rPr>
      </w:pPr>
    </w:p>
    <w:p w:rsidR="00B64D71" w:rsidRDefault="00AA0066" w:rsidP="00FD54A3">
      <w:pPr>
        <w:spacing w:after="0" w:line="276" w:lineRule="auto"/>
        <w:rPr>
          <w:rFonts w:ascii="Arial" w:hAnsi="Arial" w:cs="Arial"/>
          <w:sz w:val="22"/>
        </w:rPr>
      </w:pPr>
      <w:r w:rsidRPr="007C091F">
        <w:rPr>
          <w:rFonts w:ascii="Arial" w:hAnsi="Arial" w:cs="Arial"/>
          <w:sz w:val="22"/>
        </w:rPr>
        <w:t>D</w:t>
      </w:r>
      <w:r w:rsidR="005A6012" w:rsidRPr="007C091F">
        <w:rPr>
          <w:rFonts w:ascii="Arial" w:hAnsi="Arial" w:cs="Arial"/>
          <w:sz w:val="22"/>
        </w:rPr>
        <w:t>ata</w:t>
      </w:r>
      <w:r w:rsidR="005A6012">
        <w:rPr>
          <w:rFonts w:ascii="Arial" w:hAnsi="Arial" w:cs="Arial"/>
          <w:sz w:val="22"/>
        </w:rPr>
        <w:t xml:space="preserve"> from Australian public hospitals with reliable COFs </w:t>
      </w:r>
      <w:r>
        <w:rPr>
          <w:rFonts w:ascii="Arial" w:hAnsi="Arial" w:cs="Arial"/>
          <w:sz w:val="22"/>
        </w:rPr>
        <w:t xml:space="preserve">indicated that 78% of patients with a CDI diagnosis were categorised as </w:t>
      </w:r>
      <w:r w:rsidR="005A6012">
        <w:rPr>
          <w:rFonts w:ascii="Arial" w:hAnsi="Arial" w:cs="Arial"/>
          <w:sz w:val="22"/>
        </w:rPr>
        <w:t>n</w:t>
      </w:r>
      <w:r w:rsidR="00DD3D40">
        <w:rPr>
          <w:rFonts w:ascii="Arial" w:hAnsi="Arial" w:cs="Arial"/>
          <w:sz w:val="22"/>
        </w:rPr>
        <w:t>on-princip</w:t>
      </w:r>
      <w:r w:rsidR="0043699E">
        <w:rPr>
          <w:rFonts w:ascii="Arial" w:hAnsi="Arial" w:cs="Arial"/>
          <w:sz w:val="22"/>
        </w:rPr>
        <w:t>al</w:t>
      </w:r>
      <w:r w:rsidR="00DD3D40">
        <w:rPr>
          <w:rFonts w:ascii="Arial" w:hAnsi="Arial" w:cs="Arial"/>
          <w:sz w:val="22"/>
        </w:rPr>
        <w:t xml:space="preserve"> CDI diagnoses</w:t>
      </w:r>
      <w:r w:rsidR="005B0D5C">
        <w:rPr>
          <w:rFonts w:ascii="Arial" w:hAnsi="Arial" w:cs="Arial"/>
          <w:sz w:val="22"/>
        </w:rPr>
        <w:t>. P</w:t>
      </w:r>
      <w:r w:rsidR="00DD3D40">
        <w:rPr>
          <w:rFonts w:ascii="Arial" w:hAnsi="Arial" w:cs="Arial"/>
          <w:sz w:val="22"/>
        </w:rPr>
        <w:t>atients</w:t>
      </w:r>
      <w:r w:rsidR="005B0D5C">
        <w:rPr>
          <w:rFonts w:ascii="Arial" w:hAnsi="Arial" w:cs="Arial"/>
          <w:sz w:val="22"/>
        </w:rPr>
        <w:t xml:space="preserve"> with a non-principal CDI diagnosis</w:t>
      </w:r>
      <w:r w:rsidR="00DD3D40">
        <w:rPr>
          <w:rFonts w:ascii="Arial" w:hAnsi="Arial" w:cs="Arial"/>
          <w:sz w:val="22"/>
        </w:rPr>
        <w:t xml:space="preserve"> </w:t>
      </w:r>
      <w:r>
        <w:rPr>
          <w:rFonts w:ascii="Arial" w:hAnsi="Arial" w:cs="Arial"/>
          <w:sz w:val="22"/>
        </w:rPr>
        <w:t>include</w:t>
      </w:r>
      <w:r w:rsidR="004873E8">
        <w:rPr>
          <w:rFonts w:ascii="Arial" w:hAnsi="Arial" w:cs="Arial"/>
          <w:sz w:val="22"/>
        </w:rPr>
        <w:t xml:space="preserve"> those</w:t>
      </w:r>
      <w:r>
        <w:rPr>
          <w:rFonts w:ascii="Arial" w:hAnsi="Arial" w:cs="Arial"/>
          <w:sz w:val="22"/>
        </w:rPr>
        <w:t xml:space="preserve"> with</w:t>
      </w:r>
      <w:r w:rsidR="005A6012">
        <w:rPr>
          <w:rFonts w:ascii="Arial" w:hAnsi="Arial" w:cs="Arial"/>
          <w:sz w:val="22"/>
        </w:rPr>
        <w:t xml:space="preserve"> pre-existing CDI</w:t>
      </w:r>
      <w:r w:rsidR="005B0D5C">
        <w:rPr>
          <w:rFonts w:ascii="Arial" w:hAnsi="Arial" w:cs="Arial"/>
          <w:sz w:val="22"/>
        </w:rPr>
        <w:t xml:space="preserve"> symptoms</w:t>
      </w:r>
      <w:r w:rsidR="005A6012" w:rsidRPr="007C091F">
        <w:rPr>
          <w:rFonts w:ascii="Arial" w:hAnsi="Arial" w:cs="Arial"/>
          <w:sz w:val="22"/>
        </w:rPr>
        <w:t xml:space="preserve"> </w:t>
      </w:r>
      <w:r w:rsidR="007C091F" w:rsidRPr="007C091F">
        <w:rPr>
          <w:rFonts w:ascii="Arial" w:hAnsi="Arial" w:cs="Arial"/>
          <w:sz w:val="22"/>
        </w:rPr>
        <w:t>(n=6,664</w:t>
      </w:r>
      <w:r w:rsidRPr="007C091F">
        <w:rPr>
          <w:rFonts w:ascii="Arial" w:hAnsi="Arial" w:cs="Arial"/>
          <w:sz w:val="22"/>
        </w:rPr>
        <w:t>)</w:t>
      </w:r>
      <w:r w:rsidR="00C60670">
        <w:rPr>
          <w:rFonts w:ascii="Arial" w:hAnsi="Arial" w:cs="Arial"/>
          <w:sz w:val="22"/>
        </w:rPr>
        <w:t>,</w:t>
      </w:r>
      <w:r w:rsidR="005B0D5C">
        <w:rPr>
          <w:rFonts w:ascii="Arial" w:hAnsi="Arial" w:cs="Arial"/>
          <w:sz w:val="22"/>
        </w:rPr>
        <w:t xml:space="preserve"> and </w:t>
      </w:r>
      <w:r w:rsidR="00C60670">
        <w:rPr>
          <w:rFonts w:ascii="Arial" w:hAnsi="Arial" w:cs="Arial"/>
          <w:sz w:val="22"/>
        </w:rPr>
        <w:t>may include those who develop</w:t>
      </w:r>
      <w:r w:rsidR="004873E8">
        <w:rPr>
          <w:rFonts w:ascii="Arial" w:hAnsi="Arial" w:cs="Arial"/>
          <w:sz w:val="22"/>
        </w:rPr>
        <w:t>ed</w:t>
      </w:r>
      <w:r w:rsidR="00C60670">
        <w:rPr>
          <w:rFonts w:ascii="Arial" w:hAnsi="Arial" w:cs="Arial"/>
          <w:sz w:val="22"/>
        </w:rPr>
        <w:t xml:space="preserve"> CDI </w:t>
      </w:r>
      <w:r w:rsidR="00DD3D40">
        <w:rPr>
          <w:rFonts w:ascii="Arial" w:hAnsi="Arial" w:cs="Arial"/>
          <w:sz w:val="22"/>
        </w:rPr>
        <w:t>in the community</w:t>
      </w:r>
      <w:r w:rsidR="00C60670">
        <w:rPr>
          <w:rFonts w:ascii="Arial" w:hAnsi="Arial" w:cs="Arial"/>
          <w:sz w:val="22"/>
        </w:rPr>
        <w:t>,</w:t>
      </w:r>
      <w:r>
        <w:rPr>
          <w:rFonts w:ascii="Arial" w:hAnsi="Arial" w:cs="Arial"/>
          <w:sz w:val="22"/>
        </w:rPr>
        <w:t xml:space="preserve"> without recent hospital admission</w:t>
      </w:r>
      <w:r w:rsidR="00DD3D40">
        <w:rPr>
          <w:rFonts w:ascii="Arial" w:hAnsi="Arial" w:cs="Arial"/>
          <w:sz w:val="22"/>
        </w:rPr>
        <w:t xml:space="preserve"> or </w:t>
      </w:r>
      <w:r w:rsidR="00165274">
        <w:rPr>
          <w:rFonts w:ascii="Arial" w:hAnsi="Arial" w:cs="Arial"/>
          <w:sz w:val="22"/>
        </w:rPr>
        <w:t xml:space="preserve">from </w:t>
      </w:r>
      <w:r w:rsidR="00C60670">
        <w:rPr>
          <w:rFonts w:ascii="Arial" w:hAnsi="Arial" w:cs="Arial"/>
          <w:sz w:val="22"/>
        </w:rPr>
        <w:t xml:space="preserve">a </w:t>
      </w:r>
      <w:r w:rsidR="00DD3D40">
        <w:rPr>
          <w:rFonts w:ascii="Arial" w:hAnsi="Arial" w:cs="Arial"/>
          <w:sz w:val="22"/>
        </w:rPr>
        <w:t xml:space="preserve">previous hospital admission. </w:t>
      </w:r>
    </w:p>
    <w:p w:rsidR="00B04C11" w:rsidRDefault="00B04C11" w:rsidP="00FD54A3">
      <w:pPr>
        <w:spacing w:after="0" w:line="276" w:lineRule="auto"/>
        <w:rPr>
          <w:rFonts w:ascii="Arial" w:hAnsi="Arial" w:cs="Arial"/>
          <w:sz w:val="22"/>
        </w:rPr>
      </w:pPr>
    </w:p>
    <w:p w:rsidR="00FF6092" w:rsidRPr="00FF6092" w:rsidRDefault="00151BDD" w:rsidP="00FD54A3">
      <w:pPr>
        <w:spacing w:after="0" w:line="276" w:lineRule="auto"/>
        <w:rPr>
          <w:rFonts w:ascii="Arial" w:hAnsi="Arial" w:cs="Arial"/>
          <w:sz w:val="22"/>
        </w:rPr>
      </w:pPr>
      <w:r w:rsidRPr="00793FDB">
        <w:rPr>
          <w:rFonts w:ascii="Arial" w:hAnsi="Arial" w:cs="Arial"/>
          <w:sz w:val="22"/>
        </w:rPr>
        <w:t>The</w:t>
      </w:r>
      <w:r w:rsidR="008C0617" w:rsidRPr="00793FDB">
        <w:rPr>
          <w:rFonts w:ascii="Arial" w:hAnsi="Arial" w:cs="Arial"/>
          <w:sz w:val="22"/>
        </w:rPr>
        <w:t xml:space="preserve"> number</w:t>
      </w:r>
      <w:r w:rsidR="00C60670">
        <w:rPr>
          <w:rFonts w:ascii="Arial" w:hAnsi="Arial" w:cs="Arial"/>
          <w:sz w:val="22"/>
        </w:rPr>
        <w:t xml:space="preserve"> of separations from </w:t>
      </w:r>
      <w:r w:rsidR="008C0617" w:rsidRPr="00FF6092">
        <w:rPr>
          <w:rFonts w:ascii="Arial" w:hAnsi="Arial" w:cs="Arial"/>
          <w:sz w:val="22"/>
        </w:rPr>
        <w:t xml:space="preserve">Australian public hospitals and the number of separations affected by CDI </w:t>
      </w:r>
      <w:r w:rsidRPr="00FF6092">
        <w:rPr>
          <w:rFonts w:ascii="Arial" w:hAnsi="Arial" w:cs="Arial"/>
          <w:sz w:val="22"/>
        </w:rPr>
        <w:t xml:space="preserve">both </w:t>
      </w:r>
      <w:r w:rsidR="008C0617" w:rsidRPr="00FF6092">
        <w:rPr>
          <w:rFonts w:ascii="Arial" w:hAnsi="Arial" w:cs="Arial"/>
          <w:sz w:val="22"/>
        </w:rPr>
        <w:t xml:space="preserve">increased in 2018. </w:t>
      </w:r>
      <w:r w:rsidR="00B75CDB" w:rsidRPr="00FF6092">
        <w:rPr>
          <w:rFonts w:ascii="Arial" w:hAnsi="Arial" w:cs="Arial"/>
          <w:sz w:val="22"/>
        </w:rPr>
        <w:t xml:space="preserve">The number of separations </w:t>
      </w:r>
      <w:r w:rsidRPr="00FF6092">
        <w:rPr>
          <w:rFonts w:ascii="Arial" w:hAnsi="Arial" w:cs="Arial"/>
          <w:sz w:val="22"/>
        </w:rPr>
        <w:t>in Australian public hospitals increased by 3.08%</w:t>
      </w:r>
      <w:r w:rsidR="00C60670">
        <w:rPr>
          <w:rFonts w:ascii="Arial" w:hAnsi="Arial" w:cs="Arial"/>
          <w:sz w:val="22"/>
        </w:rPr>
        <w:t>,</w:t>
      </w:r>
      <w:r w:rsidRPr="00FF6092">
        <w:rPr>
          <w:rFonts w:ascii="Arial" w:hAnsi="Arial" w:cs="Arial"/>
          <w:sz w:val="22"/>
        </w:rPr>
        <w:t xml:space="preserve"> and the separations </w:t>
      </w:r>
      <w:r w:rsidR="00B75CDB" w:rsidRPr="00FF6092">
        <w:rPr>
          <w:rFonts w:ascii="Arial" w:hAnsi="Arial" w:cs="Arial"/>
          <w:sz w:val="22"/>
        </w:rPr>
        <w:t xml:space="preserve">affected by CDI </w:t>
      </w:r>
      <w:r w:rsidR="00816C4E" w:rsidRPr="00FF6092">
        <w:rPr>
          <w:rFonts w:ascii="Arial" w:hAnsi="Arial" w:cs="Arial"/>
          <w:sz w:val="22"/>
        </w:rPr>
        <w:t>increased by 4</w:t>
      </w:r>
      <w:r w:rsidR="00816C4E" w:rsidRPr="00D565E5">
        <w:rPr>
          <w:rFonts w:ascii="Arial" w:hAnsi="Arial" w:cs="Arial"/>
          <w:sz w:val="22"/>
        </w:rPr>
        <w:t>.95</w:t>
      </w:r>
      <w:r w:rsidRPr="00D565E5">
        <w:rPr>
          <w:rFonts w:ascii="Arial" w:hAnsi="Arial" w:cs="Arial"/>
          <w:sz w:val="22"/>
        </w:rPr>
        <w:t xml:space="preserve">% in </w:t>
      </w:r>
      <w:r w:rsidR="00B75CDB" w:rsidRPr="00D565E5">
        <w:rPr>
          <w:rFonts w:ascii="Arial" w:hAnsi="Arial" w:cs="Arial"/>
          <w:sz w:val="22"/>
        </w:rPr>
        <w:t>2018</w:t>
      </w:r>
      <w:r w:rsidR="00C60670">
        <w:rPr>
          <w:rFonts w:ascii="Arial" w:hAnsi="Arial" w:cs="Arial"/>
          <w:sz w:val="22"/>
        </w:rPr>
        <w:t>;</w:t>
      </w:r>
      <w:r w:rsidRPr="00D565E5">
        <w:rPr>
          <w:rFonts w:ascii="Arial" w:hAnsi="Arial" w:cs="Arial"/>
          <w:sz w:val="22"/>
        </w:rPr>
        <w:t xml:space="preserve"> </w:t>
      </w:r>
      <w:r w:rsidR="00C60670">
        <w:rPr>
          <w:rFonts w:ascii="Arial" w:hAnsi="Arial" w:cs="Arial"/>
          <w:sz w:val="22"/>
        </w:rPr>
        <w:t>the</w:t>
      </w:r>
      <w:r w:rsidRPr="00D565E5">
        <w:rPr>
          <w:rFonts w:ascii="Arial" w:hAnsi="Arial" w:cs="Arial"/>
          <w:sz w:val="22"/>
        </w:rPr>
        <w:t xml:space="preserve"> increase</w:t>
      </w:r>
      <w:r w:rsidR="00F672EB">
        <w:rPr>
          <w:rFonts w:ascii="Arial" w:hAnsi="Arial" w:cs="Arial"/>
          <w:sz w:val="22"/>
        </w:rPr>
        <w:t xml:space="preserve"> in the CDI-affected separations, however, was </w:t>
      </w:r>
      <w:r w:rsidR="006B2602">
        <w:rPr>
          <w:rFonts w:ascii="Arial" w:hAnsi="Arial" w:cs="Arial"/>
          <w:sz w:val="22"/>
        </w:rPr>
        <w:t>not</w:t>
      </w:r>
      <w:r w:rsidR="00F672EB">
        <w:rPr>
          <w:rFonts w:ascii="Arial" w:hAnsi="Arial" w:cs="Arial"/>
          <w:sz w:val="22"/>
        </w:rPr>
        <w:t xml:space="preserve"> </w:t>
      </w:r>
      <w:r w:rsidRPr="00D565E5">
        <w:rPr>
          <w:rFonts w:ascii="Arial" w:hAnsi="Arial" w:cs="Arial"/>
          <w:sz w:val="22"/>
        </w:rPr>
        <w:t>pro</w:t>
      </w:r>
      <w:r w:rsidR="00C60670">
        <w:rPr>
          <w:rFonts w:ascii="Arial" w:hAnsi="Arial" w:cs="Arial"/>
          <w:sz w:val="22"/>
        </w:rPr>
        <w:t>portional</w:t>
      </w:r>
      <w:r w:rsidR="00F672EB">
        <w:rPr>
          <w:rFonts w:ascii="Arial" w:hAnsi="Arial" w:cs="Arial"/>
          <w:sz w:val="22"/>
        </w:rPr>
        <w:t xml:space="preserve"> to the overall increase in hospital separations</w:t>
      </w:r>
      <w:r w:rsidRPr="00D565E5">
        <w:rPr>
          <w:rFonts w:ascii="Arial" w:hAnsi="Arial" w:cs="Arial"/>
          <w:sz w:val="22"/>
        </w:rPr>
        <w:t xml:space="preserve">. </w:t>
      </w:r>
    </w:p>
    <w:p w:rsidR="00FF6092" w:rsidRPr="00FF6092" w:rsidRDefault="00FF6092" w:rsidP="00FD54A3">
      <w:pPr>
        <w:spacing w:after="0" w:line="276" w:lineRule="auto"/>
        <w:rPr>
          <w:rFonts w:ascii="Arial" w:hAnsi="Arial" w:cs="Arial"/>
          <w:sz w:val="22"/>
        </w:rPr>
      </w:pPr>
    </w:p>
    <w:p w:rsidR="009E3D3B" w:rsidRDefault="000E14E1" w:rsidP="00FD54A3">
      <w:pPr>
        <w:spacing w:after="0" w:line="276" w:lineRule="auto"/>
        <w:rPr>
          <w:rFonts w:ascii="Arial" w:hAnsi="Arial" w:cs="Arial"/>
          <w:sz w:val="22"/>
        </w:rPr>
      </w:pPr>
      <w:r>
        <w:rPr>
          <w:rFonts w:ascii="Arial" w:hAnsi="Arial" w:cs="Arial"/>
          <w:sz w:val="22"/>
        </w:rPr>
        <w:lastRenderedPageBreak/>
        <w:t>The number of p</w:t>
      </w:r>
      <w:r w:rsidR="00FD5001" w:rsidRPr="00FF6092">
        <w:rPr>
          <w:rFonts w:ascii="Arial" w:hAnsi="Arial" w:cs="Arial"/>
          <w:sz w:val="22"/>
        </w:rPr>
        <w:t>atients with a non-principal CDI diagnosis</w:t>
      </w:r>
      <w:r w:rsidR="009E3D3B">
        <w:rPr>
          <w:rFonts w:ascii="Arial" w:hAnsi="Arial" w:cs="Arial"/>
          <w:sz w:val="22"/>
        </w:rPr>
        <w:t xml:space="preserve"> with a COF2 increased by 11.38% in 2018 </w:t>
      </w:r>
      <w:r>
        <w:rPr>
          <w:rFonts w:ascii="Arial" w:hAnsi="Arial" w:cs="Arial"/>
          <w:sz w:val="22"/>
        </w:rPr>
        <w:t>(n</w:t>
      </w:r>
      <w:r w:rsidRPr="000E14E1">
        <w:rPr>
          <w:rFonts w:ascii="Arial" w:hAnsi="Arial" w:cs="Arial"/>
          <w:sz w:val="22"/>
        </w:rPr>
        <w:t>=4,010</w:t>
      </w:r>
      <w:r>
        <w:rPr>
          <w:rFonts w:ascii="Arial" w:hAnsi="Arial" w:cs="Arial"/>
          <w:sz w:val="22"/>
        </w:rPr>
        <w:t>)</w:t>
      </w:r>
      <w:r w:rsidRPr="000E14E1">
        <w:rPr>
          <w:rFonts w:ascii="Arial" w:hAnsi="Arial" w:cs="Arial"/>
          <w:sz w:val="22"/>
        </w:rPr>
        <w:t xml:space="preserve"> compared to 2017 </w:t>
      </w:r>
      <w:r>
        <w:rPr>
          <w:rFonts w:ascii="Arial" w:hAnsi="Arial" w:cs="Arial"/>
          <w:sz w:val="22"/>
        </w:rPr>
        <w:t>(</w:t>
      </w:r>
      <w:r w:rsidRPr="000E14E1">
        <w:rPr>
          <w:rFonts w:ascii="Arial" w:hAnsi="Arial" w:cs="Arial"/>
          <w:sz w:val="22"/>
        </w:rPr>
        <w:t>n=3,600</w:t>
      </w:r>
      <w:r>
        <w:rPr>
          <w:rFonts w:ascii="Arial" w:hAnsi="Arial" w:cs="Arial"/>
          <w:sz w:val="22"/>
        </w:rPr>
        <w:t xml:space="preserve">). </w:t>
      </w:r>
      <w:r w:rsidR="004873E8">
        <w:rPr>
          <w:rFonts w:ascii="Arial" w:hAnsi="Arial" w:cs="Arial"/>
          <w:sz w:val="22"/>
        </w:rPr>
        <w:t>I</w:t>
      </w:r>
      <w:r w:rsidR="004873E8" w:rsidRPr="004873E8">
        <w:rPr>
          <w:rFonts w:ascii="Arial" w:hAnsi="Arial" w:cs="Arial"/>
          <w:sz w:val="22"/>
        </w:rPr>
        <w:t>n 2018</w:t>
      </w:r>
      <w:r w:rsidR="004873E8">
        <w:rPr>
          <w:rFonts w:ascii="Arial" w:hAnsi="Arial" w:cs="Arial"/>
          <w:sz w:val="22"/>
        </w:rPr>
        <w:t>,</w:t>
      </w:r>
      <w:r w:rsidR="004873E8" w:rsidRPr="004873E8">
        <w:rPr>
          <w:rFonts w:ascii="Arial" w:hAnsi="Arial" w:cs="Arial"/>
          <w:sz w:val="22"/>
        </w:rPr>
        <w:t xml:space="preserve"> </w:t>
      </w:r>
      <w:r w:rsidR="004873E8">
        <w:rPr>
          <w:rFonts w:ascii="Arial" w:hAnsi="Arial" w:cs="Arial"/>
          <w:sz w:val="22"/>
        </w:rPr>
        <w:t>t</w:t>
      </w:r>
      <w:r w:rsidR="009E3D3B">
        <w:rPr>
          <w:rFonts w:ascii="Arial" w:hAnsi="Arial" w:cs="Arial"/>
          <w:sz w:val="22"/>
        </w:rPr>
        <w:t>he estimated burden of pre-existing CDI also increased by 9.35% (2018 n=6,664 compared to 2017 n=6,094).</w:t>
      </w:r>
    </w:p>
    <w:p w:rsidR="00FD240D" w:rsidRDefault="00FD240D" w:rsidP="00FD54A3">
      <w:pPr>
        <w:spacing w:after="0" w:line="276" w:lineRule="auto"/>
        <w:rPr>
          <w:rFonts w:ascii="Arial" w:hAnsi="Arial" w:cs="Arial"/>
          <w:sz w:val="22"/>
        </w:rPr>
      </w:pPr>
    </w:p>
    <w:p w:rsidR="00793FDB" w:rsidRDefault="001E0E3D" w:rsidP="00FD54A3">
      <w:pPr>
        <w:spacing w:after="0" w:line="276" w:lineRule="auto"/>
        <w:rPr>
          <w:rFonts w:ascii="Arial" w:hAnsi="Arial" w:cs="Arial"/>
          <w:sz w:val="22"/>
        </w:rPr>
      </w:pPr>
      <w:r>
        <w:rPr>
          <w:rFonts w:ascii="Arial" w:hAnsi="Arial" w:cs="Arial"/>
          <w:sz w:val="22"/>
        </w:rPr>
        <w:t>I</w:t>
      </w:r>
      <w:r w:rsidR="00FD240D">
        <w:rPr>
          <w:rFonts w:ascii="Arial" w:hAnsi="Arial" w:cs="Arial"/>
          <w:sz w:val="22"/>
        </w:rPr>
        <w:t>n 2018</w:t>
      </w:r>
      <w:r w:rsidR="005B0D5C">
        <w:rPr>
          <w:rFonts w:ascii="Arial" w:hAnsi="Arial" w:cs="Arial"/>
          <w:sz w:val="22"/>
        </w:rPr>
        <w:t>,</w:t>
      </w:r>
      <w:r w:rsidR="00FD240D">
        <w:rPr>
          <w:rFonts w:ascii="Arial" w:hAnsi="Arial" w:cs="Arial"/>
          <w:sz w:val="22"/>
        </w:rPr>
        <w:t xml:space="preserve"> the overall length of stay for pa</w:t>
      </w:r>
      <w:r w:rsidR="00C60670">
        <w:rPr>
          <w:rFonts w:ascii="Arial" w:hAnsi="Arial" w:cs="Arial"/>
          <w:sz w:val="22"/>
        </w:rPr>
        <w:t>tients with CDI diagnoses was the lowest</w:t>
      </w:r>
      <w:r w:rsidR="00FD240D">
        <w:rPr>
          <w:rFonts w:ascii="Arial" w:hAnsi="Arial" w:cs="Arial"/>
          <w:sz w:val="22"/>
        </w:rPr>
        <w:t xml:space="preserve"> since 2012</w:t>
      </w:r>
      <w:r>
        <w:rPr>
          <w:rFonts w:ascii="Arial" w:hAnsi="Arial" w:cs="Arial"/>
          <w:sz w:val="22"/>
        </w:rPr>
        <w:t>; t</w:t>
      </w:r>
      <w:r w:rsidR="007848B3">
        <w:rPr>
          <w:rFonts w:ascii="Arial" w:hAnsi="Arial" w:cs="Arial"/>
          <w:sz w:val="22"/>
        </w:rPr>
        <w:t xml:space="preserve">he length of stay for a patient with a principal </w:t>
      </w:r>
      <w:r w:rsidR="00C60670">
        <w:rPr>
          <w:rFonts w:ascii="Arial" w:hAnsi="Arial" w:cs="Arial"/>
          <w:sz w:val="22"/>
        </w:rPr>
        <w:t xml:space="preserve">CDI </w:t>
      </w:r>
      <w:r w:rsidR="007848B3">
        <w:rPr>
          <w:rFonts w:ascii="Arial" w:hAnsi="Arial" w:cs="Arial"/>
          <w:sz w:val="22"/>
        </w:rPr>
        <w:t xml:space="preserve">diagnosis was 7.01 days. </w:t>
      </w:r>
      <w:r w:rsidR="007219E2">
        <w:rPr>
          <w:rFonts w:ascii="Arial" w:hAnsi="Arial" w:cs="Arial"/>
          <w:sz w:val="22"/>
        </w:rPr>
        <w:t>Overall the length of stay in Australia</w:t>
      </w:r>
      <w:r w:rsidR="004873E8">
        <w:rPr>
          <w:rFonts w:ascii="Arial" w:hAnsi="Arial" w:cs="Arial"/>
          <w:sz w:val="22"/>
        </w:rPr>
        <w:t>n hospitals</w:t>
      </w:r>
      <w:r w:rsidR="007219E2">
        <w:rPr>
          <w:rFonts w:ascii="Arial" w:hAnsi="Arial" w:cs="Arial"/>
          <w:sz w:val="22"/>
        </w:rPr>
        <w:t xml:space="preserve"> has declin</w:t>
      </w:r>
      <w:r w:rsidR="004873E8">
        <w:rPr>
          <w:rFonts w:ascii="Arial" w:hAnsi="Arial" w:cs="Arial"/>
          <w:sz w:val="22"/>
        </w:rPr>
        <w:t>ed</w:t>
      </w:r>
      <w:r w:rsidR="007219E2">
        <w:rPr>
          <w:rFonts w:ascii="Arial" w:hAnsi="Arial" w:cs="Arial"/>
          <w:sz w:val="22"/>
        </w:rPr>
        <w:t xml:space="preserve"> over time</w:t>
      </w:r>
      <w:r w:rsidR="00835767">
        <w:rPr>
          <w:rFonts w:ascii="Arial" w:hAnsi="Arial" w:cs="Arial"/>
          <w:sz w:val="22"/>
        </w:rPr>
        <w:t xml:space="preserve"> from 2.8 days in 2014-2015 </w:t>
      </w:r>
      <w:r w:rsidR="00183625">
        <w:rPr>
          <w:rFonts w:ascii="Arial" w:hAnsi="Arial" w:cs="Arial"/>
          <w:sz w:val="22"/>
        </w:rPr>
        <w:t xml:space="preserve">to </w:t>
      </w:r>
      <w:r w:rsidR="00835767">
        <w:rPr>
          <w:rFonts w:ascii="Arial" w:hAnsi="Arial" w:cs="Arial"/>
          <w:sz w:val="22"/>
        </w:rPr>
        <w:t xml:space="preserve">2.7 days </w:t>
      </w:r>
      <w:r w:rsidR="00183625">
        <w:rPr>
          <w:rFonts w:ascii="Arial" w:hAnsi="Arial" w:cs="Arial"/>
          <w:sz w:val="22"/>
        </w:rPr>
        <w:t>in</w:t>
      </w:r>
      <w:r w:rsidR="00835767">
        <w:rPr>
          <w:rFonts w:ascii="Arial" w:hAnsi="Arial" w:cs="Arial"/>
          <w:sz w:val="22"/>
        </w:rPr>
        <w:t xml:space="preserve"> 2018-2019. This is an overall reduction in the average length of stay of 1.3%</w:t>
      </w:r>
      <w:r w:rsidR="00835767" w:rsidRPr="004E6241">
        <w:rPr>
          <w:rFonts w:ascii="Arial" w:hAnsi="Arial" w:cs="Arial"/>
          <w:sz w:val="22"/>
        </w:rPr>
        <w:t>.</w:t>
      </w:r>
      <w:r w:rsidR="004C7491" w:rsidRPr="004E6241">
        <w:rPr>
          <w:rFonts w:ascii="Arial" w:hAnsi="Arial" w:cs="Arial"/>
          <w:sz w:val="22"/>
          <w:vertAlign w:val="superscript"/>
        </w:rPr>
        <w:t>1</w:t>
      </w:r>
      <w:r w:rsidR="00A6188F">
        <w:rPr>
          <w:rFonts w:ascii="Arial" w:hAnsi="Arial" w:cs="Arial"/>
          <w:sz w:val="22"/>
          <w:vertAlign w:val="superscript"/>
        </w:rPr>
        <w:t>8</w:t>
      </w:r>
      <w:r w:rsidR="00835767">
        <w:rPr>
          <w:rFonts w:ascii="Arial" w:hAnsi="Arial" w:cs="Arial"/>
          <w:sz w:val="22"/>
        </w:rPr>
        <w:t xml:space="preserve"> The length of stay for </w:t>
      </w:r>
      <w:r w:rsidR="004C7491">
        <w:rPr>
          <w:rFonts w:ascii="Arial" w:hAnsi="Arial" w:cs="Arial"/>
          <w:sz w:val="22"/>
        </w:rPr>
        <w:t xml:space="preserve">all </w:t>
      </w:r>
      <w:r w:rsidR="00835767">
        <w:rPr>
          <w:rFonts w:ascii="Arial" w:hAnsi="Arial" w:cs="Arial"/>
          <w:sz w:val="22"/>
        </w:rPr>
        <w:t xml:space="preserve">CDI </w:t>
      </w:r>
      <w:r w:rsidR="004C7491">
        <w:rPr>
          <w:rFonts w:ascii="Arial" w:hAnsi="Arial" w:cs="Arial"/>
          <w:sz w:val="22"/>
        </w:rPr>
        <w:t xml:space="preserve">diagnoses </w:t>
      </w:r>
      <w:r w:rsidR="00835767">
        <w:rPr>
          <w:rFonts w:ascii="Arial" w:hAnsi="Arial" w:cs="Arial"/>
          <w:sz w:val="22"/>
        </w:rPr>
        <w:t xml:space="preserve">has </w:t>
      </w:r>
      <w:r w:rsidR="004C7491">
        <w:rPr>
          <w:rFonts w:ascii="Arial" w:hAnsi="Arial" w:cs="Arial"/>
          <w:sz w:val="22"/>
        </w:rPr>
        <w:t xml:space="preserve">also </w:t>
      </w:r>
      <w:r w:rsidR="00835767">
        <w:rPr>
          <w:rFonts w:ascii="Arial" w:hAnsi="Arial" w:cs="Arial"/>
          <w:sz w:val="22"/>
        </w:rPr>
        <w:t xml:space="preserve">declined </w:t>
      </w:r>
      <w:r w:rsidR="004C7491">
        <w:rPr>
          <w:rFonts w:ascii="Arial" w:hAnsi="Arial" w:cs="Arial"/>
          <w:sz w:val="22"/>
        </w:rPr>
        <w:t>from 18.</w:t>
      </w:r>
      <w:r w:rsidR="00906455">
        <w:rPr>
          <w:rFonts w:ascii="Arial" w:hAnsi="Arial" w:cs="Arial"/>
          <w:sz w:val="22"/>
        </w:rPr>
        <w:t>7</w:t>
      </w:r>
      <w:r w:rsidR="004C7491">
        <w:rPr>
          <w:rFonts w:ascii="Arial" w:hAnsi="Arial" w:cs="Arial"/>
          <w:sz w:val="22"/>
        </w:rPr>
        <w:t xml:space="preserve"> days in 2012 to 15.6 days in 2018, an overall reduction of </w:t>
      </w:r>
      <w:r w:rsidR="00D27E98">
        <w:rPr>
          <w:rFonts w:ascii="Arial" w:hAnsi="Arial" w:cs="Arial"/>
          <w:sz w:val="22"/>
        </w:rPr>
        <w:t>16.3</w:t>
      </w:r>
      <w:r w:rsidR="004C7491">
        <w:rPr>
          <w:rFonts w:ascii="Arial" w:hAnsi="Arial" w:cs="Arial"/>
          <w:sz w:val="22"/>
        </w:rPr>
        <w:t>%.</w:t>
      </w:r>
      <w:r w:rsidR="00836FFF">
        <w:rPr>
          <w:rFonts w:ascii="Arial" w:hAnsi="Arial" w:cs="Arial"/>
          <w:sz w:val="22"/>
        </w:rPr>
        <w:t xml:space="preserve"> Over recent years</w:t>
      </w:r>
      <w:r w:rsidR="00183625">
        <w:rPr>
          <w:rFonts w:ascii="Arial" w:hAnsi="Arial" w:cs="Arial"/>
          <w:sz w:val="22"/>
        </w:rPr>
        <w:t>,</w:t>
      </w:r>
      <w:r w:rsidR="00836FFF">
        <w:rPr>
          <w:rFonts w:ascii="Arial" w:hAnsi="Arial" w:cs="Arial"/>
          <w:sz w:val="22"/>
        </w:rPr>
        <w:t xml:space="preserve"> there have been several</w:t>
      </w:r>
      <w:r w:rsidR="001820EA">
        <w:rPr>
          <w:rFonts w:ascii="Arial" w:hAnsi="Arial" w:cs="Arial"/>
          <w:sz w:val="22"/>
        </w:rPr>
        <w:t xml:space="preserve"> improvements in the diagnosis and treatment of CDI</w:t>
      </w:r>
      <w:r w:rsidR="00C00A6A">
        <w:rPr>
          <w:rFonts w:ascii="Arial" w:hAnsi="Arial" w:cs="Arial"/>
          <w:sz w:val="22"/>
        </w:rPr>
        <w:t>,</w:t>
      </w:r>
      <w:r w:rsidR="001820EA">
        <w:rPr>
          <w:rFonts w:ascii="Arial" w:hAnsi="Arial" w:cs="Arial"/>
          <w:sz w:val="22"/>
        </w:rPr>
        <w:t xml:space="preserve"> such as the use of </w:t>
      </w:r>
      <w:r w:rsidR="001820EA" w:rsidRPr="00D565E5">
        <w:rPr>
          <w:rFonts w:ascii="Arial" w:hAnsi="Arial" w:cs="Arial"/>
          <w:sz w:val="22"/>
        </w:rPr>
        <w:t>fidaxomicin and</w:t>
      </w:r>
      <w:r w:rsidR="001820EA">
        <w:rPr>
          <w:rFonts w:ascii="Arial" w:hAnsi="Arial" w:cs="Arial"/>
          <w:sz w:val="22"/>
        </w:rPr>
        <w:t xml:space="preserve"> faecal microbial transplant.</w:t>
      </w:r>
      <w:r w:rsidR="00A6188F">
        <w:rPr>
          <w:rFonts w:ascii="Arial" w:hAnsi="Arial" w:cs="Arial"/>
          <w:sz w:val="22"/>
          <w:vertAlign w:val="superscript"/>
        </w:rPr>
        <w:t>20</w:t>
      </w:r>
      <w:r w:rsidR="00836FFF">
        <w:rPr>
          <w:rFonts w:ascii="Arial" w:hAnsi="Arial" w:cs="Arial"/>
          <w:sz w:val="22"/>
        </w:rPr>
        <w:t xml:space="preserve"> Further investigation is</w:t>
      </w:r>
      <w:r w:rsidR="001820EA">
        <w:rPr>
          <w:rFonts w:ascii="Arial" w:hAnsi="Arial" w:cs="Arial"/>
          <w:sz w:val="22"/>
        </w:rPr>
        <w:t xml:space="preserve"> required to establish if t</w:t>
      </w:r>
      <w:r w:rsidR="00836FFF">
        <w:rPr>
          <w:rFonts w:ascii="Arial" w:hAnsi="Arial" w:cs="Arial"/>
          <w:sz w:val="22"/>
        </w:rPr>
        <w:t>hese changes have influenced</w:t>
      </w:r>
      <w:r w:rsidR="001820EA">
        <w:rPr>
          <w:rFonts w:ascii="Arial" w:hAnsi="Arial" w:cs="Arial"/>
          <w:sz w:val="22"/>
        </w:rPr>
        <w:t xml:space="preserve"> the reduced length of stay observed for patients with CDI.</w:t>
      </w:r>
    </w:p>
    <w:p w:rsidR="00793FDB" w:rsidRDefault="00793FDB" w:rsidP="00FD54A3">
      <w:pPr>
        <w:spacing w:after="0" w:line="276" w:lineRule="auto"/>
        <w:rPr>
          <w:rFonts w:ascii="Arial" w:hAnsi="Arial" w:cs="Arial"/>
          <w:sz w:val="22"/>
        </w:rPr>
      </w:pPr>
    </w:p>
    <w:p w:rsidR="00CD60BA" w:rsidRDefault="00836FFF" w:rsidP="00FD54A3">
      <w:pPr>
        <w:spacing w:after="0" w:line="276" w:lineRule="auto"/>
        <w:rPr>
          <w:rFonts w:ascii="Arial" w:hAnsi="Arial" w:cs="Arial"/>
          <w:sz w:val="22"/>
        </w:rPr>
      </w:pPr>
      <w:r>
        <w:rPr>
          <w:rFonts w:ascii="Arial" w:hAnsi="Arial" w:cs="Arial"/>
          <w:sz w:val="22"/>
        </w:rPr>
        <w:t>T</w:t>
      </w:r>
      <w:r w:rsidR="00793FDB">
        <w:rPr>
          <w:rFonts w:ascii="Arial" w:hAnsi="Arial" w:cs="Arial"/>
          <w:sz w:val="22"/>
        </w:rPr>
        <w:t xml:space="preserve">his report </w:t>
      </w:r>
      <w:r w:rsidR="008708AA">
        <w:rPr>
          <w:rFonts w:ascii="Arial" w:hAnsi="Arial" w:cs="Arial"/>
          <w:sz w:val="22"/>
        </w:rPr>
        <w:t>provide</w:t>
      </w:r>
      <w:r>
        <w:rPr>
          <w:rFonts w:ascii="Arial" w:hAnsi="Arial" w:cs="Arial"/>
          <w:sz w:val="22"/>
        </w:rPr>
        <w:t>s</w:t>
      </w:r>
      <w:r w:rsidR="008708AA">
        <w:rPr>
          <w:rFonts w:ascii="Arial" w:hAnsi="Arial" w:cs="Arial"/>
          <w:sz w:val="22"/>
        </w:rPr>
        <w:t xml:space="preserve"> an overview of the current burden of CDI in Australian public hospitals</w:t>
      </w:r>
      <w:r>
        <w:rPr>
          <w:rFonts w:ascii="Arial" w:hAnsi="Arial" w:cs="Arial"/>
          <w:sz w:val="22"/>
        </w:rPr>
        <w:t>,</w:t>
      </w:r>
      <w:r w:rsidR="008708AA">
        <w:rPr>
          <w:rFonts w:ascii="Arial" w:hAnsi="Arial" w:cs="Arial"/>
          <w:sz w:val="22"/>
        </w:rPr>
        <w:t xml:space="preserve"> and </w:t>
      </w:r>
      <w:r w:rsidR="00692F90">
        <w:rPr>
          <w:rFonts w:ascii="Arial" w:hAnsi="Arial" w:cs="Arial"/>
          <w:sz w:val="22"/>
        </w:rPr>
        <w:t xml:space="preserve">the analyses </w:t>
      </w:r>
      <w:r w:rsidR="00793FDB">
        <w:rPr>
          <w:rFonts w:ascii="Arial" w:hAnsi="Arial" w:cs="Arial"/>
          <w:sz w:val="22"/>
        </w:rPr>
        <w:t>should be interpreted with care</w:t>
      </w:r>
      <w:r>
        <w:rPr>
          <w:rFonts w:ascii="Arial" w:hAnsi="Arial" w:cs="Arial"/>
          <w:sz w:val="22"/>
        </w:rPr>
        <w:t xml:space="preserve"> in view of the limitations of the data</w:t>
      </w:r>
      <w:r w:rsidR="008708AA">
        <w:rPr>
          <w:rFonts w:ascii="Arial" w:hAnsi="Arial" w:cs="Arial"/>
          <w:sz w:val="22"/>
        </w:rPr>
        <w:t xml:space="preserve">. </w:t>
      </w:r>
    </w:p>
    <w:p w:rsidR="00CD60BA" w:rsidRDefault="00CD60BA" w:rsidP="00FD54A3">
      <w:pPr>
        <w:spacing w:after="0" w:line="276" w:lineRule="auto"/>
        <w:rPr>
          <w:rFonts w:ascii="Arial" w:hAnsi="Arial" w:cs="Arial"/>
          <w:sz w:val="22"/>
        </w:rPr>
      </w:pPr>
    </w:p>
    <w:p w:rsidR="00FD240D" w:rsidRDefault="00836FFF" w:rsidP="00FD54A3">
      <w:pPr>
        <w:spacing w:after="0" w:line="276" w:lineRule="auto"/>
        <w:rPr>
          <w:rFonts w:ascii="Arial" w:hAnsi="Arial" w:cs="Arial"/>
          <w:sz w:val="22"/>
        </w:rPr>
      </w:pPr>
      <w:r>
        <w:rPr>
          <w:rFonts w:ascii="Arial" w:hAnsi="Arial" w:cs="Arial"/>
          <w:sz w:val="22"/>
        </w:rPr>
        <w:t>T</w:t>
      </w:r>
      <w:r w:rsidR="00C00A6A">
        <w:rPr>
          <w:rFonts w:ascii="Arial" w:hAnsi="Arial" w:cs="Arial"/>
          <w:sz w:val="22"/>
        </w:rPr>
        <w:t>he</w:t>
      </w:r>
      <w:r w:rsidR="00E64346" w:rsidRPr="006C1431">
        <w:rPr>
          <w:rFonts w:ascii="Arial" w:hAnsi="Arial" w:cs="Arial"/>
          <w:sz w:val="22"/>
        </w:rPr>
        <w:t xml:space="preserve"> data presented in this report</w:t>
      </w:r>
      <w:r>
        <w:rPr>
          <w:rFonts w:ascii="Arial" w:hAnsi="Arial" w:cs="Arial"/>
          <w:sz w:val="22"/>
        </w:rPr>
        <w:t xml:space="preserve"> assist</w:t>
      </w:r>
      <w:r w:rsidR="00906455">
        <w:rPr>
          <w:rFonts w:ascii="Arial" w:hAnsi="Arial" w:cs="Arial"/>
          <w:sz w:val="22"/>
        </w:rPr>
        <w:t>s</w:t>
      </w:r>
      <w:r>
        <w:rPr>
          <w:rFonts w:ascii="Arial" w:hAnsi="Arial" w:cs="Arial"/>
          <w:sz w:val="22"/>
        </w:rPr>
        <w:t xml:space="preserve"> with</w:t>
      </w:r>
      <w:r w:rsidR="00E64346" w:rsidRPr="006C1431">
        <w:rPr>
          <w:rFonts w:ascii="Arial" w:hAnsi="Arial" w:cs="Arial"/>
          <w:sz w:val="22"/>
        </w:rPr>
        <w:t xml:space="preserve"> retrospective review and assessment of</w:t>
      </w:r>
      <w:r w:rsidR="00906455">
        <w:rPr>
          <w:rFonts w:ascii="Arial" w:hAnsi="Arial" w:cs="Arial"/>
          <w:sz w:val="22"/>
        </w:rPr>
        <w:t xml:space="preserve"> the</w:t>
      </w:r>
      <w:r w:rsidR="00E64346" w:rsidRPr="006C1431">
        <w:rPr>
          <w:rFonts w:ascii="Arial" w:hAnsi="Arial" w:cs="Arial"/>
          <w:sz w:val="22"/>
        </w:rPr>
        <w:t xml:space="preserve"> CDI </w:t>
      </w:r>
      <w:r>
        <w:rPr>
          <w:rFonts w:ascii="Arial" w:hAnsi="Arial" w:cs="Arial"/>
          <w:sz w:val="22"/>
        </w:rPr>
        <w:t>burden</w:t>
      </w:r>
      <w:r w:rsidR="0047043F" w:rsidRPr="006C1431">
        <w:rPr>
          <w:rFonts w:ascii="Arial" w:hAnsi="Arial" w:cs="Arial"/>
          <w:sz w:val="22"/>
        </w:rPr>
        <w:t xml:space="preserve"> </w:t>
      </w:r>
      <w:r>
        <w:rPr>
          <w:rFonts w:ascii="Arial" w:hAnsi="Arial" w:cs="Arial"/>
          <w:sz w:val="22"/>
        </w:rPr>
        <w:t>nationally</w:t>
      </w:r>
      <w:r w:rsidR="0047043F" w:rsidRPr="006C1431">
        <w:rPr>
          <w:rFonts w:ascii="Arial" w:hAnsi="Arial" w:cs="Arial"/>
          <w:sz w:val="22"/>
        </w:rPr>
        <w:t>.</w:t>
      </w:r>
      <w:r w:rsidR="006C1431">
        <w:rPr>
          <w:rFonts w:ascii="Arial" w:hAnsi="Arial" w:cs="Arial"/>
          <w:sz w:val="22"/>
        </w:rPr>
        <w:t xml:space="preserve"> </w:t>
      </w:r>
      <w:r>
        <w:rPr>
          <w:rFonts w:ascii="Arial" w:hAnsi="Arial" w:cs="Arial"/>
          <w:sz w:val="22"/>
        </w:rPr>
        <w:t>States and territories</w:t>
      </w:r>
      <w:r w:rsidR="00C00A6A" w:rsidRPr="006C1431">
        <w:rPr>
          <w:rFonts w:ascii="Arial" w:hAnsi="Arial" w:cs="Arial"/>
          <w:sz w:val="22"/>
        </w:rPr>
        <w:t xml:space="preserve"> and health</w:t>
      </w:r>
      <w:r w:rsidR="00CD60BA">
        <w:rPr>
          <w:rFonts w:ascii="Arial" w:hAnsi="Arial" w:cs="Arial"/>
          <w:sz w:val="22"/>
        </w:rPr>
        <w:t xml:space="preserve"> service</w:t>
      </w:r>
      <w:r w:rsidR="00C00A6A" w:rsidRPr="006C1431">
        <w:rPr>
          <w:rFonts w:ascii="Arial" w:hAnsi="Arial" w:cs="Arial"/>
          <w:sz w:val="22"/>
        </w:rPr>
        <w:t xml:space="preserve"> organisations </w:t>
      </w:r>
      <w:r>
        <w:rPr>
          <w:rFonts w:ascii="Arial" w:hAnsi="Arial" w:cs="Arial"/>
          <w:sz w:val="22"/>
        </w:rPr>
        <w:t xml:space="preserve">should </w:t>
      </w:r>
      <w:r w:rsidR="00C00A6A">
        <w:rPr>
          <w:rFonts w:ascii="Arial" w:hAnsi="Arial" w:cs="Arial"/>
          <w:sz w:val="22"/>
        </w:rPr>
        <w:t xml:space="preserve">consider the use of </w:t>
      </w:r>
      <w:r w:rsidR="00622E3D">
        <w:rPr>
          <w:rFonts w:ascii="Arial" w:hAnsi="Arial" w:cs="Arial"/>
          <w:sz w:val="22"/>
        </w:rPr>
        <w:t xml:space="preserve">timely </w:t>
      </w:r>
      <w:r w:rsidR="00C00A6A">
        <w:rPr>
          <w:rFonts w:ascii="Arial" w:hAnsi="Arial" w:cs="Arial"/>
          <w:sz w:val="22"/>
        </w:rPr>
        <w:t xml:space="preserve">local </w:t>
      </w:r>
      <w:r w:rsidR="00E64346" w:rsidRPr="006C1431">
        <w:rPr>
          <w:rFonts w:ascii="Arial" w:hAnsi="Arial" w:cs="Arial"/>
          <w:sz w:val="22"/>
        </w:rPr>
        <w:t>patient administrative data</w:t>
      </w:r>
      <w:r w:rsidR="00C00A6A">
        <w:rPr>
          <w:rFonts w:ascii="Arial" w:hAnsi="Arial" w:cs="Arial"/>
          <w:sz w:val="22"/>
        </w:rPr>
        <w:t>, such as the model presented in this report,</w:t>
      </w:r>
      <w:r w:rsidR="00E64346" w:rsidRPr="006C1431">
        <w:rPr>
          <w:rFonts w:ascii="Arial" w:hAnsi="Arial" w:cs="Arial"/>
          <w:sz w:val="22"/>
        </w:rPr>
        <w:t xml:space="preserve"> </w:t>
      </w:r>
      <w:r w:rsidR="00622E3D">
        <w:rPr>
          <w:rFonts w:ascii="Arial" w:hAnsi="Arial" w:cs="Arial"/>
          <w:sz w:val="22"/>
        </w:rPr>
        <w:t>in conjunction with other relevant surv</w:t>
      </w:r>
      <w:r>
        <w:rPr>
          <w:rFonts w:ascii="Arial" w:hAnsi="Arial" w:cs="Arial"/>
          <w:sz w:val="22"/>
        </w:rPr>
        <w:t xml:space="preserve">eillance information </w:t>
      </w:r>
      <w:r w:rsidR="00075D2C" w:rsidRPr="006C1431">
        <w:rPr>
          <w:rFonts w:ascii="Arial" w:hAnsi="Arial" w:cs="Arial"/>
          <w:sz w:val="22"/>
        </w:rPr>
        <w:t xml:space="preserve">to </w:t>
      </w:r>
      <w:r w:rsidR="008708AA" w:rsidRPr="006C1431">
        <w:rPr>
          <w:rFonts w:ascii="Arial" w:hAnsi="Arial" w:cs="Arial"/>
          <w:sz w:val="22"/>
        </w:rPr>
        <w:t xml:space="preserve">evaluate </w:t>
      </w:r>
      <w:r w:rsidR="0047043F" w:rsidRPr="006C1431">
        <w:rPr>
          <w:rFonts w:ascii="Arial" w:hAnsi="Arial" w:cs="Arial"/>
          <w:sz w:val="22"/>
        </w:rPr>
        <w:t xml:space="preserve">the </w:t>
      </w:r>
      <w:r w:rsidR="00CD60BA">
        <w:rPr>
          <w:rFonts w:ascii="Arial" w:hAnsi="Arial" w:cs="Arial"/>
          <w:sz w:val="22"/>
        </w:rPr>
        <w:t xml:space="preserve">local </w:t>
      </w:r>
      <w:r w:rsidR="00793FDB" w:rsidRPr="006C1431">
        <w:rPr>
          <w:rFonts w:ascii="Arial" w:hAnsi="Arial" w:cs="Arial"/>
          <w:sz w:val="22"/>
        </w:rPr>
        <w:t xml:space="preserve">epidemiology </w:t>
      </w:r>
      <w:r w:rsidR="0047043F" w:rsidRPr="006C1431">
        <w:rPr>
          <w:rFonts w:ascii="Arial" w:hAnsi="Arial" w:cs="Arial"/>
          <w:sz w:val="22"/>
        </w:rPr>
        <w:t xml:space="preserve">of CDI </w:t>
      </w:r>
      <w:r w:rsidR="00622E3D">
        <w:rPr>
          <w:rFonts w:ascii="Arial" w:hAnsi="Arial" w:cs="Arial"/>
          <w:sz w:val="22"/>
        </w:rPr>
        <w:t xml:space="preserve">and </w:t>
      </w:r>
      <w:r w:rsidR="00793FDB" w:rsidRPr="006C1431">
        <w:rPr>
          <w:rFonts w:ascii="Arial" w:hAnsi="Arial" w:cs="Arial"/>
          <w:sz w:val="22"/>
        </w:rPr>
        <w:t xml:space="preserve">inform local strategies </w:t>
      </w:r>
      <w:r w:rsidR="0047043F" w:rsidRPr="006C1431">
        <w:rPr>
          <w:rFonts w:ascii="Arial" w:hAnsi="Arial" w:cs="Arial"/>
          <w:sz w:val="22"/>
        </w:rPr>
        <w:t xml:space="preserve">for the control of potential CDI outbreaks. </w:t>
      </w:r>
      <w:r w:rsidR="00793FDB">
        <w:rPr>
          <w:rFonts w:ascii="Arial" w:hAnsi="Arial" w:cs="Arial"/>
          <w:sz w:val="22"/>
        </w:rPr>
        <w:t xml:space="preserve"> </w:t>
      </w:r>
    </w:p>
    <w:p w:rsidR="00B64D71" w:rsidRDefault="00B64D71" w:rsidP="00FD54A3">
      <w:pPr>
        <w:spacing w:after="0" w:line="276" w:lineRule="auto"/>
        <w:rPr>
          <w:rFonts w:ascii="Arial" w:hAnsi="Arial" w:cs="Arial"/>
          <w:sz w:val="22"/>
        </w:rPr>
      </w:pPr>
    </w:p>
    <w:p w:rsidR="00B64D71" w:rsidRDefault="00836FFF" w:rsidP="00FD54A3">
      <w:pPr>
        <w:spacing w:after="0" w:line="276" w:lineRule="auto"/>
        <w:rPr>
          <w:rFonts w:ascii="Arial" w:hAnsi="Arial" w:cs="Arial"/>
          <w:sz w:val="22"/>
        </w:rPr>
      </w:pPr>
      <w:r>
        <w:rPr>
          <w:rFonts w:ascii="Arial" w:hAnsi="Arial" w:cs="Arial"/>
          <w:sz w:val="22"/>
        </w:rPr>
        <w:lastRenderedPageBreak/>
        <w:t>A</w:t>
      </w:r>
      <w:r w:rsidR="00096716">
        <w:rPr>
          <w:rFonts w:ascii="Arial" w:hAnsi="Arial" w:cs="Arial"/>
          <w:sz w:val="22"/>
        </w:rPr>
        <w:t xml:space="preserve">n </w:t>
      </w:r>
      <w:r w:rsidR="00692C77">
        <w:rPr>
          <w:rFonts w:ascii="Arial" w:hAnsi="Arial" w:cs="Arial"/>
          <w:sz w:val="22"/>
        </w:rPr>
        <w:t>amalgam</w:t>
      </w:r>
      <w:r w:rsidR="00513555">
        <w:rPr>
          <w:rFonts w:ascii="Arial" w:hAnsi="Arial" w:cs="Arial"/>
          <w:sz w:val="22"/>
        </w:rPr>
        <w:t xml:space="preserve"> report</w:t>
      </w:r>
      <w:r w:rsidR="00906455">
        <w:rPr>
          <w:rFonts w:ascii="Arial" w:hAnsi="Arial" w:cs="Arial"/>
          <w:sz w:val="22"/>
        </w:rPr>
        <w:t xml:space="preserve"> that </w:t>
      </w:r>
      <w:r w:rsidR="00066E14">
        <w:rPr>
          <w:rFonts w:ascii="Arial" w:hAnsi="Arial" w:cs="Arial"/>
          <w:sz w:val="22"/>
        </w:rPr>
        <w:t>summaris</w:t>
      </w:r>
      <w:r w:rsidR="00906455">
        <w:rPr>
          <w:rFonts w:ascii="Arial" w:hAnsi="Arial" w:cs="Arial"/>
          <w:sz w:val="22"/>
        </w:rPr>
        <w:t>es the</w:t>
      </w:r>
      <w:r w:rsidR="00096716">
        <w:rPr>
          <w:rFonts w:ascii="Arial" w:hAnsi="Arial" w:cs="Arial"/>
          <w:sz w:val="22"/>
        </w:rPr>
        <w:t xml:space="preserve"> </w:t>
      </w:r>
      <w:r w:rsidR="00513555">
        <w:rPr>
          <w:rFonts w:ascii="Arial" w:hAnsi="Arial" w:cs="Arial"/>
          <w:sz w:val="22"/>
        </w:rPr>
        <w:t>findings from the three CDI data snapshot re</w:t>
      </w:r>
      <w:r>
        <w:rPr>
          <w:rFonts w:ascii="Arial" w:hAnsi="Arial" w:cs="Arial"/>
          <w:sz w:val="22"/>
        </w:rPr>
        <w:t>ports from 201</w:t>
      </w:r>
      <w:r w:rsidR="00066E14">
        <w:rPr>
          <w:rFonts w:ascii="Arial" w:hAnsi="Arial" w:cs="Arial"/>
          <w:sz w:val="22"/>
        </w:rPr>
        <w:t>6, 2017 and 2018</w:t>
      </w:r>
      <w:r w:rsidR="00906455">
        <w:rPr>
          <w:rFonts w:ascii="Arial" w:hAnsi="Arial" w:cs="Arial"/>
          <w:sz w:val="22"/>
        </w:rPr>
        <w:t xml:space="preserve"> as well as</w:t>
      </w:r>
      <w:r w:rsidR="00B72749">
        <w:rPr>
          <w:rFonts w:ascii="Arial" w:hAnsi="Arial" w:cs="Arial"/>
          <w:sz w:val="22"/>
        </w:rPr>
        <w:t xml:space="preserve"> </w:t>
      </w:r>
      <w:r w:rsidR="00513555">
        <w:rPr>
          <w:rFonts w:ascii="Arial" w:hAnsi="Arial" w:cs="Arial"/>
          <w:sz w:val="22"/>
        </w:rPr>
        <w:t xml:space="preserve">discussion on the </w:t>
      </w:r>
      <w:r w:rsidR="00692C77">
        <w:rPr>
          <w:rFonts w:ascii="Arial" w:hAnsi="Arial" w:cs="Arial"/>
          <w:sz w:val="22"/>
        </w:rPr>
        <w:t>case</w:t>
      </w:r>
      <w:r w:rsidR="00513555">
        <w:rPr>
          <w:rFonts w:ascii="Arial" w:hAnsi="Arial" w:cs="Arial"/>
          <w:sz w:val="22"/>
        </w:rPr>
        <w:t xml:space="preserve"> validation</w:t>
      </w:r>
      <w:r w:rsidR="00692C77">
        <w:rPr>
          <w:rFonts w:ascii="Arial" w:hAnsi="Arial" w:cs="Arial"/>
          <w:sz w:val="22"/>
        </w:rPr>
        <w:t xml:space="preserve"> </w:t>
      </w:r>
      <w:r w:rsidR="00066E14">
        <w:rPr>
          <w:rFonts w:ascii="Arial" w:hAnsi="Arial" w:cs="Arial"/>
          <w:sz w:val="22"/>
        </w:rPr>
        <w:t xml:space="preserve">used </w:t>
      </w:r>
      <w:r w:rsidR="00692C77">
        <w:rPr>
          <w:rFonts w:ascii="Arial" w:hAnsi="Arial" w:cs="Arial"/>
          <w:sz w:val="22"/>
        </w:rPr>
        <w:t>for CDI surveillance</w:t>
      </w:r>
      <w:r w:rsidR="00513555">
        <w:rPr>
          <w:rFonts w:ascii="Arial" w:hAnsi="Arial" w:cs="Arial"/>
          <w:sz w:val="22"/>
        </w:rPr>
        <w:t xml:space="preserve"> and the future directions for CDI surveillance in Australia</w:t>
      </w:r>
      <w:r w:rsidR="0097600E">
        <w:rPr>
          <w:rFonts w:ascii="Arial" w:hAnsi="Arial" w:cs="Arial"/>
          <w:sz w:val="22"/>
        </w:rPr>
        <w:t xml:space="preserve"> </w:t>
      </w:r>
      <w:r>
        <w:rPr>
          <w:rFonts w:ascii="Arial" w:hAnsi="Arial" w:cs="Arial"/>
          <w:sz w:val="22"/>
        </w:rPr>
        <w:t>will be released later 2020</w:t>
      </w:r>
      <w:r w:rsidR="00513555">
        <w:rPr>
          <w:rFonts w:ascii="Arial" w:hAnsi="Arial" w:cs="Arial"/>
          <w:sz w:val="22"/>
        </w:rPr>
        <w:t xml:space="preserve">.  </w:t>
      </w:r>
    </w:p>
    <w:p w:rsidR="0041170B" w:rsidRDefault="00692F90" w:rsidP="00692F90">
      <w:pPr>
        <w:spacing w:after="0" w:line="276" w:lineRule="auto"/>
        <w:rPr>
          <w:rFonts w:ascii="Arial" w:hAnsi="Arial" w:cs="Arial"/>
          <w:sz w:val="22"/>
        </w:rPr>
      </w:pPr>
      <w:r>
        <w:rPr>
          <w:rFonts w:ascii="Arial" w:hAnsi="Arial" w:cs="Arial"/>
          <w:sz w:val="22"/>
        </w:rPr>
        <w:br w:type="page"/>
      </w:r>
      <w:r w:rsidR="00C44909" w:rsidRPr="0056097A">
        <w:rPr>
          <w:rFonts w:ascii="Arial" w:hAnsi="Arial"/>
          <w:sz w:val="28"/>
        </w:rPr>
        <w:lastRenderedPageBreak/>
        <w:t>References</w:t>
      </w:r>
      <w:r w:rsidR="00C44909" w:rsidRPr="00C35C0D">
        <w:rPr>
          <w:rFonts w:ascii="Arial" w:hAnsi="Arial"/>
          <w:sz w:val="28"/>
        </w:rPr>
        <w:t xml:space="preserve"> </w:t>
      </w:r>
    </w:p>
    <w:p w:rsidR="0041170B" w:rsidRDefault="0041170B" w:rsidP="0041170B">
      <w:pPr>
        <w:spacing w:after="0" w:line="240" w:lineRule="auto"/>
        <w:ind w:left="720"/>
        <w:rPr>
          <w:rFonts w:ascii="Arial" w:hAnsi="Arial" w:cs="Arial"/>
          <w:sz w:val="22"/>
        </w:rPr>
      </w:pPr>
    </w:p>
    <w:p w:rsidR="0021607A" w:rsidRDefault="0041170B" w:rsidP="00A6188F">
      <w:pPr>
        <w:pStyle w:val="EndNoteBibliography"/>
        <w:spacing w:after="0"/>
        <w:ind w:left="720" w:hanging="720"/>
        <w:rPr>
          <w:rStyle w:val="Hyperlink"/>
          <w:rFonts w:ascii="Arial" w:hAnsi="Arial" w:cs="Arial"/>
          <w:sz w:val="22"/>
          <w:szCs w:val="22"/>
        </w:rPr>
      </w:pPr>
      <w:r w:rsidRPr="009935FE">
        <w:rPr>
          <w:rFonts w:ascii="Arial" w:hAnsi="Arial" w:cs="Arial"/>
          <w:sz w:val="22"/>
        </w:rPr>
        <w:fldChar w:fldCharType="begin"/>
      </w:r>
      <w:r w:rsidRPr="009935FE">
        <w:rPr>
          <w:rFonts w:ascii="Arial" w:hAnsi="Arial" w:cs="Arial"/>
          <w:sz w:val="22"/>
        </w:rPr>
        <w:instrText xml:space="preserve"> ADDIN EN.REFLIST </w:instrText>
      </w:r>
      <w:r w:rsidRPr="009935FE">
        <w:rPr>
          <w:rFonts w:ascii="Arial" w:hAnsi="Arial" w:cs="Arial"/>
          <w:sz w:val="22"/>
        </w:rPr>
        <w:fldChar w:fldCharType="separate"/>
      </w:r>
      <w:r w:rsidR="0021607A" w:rsidRPr="009935FE">
        <w:rPr>
          <w:rFonts w:ascii="Arial" w:hAnsi="Arial" w:cs="Arial"/>
        </w:rPr>
        <w:t>1.</w:t>
      </w:r>
      <w:r w:rsidR="0021607A" w:rsidRPr="009935FE">
        <w:rPr>
          <w:rFonts w:ascii="Arial" w:hAnsi="Arial" w:cs="Arial"/>
        </w:rPr>
        <w:tab/>
      </w:r>
      <w:r w:rsidR="0021607A" w:rsidRPr="009935FE">
        <w:rPr>
          <w:rFonts w:ascii="Arial" w:hAnsi="Arial" w:cs="Arial"/>
          <w:sz w:val="22"/>
          <w:szCs w:val="22"/>
        </w:rPr>
        <w:t xml:space="preserve">NICE. </w:t>
      </w:r>
      <w:r w:rsidR="0021607A" w:rsidRPr="009935FE">
        <w:rPr>
          <w:rFonts w:ascii="Arial" w:hAnsi="Arial" w:cs="Arial"/>
          <w:i/>
          <w:sz w:val="22"/>
          <w:szCs w:val="22"/>
        </w:rPr>
        <w:t>Clostridium difficile</w:t>
      </w:r>
      <w:r w:rsidR="0021607A" w:rsidRPr="002D2A02">
        <w:rPr>
          <w:rFonts w:ascii="Arial" w:hAnsi="Arial" w:cs="Arial"/>
          <w:sz w:val="22"/>
          <w:szCs w:val="22"/>
        </w:rPr>
        <w:t xml:space="preserve"> infection: risk with broad-spectrum antibiotics,</w:t>
      </w:r>
      <w:r w:rsidR="0021607A" w:rsidRPr="009935FE">
        <w:rPr>
          <w:rFonts w:ascii="Arial" w:hAnsi="Arial" w:cs="Arial"/>
          <w:i/>
          <w:sz w:val="22"/>
          <w:szCs w:val="22"/>
        </w:rPr>
        <w:t xml:space="preserve"> </w:t>
      </w:r>
      <w:r w:rsidR="0021607A" w:rsidRPr="009935FE">
        <w:rPr>
          <w:rFonts w:ascii="Arial" w:hAnsi="Arial" w:cs="Arial"/>
          <w:sz w:val="22"/>
          <w:szCs w:val="22"/>
        </w:rPr>
        <w:t>[Online]. 2015.</w:t>
      </w:r>
      <w:r w:rsidR="00192AC6" w:rsidRPr="009935FE">
        <w:rPr>
          <w:rFonts w:ascii="Arial" w:hAnsi="Arial" w:cs="Arial"/>
          <w:sz w:val="22"/>
          <w:szCs w:val="22"/>
        </w:rPr>
        <w:t xml:space="preserve"> [cited  </w:t>
      </w:r>
      <w:r w:rsidR="00192AC6" w:rsidRPr="009935FE">
        <w:rPr>
          <w:rStyle w:val="Hyperlink"/>
          <w:rFonts w:ascii="Arial" w:hAnsi="Arial" w:cs="Arial"/>
          <w:color w:val="000000"/>
          <w:sz w:val="22"/>
          <w:szCs w:val="22"/>
          <w:u w:val="none"/>
        </w:rPr>
        <w:t xml:space="preserve">5 August 2019] </w:t>
      </w:r>
      <w:r w:rsidR="00192AC6" w:rsidRPr="009935FE">
        <w:rPr>
          <w:rFonts w:ascii="Arial" w:hAnsi="Arial" w:cs="Arial"/>
          <w:sz w:val="22"/>
          <w:szCs w:val="22"/>
        </w:rPr>
        <w:t>Available from: https://</w:t>
      </w:r>
      <w:hyperlink r:id="rId19" w:history="1">
        <w:r w:rsidR="00192AC6" w:rsidRPr="009935FE">
          <w:rPr>
            <w:rStyle w:val="Hyperlink"/>
            <w:rFonts w:ascii="Arial" w:hAnsi="Arial" w:cs="Arial"/>
            <w:sz w:val="22"/>
            <w:szCs w:val="22"/>
          </w:rPr>
          <w:t>www.nice.org.uk/advice/esmpb1/chapter/Key-points-from-the-evidence</w:t>
        </w:r>
      </w:hyperlink>
    </w:p>
    <w:p w:rsidR="00ED3A0D" w:rsidRPr="009935FE" w:rsidRDefault="00ED3A0D" w:rsidP="00A6188F">
      <w:pPr>
        <w:pStyle w:val="EndNoteBibliography"/>
        <w:spacing w:after="0"/>
        <w:ind w:left="720" w:hanging="720"/>
        <w:rPr>
          <w:rFonts w:ascii="Arial" w:hAnsi="Arial" w:cs="Arial"/>
          <w:sz w:val="22"/>
          <w:szCs w:val="22"/>
        </w:rPr>
      </w:pPr>
    </w:p>
    <w:p w:rsidR="0021607A" w:rsidRDefault="002D2A02" w:rsidP="00A6188F">
      <w:pPr>
        <w:pStyle w:val="EndNoteBibliography"/>
        <w:spacing w:after="0"/>
        <w:ind w:left="720" w:hanging="720"/>
        <w:rPr>
          <w:rFonts w:ascii="Arial" w:hAnsi="Arial" w:cs="Arial"/>
          <w:b/>
          <w:sz w:val="22"/>
          <w:szCs w:val="22"/>
        </w:rPr>
      </w:pPr>
      <w:r>
        <w:rPr>
          <w:rFonts w:ascii="Arial" w:hAnsi="Arial" w:cs="Arial"/>
          <w:sz w:val="22"/>
          <w:szCs w:val="22"/>
        </w:rPr>
        <w:t>2.</w:t>
      </w:r>
      <w:r>
        <w:rPr>
          <w:rFonts w:ascii="Arial" w:hAnsi="Arial" w:cs="Arial"/>
          <w:sz w:val="22"/>
          <w:szCs w:val="22"/>
        </w:rPr>
        <w:tab/>
        <w:t>Natarajan M</w:t>
      </w:r>
      <w:r w:rsidR="0021607A" w:rsidRPr="009935FE">
        <w:rPr>
          <w:rFonts w:ascii="Arial" w:hAnsi="Arial" w:cs="Arial"/>
          <w:sz w:val="22"/>
          <w:szCs w:val="22"/>
        </w:rPr>
        <w:t>, W</w:t>
      </w:r>
      <w:r>
        <w:rPr>
          <w:rFonts w:ascii="Arial" w:hAnsi="Arial" w:cs="Arial"/>
          <w:sz w:val="22"/>
          <w:szCs w:val="22"/>
        </w:rPr>
        <w:t>alk ST, Young VB and Aronoff DM.</w:t>
      </w:r>
      <w:r w:rsidR="0021607A" w:rsidRPr="002D2A02">
        <w:rPr>
          <w:rFonts w:ascii="Arial" w:hAnsi="Arial" w:cs="Arial"/>
          <w:sz w:val="22"/>
          <w:szCs w:val="22"/>
        </w:rPr>
        <w:t xml:space="preserve"> A clinical and epidemiological review of non-toxigenic</w:t>
      </w:r>
      <w:r w:rsidR="0021607A" w:rsidRPr="009935FE">
        <w:rPr>
          <w:rFonts w:ascii="Arial" w:hAnsi="Arial" w:cs="Arial"/>
          <w:i/>
          <w:sz w:val="22"/>
          <w:szCs w:val="22"/>
        </w:rPr>
        <w:t xml:space="preserve"> Clostridium difficile. </w:t>
      </w:r>
      <w:r w:rsidR="0021607A" w:rsidRPr="002D2A02">
        <w:rPr>
          <w:rFonts w:ascii="Arial" w:hAnsi="Arial" w:cs="Arial"/>
          <w:i/>
          <w:sz w:val="22"/>
          <w:szCs w:val="22"/>
        </w:rPr>
        <w:t>Anaerobe.</w:t>
      </w:r>
      <w:r w:rsidR="0021607A" w:rsidRPr="009935FE">
        <w:rPr>
          <w:rFonts w:ascii="Arial" w:hAnsi="Arial" w:cs="Arial"/>
          <w:sz w:val="22"/>
          <w:szCs w:val="22"/>
        </w:rPr>
        <w:t xml:space="preserve">  2013. 22: 1-5</w:t>
      </w:r>
      <w:r w:rsidR="0021607A" w:rsidRPr="009935FE">
        <w:rPr>
          <w:rFonts w:ascii="Arial" w:hAnsi="Arial" w:cs="Arial"/>
          <w:b/>
          <w:sz w:val="22"/>
          <w:szCs w:val="22"/>
        </w:rPr>
        <w:t>.</w:t>
      </w:r>
    </w:p>
    <w:p w:rsidR="00ED3A0D" w:rsidRPr="009935FE" w:rsidRDefault="00ED3A0D" w:rsidP="00A6188F">
      <w:pPr>
        <w:pStyle w:val="EndNoteBibliography"/>
        <w:spacing w:after="0"/>
        <w:ind w:left="720" w:hanging="720"/>
        <w:rPr>
          <w:rFonts w:ascii="Arial" w:hAnsi="Arial" w:cs="Arial"/>
          <w:b/>
          <w:sz w:val="22"/>
          <w:szCs w:val="22"/>
        </w:rPr>
      </w:pPr>
    </w:p>
    <w:p w:rsidR="0021607A" w:rsidRDefault="002D2A02" w:rsidP="00A6188F">
      <w:pPr>
        <w:pStyle w:val="EndNoteBibliography"/>
        <w:spacing w:after="0"/>
        <w:ind w:left="720" w:hanging="720"/>
        <w:rPr>
          <w:rFonts w:ascii="Arial" w:hAnsi="Arial" w:cs="Arial"/>
          <w:sz w:val="22"/>
          <w:szCs w:val="22"/>
        </w:rPr>
      </w:pPr>
      <w:r>
        <w:rPr>
          <w:rFonts w:ascii="Arial" w:hAnsi="Arial" w:cs="Arial"/>
          <w:sz w:val="22"/>
          <w:szCs w:val="22"/>
        </w:rPr>
        <w:t>3.</w:t>
      </w:r>
      <w:r>
        <w:rPr>
          <w:rFonts w:ascii="Arial" w:hAnsi="Arial" w:cs="Arial"/>
          <w:sz w:val="22"/>
          <w:szCs w:val="22"/>
        </w:rPr>
        <w:tab/>
        <w:t>Awad MM, Johanesen PA, Carter GP, Rose E and Lyras</w:t>
      </w:r>
      <w:r w:rsidR="0021607A" w:rsidRPr="009935FE">
        <w:rPr>
          <w:rFonts w:ascii="Arial" w:hAnsi="Arial" w:cs="Arial"/>
          <w:sz w:val="22"/>
          <w:szCs w:val="22"/>
        </w:rPr>
        <w:t xml:space="preserve"> D</w:t>
      </w:r>
      <w:r w:rsidR="00192AC6" w:rsidRPr="009935FE">
        <w:rPr>
          <w:rFonts w:ascii="Arial" w:hAnsi="Arial" w:cs="Arial"/>
          <w:sz w:val="22"/>
          <w:szCs w:val="22"/>
        </w:rPr>
        <w:t>.</w:t>
      </w:r>
      <w:r w:rsidR="0021607A" w:rsidRPr="009935FE">
        <w:rPr>
          <w:rFonts w:ascii="Arial" w:hAnsi="Arial" w:cs="Arial"/>
          <w:i/>
          <w:sz w:val="22"/>
          <w:szCs w:val="22"/>
        </w:rPr>
        <w:t xml:space="preserve">Clostridium difficile </w:t>
      </w:r>
      <w:r w:rsidR="0021607A" w:rsidRPr="002D2A02">
        <w:rPr>
          <w:rFonts w:ascii="Arial" w:hAnsi="Arial" w:cs="Arial"/>
          <w:sz w:val="22"/>
          <w:szCs w:val="22"/>
        </w:rPr>
        <w:t>virulence factors: Insights into an anaerobic spore-forming pathogen</w:t>
      </w:r>
      <w:r w:rsidR="0021607A" w:rsidRPr="009935FE">
        <w:rPr>
          <w:rFonts w:ascii="Arial" w:hAnsi="Arial" w:cs="Arial"/>
          <w:i/>
          <w:sz w:val="22"/>
          <w:szCs w:val="22"/>
        </w:rPr>
        <w:t xml:space="preserve">. </w:t>
      </w:r>
      <w:r w:rsidR="0021607A" w:rsidRPr="002D2A02">
        <w:rPr>
          <w:rFonts w:ascii="Arial" w:hAnsi="Arial" w:cs="Arial"/>
          <w:i/>
          <w:sz w:val="22"/>
          <w:szCs w:val="22"/>
        </w:rPr>
        <w:t xml:space="preserve">Gut Microbes, </w:t>
      </w:r>
      <w:r w:rsidR="0021607A" w:rsidRPr="009935FE">
        <w:rPr>
          <w:rFonts w:ascii="Arial" w:hAnsi="Arial" w:cs="Arial"/>
          <w:sz w:val="22"/>
          <w:szCs w:val="22"/>
        </w:rPr>
        <w:t xml:space="preserve">2014. </w:t>
      </w:r>
      <w:r w:rsidR="0021607A" w:rsidRPr="002D2A02">
        <w:rPr>
          <w:rFonts w:ascii="Arial" w:hAnsi="Arial" w:cs="Arial"/>
          <w:sz w:val="22"/>
          <w:szCs w:val="22"/>
        </w:rPr>
        <w:t>5</w:t>
      </w:r>
      <w:r w:rsidR="0021607A" w:rsidRPr="009935FE">
        <w:rPr>
          <w:rFonts w:ascii="Arial" w:hAnsi="Arial" w:cs="Arial"/>
          <w:sz w:val="22"/>
          <w:szCs w:val="22"/>
        </w:rPr>
        <w:t>:  579-93.</w:t>
      </w:r>
    </w:p>
    <w:p w:rsidR="00ED3A0D" w:rsidRPr="009935FE" w:rsidRDefault="00ED3A0D" w:rsidP="00A6188F">
      <w:pPr>
        <w:pStyle w:val="EndNoteBibliography"/>
        <w:spacing w:after="0"/>
        <w:ind w:left="720" w:hanging="720"/>
        <w:rPr>
          <w:rFonts w:ascii="Arial" w:hAnsi="Arial" w:cs="Arial"/>
          <w:sz w:val="22"/>
          <w:szCs w:val="22"/>
        </w:rPr>
      </w:pPr>
    </w:p>
    <w:p w:rsidR="0021607A" w:rsidRDefault="0021607A" w:rsidP="00A6188F">
      <w:pPr>
        <w:pStyle w:val="EndNoteBibliography"/>
        <w:spacing w:after="0"/>
        <w:ind w:left="720" w:hanging="720"/>
        <w:rPr>
          <w:rFonts w:ascii="Arial" w:hAnsi="Arial" w:cs="Arial"/>
          <w:sz w:val="22"/>
          <w:szCs w:val="22"/>
        </w:rPr>
      </w:pPr>
      <w:r w:rsidRPr="009935FE">
        <w:rPr>
          <w:rFonts w:ascii="Arial" w:hAnsi="Arial" w:cs="Arial"/>
          <w:sz w:val="22"/>
          <w:szCs w:val="22"/>
        </w:rPr>
        <w:t>4.</w:t>
      </w:r>
      <w:r w:rsidRPr="009935FE">
        <w:rPr>
          <w:rFonts w:ascii="Arial" w:hAnsi="Arial" w:cs="Arial"/>
          <w:sz w:val="22"/>
          <w:szCs w:val="22"/>
        </w:rPr>
        <w:tab/>
      </w:r>
      <w:r w:rsidR="002D2A02">
        <w:rPr>
          <w:rFonts w:ascii="Arial" w:hAnsi="Arial" w:cs="Arial"/>
          <w:color w:val="000000"/>
          <w:sz w:val="22"/>
          <w:szCs w:val="22"/>
          <w:lang w:eastAsia="en-AU"/>
        </w:rPr>
        <w:t>Napolitano L</w:t>
      </w:r>
      <w:r w:rsidR="00B344E9">
        <w:rPr>
          <w:rFonts w:ascii="Arial" w:hAnsi="Arial" w:cs="Arial"/>
          <w:color w:val="000000"/>
          <w:sz w:val="22"/>
          <w:szCs w:val="22"/>
          <w:lang w:eastAsia="en-AU"/>
        </w:rPr>
        <w:t>M</w:t>
      </w:r>
      <w:r w:rsidR="002D2A02">
        <w:rPr>
          <w:rFonts w:ascii="Arial" w:hAnsi="Arial" w:cs="Arial"/>
          <w:color w:val="000000"/>
          <w:sz w:val="22"/>
          <w:szCs w:val="22"/>
          <w:lang w:eastAsia="en-AU"/>
        </w:rPr>
        <w:t xml:space="preserve"> and Edmiston C</w:t>
      </w:r>
      <w:r w:rsidR="00192AC6" w:rsidRPr="009935FE">
        <w:rPr>
          <w:rFonts w:ascii="Arial" w:hAnsi="Arial" w:cs="Arial"/>
          <w:color w:val="000000"/>
          <w:sz w:val="22"/>
          <w:szCs w:val="22"/>
          <w:lang w:eastAsia="en-AU"/>
        </w:rPr>
        <w:t>E.</w:t>
      </w:r>
      <w:r w:rsidRPr="009935FE">
        <w:rPr>
          <w:rFonts w:ascii="Arial" w:hAnsi="Arial" w:cs="Arial"/>
          <w:sz w:val="22"/>
          <w:szCs w:val="22"/>
        </w:rPr>
        <w:t xml:space="preserve"> </w:t>
      </w:r>
      <w:r w:rsidRPr="009935FE">
        <w:rPr>
          <w:rFonts w:ascii="Arial" w:hAnsi="Arial" w:cs="Arial"/>
          <w:i/>
          <w:sz w:val="22"/>
          <w:szCs w:val="22"/>
        </w:rPr>
        <w:t xml:space="preserve">Clostridium difficile </w:t>
      </w:r>
      <w:r w:rsidRPr="002D2A02">
        <w:rPr>
          <w:rFonts w:ascii="Arial" w:hAnsi="Arial" w:cs="Arial"/>
          <w:sz w:val="22"/>
          <w:szCs w:val="22"/>
        </w:rPr>
        <w:t>disease: Diagnosis, pathogenesis, and treatment update</w:t>
      </w:r>
      <w:r w:rsidRPr="009935FE">
        <w:rPr>
          <w:rFonts w:ascii="Arial" w:hAnsi="Arial" w:cs="Arial"/>
          <w:i/>
          <w:sz w:val="22"/>
          <w:szCs w:val="22"/>
        </w:rPr>
        <w:t xml:space="preserve">. </w:t>
      </w:r>
      <w:r w:rsidR="002D2A02" w:rsidRPr="002D2A02">
        <w:rPr>
          <w:rFonts w:ascii="Arial" w:hAnsi="Arial" w:cs="Arial"/>
          <w:i/>
          <w:sz w:val="22"/>
          <w:szCs w:val="22"/>
        </w:rPr>
        <w:t>Surgery.</w:t>
      </w:r>
      <w:r w:rsidR="002D2A02">
        <w:rPr>
          <w:rFonts w:ascii="Arial" w:hAnsi="Arial" w:cs="Arial"/>
          <w:sz w:val="22"/>
          <w:szCs w:val="22"/>
        </w:rPr>
        <w:t xml:space="preserve"> </w:t>
      </w:r>
      <w:r w:rsidRPr="009935FE">
        <w:rPr>
          <w:rFonts w:ascii="Arial" w:hAnsi="Arial" w:cs="Arial"/>
          <w:sz w:val="22"/>
          <w:szCs w:val="22"/>
        </w:rPr>
        <w:t>2017. 162:325-48.</w:t>
      </w:r>
    </w:p>
    <w:p w:rsidR="00ED3A0D" w:rsidRPr="009935FE" w:rsidRDefault="00ED3A0D" w:rsidP="00A6188F">
      <w:pPr>
        <w:pStyle w:val="EndNoteBibliography"/>
        <w:spacing w:after="0"/>
        <w:ind w:left="720" w:hanging="720"/>
        <w:rPr>
          <w:rFonts w:ascii="Arial" w:hAnsi="Arial" w:cs="Arial"/>
          <w:sz w:val="22"/>
          <w:szCs w:val="22"/>
        </w:rPr>
      </w:pPr>
    </w:p>
    <w:p w:rsidR="0021607A" w:rsidRDefault="0021607A" w:rsidP="00A6188F">
      <w:pPr>
        <w:pStyle w:val="EndNoteBibliography"/>
        <w:spacing w:after="0"/>
        <w:ind w:left="720" w:hanging="720"/>
        <w:rPr>
          <w:rFonts w:ascii="Arial" w:hAnsi="Arial" w:cs="Arial"/>
          <w:sz w:val="22"/>
          <w:szCs w:val="22"/>
        </w:rPr>
      </w:pPr>
      <w:r w:rsidRPr="009935FE">
        <w:rPr>
          <w:rFonts w:ascii="Arial" w:hAnsi="Arial" w:cs="Arial"/>
          <w:sz w:val="22"/>
          <w:szCs w:val="22"/>
        </w:rPr>
        <w:t>5.</w:t>
      </w:r>
      <w:r w:rsidRPr="009935FE">
        <w:rPr>
          <w:rFonts w:ascii="Arial" w:hAnsi="Arial" w:cs="Arial"/>
          <w:sz w:val="22"/>
          <w:szCs w:val="22"/>
        </w:rPr>
        <w:tab/>
      </w:r>
      <w:r w:rsidR="00192AC6" w:rsidRPr="009935FE">
        <w:rPr>
          <w:rFonts w:ascii="Arial" w:hAnsi="Arial" w:cs="Arial"/>
          <w:sz w:val="22"/>
          <w:szCs w:val="22"/>
        </w:rPr>
        <w:t>Trubiano</w:t>
      </w:r>
      <w:r w:rsidR="002D2A02">
        <w:rPr>
          <w:rFonts w:ascii="Arial" w:hAnsi="Arial" w:cs="Arial"/>
          <w:sz w:val="22"/>
          <w:szCs w:val="22"/>
        </w:rPr>
        <w:t xml:space="preserve"> </w:t>
      </w:r>
      <w:r w:rsidR="00192AC6" w:rsidRPr="009935FE">
        <w:rPr>
          <w:rFonts w:ascii="Arial" w:hAnsi="Arial" w:cs="Arial"/>
          <w:sz w:val="22"/>
          <w:szCs w:val="22"/>
        </w:rPr>
        <w:t>JA, Cheng</w:t>
      </w:r>
      <w:r w:rsidR="002D2A02">
        <w:rPr>
          <w:rFonts w:ascii="Arial" w:hAnsi="Arial" w:cs="Arial"/>
          <w:sz w:val="22"/>
          <w:szCs w:val="22"/>
        </w:rPr>
        <w:t xml:space="preserve"> </w:t>
      </w:r>
      <w:r w:rsidR="00192AC6" w:rsidRPr="009935FE">
        <w:rPr>
          <w:rFonts w:ascii="Arial" w:hAnsi="Arial" w:cs="Arial"/>
          <w:sz w:val="22"/>
          <w:szCs w:val="22"/>
        </w:rPr>
        <w:t>AC, Korman TM</w:t>
      </w:r>
      <w:r w:rsidR="00B344E9">
        <w:rPr>
          <w:rFonts w:ascii="Arial" w:hAnsi="Arial" w:cs="Arial"/>
          <w:sz w:val="22"/>
          <w:szCs w:val="22"/>
        </w:rPr>
        <w:t>.</w:t>
      </w:r>
      <w:r w:rsidR="00192AC6" w:rsidRPr="009935FE">
        <w:rPr>
          <w:rFonts w:ascii="Arial" w:hAnsi="Arial" w:cs="Arial"/>
          <w:sz w:val="22"/>
          <w:szCs w:val="22"/>
        </w:rPr>
        <w:t xml:space="preserve"> et al</w:t>
      </w:r>
      <w:r w:rsidRPr="009935FE">
        <w:rPr>
          <w:rFonts w:ascii="Arial" w:hAnsi="Arial" w:cs="Arial"/>
          <w:sz w:val="22"/>
          <w:szCs w:val="22"/>
        </w:rPr>
        <w:t xml:space="preserve">, </w:t>
      </w:r>
      <w:r w:rsidRPr="002D2A02">
        <w:rPr>
          <w:rFonts w:ascii="Arial" w:hAnsi="Arial" w:cs="Arial"/>
          <w:sz w:val="22"/>
          <w:szCs w:val="22"/>
        </w:rPr>
        <w:t>Australasian Society of Infectious Diseases updated guidelines for the management of</w:t>
      </w:r>
      <w:r w:rsidRPr="009935FE">
        <w:rPr>
          <w:rFonts w:ascii="Arial" w:hAnsi="Arial" w:cs="Arial"/>
          <w:i/>
          <w:sz w:val="22"/>
          <w:szCs w:val="22"/>
        </w:rPr>
        <w:t xml:space="preserve"> Clostridium difficile </w:t>
      </w:r>
      <w:r w:rsidRPr="002D2A02">
        <w:rPr>
          <w:rFonts w:ascii="Arial" w:hAnsi="Arial" w:cs="Arial"/>
          <w:sz w:val="22"/>
          <w:szCs w:val="22"/>
        </w:rPr>
        <w:t>infection in adults and children in Australia and New Zealand</w:t>
      </w:r>
      <w:r w:rsidRPr="009935FE">
        <w:rPr>
          <w:rFonts w:ascii="Arial" w:hAnsi="Arial" w:cs="Arial"/>
          <w:i/>
          <w:sz w:val="22"/>
          <w:szCs w:val="22"/>
        </w:rPr>
        <w:t>.</w:t>
      </w:r>
      <w:r w:rsidRPr="009935FE">
        <w:rPr>
          <w:rFonts w:ascii="Arial" w:hAnsi="Arial" w:cs="Arial"/>
          <w:sz w:val="22"/>
          <w:szCs w:val="22"/>
        </w:rPr>
        <w:t xml:space="preserve"> </w:t>
      </w:r>
      <w:r w:rsidRPr="002D2A02">
        <w:rPr>
          <w:rFonts w:ascii="Arial" w:hAnsi="Arial" w:cs="Arial"/>
          <w:i/>
          <w:sz w:val="22"/>
          <w:szCs w:val="22"/>
        </w:rPr>
        <w:t>Internal Medicine Journal</w:t>
      </w:r>
      <w:r w:rsidRPr="009935FE">
        <w:rPr>
          <w:rFonts w:ascii="Arial" w:hAnsi="Arial" w:cs="Arial"/>
          <w:sz w:val="22"/>
          <w:szCs w:val="22"/>
        </w:rPr>
        <w:t>. 2016. 46: 479-93.</w:t>
      </w:r>
    </w:p>
    <w:p w:rsidR="00ED3A0D" w:rsidRPr="009935FE" w:rsidRDefault="00ED3A0D" w:rsidP="00A6188F">
      <w:pPr>
        <w:pStyle w:val="EndNoteBibliography"/>
        <w:spacing w:after="0"/>
        <w:ind w:left="720" w:hanging="720"/>
        <w:rPr>
          <w:rFonts w:ascii="Arial" w:hAnsi="Arial" w:cs="Arial"/>
          <w:sz w:val="22"/>
          <w:szCs w:val="22"/>
        </w:rPr>
      </w:pPr>
    </w:p>
    <w:p w:rsidR="0021607A" w:rsidRDefault="002D2A02" w:rsidP="00A6188F">
      <w:pPr>
        <w:pStyle w:val="EndNoteBibliography"/>
        <w:spacing w:after="0"/>
        <w:ind w:left="720" w:hanging="720"/>
        <w:rPr>
          <w:rFonts w:ascii="Arial" w:hAnsi="Arial" w:cs="Arial"/>
          <w:sz w:val="22"/>
          <w:szCs w:val="22"/>
        </w:rPr>
      </w:pPr>
      <w:r>
        <w:rPr>
          <w:rFonts w:ascii="Arial" w:hAnsi="Arial" w:cs="Arial"/>
          <w:sz w:val="22"/>
          <w:szCs w:val="22"/>
        </w:rPr>
        <w:t>6.</w:t>
      </w:r>
      <w:r>
        <w:rPr>
          <w:rFonts w:ascii="Arial" w:hAnsi="Arial" w:cs="Arial"/>
          <w:sz w:val="22"/>
          <w:szCs w:val="22"/>
        </w:rPr>
        <w:tab/>
        <w:t>Henrich TJ, Krakower D, Bitton A and Yokoe D</w:t>
      </w:r>
      <w:r w:rsidR="0021607A" w:rsidRPr="009935FE">
        <w:rPr>
          <w:rFonts w:ascii="Arial" w:hAnsi="Arial" w:cs="Arial"/>
          <w:sz w:val="22"/>
          <w:szCs w:val="22"/>
        </w:rPr>
        <w:t xml:space="preserve">S. </w:t>
      </w:r>
      <w:r w:rsidR="0021607A" w:rsidRPr="002D2A02">
        <w:rPr>
          <w:rFonts w:ascii="Arial" w:hAnsi="Arial" w:cs="Arial"/>
          <w:sz w:val="22"/>
          <w:szCs w:val="22"/>
        </w:rPr>
        <w:t>Clinical risk factors for severe</w:t>
      </w:r>
      <w:r w:rsidR="0021607A" w:rsidRPr="009935FE">
        <w:rPr>
          <w:rFonts w:ascii="Arial" w:hAnsi="Arial" w:cs="Arial"/>
          <w:i/>
          <w:sz w:val="22"/>
          <w:szCs w:val="22"/>
        </w:rPr>
        <w:t xml:space="preserve"> Clostridium difficile</w:t>
      </w:r>
      <w:r w:rsidR="0021607A" w:rsidRPr="002D2A02">
        <w:rPr>
          <w:rFonts w:ascii="Arial" w:hAnsi="Arial" w:cs="Arial"/>
          <w:sz w:val="22"/>
          <w:szCs w:val="22"/>
        </w:rPr>
        <w:t>–associated disease</w:t>
      </w:r>
      <w:r w:rsidR="0021607A" w:rsidRPr="009935FE">
        <w:rPr>
          <w:rFonts w:ascii="Arial" w:hAnsi="Arial" w:cs="Arial"/>
          <w:i/>
          <w:sz w:val="22"/>
          <w:szCs w:val="22"/>
        </w:rPr>
        <w:t xml:space="preserve">. </w:t>
      </w:r>
      <w:r w:rsidR="0021607A" w:rsidRPr="002D2A02">
        <w:rPr>
          <w:rFonts w:ascii="Arial" w:hAnsi="Arial" w:cs="Arial"/>
          <w:i/>
          <w:sz w:val="22"/>
          <w:szCs w:val="22"/>
        </w:rPr>
        <w:t>Emer</w:t>
      </w:r>
      <w:r w:rsidRPr="002D2A02">
        <w:rPr>
          <w:rFonts w:ascii="Arial" w:hAnsi="Arial" w:cs="Arial"/>
          <w:i/>
          <w:sz w:val="22"/>
          <w:szCs w:val="22"/>
        </w:rPr>
        <w:t>ging Infectious Diseases.</w:t>
      </w:r>
      <w:r>
        <w:rPr>
          <w:rFonts w:ascii="Arial" w:hAnsi="Arial" w:cs="Arial"/>
          <w:sz w:val="22"/>
          <w:szCs w:val="22"/>
        </w:rPr>
        <w:t xml:space="preserve"> 2009. </w:t>
      </w:r>
      <w:r w:rsidR="0021607A" w:rsidRPr="009935FE">
        <w:rPr>
          <w:rFonts w:ascii="Arial" w:hAnsi="Arial" w:cs="Arial"/>
          <w:sz w:val="22"/>
          <w:szCs w:val="22"/>
        </w:rPr>
        <w:t>15: 415-22.</w:t>
      </w:r>
    </w:p>
    <w:p w:rsidR="00ED3A0D" w:rsidRPr="009935FE" w:rsidRDefault="00ED3A0D" w:rsidP="00A6188F">
      <w:pPr>
        <w:pStyle w:val="EndNoteBibliography"/>
        <w:spacing w:after="0"/>
        <w:ind w:left="720" w:hanging="720"/>
        <w:rPr>
          <w:rFonts w:ascii="Arial" w:hAnsi="Arial" w:cs="Arial"/>
          <w:sz w:val="22"/>
          <w:szCs w:val="22"/>
        </w:rPr>
      </w:pPr>
    </w:p>
    <w:p w:rsidR="0021607A" w:rsidRDefault="0021607A" w:rsidP="00A6188F">
      <w:pPr>
        <w:pStyle w:val="EndNoteBibliography"/>
        <w:spacing w:after="0"/>
        <w:ind w:left="720" w:hanging="720"/>
        <w:rPr>
          <w:rFonts w:ascii="Arial" w:hAnsi="Arial" w:cs="Arial"/>
          <w:sz w:val="22"/>
          <w:szCs w:val="22"/>
        </w:rPr>
      </w:pPr>
      <w:r w:rsidRPr="009935FE">
        <w:rPr>
          <w:rFonts w:ascii="Arial" w:hAnsi="Arial" w:cs="Arial"/>
          <w:sz w:val="22"/>
          <w:szCs w:val="22"/>
        </w:rPr>
        <w:t>7.</w:t>
      </w:r>
      <w:r w:rsidRPr="009935FE">
        <w:rPr>
          <w:rFonts w:ascii="Arial" w:hAnsi="Arial" w:cs="Arial"/>
          <w:sz w:val="22"/>
          <w:szCs w:val="22"/>
        </w:rPr>
        <w:tab/>
      </w:r>
      <w:r w:rsidR="00961AD0" w:rsidRPr="009935FE">
        <w:rPr>
          <w:rFonts w:ascii="Arial" w:hAnsi="Arial" w:cs="Arial"/>
          <w:sz w:val="22"/>
          <w:szCs w:val="22"/>
        </w:rPr>
        <w:t>Kachrimanidou</w:t>
      </w:r>
      <w:r w:rsidR="002D2A02">
        <w:rPr>
          <w:rFonts w:ascii="Arial" w:hAnsi="Arial" w:cs="Arial"/>
          <w:sz w:val="22"/>
          <w:szCs w:val="22"/>
        </w:rPr>
        <w:t xml:space="preserve"> </w:t>
      </w:r>
      <w:r w:rsidR="00961AD0" w:rsidRPr="009935FE">
        <w:rPr>
          <w:rFonts w:ascii="Arial" w:hAnsi="Arial" w:cs="Arial"/>
          <w:sz w:val="22"/>
          <w:szCs w:val="22"/>
        </w:rPr>
        <w:t xml:space="preserve">M and Malisiovas N. </w:t>
      </w:r>
      <w:r w:rsidRPr="009935FE">
        <w:rPr>
          <w:rFonts w:ascii="Arial" w:hAnsi="Arial" w:cs="Arial"/>
          <w:sz w:val="22"/>
          <w:szCs w:val="22"/>
        </w:rPr>
        <w:t xml:space="preserve"> </w:t>
      </w:r>
      <w:r w:rsidRPr="009935FE">
        <w:rPr>
          <w:rFonts w:ascii="Arial" w:hAnsi="Arial" w:cs="Arial"/>
          <w:i/>
          <w:sz w:val="22"/>
          <w:szCs w:val="22"/>
        </w:rPr>
        <w:t>Clostridium difficile</w:t>
      </w:r>
      <w:r w:rsidRPr="002D2A02">
        <w:rPr>
          <w:rFonts w:ascii="Arial" w:hAnsi="Arial" w:cs="Arial"/>
          <w:sz w:val="22"/>
          <w:szCs w:val="22"/>
        </w:rPr>
        <w:t xml:space="preserve"> infection: A comprehensive review</w:t>
      </w:r>
      <w:r w:rsidRPr="009935FE">
        <w:rPr>
          <w:rFonts w:ascii="Arial" w:hAnsi="Arial" w:cs="Arial"/>
          <w:i/>
          <w:sz w:val="22"/>
          <w:szCs w:val="22"/>
        </w:rPr>
        <w:t>.</w:t>
      </w:r>
      <w:r w:rsidRPr="009935FE">
        <w:rPr>
          <w:rFonts w:ascii="Arial" w:hAnsi="Arial" w:cs="Arial"/>
          <w:sz w:val="22"/>
          <w:szCs w:val="22"/>
        </w:rPr>
        <w:t xml:space="preserve"> </w:t>
      </w:r>
      <w:r w:rsidRPr="002D2A02">
        <w:rPr>
          <w:rFonts w:ascii="Arial" w:hAnsi="Arial" w:cs="Arial"/>
          <w:i/>
          <w:sz w:val="22"/>
          <w:szCs w:val="22"/>
        </w:rPr>
        <w:t>Cri</w:t>
      </w:r>
      <w:r w:rsidR="00E0337A" w:rsidRPr="002D2A02">
        <w:rPr>
          <w:rFonts w:ascii="Arial" w:hAnsi="Arial" w:cs="Arial"/>
          <w:i/>
          <w:sz w:val="22"/>
          <w:szCs w:val="22"/>
        </w:rPr>
        <w:t>tical Reviews in Microbiology.</w:t>
      </w:r>
      <w:r w:rsidR="00E0337A">
        <w:rPr>
          <w:rFonts w:ascii="Arial" w:hAnsi="Arial" w:cs="Arial"/>
          <w:sz w:val="22"/>
          <w:szCs w:val="22"/>
        </w:rPr>
        <w:t xml:space="preserve"> </w:t>
      </w:r>
      <w:r w:rsidRPr="009935FE">
        <w:rPr>
          <w:rFonts w:ascii="Arial" w:hAnsi="Arial" w:cs="Arial"/>
          <w:sz w:val="22"/>
          <w:szCs w:val="22"/>
        </w:rPr>
        <w:t>2011. 37: 178-87.</w:t>
      </w:r>
    </w:p>
    <w:p w:rsidR="00ED3A0D" w:rsidRPr="009935FE" w:rsidRDefault="00ED3A0D" w:rsidP="00A6188F">
      <w:pPr>
        <w:pStyle w:val="EndNoteBibliography"/>
        <w:spacing w:after="0"/>
        <w:ind w:left="720" w:hanging="720"/>
        <w:rPr>
          <w:rFonts w:ascii="Arial" w:hAnsi="Arial" w:cs="Arial"/>
          <w:sz w:val="22"/>
          <w:szCs w:val="22"/>
        </w:rPr>
      </w:pPr>
    </w:p>
    <w:p w:rsidR="0021607A" w:rsidRDefault="0021607A" w:rsidP="00A6188F">
      <w:pPr>
        <w:pStyle w:val="EndNoteBibliography"/>
        <w:spacing w:after="0"/>
        <w:ind w:left="720" w:hanging="720"/>
        <w:rPr>
          <w:rFonts w:ascii="Arial" w:hAnsi="Arial" w:cs="Arial"/>
          <w:sz w:val="22"/>
          <w:szCs w:val="22"/>
        </w:rPr>
      </w:pPr>
      <w:r w:rsidRPr="009935FE">
        <w:rPr>
          <w:rFonts w:ascii="Arial" w:hAnsi="Arial" w:cs="Arial"/>
          <w:sz w:val="22"/>
          <w:szCs w:val="22"/>
        </w:rPr>
        <w:t>8.</w:t>
      </w:r>
      <w:r w:rsidRPr="009935FE">
        <w:rPr>
          <w:rFonts w:ascii="Arial" w:hAnsi="Arial" w:cs="Arial"/>
          <w:sz w:val="22"/>
          <w:szCs w:val="22"/>
        </w:rPr>
        <w:tab/>
        <w:t>Australian Institute of Health and Welfare</w:t>
      </w:r>
      <w:r w:rsidRPr="009935FE">
        <w:rPr>
          <w:rFonts w:ascii="Arial" w:hAnsi="Arial" w:cs="Arial"/>
          <w:i/>
          <w:sz w:val="22"/>
          <w:szCs w:val="22"/>
        </w:rPr>
        <w:t xml:space="preserve">. </w:t>
      </w:r>
      <w:r w:rsidRPr="002D2A02">
        <w:rPr>
          <w:rFonts w:ascii="Arial" w:hAnsi="Arial" w:cs="Arial"/>
          <w:sz w:val="22"/>
          <w:szCs w:val="22"/>
        </w:rPr>
        <w:t xml:space="preserve"> Admitted patient care NMDS 2016-17. </w:t>
      </w:r>
      <w:r w:rsidRPr="009935FE">
        <w:rPr>
          <w:rFonts w:ascii="Arial" w:hAnsi="Arial" w:cs="Arial"/>
          <w:sz w:val="22"/>
          <w:szCs w:val="22"/>
        </w:rPr>
        <w:t>2016.</w:t>
      </w:r>
      <w:r w:rsidR="00961AD0" w:rsidRPr="009935FE">
        <w:rPr>
          <w:rFonts w:ascii="Arial" w:hAnsi="Arial" w:cs="Arial"/>
          <w:sz w:val="22"/>
          <w:szCs w:val="22"/>
        </w:rPr>
        <w:t xml:space="preserve"> [Online] 2016 [cited 5 August 2019]; Available from: </w:t>
      </w:r>
      <w:hyperlink r:id="rId20" w:history="1">
        <w:r w:rsidR="00961AD0" w:rsidRPr="009935FE">
          <w:rPr>
            <w:rStyle w:val="Hyperlink"/>
            <w:rFonts w:ascii="Arial" w:hAnsi="Arial" w:cs="Arial"/>
            <w:sz w:val="22"/>
            <w:szCs w:val="22"/>
          </w:rPr>
          <w:t>http://meteor.aihw.gov.au/content/index.phtml/itemId/612171</w:t>
        </w:r>
      </w:hyperlink>
      <w:r w:rsidR="00961AD0" w:rsidRPr="009935FE">
        <w:rPr>
          <w:rFonts w:ascii="Arial" w:hAnsi="Arial" w:cs="Arial"/>
          <w:sz w:val="22"/>
          <w:szCs w:val="22"/>
        </w:rPr>
        <w:t>.</w:t>
      </w:r>
    </w:p>
    <w:p w:rsidR="00ED3A0D" w:rsidRPr="009935FE" w:rsidRDefault="00ED3A0D" w:rsidP="00A6188F">
      <w:pPr>
        <w:pStyle w:val="EndNoteBibliography"/>
        <w:spacing w:after="0"/>
        <w:ind w:left="720" w:hanging="720"/>
        <w:rPr>
          <w:rFonts w:ascii="Arial" w:hAnsi="Arial" w:cs="Arial"/>
          <w:sz w:val="22"/>
          <w:szCs w:val="22"/>
        </w:rPr>
      </w:pPr>
    </w:p>
    <w:p w:rsidR="0021607A" w:rsidRDefault="0021607A" w:rsidP="00A6188F">
      <w:pPr>
        <w:pStyle w:val="EndNoteBibliography"/>
        <w:spacing w:after="0"/>
        <w:ind w:left="720" w:hanging="720"/>
        <w:rPr>
          <w:rFonts w:ascii="Arial" w:hAnsi="Arial" w:cs="Arial"/>
          <w:sz w:val="22"/>
          <w:szCs w:val="22"/>
        </w:rPr>
      </w:pPr>
      <w:r w:rsidRPr="009935FE">
        <w:rPr>
          <w:rFonts w:ascii="Arial" w:hAnsi="Arial" w:cs="Arial"/>
          <w:sz w:val="22"/>
          <w:szCs w:val="22"/>
        </w:rPr>
        <w:t>9.</w:t>
      </w:r>
      <w:r w:rsidRPr="009935FE">
        <w:rPr>
          <w:rFonts w:ascii="Arial" w:hAnsi="Arial" w:cs="Arial"/>
          <w:sz w:val="22"/>
          <w:szCs w:val="22"/>
        </w:rPr>
        <w:tab/>
        <w:t>Australian Commission on Safety and Quality in Health Care.</w:t>
      </w:r>
      <w:r w:rsidRPr="009935FE">
        <w:rPr>
          <w:rFonts w:ascii="Arial" w:hAnsi="Arial" w:cs="Arial"/>
          <w:i/>
          <w:sz w:val="22"/>
          <w:szCs w:val="22"/>
        </w:rPr>
        <w:t xml:space="preserve"> Clostridium difficile </w:t>
      </w:r>
      <w:r w:rsidRPr="002D2A02">
        <w:rPr>
          <w:rFonts w:ascii="Arial" w:hAnsi="Arial" w:cs="Arial"/>
          <w:sz w:val="22"/>
          <w:szCs w:val="22"/>
        </w:rPr>
        <w:t>infection. Monitoring the national burden of</w:t>
      </w:r>
      <w:r w:rsidRPr="009935FE">
        <w:rPr>
          <w:rFonts w:ascii="Arial" w:hAnsi="Arial" w:cs="Arial"/>
          <w:i/>
          <w:sz w:val="22"/>
          <w:szCs w:val="22"/>
        </w:rPr>
        <w:t xml:space="preserve"> Clostridium difficile. </w:t>
      </w:r>
      <w:r w:rsidRPr="009935FE">
        <w:rPr>
          <w:rFonts w:ascii="Arial" w:hAnsi="Arial" w:cs="Arial"/>
          <w:sz w:val="22"/>
          <w:szCs w:val="22"/>
        </w:rPr>
        <w:t xml:space="preserve"> 2018</w:t>
      </w:r>
      <w:r w:rsidR="00961AD0" w:rsidRPr="009935FE">
        <w:rPr>
          <w:rFonts w:ascii="Arial" w:hAnsi="Arial" w:cs="Arial"/>
          <w:sz w:val="22"/>
          <w:szCs w:val="22"/>
        </w:rPr>
        <w:t>.</w:t>
      </w:r>
      <w:r w:rsidRPr="009935FE">
        <w:rPr>
          <w:rFonts w:ascii="Arial" w:hAnsi="Arial" w:cs="Arial"/>
          <w:sz w:val="22"/>
          <w:szCs w:val="22"/>
        </w:rPr>
        <w:t xml:space="preserve"> Sydney: ACSQHC.</w:t>
      </w:r>
    </w:p>
    <w:p w:rsidR="00ED3A0D" w:rsidRPr="009935FE" w:rsidRDefault="00ED3A0D" w:rsidP="00A6188F">
      <w:pPr>
        <w:pStyle w:val="EndNoteBibliography"/>
        <w:spacing w:after="0"/>
        <w:ind w:left="720" w:hanging="720"/>
        <w:rPr>
          <w:rFonts w:ascii="Arial" w:hAnsi="Arial" w:cs="Arial"/>
          <w:sz w:val="22"/>
          <w:szCs w:val="22"/>
        </w:rPr>
      </w:pPr>
    </w:p>
    <w:p w:rsidR="00D9006C" w:rsidRDefault="0021607A" w:rsidP="00A6188F">
      <w:pPr>
        <w:pStyle w:val="EndNoteBibliography"/>
        <w:spacing w:after="0"/>
        <w:ind w:left="720" w:hanging="720"/>
        <w:rPr>
          <w:rStyle w:val="Hyperlink"/>
          <w:rFonts w:ascii="Arial" w:hAnsi="Arial" w:cs="Arial"/>
          <w:sz w:val="22"/>
          <w:szCs w:val="22"/>
        </w:rPr>
      </w:pPr>
      <w:r w:rsidRPr="009935FE">
        <w:rPr>
          <w:rFonts w:ascii="Arial" w:hAnsi="Arial" w:cs="Arial"/>
          <w:sz w:val="22"/>
          <w:szCs w:val="22"/>
        </w:rPr>
        <w:t>10.</w:t>
      </w:r>
      <w:r w:rsidRPr="009935FE">
        <w:rPr>
          <w:rFonts w:ascii="Arial" w:hAnsi="Arial" w:cs="Arial"/>
          <w:sz w:val="22"/>
          <w:szCs w:val="22"/>
        </w:rPr>
        <w:tab/>
        <w:t>Australian Institute of Health and Welfare.</w:t>
      </w:r>
      <w:r w:rsidRPr="002D2A02">
        <w:rPr>
          <w:rFonts w:ascii="Arial" w:hAnsi="Arial" w:cs="Arial"/>
          <w:sz w:val="22"/>
          <w:szCs w:val="22"/>
        </w:rPr>
        <w:t xml:space="preserve"> Principal diagnosis data cubes. 2017.</w:t>
      </w:r>
      <w:r w:rsidR="00961AD0" w:rsidRPr="009935FE">
        <w:rPr>
          <w:rFonts w:ascii="Arial" w:hAnsi="Arial" w:cs="Arial"/>
          <w:sz w:val="22"/>
          <w:szCs w:val="22"/>
        </w:rPr>
        <w:t xml:space="preserve"> [cited 5 August 2019]; Available from:</w:t>
      </w:r>
      <w:hyperlink r:id="rId21" w:history="1">
        <w:r w:rsidR="00961AD0" w:rsidRPr="009935FE">
          <w:rPr>
            <w:rStyle w:val="Hyperlink"/>
            <w:rFonts w:ascii="Arial" w:hAnsi="Arial" w:cs="Arial"/>
            <w:sz w:val="22"/>
            <w:szCs w:val="22"/>
          </w:rPr>
          <w:t>http://www.aihw.gov.au/hospitals-data/principal-diagnosis-data-cubes/</w:t>
        </w:r>
      </w:hyperlink>
    </w:p>
    <w:p w:rsidR="00ED3A0D" w:rsidRDefault="00ED3A0D" w:rsidP="00A6188F">
      <w:pPr>
        <w:pStyle w:val="EndNoteBibliography"/>
        <w:spacing w:after="0"/>
        <w:ind w:left="720" w:hanging="720"/>
        <w:rPr>
          <w:rStyle w:val="Hyperlink"/>
          <w:rFonts w:ascii="Arial" w:hAnsi="Arial" w:cs="Arial"/>
          <w:sz w:val="22"/>
          <w:szCs w:val="22"/>
        </w:rPr>
      </w:pPr>
    </w:p>
    <w:p w:rsidR="00D9006C" w:rsidRDefault="00927C23" w:rsidP="00A6188F">
      <w:pPr>
        <w:pStyle w:val="EndNoteBibliography"/>
        <w:spacing w:after="0"/>
        <w:rPr>
          <w:rFonts w:ascii="Arial" w:hAnsi="Arial" w:cs="Arial"/>
          <w:sz w:val="22"/>
          <w:szCs w:val="22"/>
        </w:rPr>
      </w:pPr>
      <w:r w:rsidRPr="00D9006C">
        <w:rPr>
          <w:rFonts w:ascii="Arial" w:hAnsi="Arial" w:cs="Arial"/>
          <w:sz w:val="22"/>
          <w:szCs w:val="22"/>
        </w:rPr>
        <w:t>11.</w:t>
      </w:r>
      <w:r w:rsidR="00D9006C" w:rsidRPr="00D9006C">
        <w:rPr>
          <w:rFonts w:ascii="Arial" w:hAnsi="Arial" w:cs="Arial"/>
          <w:sz w:val="22"/>
          <w:szCs w:val="22"/>
        </w:rPr>
        <w:t xml:space="preserve">       </w:t>
      </w:r>
      <w:r w:rsidRPr="00D9006C">
        <w:rPr>
          <w:rFonts w:ascii="Arial" w:hAnsi="Arial" w:cs="Arial"/>
          <w:sz w:val="22"/>
          <w:szCs w:val="22"/>
        </w:rPr>
        <w:t xml:space="preserve">Australian Institute of Health and Welfare. Episode of admitted patient care- condition </w:t>
      </w:r>
      <w:r w:rsidR="00D9006C">
        <w:rPr>
          <w:rFonts w:ascii="Arial" w:hAnsi="Arial" w:cs="Arial"/>
          <w:sz w:val="22"/>
          <w:szCs w:val="22"/>
        </w:rPr>
        <w:t xml:space="preserve"> </w:t>
      </w:r>
    </w:p>
    <w:p w:rsidR="00D9006C" w:rsidRDefault="00D9006C" w:rsidP="00A6188F">
      <w:pPr>
        <w:pStyle w:val="EndNoteBibliography"/>
        <w:spacing w:after="0"/>
        <w:rPr>
          <w:rFonts w:ascii="Arial" w:hAnsi="Arial" w:cs="Arial"/>
          <w:sz w:val="22"/>
          <w:szCs w:val="22"/>
        </w:rPr>
      </w:pPr>
      <w:r>
        <w:rPr>
          <w:rFonts w:ascii="Arial" w:hAnsi="Arial" w:cs="Arial"/>
          <w:sz w:val="22"/>
          <w:szCs w:val="22"/>
        </w:rPr>
        <w:t xml:space="preserve">            </w:t>
      </w:r>
      <w:r w:rsidR="00927C23" w:rsidRPr="00D9006C">
        <w:rPr>
          <w:rFonts w:ascii="Arial" w:hAnsi="Arial" w:cs="Arial"/>
          <w:sz w:val="22"/>
          <w:szCs w:val="22"/>
        </w:rPr>
        <w:t xml:space="preserve">onset flag, code N [online]: Available from: </w:t>
      </w:r>
      <w:r>
        <w:rPr>
          <w:rFonts w:ascii="Arial" w:hAnsi="Arial" w:cs="Arial"/>
          <w:sz w:val="22"/>
          <w:szCs w:val="22"/>
        </w:rPr>
        <w:t xml:space="preserve"> </w:t>
      </w:r>
    </w:p>
    <w:p w:rsidR="00D9006C" w:rsidRDefault="00D9006C" w:rsidP="00A6188F">
      <w:pPr>
        <w:pStyle w:val="EndNoteBibliography"/>
        <w:spacing w:after="0"/>
        <w:rPr>
          <w:rStyle w:val="Hyperlink"/>
          <w:rFonts w:ascii="Arial" w:hAnsi="Arial" w:cs="Arial"/>
          <w:sz w:val="22"/>
          <w:szCs w:val="22"/>
        </w:rPr>
      </w:pPr>
      <w:r>
        <w:rPr>
          <w:rFonts w:ascii="Arial" w:hAnsi="Arial" w:cs="Arial"/>
          <w:sz w:val="22"/>
          <w:szCs w:val="22"/>
        </w:rPr>
        <w:t xml:space="preserve">            </w:t>
      </w:r>
      <w:hyperlink r:id="rId22" w:history="1">
        <w:r w:rsidR="00927C23" w:rsidRPr="00D9006C">
          <w:rPr>
            <w:rStyle w:val="Hyperlink"/>
            <w:rFonts w:ascii="Arial" w:hAnsi="Arial" w:cs="Arial"/>
            <w:sz w:val="22"/>
            <w:szCs w:val="22"/>
          </w:rPr>
          <w:t>https://meteor.aihw.gov.au/content/index.phtml/itemId/496512</w:t>
        </w:r>
      </w:hyperlink>
    </w:p>
    <w:p w:rsidR="00ED3A0D" w:rsidRDefault="00ED3A0D" w:rsidP="00A6188F">
      <w:pPr>
        <w:pStyle w:val="EndNoteBibliography"/>
        <w:spacing w:after="0"/>
        <w:rPr>
          <w:rStyle w:val="Hyperlink"/>
          <w:rFonts w:ascii="Arial" w:hAnsi="Arial" w:cs="Arial"/>
          <w:sz w:val="22"/>
          <w:szCs w:val="22"/>
        </w:rPr>
      </w:pPr>
    </w:p>
    <w:p w:rsidR="00D9006C" w:rsidRPr="002D2A02" w:rsidRDefault="00DB5C84" w:rsidP="00A6188F">
      <w:pPr>
        <w:pStyle w:val="EndNoteBibliography"/>
        <w:spacing w:after="0"/>
        <w:rPr>
          <w:rFonts w:ascii="Arial" w:hAnsi="Arial" w:cs="Arial"/>
          <w:sz w:val="22"/>
          <w:szCs w:val="22"/>
        </w:rPr>
      </w:pPr>
      <w:r>
        <w:rPr>
          <w:rFonts w:ascii="Arial" w:hAnsi="Arial" w:cs="Arial"/>
          <w:sz w:val="22"/>
          <w:szCs w:val="22"/>
        </w:rPr>
        <w:t xml:space="preserve">12. </w:t>
      </w:r>
      <w:r w:rsidR="00D9006C">
        <w:rPr>
          <w:rFonts w:ascii="Arial" w:hAnsi="Arial" w:cs="Arial"/>
          <w:sz w:val="22"/>
          <w:szCs w:val="22"/>
        </w:rPr>
        <w:t xml:space="preserve">      </w:t>
      </w:r>
      <w:r w:rsidRPr="009935FE">
        <w:rPr>
          <w:rFonts w:ascii="Arial" w:hAnsi="Arial" w:cs="Arial"/>
          <w:sz w:val="22"/>
          <w:szCs w:val="22"/>
        </w:rPr>
        <w:t>SA Health, Australian Commission on Safety and Quality in Health Care.</w:t>
      </w:r>
      <w:r w:rsidRPr="002D2A02">
        <w:rPr>
          <w:rFonts w:ascii="Arial" w:hAnsi="Arial" w:cs="Arial"/>
          <w:sz w:val="22"/>
          <w:szCs w:val="22"/>
        </w:rPr>
        <w:t xml:space="preserve"> Antimicrobial</w:t>
      </w:r>
    </w:p>
    <w:p w:rsidR="00D9006C" w:rsidRPr="002D2A02" w:rsidRDefault="00D9006C" w:rsidP="00A6188F">
      <w:pPr>
        <w:pStyle w:val="EndNoteBibliography"/>
        <w:spacing w:after="0"/>
        <w:rPr>
          <w:rFonts w:ascii="Arial" w:hAnsi="Arial" w:cs="Arial"/>
          <w:sz w:val="22"/>
          <w:szCs w:val="22"/>
        </w:rPr>
      </w:pPr>
      <w:r w:rsidRPr="002D2A02">
        <w:rPr>
          <w:rFonts w:ascii="Arial" w:hAnsi="Arial" w:cs="Arial"/>
          <w:sz w:val="22"/>
          <w:szCs w:val="22"/>
        </w:rPr>
        <w:t xml:space="preserve">            </w:t>
      </w:r>
      <w:r w:rsidR="00DB5C84" w:rsidRPr="002D2A02">
        <w:rPr>
          <w:rFonts w:ascii="Arial" w:hAnsi="Arial" w:cs="Arial"/>
          <w:sz w:val="22"/>
          <w:szCs w:val="22"/>
        </w:rPr>
        <w:t xml:space="preserve">use in Australian hospitals: biennial report of the National Antimicrobial Utilisation </w:t>
      </w:r>
    </w:p>
    <w:p w:rsidR="00DB5C84" w:rsidRDefault="00D9006C" w:rsidP="00A6188F">
      <w:pPr>
        <w:pStyle w:val="EndNoteBibliography"/>
        <w:spacing w:after="0"/>
        <w:rPr>
          <w:rFonts w:ascii="Arial" w:hAnsi="Arial" w:cs="Arial"/>
          <w:sz w:val="22"/>
          <w:szCs w:val="22"/>
        </w:rPr>
      </w:pPr>
      <w:r w:rsidRPr="002D2A02">
        <w:rPr>
          <w:rFonts w:ascii="Arial" w:hAnsi="Arial" w:cs="Arial"/>
          <w:sz w:val="22"/>
          <w:szCs w:val="22"/>
        </w:rPr>
        <w:t xml:space="preserve">            </w:t>
      </w:r>
      <w:r w:rsidR="00DB5C84" w:rsidRPr="002D2A02">
        <w:rPr>
          <w:rFonts w:ascii="Arial" w:hAnsi="Arial" w:cs="Arial"/>
          <w:sz w:val="22"/>
          <w:szCs w:val="22"/>
        </w:rPr>
        <w:t>Surveillance Program, 2017–2018,.</w:t>
      </w:r>
      <w:r w:rsidR="00DB5C84" w:rsidRPr="009935FE">
        <w:rPr>
          <w:rFonts w:ascii="Arial" w:hAnsi="Arial" w:cs="Arial"/>
          <w:sz w:val="22"/>
          <w:szCs w:val="22"/>
        </w:rPr>
        <w:t xml:space="preserve"> 2020 [not published].</w:t>
      </w:r>
    </w:p>
    <w:p w:rsidR="00ED3A0D" w:rsidRPr="009935FE" w:rsidRDefault="00ED3A0D" w:rsidP="00A6188F">
      <w:pPr>
        <w:pStyle w:val="EndNoteBibliography"/>
        <w:spacing w:after="0"/>
        <w:rPr>
          <w:rFonts w:ascii="Arial" w:hAnsi="Arial" w:cs="Arial"/>
          <w:sz w:val="22"/>
          <w:szCs w:val="22"/>
        </w:rPr>
      </w:pPr>
    </w:p>
    <w:p w:rsidR="00927C23" w:rsidRDefault="00DB5C84" w:rsidP="00A6188F">
      <w:pPr>
        <w:pStyle w:val="EndNoteBibliography"/>
        <w:spacing w:after="0"/>
        <w:ind w:left="720" w:hanging="720"/>
        <w:rPr>
          <w:rFonts w:ascii="Arial" w:hAnsi="Arial" w:cs="Arial"/>
          <w:sz w:val="22"/>
          <w:szCs w:val="22"/>
        </w:rPr>
      </w:pPr>
      <w:r w:rsidRPr="004E6241">
        <w:rPr>
          <w:rFonts w:ascii="Arial" w:hAnsi="Arial" w:cs="Arial"/>
          <w:sz w:val="22"/>
          <w:szCs w:val="22"/>
        </w:rPr>
        <w:t xml:space="preserve">13. </w:t>
      </w:r>
      <w:r w:rsidR="004E6241">
        <w:rPr>
          <w:rFonts w:ascii="Arial" w:hAnsi="Arial" w:cs="Arial"/>
          <w:sz w:val="22"/>
          <w:szCs w:val="22"/>
        </w:rPr>
        <w:t xml:space="preserve">      </w:t>
      </w:r>
      <w:r w:rsidRPr="004E6241">
        <w:rPr>
          <w:rFonts w:ascii="Arial" w:hAnsi="Arial" w:cs="Arial"/>
          <w:sz w:val="22"/>
          <w:szCs w:val="22"/>
        </w:rPr>
        <w:t xml:space="preserve">Australian Commission on Safety and Quality in Health Care. </w:t>
      </w:r>
      <w:r w:rsidRPr="002D2A02">
        <w:rPr>
          <w:rFonts w:ascii="Arial" w:hAnsi="Arial" w:cs="Arial"/>
          <w:sz w:val="22"/>
          <w:szCs w:val="22"/>
        </w:rPr>
        <w:t>AURA 2019: Third Australian report on antimicrobial use and resistance in human health,.</w:t>
      </w:r>
      <w:r w:rsidRPr="004E6241">
        <w:rPr>
          <w:rFonts w:ascii="Arial" w:hAnsi="Arial" w:cs="Arial"/>
          <w:sz w:val="22"/>
          <w:szCs w:val="22"/>
        </w:rPr>
        <w:t xml:space="preserve"> 2019, Sydney: ACSQHC.</w:t>
      </w:r>
    </w:p>
    <w:p w:rsidR="00ED3A0D" w:rsidRPr="004E6241" w:rsidRDefault="00ED3A0D" w:rsidP="00A6188F">
      <w:pPr>
        <w:pStyle w:val="EndNoteBibliography"/>
        <w:spacing w:after="0"/>
        <w:ind w:left="720" w:hanging="720"/>
        <w:rPr>
          <w:rFonts w:ascii="Arial" w:hAnsi="Arial" w:cs="Arial"/>
          <w:sz w:val="22"/>
          <w:szCs w:val="22"/>
        </w:rPr>
      </w:pPr>
    </w:p>
    <w:p w:rsidR="004E6241" w:rsidRDefault="00D9006C" w:rsidP="00A6188F">
      <w:pPr>
        <w:pStyle w:val="EndNoteBibliography"/>
        <w:spacing w:after="0"/>
        <w:rPr>
          <w:rFonts w:ascii="Arial" w:hAnsi="Arial" w:cs="Arial"/>
          <w:i/>
          <w:sz w:val="22"/>
          <w:szCs w:val="22"/>
        </w:rPr>
      </w:pPr>
      <w:r w:rsidRPr="004E6241">
        <w:rPr>
          <w:rFonts w:ascii="Arial" w:hAnsi="Arial" w:cs="Arial"/>
          <w:sz w:val="22"/>
          <w:szCs w:val="22"/>
        </w:rPr>
        <w:t>14.</w:t>
      </w:r>
      <w:r w:rsidRPr="004E6241">
        <w:rPr>
          <w:rFonts w:ascii="Arial" w:hAnsi="Arial" w:cs="Arial"/>
          <w:sz w:val="22"/>
          <w:szCs w:val="22"/>
        </w:rPr>
        <w:tab/>
        <w:t>Australian Commission on Safety and Quality in Health Care.</w:t>
      </w:r>
      <w:r w:rsidRPr="004E6241">
        <w:rPr>
          <w:rFonts w:ascii="Arial" w:hAnsi="Arial" w:cs="Arial"/>
          <w:i/>
          <w:sz w:val="22"/>
          <w:szCs w:val="22"/>
        </w:rPr>
        <w:t xml:space="preserve"> Clostridium difficile</w:t>
      </w:r>
    </w:p>
    <w:p w:rsidR="00716A74" w:rsidRDefault="004E6241" w:rsidP="00A6188F">
      <w:pPr>
        <w:pStyle w:val="EndNoteBibliography"/>
        <w:spacing w:after="0"/>
        <w:rPr>
          <w:rFonts w:ascii="Arial" w:hAnsi="Arial" w:cs="Arial"/>
          <w:sz w:val="22"/>
          <w:szCs w:val="22"/>
        </w:rPr>
      </w:pPr>
      <w:r>
        <w:rPr>
          <w:rFonts w:ascii="Arial" w:hAnsi="Arial" w:cs="Arial"/>
          <w:i/>
          <w:sz w:val="22"/>
          <w:szCs w:val="22"/>
        </w:rPr>
        <w:t xml:space="preserve">           </w:t>
      </w:r>
      <w:r w:rsidRPr="002D2A02">
        <w:rPr>
          <w:rFonts w:ascii="Arial" w:hAnsi="Arial" w:cs="Arial"/>
          <w:sz w:val="22"/>
          <w:szCs w:val="22"/>
        </w:rPr>
        <w:t xml:space="preserve"> </w:t>
      </w:r>
      <w:r w:rsidR="00D9006C" w:rsidRPr="002D2A02">
        <w:rPr>
          <w:rFonts w:ascii="Arial" w:hAnsi="Arial" w:cs="Arial"/>
          <w:sz w:val="22"/>
          <w:szCs w:val="22"/>
        </w:rPr>
        <w:t>infection 2017 Data Snapshot report.</w:t>
      </w:r>
      <w:r w:rsidR="00D9006C" w:rsidRPr="004E6241">
        <w:rPr>
          <w:rFonts w:ascii="Arial" w:hAnsi="Arial" w:cs="Arial"/>
          <w:sz w:val="22"/>
          <w:szCs w:val="22"/>
        </w:rPr>
        <w:t xml:space="preserve"> 2019, Sydney: ACSQHC</w:t>
      </w:r>
      <w:r w:rsidR="00D9006C">
        <w:rPr>
          <w:rFonts w:ascii="Arial" w:hAnsi="Arial" w:cs="Arial"/>
          <w:sz w:val="22"/>
          <w:szCs w:val="22"/>
        </w:rPr>
        <w:t xml:space="preserve">  </w:t>
      </w:r>
    </w:p>
    <w:p w:rsidR="00716A74" w:rsidRDefault="00716A74" w:rsidP="00A6188F">
      <w:pPr>
        <w:pStyle w:val="EndNoteBibliography"/>
        <w:spacing w:after="0"/>
        <w:rPr>
          <w:rFonts w:ascii="Arial" w:hAnsi="Arial" w:cs="Arial"/>
          <w:sz w:val="22"/>
          <w:szCs w:val="22"/>
        </w:rPr>
      </w:pPr>
    </w:p>
    <w:p w:rsidR="004E6241" w:rsidRDefault="00D9006C" w:rsidP="00A6188F">
      <w:pPr>
        <w:pStyle w:val="EndNoteBibliography"/>
        <w:spacing w:after="0"/>
        <w:rPr>
          <w:rFonts w:ascii="Arial" w:hAnsi="Arial" w:cs="Arial"/>
          <w:sz w:val="22"/>
          <w:szCs w:val="22"/>
        </w:rPr>
      </w:pPr>
      <w:r>
        <w:rPr>
          <w:rFonts w:ascii="Arial" w:hAnsi="Arial" w:cs="Arial"/>
          <w:sz w:val="22"/>
          <w:szCs w:val="22"/>
        </w:rPr>
        <w:t xml:space="preserve">    </w:t>
      </w:r>
    </w:p>
    <w:p w:rsidR="004E6241" w:rsidRPr="002D2A02" w:rsidRDefault="00EE6EDC" w:rsidP="00A6188F">
      <w:pPr>
        <w:pStyle w:val="EndNoteBibliography"/>
        <w:spacing w:after="0"/>
        <w:rPr>
          <w:rFonts w:ascii="Arial" w:hAnsi="Arial" w:cs="Arial"/>
          <w:i/>
          <w:sz w:val="22"/>
        </w:rPr>
      </w:pPr>
      <w:r w:rsidRPr="00EE6EDC">
        <w:rPr>
          <w:rFonts w:ascii="Arial" w:hAnsi="Arial" w:cs="Arial"/>
          <w:sz w:val="22"/>
        </w:rPr>
        <w:t>1</w:t>
      </w:r>
      <w:r w:rsidR="004E6241">
        <w:rPr>
          <w:rFonts w:ascii="Arial" w:hAnsi="Arial" w:cs="Arial"/>
          <w:sz w:val="22"/>
        </w:rPr>
        <w:t>5</w:t>
      </w:r>
      <w:r w:rsidRPr="00EE6EDC">
        <w:rPr>
          <w:rFonts w:ascii="Arial" w:hAnsi="Arial" w:cs="Arial"/>
          <w:sz w:val="22"/>
        </w:rPr>
        <w:t xml:space="preserve">. </w:t>
      </w:r>
      <w:r>
        <w:rPr>
          <w:rFonts w:ascii="Arial" w:hAnsi="Arial" w:cs="Arial"/>
          <w:sz w:val="22"/>
        </w:rPr>
        <w:t xml:space="preserve">    </w:t>
      </w:r>
      <w:r w:rsidR="004E6241">
        <w:rPr>
          <w:rFonts w:ascii="Arial" w:hAnsi="Arial" w:cs="Arial"/>
          <w:sz w:val="22"/>
        </w:rPr>
        <w:t xml:space="preserve">  </w:t>
      </w:r>
      <w:r w:rsidRPr="00EE6EDC">
        <w:rPr>
          <w:rFonts w:ascii="Arial" w:hAnsi="Arial" w:cs="Arial"/>
          <w:sz w:val="22"/>
        </w:rPr>
        <w:t>Knight</w:t>
      </w:r>
      <w:r w:rsidR="00E0337A">
        <w:rPr>
          <w:rFonts w:ascii="Arial" w:hAnsi="Arial" w:cs="Arial"/>
          <w:sz w:val="22"/>
        </w:rPr>
        <w:t xml:space="preserve"> </w:t>
      </w:r>
      <w:r w:rsidRPr="00EE6EDC">
        <w:rPr>
          <w:rFonts w:ascii="Arial" w:hAnsi="Arial" w:cs="Arial"/>
          <w:sz w:val="22"/>
        </w:rPr>
        <w:t xml:space="preserve">DR and Riley TV. Genomic Delineation of Zoonotic Origins of </w:t>
      </w:r>
      <w:r w:rsidRPr="002D2A02">
        <w:rPr>
          <w:rFonts w:ascii="Arial" w:hAnsi="Arial" w:cs="Arial"/>
          <w:i/>
          <w:sz w:val="22"/>
        </w:rPr>
        <w:t xml:space="preserve">Clostridium </w:t>
      </w:r>
    </w:p>
    <w:p w:rsidR="004E6241" w:rsidRDefault="004E6241" w:rsidP="00A6188F">
      <w:pPr>
        <w:pStyle w:val="EndNoteBibliography"/>
        <w:spacing w:after="0"/>
        <w:rPr>
          <w:rFonts w:ascii="Arial" w:hAnsi="Arial" w:cs="Arial"/>
          <w:sz w:val="22"/>
        </w:rPr>
      </w:pPr>
      <w:r w:rsidRPr="002D2A02">
        <w:rPr>
          <w:rFonts w:ascii="Arial" w:hAnsi="Arial" w:cs="Arial"/>
          <w:i/>
          <w:sz w:val="22"/>
        </w:rPr>
        <w:lastRenderedPageBreak/>
        <w:t xml:space="preserve">            </w:t>
      </w:r>
      <w:r w:rsidR="00EE6EDC" w:rsidRPr="002D2A02">
        <w:rPr>
          <w:rFonts w:ascii="Arial" w:hAnsi="Arial" w:cs="Arial"/>
          <w:i/>
          <w:sz w:val="22"/>
        </w:rPr>
        <w:t>difficile</w:t>
      </w:r>
      <w:r w:rsidR="00EE6EDC" w:rsidRPr="00EE6EDC">
        <w:rPr>
          <w:rFonts w:ascii="Arial" w:hAnsi="Arial" w:cs="Arial"/>
          <w:sz w:val="22"/>
        </w:rPr>
        <w:t xml:space="preserve">. </w:t>
      </w:r>
      <w:r w:rsidR="00EE6EDC" w:rsidRPr="00EE6EDC">
        <w:rPr>
          <w:rFonts w:ascii="Arial" w:hAnsi="Arial" w:cs="Arial"/>
          <w:i/>
          <w:sz w:val="22"/>
        </w:rPr>
        <w:t>Frontiers in Public Health.</w:t>
      </w:r>
      <w:r w:rsidR="00EE6EDC" w:rsidRPr="00EE6EDC">
        <w:rPr>
          <w:rFonts w:ascii="Arial" w:hAnsi="Arial" w:cs="Arial"/>
          <w:sz w:val="22"/>
        </w:rPr>
        <w:t xml:space="preserve"> 2019, 7:164 [Online] 2019 [cited 21 May 2020] </w:t>
      </w:r>
    </w:p>
    <w:p w:rsidR="004E6241" w:rsidRDefault="004E6241" w:rsidP="00ED3A0D">
      <w:pPr>
        <w:pStyle w:val="EndNoteBibliography"/>
        <w:spacing w:after="0"/>
        <w:rPr>
          <w:rFonts w:ascii="Arial" w:hAnsi="Arial" w:cs="Arial"/>
          <w:sz w:val="22"/>
        </w:rPr>
      </w:pPr>
      <w:r>
        <w:rPr>
          <w:rFonts w:ascii="Arial" w:hAnsi="Arial" w:cs="Arial"/>
          <w:sz w:val="22"/>
        </w:rPr>
        <w:t xml:space="preserve">            </w:t>
      </w:r>
      <w:r w:rsidR="00EE6EDC" w:rsidRPr="00EE6EDC">
        <w:rPr>
          <w:rFonts w:ascii="Arial" w:hAnsi="Arial" w:cs="Arial"/>
          <w:sz w:val="22"/>
        </w:rPr>
        <w:t xml:space="preserve">Available from: </w:t>
      </w:r>
      <w:hyperlink r:id="rId23" w:history="1">
        <w:r w:rsidR="00EE6EDC" w:rsidRPr="00EE6EDC">
          <w:rPr>
            <w:rStyle w:val="Hyperlink"/>
            <w:rFonts w:ascii="Arial" w:hAnsi="Arial" w:cs="Arial"/>
            <w:sz w:val="22"/>
          </w:rPr>
          <w:t>www.frontiersin.org/article/10.3389/fpubh.2019.00164</w:t>
        </w:r>
      </w:hyperlink>
      <w:r w:rsidR="00EE6EDC" w:rsidRPr="00EE6EDC">
        <w:rPr>
          <w:rFonts w:ascii="Arial" w:hAnsi="Arial" w:cs="Arial"/>
          <w:sz w:val="22"/>
        </w:rPr>
        <w:t xml:space="preserve"> </w:t>
      </w:r>
    </w:p>
    <w:p w:rsidR="00EE6EDC" w:rsidRPr="00EE6EDC" w:rsidRDefault="004E6241" w:rsidP="00ED3A0D">
      <w:pPr>
        <w:pStyle w:val="EndNoteBibliography"/>
        <w:spacing w:after="0"/>
        <w:rPr>
          <w:rFonts w:ascii="Arial" w:hAnsi="Arial" w:cs="Arial"/>
        </w:rPr>
      </w:pPr>
      <w:r>
        <w:rPr>
          <w:rFonts w:ascii="Arial" w:hAnsi="Arial" w:cs="Arial"/>
          <w:sz w:val="22"/>
        </w:rPr>
        <w:t xml:space="preserve">            </w:t>
      </w:r>
      <w:r w:rsidR="00EE6EDC" w:rsidRPr="00EE6EDC">
        <w:rPr>
          <w:rFonts w:ascii="Arial" w:hAnsi="Arial" w:cs="Arial"/>
          <w:sz w:val="22"/>
        </w:rPr>
        <w:t xml:space="preserve">DOI:10.3389/fpubh.2019.00164 </w:t>
      </w:r>
      <w:r w:rsidR="00EE6EDC" w:rsidRPr="00EE6EDC">
        <w:rPr>
          <w:rFonts w:ascii="Arial" w:hAnsi="Arial" w:cs="Arial"/>
        </w:rPr>
        <w:t xml:space="preserve"> </w:t>
      </w:r>
      <w:r>
        <w:rPr>
          <w:rFonts w:ascii="Arial" w:hAnsi="Arial" w:cs="Arial"/>
        </w:rPr>
        <w:t xml:space="preserve">                             </w:t>
      </w:r>
    </w:p>
    <w:p w:rsidR="0021607A" w:rsidRPr="009935FE" w:rsidRDefault="0021607A" w:rsidP="00ED3A0D">
      <w:pPr>
        <w:pStyle w:val="EndNoteBibliography"/>
        <w:spacing w:after="0"/>
        <w:rPr>
          <w:rFonts w:ascii="Arial" w:hAnsi="Arial" w:cs="Arial"/>
          <w:sz w:val="22"/>
          <w:szCs w:val="22"/>
        </w:rPr>
      </w:pPr>
    </w:p>
    <w:p w:rsidR="00ED3A0D" w:rsidRDefault="0021607A" w:rsidP="00ED3A0D">
      <w:pPr>
        <w:pStyle w:val="EndNoteBibliography"/>
        <w:spacing w:after="0"/>
        <w:ind w:left="720" w:hanging="720"/>
        <w:contextualSpacing/>
        <w:rPr>
          <w:rFonts w:ascii="Arial" w:hAnsi="Arial" w:cs="Arial"/>
          <w:iCs/>
          <w:sz w:val="22"/>
          <w:szCs w:val="22"/>
        </w:rPr>
      </w:pPr>
      <w:r w:rsidRPr="009935FE">
        <w:rPr>
          <w:rFonts w:ascii="Arial" w:hAnsi="Arial" w:cs="Arial"/>
          <w:sz w:val="22"/>
          <w:szCs w:val="22"/>
        </w:rPr>
        <w:t>1</w:t>
      </w:r>
      <w:r w:rsidR="004E6241">
        <w:rPr>
          <w:rFonts w:ascii="Arial" w:hAnsi="Arial" w:cs="Arial"/>
          <w:sz w:val="22"/>
          <w:szCs w:val="22"/>
        </w:rPr>
        <w:t>6</w:t>
      </w:r>
      <w:r w:rsidRPr="009935FE">
        <w:rPr>
          <w:rFonts w:ascii="Arial" w:hAnsi="Arial" w:cs="Arial"/>
          <w:sz w:val="22"/>
          <w:szCs w:val="22"/>
        </w:rPr>
        <w:t>.</w:t>
      </w:r>
      <w:r w:rsidRPr="009935FE">
        <w:rPr>
          <w:rFonts w:ascii="Arial" w:hAnsi="Arial" w:cs="Arial"/>
          <w:sz w:val="22"/>
          <w:szCs w:val="22"/>
        </w:rPr>
        <w:tab/>
        <w:t>National Centre for Antimicrobial Stewardship</w:t>
      </w:r>
      <w:r w:rsidRPr="009935FE">
        <w:rPr>
          <w:rFonts w:ascii="Arial" w:hAnsi="Arial" w:cs="Arial"/>
          <w:i/>
          <w:sz w:val="22"/>
          <w:szCs w:val="22"/>
        </w:rPr>
        <w:t xml:space="preserve">. </w:t>
      </w:r>
      <w:r w:rsidRPr="00680917">
        <w:rPr>
          <w:rFonts w:ascii="Arial" w:hAnsi="Arial" w:cs="Arial"/>
          <w:sz w:val="22"/>
          <w:szCs w:val="22"/>
        </w:rPr>
        <w:t xml:space="preserve"> Piperacillin-tazobactam - medication shortage. Fact Sheet – for adults in hospital and acute care facilities [online].</w:t>
      </w:r>
      <w:r w:rsidRPr="009935FE">
        <w:rPr>
          <w:rFonts w:ascii="Arial" w:hAnsi="Arial" w:cs="Arial"/>
          <w:sz w:val="22"/>
          <w:szCs w:val="22"/>
        </w:rPr>
        <w:t xml:space="preserve"> Melbourne Health, 2017.</w:t>
      </w:r>
      <w:r w:rsidR="00961AD0" w:rsidRPr="009935FE">
        <w:rPr>
          <w:rFonts w:ascii="Arial" w:hAnsi="Arial" w:cs="Arial"/>
          <w:iCs/>
          <w:sz w:val="22"/>
          <w:szCs w:val="22"/>
        </w:rPr>
        <w:t xml:space="preserve"> [Online] 2017 [cited 5 august 2019]; Available from: </w:t>
      </w:r>
      <w:hyperlink r:id="rId24" w:history="1">
        <w:r w:rsidR="00961AD0" w:rsidRPr="009935FE">
          <w:rPr>
            <w:rStyle w:val="Hyperlink"/>
            <w:rFonts w:ascii="Arial" w:hAnsi="Arial" w:cs="Arial"/>
            <w:iCs/>
            <w:sz w:val="22"/>
            <w:szCs w:val="22"/>
          </w:rPr>
          <w:t>https://www.ncas-australia.org/education</w:t>
        </w:r>
      </w:hyperlink>
    </w:p>
    <w:p w:rsidR="009935FE" w:rsidRPr="009935FE" w:rsidRDefault="009935FE" w:rsidP="00ED3A0D">
      <w:pPr>
        <w:pStyle w:val="EndNoteBibliography"/>
        <w:spacing w:after="0"/>
        <w:ind w:left="720" w:hanging="720"/>
        <w:contextualSpacing/>
        <w:rPr>
          <w:rFonts w:ascii="Arial" w:hAnsi="Arial" w:cs="Arial"/>
          <w:iCs/>
          <w:sz w:val="22"/>
          <w:szCs w:val="22"/>
        </w:rPr>
      </w:pPr>
      <w:r w:rsidRPr="009935FE">
        <w:rPr>
          <w:rFonts w:ascii="Arial" w:hAnsi="Arial" w:cs="Arial"/>
          <w:iCs/>
          <w:sz w:val="22"/>
          <w:szCs w:val="22"/>
        </w:rPr>
        <w:t xml:space="preserve"> </w:t>
      </w:r>
    </w:p>
    <w:p w:rsidR="00A6188F" w:rsidRDefault="009935FE" w:rsidP="00ED3A0D">
      <w:pPr>
        <w:spacing w:after="0" w:line="240" w:lineRule="auto"/>
        <w:contextualSpacing/>
        <w:rPr>
          <w:rFonts w:ascii="Arial" w:hAnsi="Arial" w:cs="Arial"/>
          <w:bCs/>
          <w:sz w:val="22"/>
          <w:szCs w:val="22"/>
        </w:rPr>
      </w:pPr>
      <w:r w:rsidRPr="009935FE">
        <w:rPr>
          <w:rFonts w:ascii="Arial" w:hAnsi="Arial" w:cs="Arial"/>
          <w:iCs/>
          <w:sz w:val="22"/>
          <w:szCs w:val="22"/>
        </w:rPr>
        <w:t>1</w:t>
      </w:r>
      <w:r w:rsidR="004E6241">
        <w:rPr>
          <w:rFonts w:ascii="Arial" w:hAnsi="Arial" w:cs="Arial"/>
          <w:iCs/>
          <w:sz w:val="22"/>
          <w:szCs w:val="22"/>
        </w:rPr>
        <w:t>7</w:t>
      </w:r>
      <w:r w:rsidRPr="009935FE">
        <w:rPr>
          <w:rFonts w:ascii="Arial" w:hAnsi="Arial" w:cs="Arial"/>
          <w:iCs/>
          <w:sz w:val="22"/>
          <w:szCs w:val="22"/>
        </w:rPr>
        <w:t xml:space="preserve">. </w:t>
      </w:r>
      <w:r w:rsidR="00A6188F">
        <w:rPr>
          <w:rFonts w:ascii="Arial" w:hAnsi="Arial" w:cs="Arial"/>
          <w:iCs/>
          <w:sz w:val="22"/>
          <w:szCs w:val="22"/>
        </w:rPr>
        <w:t xml:space="preserve">     </w:t>
      </w:r>
      <w:r w:rsidR="00A6188F" w:rsidRPr="00A6188F">
        <w:rPr>
          <w:rFonts w:ascii="Arial" w:hAnsi="Arial" w:cs="Arial"/>
          <w:bCs/>
          <w:sz w:val="22"/>
          <w:szCs w:val="22"/>
        </w:rPr>
        <w:t xml:space="preserve">Pricing and Funding for Safety and Quality – Risk Adjustment Model for Hospital </w:t>
      </w:r>
      <w:r w:rsidR="00A6188F">
        <w:rPr>
          <w:rFonts w:ascii="Arial" w:hAnsi="Arial" w:cs="Arial"/>
          <w:bCs/>
          <w:sz w:val="22"/>
          <w:szCs w:val="22"/>
        </w:rPr>
        <w:t xml:space="preserve">     </w:t>
      </w:r>
    </w:p>
    <w:p w:rsidR="00A6188F" w:rsidRDefault="00A6188F" w:rsidP="00ED3A0D">
      <w:pPr>
        <w:spacing w:after="0" w:line="240" w:lineRule="auto"/>
        <w:ind w:left="669"/>
        <w:contextualSpacing/>
        <w:rPr>
          <w:rFonts w:ascii="Arial" w:hAnsi="Arial" w:cs="Arial"/>
          <w:sz w:val="22"/>
          <w:szCs w:val="22"/>
        </w:rPr>
      </w:pPr>
      <w:r w:rsidRPr="00A6188F">
        <w:rPr>
          <w:rFonts w:ascii="Arial" w:hAnsi="Arial" w:cs="Arial"/>
          <w:bCs/>
          <w:sz w:val="22"/>
          <w:szCs w:val="22"/>
        </w:rPr>
        <w:t>Acquired Complications – March 2019</w:t>
      </w:r>
      <w:r w:rsidR="009935FE" w:rsidRPr="00A6188F">
        <w:rPr>
          <w:rFonts w:ascii="Arial" w:hAnsi="Arial" w:cs="Arial"/>
          <w:iCs/>
          <w:sz w:val="22"/>
          <w:szCs w:val="22"/>
        </w:rPr>
        <w:t xml:space="preserve">    </w:t>
      </w:r>
      <w:r w:rsidRPr="00A6188F">
        <w:rPr>
          <w:rFonts w:ascii="Arial" w:hAnsi="Arial" w:cs="Arial"/>
          <w:sz w:val="22"/>
          <w:szCs w:val="22"/>
        </w:rPr>
        <w:t>[cited 28 July 28, 2020]; Available from:</w:t>
      </w:r>
      <w:r>
        <w:rPr>
          <w:rFonts w:ascii="Arial" w:hAnsi="Arial" w:cs="Arial"/>
          <w:sz w:val="22"/>
          <w:szCs w:val="22"/>
        </w:rPr>
        <w:t xml:space="preserve"> </w:t>
      </w:r>
      <w:r>
        <w:rPr>
          <w:rFonts w:ascii="Arial" w:hAnsi="Arial" w:cs="Arial"/>
          <w:sz w:val="22"/>
          <w:szCs w:val="22"/>
        </w:rPr>
        <w:br/>
      </w:r>
      <w:hyperlink r:id="rId25" w:history="1">
        <w:r w:rsidRPr="00A6188F">
          <w:rPr>
            <w:rStyle w:val="Hyperlink"/>
            <w:rFonts w:ascii="Arial" w:hAnsi="Arial" w:cs="Arial"/>
            <w:sz w:val="22"/>
            <w:szCs w:val="22"/>
          </w:rPr>
          <w:t>https://www.ihpa.gov.au/sites/default/files/publications/pricing_and_funding_for_safety_and_quality_-_risk_adjustment_model_for_hospital_acquired_complications_2019-20.pdf</w:t>
        </w:r>
      </w:hyperlink>
    </w:p>
    <w:p w:rsidR="00ED3A0D" w:rsidRPr="00A6188F" w:rsidRDefault="00ED3A0D" w:rsidP="00ED3A0D">
      <w:pPr>
        <w:spacing w:after="0" w:line="240" w:lineRule="auto"/>
        <w:ind w:left="669"/>
        <w:contextualSpacing/>
        <w:rPr>
          <w:rFonts w:ascii="Arial" w:hAnsi="Arial" w:cs="Arial"/>
          <w:sz w:val="22"/>
          <w:szCs w:val="22"/>
        </w:rPr>
      </w:pPr>
    </w:p>
    <w:p w:rsidR="00A6188F" w:rsidRPr="00680917" w:rsidRDefault="00A6188F" w:rsidP="00A6188F">
      <w:pPr>
        <w:spacing w:after="0" w:line="240" w:lineRule="auto"/>
        <w:rPr>
          <w:rFonts w:ascii="Arial" w:hAnsi="Arial" w:cs="Arial"/>
          <w:sz w:val="22"/>
        </w:rPr>
      </w:pPr>
      <w:r w:rsidRPr="00A16CCD">
        <w:rPr>
          <w:rFonts w:ascii="Arial" w:hAnsi="Arial" w:cs="Arial"/>
        </w:rPr>
        <w:t>18</w:t>
      </w:r>
      <w:r>
        <w:t xml:space="preserve">.     </w:t>
      </w:r>
      <w:r w:rsidR="00835767">
        <w:rPr>
          <w:rFonts w:ascii="Arial" w:hAnsi="Arial" w:cs="Arial"/>
          <w:sz w:val="22"/>
        </w:rPr>
        <w:t xml:space="preserve">Australian </w:t>
      </w:r>
      <w:r w:rsidR="004F3788">
        <w:rPr>
          <w:rFonts w:ascii="Arial" w:hAnsi="Arial" w:cs="Arial"/>
          <w:sz w:val="22"/>
        </w:rPr>
        <w:t>Institute</w:t>
      </w:r>
      <w:r w:rsidR="00835767">
        <w:rPr>
          <w:rFonts w:ascii="Arial" w:hAnsi="Arial" w:cs="Arial"/>
          <w:sz w:val="22"/>
        </w:rPr>
        <w:t xml:space="preserve"> of Health and Welfare</w:t>
      </w:r>
      <w:r w:rsidR="00835767" w:rsidRPr="00680917">
        <w:rPr>
          <w:rFonts w:ascii="Arial" w:hAnsi="Arial" w:cs="Arial"/>
          <w:sz w:val="22"/>
        </w:rPr>
        <w:t xml:space="preserve">.Admitted patient care 2018-2019 appendix </w:t>
      </w:r>
      <w:r w:rsidRPr="00680917">
        <w:rPr>
          <w:rFonts w:ascii="Arial" w:hAnsi="Arial" w:cs="Arial"/>
          <w:sz w:val="22"/>
        </w:rPr>
        <w:t xml:space="preserve"> </w:t>
      </w:r>
    </w:p>
    <w:p w:rsidR="00A6188F" w:rsidRPr="00A6188F" w:rsidRDefault="00A6188F" w:rsidP="00A6188F">
      <w:pPr>
        <w:spacing w:after="0" w:line="240" w:lineRule="auto"/>
        <w:rPr>
          <w:rFonts w:ascii="Arial" w:hAnsi="Arial" w:cs="Arial"/>
        </w:rPr>
      </w:pPr>
      <w:r w:rsidRPr="00680917">
        <w:rPr>
          <w:rFonts w:ascii="Arial" w:hAnsi="Arial" w:cs="Arial"/>
          <w:sz w:val="22"/>
        </w:rPr>
        <w:t xml:space="preserve">          </w:t>
      </w:r>
      <w:r w:rsidR="00835767" w:rsidRPr="00680917">
        <w:rPr>
          <w:rFonts w:ascii="Arial" w:hAnsi="Arial" w:cs="Arial"/>
          <w:sz w:val="22"/>
        </w:rPr>
        <w:t>table</w:t>
      </w:r>
      <w:r w:rsidR="00835767">
        <w:rPr>
          <w:rFonts w:ascii="Arial" w:hAnsi="Arial" w:cs="Arial"/>
          <w:sz w:val="22"/>
        </w:rPr>
        <w:t xml:space="preserve">. </w:t>
      </w:r>
      <w:r w:rsidR="004C7491">
        <w:rPr>
          <w:rFonts w:ascii="Arial" w:hAnsi="Arial" w:cs="Arial"/>
          <w:sz w:val="22"/>
        </w:rPr>
        <w:t>[cited 20 July 2020]; Available from:</w:t>
      </w:r>
      <w:r w:rsidR="004C7491" w:rsidRPr="004C7491">
        <w:rPr>
          <w:rFonts w:ascii="Arial" w:hAnsi="Arial" w:cs="Arial"/>
        </w:rPr>
        <w:t xml:space="preserve"> </w:t>
      </w:r>
      <w:r w:rsidR="004C7491" w:rsidRPr="00A6188F">
        <w:rPr>
          <w:rFonts w:ascii="Arial" w:hAnsi="Arial" w:cs="Arial"/>
        </w:rPr>
        <w:t>https://www.aihw.gov.au/reports-</w:t>
      </w:r>
      <w:r w:rsidRPr="00A6188F">
        <w:rPr>
          <w:rFonts w:ascii="Arial" w:hAnsi="Arial" w:cs="Arial"/>
        </w:rPr>
        <w:t xml:space="preserve"> </w:t>
      </w:r>
    </w:p>
    <w:p w:rsidR="00835767" w:rsidRDefault="00A6188F" w:rsidP="00A6188F">
      <w:pPr>
        <w:spacing w:after="0" w:line="240" w:lineRule="auto"/>
        <w:rPr>
          <w:rFonts w:ascii="Arial" w:hAnsi="Arial" w:cs="Arial"/>
        </w:rPr>
      </w:pPr>
      <w:r w:rsidRPr="00A6188F">
        <w:rPr>
          <w:rFonts w:ascii="Arial" w:hAnsi="Arial" w:cs="Arial"/>
        </w:rPr>
        <w:t xml:space="preserve">         </w:t>
      </w:r>
      <w:r w:rsidR="004C7491" w:rsidRPr="00A6188F">
        <w:rPr>
          <w:rFonts w:ascii="Arial" w:hAnsi="Arial" w:cs="Arial"/>
        </w:rPr>
        <w:t>data/myhospitals/content/data-downloads</w:t>
      </w:r>
    </w:p>
    <w:p w:rsidR="00ED3A0D" w:rsidRPr="00A6188F" w:rsidRDefault="00ED3A0D" w:rsidP="00A6188F">
      <w:pPr>
        <w:spacing w:after="0" w:line="240" w:lineRule="auto"/>
        <w:rPr>
          <w:sz w:val="22"/>
          <w:szCs w:val="22"/>
        </w:rPr>
      </w:pPr>
    </w:p>
    <w:p w:rsidR="0021607A" w:rsidRDefault="004C7491" w:rsidP="00716A74">
      <w:pPr>
        <w:pStyle w:val="EndNoteBibliography"/>
        <w:spacing w:after="0"/>
        <w:ind w:left="567" w:hanging="567"/>
        <w:contextualSpacing/>
        <w:rPr>
          <w:rFonts w:ascii="Arial" w:hAnsi="Arial" w:cs="Arial"/>
          <w:iCs/>
          <w:sz w:val="22"/>
          <w:szCs w:val="22"/>
        </w:rPr>
      </w:pPr>
      <w:r>
        <w:rPr>
          <w:rFonts w:ascii="Arial" w:hAnsi="Arial" w:cs="Arial"/>
          <w:iCs/>
          <w:sz w:val="22"/>
          <w:szCs w:val="22"/>
        </w:rPr>
        <w:t>1</w:t>
      </w:r>
      <w:r w:rsidR="00A6188F">
        <w:rPr>
          <w:rFonts w:ascii="Arial" w:hAnsi="Arial" w:cs="Arial"/>
          <w:iCs/>
          <w:sz w:val="22"/>
          <w:szCs w:val="22"/>
        </w:rPr>
        <w:t>9</w:t>
      </w:r>
      <w:r>
        <w:rPr>
          <w:rFonts w:ascii="Arial" w:hAnsi="Arial" w:cs="Arial"/>
          <w:iCs/>
          <w:sz w:val="22"/>
          <w:szCs w:val="22"/>
        </w:rPr>
        <w:t xml:space="preserve">.    </w:t>
      </w:r>
      <w:r w:rsidR="00680917">
        <w:rPr>
          <w:rFonts w:ascii="Arial" w:hAnsi="Arial" w:cs="Arial"/>
          <w:iCs/>
          <w:sz w:val="22"/>
          <w:szCs w:val="22"/>
        </w:rPr>
        <w:t>Jeon CY, Neidell M, Jia H, Sinisi M and Larson</w:t>
      </w:r>
      <w:r w:rsidR="009935FE" w:rsidRPr="009935FE">
        <w:rPr>
          <w:rFonts w:ascii="Arial" w:hAnsi="Arial" w:cs="Arial"/>
          <w:iCs/>
          <w:sz w:val="22"/>
          <w:szCs w:val="22"/>
        </w:rPr>
        <w:t xml:space="preserve"> E. </w:t>
      </w:r>
      <w:r w:rsidR="009935FE" w:rsidRPr="00680917">
        <w:rPr>
          <w:rFonts w:ascii="Arial" w:hAnsi="Arial" w:cs="Arial"/>
          <w:iCs/>
          <w:sz w:val="22"/>
          <w:szCs w:val="22"/>
        </w:rPr>
        <w:t>On the role of length of stay in</w:t>
      </w:r>
      <w:r w:rsidR="00716A74" w:rsidRPr="00680917">
        <w:rPr>
          <w:rFonts w:ascii="Arial" w:hAnsi="Arial" w:cs="Arial"/>
          <w:iCs/>
          <w:sz w:val="22"/>
          <w:szCs w:val="22"/>
        </w:rPr>
        <w:t xml:space="preserve"> </w:t>
      </w:r>
      <w:r w:rsidR="009935FE" w:rsidRPr="00680917">
        <w:rPr>
          <w:rFonts w:ascii="Arial" w:hAnsi="Arial" w:cs="Arial"/>
          <w:iCs/>
          <w:sz w:val="22"/>
          <w:szCs w:val="22"/>
        </w:rPr>
        <w:t xml:space="preserve">Healthcare-Associated  Bloodstream Infection. </w:t>
      </w:r>
      <w:r w:rsidR="009935FE" w:rsidRPr="00680917">
        <w:rPr>
          <w:rFonts w:ascii="Arial" w:hAnsi="Arial" w:cs="Arial"/>
          <w:i/>
          <w:iCs/>
          <w:sz w:val="22"/>
          <w:szCs w:val="22"/>
        </w:rPr>
        <w:t>Infection Control and Hospital</w:t>
      </w:r>
      <w:r w:rsidR="00E0337A" w:rsidRPr="00680917">
        <w:rPr>
          <w:rFonts w:ascii="Arial" w:hAnsi="Arial" w:cs="Arial"/>
          <w:i/>
          <w:iCs/>
          <w:sz w:val="22"/>
          <w:szCs w:val="22"/>
        </w:rPr>
        <w:t xml:space="preserve"> </w:t>
      </w:r>
      <w:r w:rsidR="009935FE" w:rsidRPr="00680917">
        <w:rPr>
          <w:rFonts w:ascii="Arial" w:hAnsi="Arial" w:cs="Arial"/>
          <w:i/>
          <w:iCs/>
          <w:sz w:val="22"/>
          <w:szCs w:val="22"/>
        </w:rPr>
        <w:t>Epideminology</w:t>
      </w:r>
      <w:r w:rsidR="009935FE" w:rsidRPr="009935FE">
        <w:rPr>
          <w:rFonts w:ascii="Arial" w:hAnsi="Arial" w:cs="Arial"/>
          <w:iCs/>
          <w:sz w:val="22"/>
          <w:szCs w:val="22"/>
        </w:rPr>
        <w:t>. 2012. 33(12): 1213-1218 doi:10.1086/668422</w:t>
      </w:r>
    </w:p>
    <w:p w:rsidR="00ED3A0D" w:rsidRDefault="00ED3A0D" w:rsidP="00A6188F">
      <w:pPr>
        <w:pStyle w:val="EndNoteBibliography"/>
        <w:spacing w:after="0"/>
        <w:ind w:left="720" w:hanging="720"/>
        <w:contextualSpacing/>
        <w:rPr>
          <w:rFonts w:ascii="Arial" w:hAnsi="Arial" w:cs="Arial"/>
          <w:iCs/>
          <w:sz w:val="22"/>
          <w:szCs w:val="22"/>
        </w:rPr>
      </w:pPr>
    </w:p>
    <w:p w:rsidR="003E2C24" w:rsidRPr="003E2C24" w:rsidRDefault="00A6188F" w:rsidP="00E0337A">
      <w:pPr>
        <w:pStyle w:val="EndNoteBibliography"/>
        <w:spacing w:after="0"/>
        <w:ind w:left="567" w:hanging="567"/>
        <w:contextualSpacing/>
        <w:rPr>
          <w:rFonts w:ascii="Arial" w:hAnsi="Arial" w:cs="Arial"/>
          <w:iCs/>
          <w:sz w:val="22"/>
          <w:szCs w:val="22"/>
        </w:rPr>
      </w:pPr>
      <w:r>
        <w:rPr>
          <w:rFonts w:ascii="Arial" w:hAnsi="Arial" w:cs="Arial"/>
          <w:iCs/>
          <w:sz w:val="22"/>
          <w:szCs w:val="22"/>
        </w:rPr>
        <w:t>20</w:t>
      </w:r>
      <w:r w:rsidR="00E0337A">
        <w:rPr>
          <w:rFonts w:ascii="Arial" w:hAnsi="Arial" w:cs="Arial"/>
          <w:iCs/>
          <w:sz w:val="22"/>
          <w:szCs w:val="22"/>
        </w:rPr>
        <w:t xml:space="preserve">.    </w:t>
      </w:r>
      <w:r w:rsidR="00680917">
        <w:rPr>
          <w:rFonts w:ascii="Arial" w:hAnsi="Arial" w:cs="Arial"/>
          <w:iCs/>
          <w:sz w:val="22"/>
          <w:szCs w:val="22"/>
        </w:rPr>
        <w:t>Ooijevaar RE</w:t>
      </w:r>
      <w:r w:rsidR="003E2C24">
        <w:rPr>
          <w:rFonts w:ascii="Arial" w:hAnsi="Arial" w:cs="Arial"/>
          <w:iCs/>
          <w:sz w:val="22"/>
          <w:szCs w:val="22"/>
        </w:rPr>
        <w:t>,</w:t>
      </w:r>
      <w:r w:rsidR="00680917">
        <w:rPr>
          <w:rFonts w:ascii="Arial" w:hAnsi="Arial" w:cs="Arial"/>
          <w:iCs/>
          <w:sz w:val="22"/>
          <w:szCs w:val="22"/>
        </w:rPr>
        <w:t xml:space="preserve"> van Beurden YH</w:t>
      </w:r>
      <w:r w:rsidR="003E2C24">
        <w:rPr>
          <w:rFonts w:ascii="Arial" w:hAnsi="Arial" w:cs="Arial"/>
          <w:iCs/>
          <w:sz w:val="22"/>
          <w:szCs w:val="22"/>
        </w:rPr>
        <w:t>,</w:t>
      </w:r>
      <w:r w:rsidR="00680917">
        <w:rPr>
          <w:rFonts w:ascii="Arial" w:hAnsi="Arial" w:cs="Arial"/>
          <w:iCs/>
          <w:sz w:val="22"/>
          <w:szCs w:val="22"/>
        </w:rPr>
        <w:t xml:space="preserve"> Terveer EM</w:t>
      </w:r>
      <w:r w:rsidR="003E2C24">
        <w:rPr>
          <w:rFonts w:ascii="Arial" w:hAnsi="Arial" w:cs="Arial"/>
          <w:iCs/>
          <w:sz w:val="22"/>
          <w:szCs w:val="22"/>
        </w:rPr>
        <w:t>,</w:t>
      </w:r>
      <w:r w:rsidR="00680917">
        <w:rPr>
          <w:rFonts w:ascii="Arial" w:hAnsi="Arial" w:cs="Arial"/>
          <w:iCs/>
          <w:sz w:val="22"/>
          <w:szCs w:val="22"/>
        </w:rPr>
        <w:t xml:space="preserve"> et al</w:t>
      </w:r>
      <w:r w:rsidR="003E2C24" w:rsidRPr="003E2C24">
        <w:rPr>
          <w:rFonts w:ascii="Arial" w:hAnsi="Arial" w:cs="Arial"/>
          <w:iCs/>
          <w:sz w:val="22"/>
          <w:szCs w:val="22"/>
        </w:rPr>
        <w:t>.</w:t>
      </w:r>
      <w:r w:rsidR="003E2C24">
        <w:rPr>
          <w:rFonts w:ascii="Arial" w:hAnsi="Arial" w:cs="Arial"/>
          <w:iCs/>
          <w:sz w:val="22"/>
          <w:szCs w:val="22"/>
        </w:rPr>
        <w:t xml:space="preserve"> </w:t>
      </w:r>
      <w:r w:rsidR="003E2C24" w:rsidRPr="003E2C24">
        <w:rPr>
          <w:rFonts w:ascii="Arial" w:hAnsi="Arial" w:cs="Arial"/>
          <w:iCs/>
          <w:sz w:val="22"/>
          <w:szCs w:val="22"/>
        </w:rPr>
        <w:t xml:space="preserve">Update of treatment algorithms for </w:t>
      </w:r>
      <w:r w:rsidR="003E2C24" w:rsidRPr="00680917">
        <w:rPr>
          <w:rFonts w:ascii="Arial" w:hAnsi="Arial" w:cs="Arial"/>
          <w:i/>
          <w:iCs/>
          <w:sz w:val="22"/>
          <w:szCs w:val="22"/>
        </w:rPr>
        <w:t>Clostridium difficile</w:t>
      </w:r>
      <w:r w:rsidR="003E2C24">
        <w:rPr>
          <w:rFonts w:ascii="Arial" w:hAnsi="Arial" w:cs="Arial"/>
          <w:iCs/>
          <w:sz w:val="22"/>
          <w:szCs w:val="22"/>
        </w:rPr>
        <w:t xml:space="preserve"> infection, </w:t>
      </w:r>
      <w:r w:rsidR="003E2C24" w:rsidRPr="00680917">
        <w:rPr>
          <w:rFonts w:ascii="Arial" w:hAnsi="Arial" w:cs="Arial"/>
          <w:i/>
          <w:iCs/>
          <w:sz w:val="22"/>
          <w:szCs w:val="22"/>
        </w:rPr>
        <w:t>Clinical Microbiology and Infection</w:t>
      </w:r>
      <w:r w:rsidR="003E2C24">
        <w:rPr>
          <w:rFonts w:ascii="Arial" w:hAnsi="Arial" w:cs="Arial"/>
          <w:iCs/>
          <w:sz w:val="22"/>
          <w:szCs w:val="22"/>
        </w:rPr>
        <w:t xml:space="preserve">, 2018. 24: 5, </w:t>
      </w:r>
      <w:r w:rsidR="003E2C24" w:rsidRPr="003E2C24">
        <w:rPr>
          <w:rFonts w:ascii="Arial" w:hAnsi="Arial" w:cs="Arial"/>
          <w:iCs/>
          <w:sz w:val="22"/>
          <w:szCs w:val="22"/>
        </w:rPr>
        <w:t>452-462,</w:t>
      </w:r>
      <w:r w:rsidR="003E2C24">
        <w:rPr>
          <w:rFonts w:ascii="Arial" w:hAnsi="Arial" w:cs="Arial"/>
          <w:iCs/>
          <w:sz w:val="22"/>
          <w:szCs w:val="22"/>
        </w:rPr>
        <w:t>[cited 23 July 2020] Available from:</w:t>
      </w:r>
      <w:r w:rsidR="00E0337A">
        <w:rPr>
          <w:rFonts w:ascii="Arial" w:hAnsi="Arial" w:cs="Arial"/>
          <w:iCs/>
          <w:sz w:val="22"/>
          <w:szCs w:val="22"/>
        </w:rPr>
        <w:t xml:space="preserve"> </w:t>
      </w:r>
      <w:hyperlink r:id="rId26" w:history="1">
        <w:r w:rsidR="003E2C24" w:rsidRPr="00E0337A">
          <w:rPr>
            <w:rStyle w:val="Hyperlink"/>
            <w:rFonts w:ascii="Arial" w:hAnsi="Arial" w:cs="Arial"/>
            <w:iCs/>
            <w:sz w:val="22"/>
            <w:szCs w:val="22"/>
          </w:rPr>
          <w:t>http://www.sciencedirect.com/science/article/pii/S1198743X18300211</w:t>
        </w:r>
      </w:hyperlink>
      <w:r w:rsidR="00E0337A">
        <w:rPr>
          <w:rFonts w:ascii="Arial" w:hAnsi="Arial" w:cs="Arial"/>
          <w:iCs/>
          <w:sz w:val="22"/>
          <w:szCs w:val="22"/>
        </w:rPr>
        <w:t xml:space="preserve"> </w:t>
      </w:r>
      <w:r w:rsidR="003E2C24" w:rsidRPr="003E2C24">
        <w:rPr>
          <w:rFonts w:ascii="Arial" w:hAnsi="Arial" w:cs="Arial"/>
          <w:iCs/>
          <w:sz w:val="22"/>
          <w:szCs w:val="22"/>
        </w:rPr>
        <w:t>doi.org/10.1016/j.cmi.2017.12.022.</w:t>
      </w:r>
    </w:p>
    <w:p w:rsidR="009935FE" w:rsidRDefault="009935FE" w:rsidP="0021607A">
      <w:pPr>
        <w:pStyle w:val="EndNoteBibliography"/>
        <w:ind w:left="720" w:hanging="720"/>
        <w:rPr>
          <w:rFonts w:ascii="Arial" w:hAnsi="Arial" w:cs="Arial"/>
          <w:sz w:val="22"/>
          <w:szCs w:val="22"/>
        </w:rPr>
      </w:pPr>
    </w:p>
    <w:p w:rsidR="00835767" w:rsidRPr="009935FE" w:rsidRDefault="00835767" w:rsidP="0021607A">
      <w:pPr>
        <w:pStyle w:val="EndNoteBibliography"/>
        <w:ind w:left="720" w:hanging="720"/>
        <w:rPr>
          <w:rFonts w:ascii="Arial" w:hAnsi="Arial" w:cs="Arial"/>
          <w:sz w:val="22"/>
          <w:szCs w:val="22"/>
        </w:rPr>
      </w:pPr>
    </w:p>
    <w:p w:rsidR="00190A23" w:rsidRPr="0041170B" w:rsidRDefault="0041170B" w:rsidP="0041170B">
      <w:pPr>
        <w:spacing w:after="0" w:line="240" w:lineRule="auto"/>
        <w:ind w:left="720"/>
        <w:rPr>
          <w:rFonts w:ascii="Arial" w:hAnsi="Arial" w:cs="Arial"/>
          <w:sz w:val="22"/>
        </w:rPr>
      </w:pPr>
      <w:r w:rsidRPr="009935FE">
        <w:rPr>
          <w:rFonts w:ascii="Arial" w:hAnsi="Arial" w:cs="Arial"/>
          <w:sz w:val="22"/>
        </w:rPr>
        <w:fldChar w:fldCharType="end"/>
      </w:r>
      <w:r w:rsidR="00AF7B77">
        <w:rPr>
          <w:rFonts w:ascii="Arial" w:hAnsi="Arial" w:cs="Arial"/>
          <w:sz w:val="22"/>
        </w:rPr>
        <w:fldChar w:fldCharType="begin"/>
      </w:r>
      <w:r w:rsidR="00AF7B77">
        <w:rPr>
          <w:rFonts w:ascii="Arial" w:hAnsi="Arial" w:cs="Arial"/>
          <w:sz w:val="22"/>
        </w:rPr>
        <w:instrText xml:space="preserve"> ADDIN </w:instrText>
      </w:r>
      <w:r w:rsidR="00AF7B77">
        <w:rPr>
          <w:rFonts w:ascii="Arial" w:hAnsi="Arial" w:cs="Arial"/>
          <w:sz w:val="22"/>
        </w:rPr>
        <w:fldChar w:fldCharType="end"/>
      </w:r>
    </w:p>
    <w:sectPr w:rsidR="00190A23" w:rsidRPr="0041170B" w:rsidSect="00AC7681">
      <w:footerReference w:type="default" r:id="rId27"/>
      <w:pgSz w:w="11900" w:h="16840" w:code="9"/>
      <w:pgMar w:top="1135" w:right="127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FF2" w:rsidRDefault="00DD1FF2" w:rsidP="007224B3">
      <w:pPr>
        <w:spacing w:after="0" w:line="240" w:lineRule="auto"/>
      </w:pPr>
      <w:r>
        <w:separator/>
      </w:r>
    </w:p>
  </w:endnote>
  <w:endnote w:type="continuationSeparator" w:id="0">
    <w:p w:rsidR="00DD1FF2" w:rsidRDefault="00DD1FF2" w:rsidP="0072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9E" w:rsidRPr="00196E4F" w:rsidRDefault="00232463" w:rsidP="004814D7">
    <w:pPr>
      <w:pStyle w:val="Footer"/>
      <w:tabs>
        <w:tab w:val="clear" w:pos="4513"/>
        <w:tab w:val="center" w:pos="6804"/>
      </w:tabs>
      <w:jc w:val="right"/>
      <w:rPr>
        <w:rFonts w:ascii="Arial" w:hAnsi="Arial" w:cs="Arial"/>
        <w:sz w:val="22"/>
      </w:rPr>
    </w:pPr>
    <w:r w:rsidRPr="004814D7">
      <w:rPr>
        <w:rFonts w:ascii="Arial" w:hAnsi="Arial" w:cs="Arial"/>
        <w:i/>
        <w:sz w:val="20"/>
      </w:rPr>
      <w:t>Clostrid</w:t>
    </w:r>
    <w:r>
      <w:rPr>
        <w:rFonts w:ascii="Arial" w:hAnsi="Arial" w:cs="Arial"/>
        <w:i/>
        <w:sz w:val="20"/>
      </w:rPr>
      <w:t xml:space="preserve">ioides </w:t>
    </w:r>
    <w:r w:rsidRPr="004814D7">
      <w:rPr>
        <w:rFonts w:ascii="Arial" w:hAnsi="Arial" w:cs="Arial"/>
        <w:i/>
        <w:sz w:val="20"/>
      </w:rPr>
      <w:t>difficile</w:t>
    </w:r>
    <w:r w:rsidR="00BB3106">
      <w:rPr>
        <w:rFonts w:ascii="Arial" w:hAnsi="Arial" w:cs="Arial"/>
        <w:sz w:val="20"/>
      </w:rPr>
      <w:t xml:space="preserve"> infection: 2018</w:t>
    </w:r>
    <w:r w:rsidR="002A599E" w:rsidRPr="004814D7">
      <w:rPr>
        <w:rFonts w:ascii="Arial" w:hAnsi="Arial" w:cs="Arial"/>
        <w:sz w:val="20"/>
      </w:rPr>
      <w:t xml:space="preserve"> </w:t>
    </w:r>
    <w:r w:rsidR="004814D7" w:rsidRPr="004814D7">
      <w:rPr>
        <w:rFonts w:ascii="Arial" w:hAnsi="Arial" w:cs="Arial"/>
        <w:sz w:val="20"/>
      </w:rPr>
      <w:t xml:space="preserve">Data </w:t>
    </w:r>
    <w:r w:rsidR="002A599E" w:rsidRPr="004814D7">
      <w:rPr>
        <w:rFonts w:ascii="Arial" w:hAnsi="Arial" w:cs="Arial"/>
        <w:sz w:val="20"/>
      </w:rPr>
      <w:t>Snapshot</w:t>
    </w:r>
    <w:r w:rsidR="004814D7" w:rsidRPr="004814D7">
      <w:rPr>
        <w:rFonts w:ascii="Arial" w:hAnsi="Arial" w:cs="Arial"/>
        <w:sz w:val="20"/>
      </w:rPr>
      <w:t xml:space="preserve"> </w:t>
    </w:r>
    <w:r w:rsidR="0014030D">
      <w:rPr>
        <w:rFonts w:ascii="Arial" w:hAnsi="Arial" w:cs="Arial"/>
        <w:sz w:val="20"/>
      </w:rPr>
      <w:t>Report</w:t>
    </w:r>
    <w:r w:rsidR="002A599E" w:rsidRPr="00196E4F">
      <w:rPr>
        <w:rFonts w:ascii="Arial" w:hAnsi="Arial" w:cs="Arial"/>
        <w:sz w:val="22"/>
      </w:rPr>
      <w:tab/>
    </w:r>
    <w:r w:rsidR="002A599E" w:rsidRPr="00196E4F">
      <w:rPr>
        <w:rFonts w:ascii="Arial" w:hAnsi="Arial" w:cs="Arial"/>
        <w:sz w:val="22"/>
      </w:rPr>
      <w:tab/>
    </w:r>
    <w:r w:rsidR="002A599E" w:rsidRPr="00196E4F">
      <w:rPr>
        <w:rFonts w:ascii="Arial" w:hAnsi="Arial" w:cs="Arial"/>
        <w:sz w:val="22"/>
      </w:rPr>
      <w:fldChar w:fldCharType="begin"/>
    </w:r>
    <w:r w:rsidR="002A599E" w:rsidRPr="00196E4F">
      <w:rPr>
        <w:rFonts w:ascii="Arial" w:hAnsi="Arial" w:cs="Arial"/>
        <w:sz w:val="22"/>
      </w:rPr>
      <w:instrText xml:space="preserve"> PAGE   \* MERGEFORMAT </w:instrText>
    </w:r>
    <w:r w:rsidR="002A599E" w:rsidRPr="00196E4F">
      <w:rPr>
        <w:rFonts w:ascii="Arial" w:hAnsi="Arial" w:cs="Arial"/>
        <w:sz w:val="22"/>
      </w:rPr>
      <w:fldChar w:fldCharType="separate"/>
    </w:r>
    <w:r w:rsidR="007B5B2C">
      <w:rPr>
        <w:rFonts w:ascii="Arial" w:hAnsi="Arial" w:cs="Arial"/>
        <w:noProof/>
        <w:sz w:val="22"/>
      </w:rPr>
      <w:t>1</w:t>
    </w:r>
    <w:r w:rsidR="002A599E" w:rsidRPr="00196E4F">
      <w:rPr>
        <w:rFonts w:ascii="Arial" w:hAnsi="Arial" w:cs="Arial"/>
        <w:noProof/>
        <w:sz w:val="22"/>
      </w:rPr>
      <w:fldChar w:fldCharType="end"/>
    </w:r>
  </w:p>
  <w:p w:rsidR="002A599E" w:rsidRDefault="002A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FF2" w:rsidRDefault="00DD1FF2" w:rsidP="007224B3">
      <w:pPr>
        <w:spacing w:after="0" w:line="240" w:lineRule="auto"/>
      </w:pPr>
      <w:r>
        <w:separator/>
      </w:r>
    </w:p>
  </w:footnote>
  <w:footnote w:type="continuationSeparator" w:id="0">
    <w:p w:rsidR="00DD1FF2" w:rsidRDefault="00DD1FF2" w:rsidP="007224B3">
      <w:pPr>
        <w:spacing w:after="0" w:line="240" w:lineRule="auto"/>
      </w:pPr>
      <w:r>
        <w:continuationSeparator/>
      </w:r>
    </w:p>
  </w:footnote>
  <w:footnote w:id="1">
    <w:p w:rsidR="00763107" w:rsidRPr="007A38C5" w:rsidRDefault="00763107" w:rsidP="00763107">
      <w:pPr>
        <w:rPr>
          <w:rFonts w:ascii="Arial" w:hAnsi="Arial" w:cs="Arial"/>
          <w:i/>
          <w:sz w:val="22"/>
        </w:rPr>
      </w:pPr>
      <w:r>
        <w:rPr>
          <w:rStyle w:val="FootnoteReference"/>
        </w:rPr>
        <w:t>*</w:t>
      </w:r>
      <w:r w:rsidRPr="00763107">
        <w:rPr>
          <w:rFonts w:ascii="Arial" w:hAnsi="Arial" w:cs="Arial"/>
          <w:i/>
          <w:sz w:val="20"/>
          <w:szCs w:val="20"/>
        </w:rPr>
        <w:t>Clostridioides difficile</w:t>
      </w:r>
      <w:r w:rsidRPr="00763107">
        <w:rPr>
          <w:rFonts w:ascii="Arial" w:hAnsi="Arial" w:cs="Arial"/>
          <w:sz w:val="20"/>
          <w:szCs w:val="20"/>
        </w:rPr>
        <w:t xml:space="preserve"> was previously known as </w:t>
      </w:r>
      <w:r w:rsidRPr="00763107">
        <w:rPr>
          <w:rFonts w:ascii="Arial" w:hAnsi="Arial" w:cs="Arial"/>
          <w:i/>
          <w:sz w:val="20"/>
          <w:szCs w:val="20"/>
        </w:rPr>
        <w:t>Clostridium difficile</w:t>
      </w:r>
      <w:r w:rsidRPr="00DB2C32">
        <w:rPr>
          <w:rFonts w:ascii="Arial" w:hAnsi="Arial" w:cs="Arial"/>
          <w:i/>
          <w:sz w:val="22"/>
        </w:rPr>
        <w:t>.</w:t>
      </w:r>
    </w:p>
    <w:p w:rsidR="00763107" w:rsidRDefault="00763107">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1E9"/>
    <w:multiLevelType w:val="hybridMultilevel"/>
    <w:tmpl w:val="000E9226"/>
    <w:lvl w:ilvl="0" w:tplc="2D30DA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8043B"/>
    <w:multiLevelType w:val="hybridMultilevel"/>
    <w:tmpl w:val="47D06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376A1"/>
    <w:multiLevelType w:val="hybridMultilevel"/>
    <w:tmpl w:val="525AC238"/>
    <w:lvl w:ilvl="0" w:tplc="9E1AD974">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A86B25"/>
    <w:multiLevelType w:val="hybridMultilevel"/>
    <w:tmpl w:val="56E60B3A"/>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4" w15:restartNumberingAfterBreak="0">
    <w:nsid w:val="17A67056"/>
    <w:multiLevelType w:val="hybridMultilevel"/>
    <w:tmpl w:val="D314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64842"/>
    <w:multiLevelType w:val="hybridMultilevel"/>
    <w:tmpl w:val="BB541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6B3FCC"/>
    <w:multiLevelType w:val="hybridMultilevel"/>
    <w:tmpl w:val="AFE436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9C4C3E"/>
    <w:multiLevelType w:val="hybridMultilevel"/>
    <w:tmpl w:val="79449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8B637B"/>
    <w:multiLevelType w:val="hybridMultilevel"/>
    <w:tmpl w:val="83605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B14ADC"/>
    <w:multiLevelType w:val="hybridMultilevel"/>
    <w:tmpl w:val="98F0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5830D6"/>
    <w:multiLevelType w:val="hybridMultilevel"/>
    <w:tmpl w:val="AD5C2566"/>
    <w:lvl w:ilvl="0" w:tplc="0AC45E28">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1D0291"/>
    <w:multiLevelType w:val="hybridMultilevel"/>
    <w:tmpl w:val="4B043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B86003"/>
    <w:multiLevelType w:val="hybridMultilevel"/>
    <w:tmpl w:val="8E921A4A"/>
    <w:lvl w:ilvl="0" w:tplc="10DAF384">
      <w:start w:val="3"/>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514503"/>
    <w:multiLevelType w:val="hybridMultilevel"/>
    <w:tmpl w:val="525AC238"/>
    <w:lvl w:ilvl="0" w:tplc="9E1AD974">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E70E2C"/>
    <w:multiLevelType w:val="hybridMultilevel"/>
    <w:tmpl w:val="0C72BAD2"/>
    <w:lvl w:ilvl="0" w:tplc="D5584EEC">
      <w:start w:val="3"/>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F423EE"/>
    <w:multiLevelType w:val="hybridMultilevel"/>
    <w:tmpl w:val="D62E58E4"/>
    <w:lvl w:ilvl="0" w:tplc="9E1AD974">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0A7536"/>
    <w:multiLevelType w:val="hybridMultilevel"/>
    <w:tmpl w:val="7D047B8C"/>
    <w:lvl w:ilvl="0" w:tplc="8272D3A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35235A"/>
    <w:multiLevelType w:val="hybridMultilevel"/>
    <w:tmpl w:val="1354D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F3779C"/>
    <w:multiLevelType w:val="hybridMultilevel"/>
    <w:tmpl w:val="98EC08BC"/>
    <w:lvl w:ilvl="0" w:tplc="6ABE856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4"/>
  </w:num>
  <w:num w:numId="5">
    <w:abstractNumId w:val="2"/>
  </w:num>
  <w:num w:numId="6">
    <w:abstractNumId w:val="18"/>
  </w:num>
  <w:num w:numId="7">
    <w:abstractNumId w:val="17"/>
  </w:num>
  <w:num w:numId="8">
    <w:abstractNumId w:val="10"/>
  </w:num>
  <w:num w:numId="9">
    <w:abstractNumId w:val="12"/>
  </w:num>
  <w:num w:numId="10">
    <w:abstractNumId w:val="14"/>
  </w:num>
  <w:num w:numId="11">
    <w:abstractNumId w:val="15"/>
  </w:num>
  <w:num w:numId="12">
    <w:abstractNumId w:val="16"/>
  </w:num>
  <w:num w:numId="13">
    <w:abstractNumId w:val="7"/>
  </w:num>
  <w:num w:numId="14">
    <w:abstractNumId w:val="9"/>
  </w:num>
  <w:num w:numId="15">
    <w:abstractNumId w:val="3"/>
  </w:num>
  <w:num w:numId="16">
    <w:abstractNumId w:val="13"/>
  </w:num>
  <w:num w:numId="17">
    <w:abstractNumId w:val="1"/>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4">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p0a5drxdefz3e2e5dptftled295z2r2ve2&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record-ids&gt;&lt;/item&gt;&lt;/Libraries&gt;"/>
  </w:docVars>
  <w:rsids>
    <w:rsidRoot w:val="00905C24"/>
    <w:rsid w:val="000000C9"/>
    <w:rsid w:val="00000883"/>
    <w:rsid w:val="00000FB7"/>
    <w:rsid w:val="00003855"/>
    <w:rsid w:val="000042E3"/>
    <w:rsid w:val="00004822"/>
    <w:rsid w:val="000053A3"/>
    <w:rsid w:val="00010368"/>
    <w:rsid w:val="00013DB5"/>
    <w:rsid w:val="0001675D"/>
    <w:rsid w:val="00022849"/>
    <w:rsid w:val="0002298B"/>
    <w:rsid w:val="00023668"/>
    <w:rsid w:val="00024B71"/>
    <w:rsid w:val="00025138"/>
    <w:rsid w:val="0003109C"/>
    <w:rsid w:val="000326A6"/>
    <w:rsid w:val="000344BF"/>
    <w:rsid w:val="000347B2"/>
    <w:rsid w:val="00036EB3"/>
    <w:rsid w:val="000425BF"/>
    <w:rsid w:val="00044B1F"/>
    <w:rsid w:val="0004645D"/>
    <w:rsid w:val="00046E69"/>
    <w:rsid w:val="00050847"/>
    <w:rsid w:val="000524EE"/>
    <w:rsid w:val="00052FCD"/>
    <w:rsid w:val="00060C9E"/>
    <w:rsid w:val="00066E14"/>
    <w:rsid w:val="000712B5"/>
    <w:rsid w:val="000716C3"/>
    <w:rsid w:val="00075D2C"/>
    <w:rsid w:val="00077089"/>
    <w:rsid w:val="00077AB0"/>
    <w:rsid w:val="0008247B"/>
    <w:rsid w:val="00083582"/>
    <w:rsid w:val="000843DE"/>
    <w:rsid w:val="000844F3"/>
    <w:rsid w:val="00086EDF"/>
    <w:rsid w:val="00091937"/>
    <w:rsid w:val="00092DF1"/>
    <w:rsid w:val="00093247"/>
    <w:rsid w:val="00096716"/>
    <w:rsid w:val="0009748E"/>
    <w:rsid w:val="00097603"/>
    <w:rsid w:val="00097C52"/>
    <w:rsid w:val="000A400B"/>
    <w:rsid w:val="000A4206"/>
    <w:rsid w:val="000A534F"/>
    <w:rsid w:val="000A7980"/>
    <w:rsid w:val="000C0180"/>
    <w:rsid w:val="000C2588"/>
    <w:rsid w:val="000C2D30"/>
    <w:rsid w:val="000C6118"/>
    <w:rsid w:val="000C7E0D"/>
    <w:rsid w:val="000D135E"/>
    <w:rsid w:val="000D4A6A"/>
    <w:rsid w:val="000E14E1"/>
    <w:rsid w:val="000F272A"/>
    <w:rsid w:val="000F436B"/>
    <w:rsid w:val="000F6AB3"/>
    <w:rsid w:val="00100E63"/>
    <w:rsid w:val="00103370"/>
    <w:rsid w:val="00105C5C"/>
    <w:rsid w:val="00110740"/>
    <w:rsid w:val="00111156"/>
    <w:rsid w:val="00114CAE"/>
    <w:rsid w:val="00114CC7"/>
    <w:rsid w:val="0011569C"/>
    <w:rsid w:val="00115F50"/>
    <w:rsid w:val="001176F6"/>
    <w:rsid w:val="0012018D"/>
    <w:rsid w:val="001201C4"/>
    <w:rsid w:val="00121840"/>
    <w:rsid w:val="001222B7"/>
    <w:rsid w:val="00122A92"/>
    <w:rsid w:val="0012379F"/>
    <w:rsid w:val="001260CA"/>
    <w:rsid w:val="00131EC4"/>
    <w:rsid w:val="0013302C"/>
    <w:rsid w:val="0014030D"/>
    <w:rsid w:val="001409B0"/>
    <w:rsid w:val="0014533D"/>
    <w:rsid w:val="001467A7"/>
    <w:rsid w:val="00151BDD"/>
    <w:rsid w:val="001525C1"/>
    <w:rsid w:val="0015400B"/>
    <w:rsid w:val="00157607"/>
    <w:rsid w:val="0016215F"/>
    <w:rsid w:val="00162C09"/>
    <w:rsid w:val="00163522"/>
    <w:rsid w:val="00165274"/>
    <w:rsid w:val="00166833"/>
    <w:rsid w:val="00170C92"/>
    <w:rsid w:val="00171E33"/>
    <w:rsid w:val="00173F0E"/>
    <w:rsid w:val="00173F22"/>
    <w:rsid w:val="001820EA"/>
    <w:rsid w:val="00183625"/>
    <w:rsid w:val="0018559B"/>
    <w:rsid w:val="001871DE"/>
    <w:rsid w:val="00190142"/>
    <w:rsid w:val="001901C7"/>
    <w:rsid w:val="00190A23"/>
    <w:rsid w:val="00190BFF"/>
    <w:rsid w:val="00191722"/>
    <w:rsid w:val="00192AC6"/>
    <w:rsid w:val="001968E4"/>
    <w:rsid w:val="00196E4F"/>
    <w:rsid w:val="001A1E47"/>
    <w:rsid w:val="001A2C71"/>
    <w:rsid w:val="001A6A9B"/>
    <w:rsid w:val="001B0B2F"/>
    <w:rsid w:val="001B0F83"/>
    <w:rsid w:val="001B0FD9"/>
    <w:rsid w:val="001B144B"/>
    <w:rsid w:val="001B1889"/>
    <w:rsid w:val="001B34C1"/>
    <w:rsid w:val="001C14C8"/>
    <w:rsid w:val="001C21BD"/>
    <w:rsid w:val="001C57CB"/>
    <w:rsid w:val="001C7767"/>
    <w:rsid w:val="001D2397"/>
    <w:rsid w:val="001D2E74"/>
    <w:rsid w:val="001D44A4"/>
    <w:rsid w:val="001D6D98"/>
    <w:rsid w:val="001E0E3D"/>
    <w:rsid w:val="001E6E78"/>
    <w:rsid w:val="001F11F7"/>
    <w:rsid w:val="001F3098"/>
    <w:rsid w:val="001F587D"/>
    <w:rsid w:val="001F6A31"/>
    <w:rsid w:val="001F7404"/>
    <w:rsid w:val="00202668"/>
    <w:rsid w:val="00202AB8"/>
    <w:rsid w:val="0020429F"/>
    <w:rsid w:val="00206232"/>
    <w:rsid w:val="00210DB5"/>
    <w:rsid w:val="0021540A"/>
    <w:rsid w:val="0021607A"/>
    <w:rsid w:val="00217083"/>
    <w:rsid w:val="00217EFF"/>
    <w:rsid w:val="00221E66"/>
    <w:rsid w:val="002243A7"/>
    <w:rsid w:val="00224CA9"/>
    <w:rsid w:val="00227793"/>
    <w:rsid w:val="00232463"/>
    <w:rsid w:val="0024038E"/>
    <w:rsid w:val="00245940"/>
    <w:rsid w:val="002465F0"/>
    <w:rsid w:val="002467D3"/>
    <w:rsid w:val="002503C5"/>
    <w:rsid w:val="002508F3"/>
    <w:rsid w:val="002546DB"/>
    <w:rsid w:val="00261D92"/>
    <w:rsid w:val="0026782F"/>
    <w:rsid w:val="002710A0"/>
    <w:rsid w:val="0027399D"/>
    <w:rsid w:val="00280050"/>
    <w:rsid w:val="002803F6"/>
    <w:rsid w:val="002808F3"/>
    <w:rsid w:val="002828C8"/>
    <w:rsid w:val="00284735"/>
    <w:rsid w:val="0028697C"/>
    <w:rsid w:val="0029620D"/>
    <w:rsid w:val="002A2305"/>
    <w:rsid w:val="002A599E"/>
    <w:rsid w:val="002A75D9"/>
    <w:rsid w:val="002B2433"/>
    <w:rsid w:val="002B32D3"/>
    <w:rsid w:val="002B3B1A"/>
    <w:rsid w:val="002B73DC"/>
    <w:rsid w:val="002C3F18"/>
    <w:rsid w:val="002D2A02"/>
    <w:rsid w:val="002D3BC1"/>
    <w:rsid w:val="002D43F3"/>
    <w:rsid w:val="002D49E6"/>
    <w:rsid w:val="002D7391"/>
    <w:rsid w:val="002D75AF"/>
    <w:rsid w:val="002D77B5"/>
    <w:rsid w:val="002D7C43"/>
    <w:rsid w:val="002E3A94"/>
    <w:rsid w:val="002F2D4E"/>
    <w:rsid w:val="002F49AE"/>
    <w:rsid w:val="002F4C4E"/>
    <w:rsid w:val="002F4D0C"/>
    <w:rsid w:val="002F4F09"/>
    <w:rsid w:val="002F7DE0"/>
    <w:rsid w:val="00300E73"/>
    <w:rsid w:val="00302C27"/>
    <w:rsid w:val="003075B4"/>
    <w:rsid w:val="00310A64"/>
    <w:rsid w:val="0031144B"/>
    <w:rsid w:val="00312701"/>
    <w:rsid w:val="00317483"/>
    <w:rsid w:val="0032048F"/>
    <w:rsid w:val="00322066"/>
    <w:rsid w:val="0032474B"/>
    <w:rsid w:val="00324B75"/>
    <w:rsid w:val="0033204C"/>
    <w:rsid w:val="0033537F"/>
    <w:rsid w:val="00337A61"/>
    <w:rsid w:val="00344053"/>
    <w:rsid w:val="003444A3"/>
    <w:rsid w:val="00344DD5"/>
    <w:rsid w:val="003465FF"/>
    <w:rsid w:val="00346F56"/>
    <w:rsid w:val="00351241"/>
    <w:rsid w:val="00353DE5"/>
    <w:rsid w:val="00353F75"/>
    <w:rsid w:val="00356DB4"/>
    <w:rsid w:val="00377EEA"/>
    <w:rsid w:val="00377FC3"/>
    <w:rsid w:val="00383584"/>
    <w:rsid w:val="00385754"/>
    <w:rsid w:val="00387503"/>
    <w:rsid w:val="00387CC4"/>
    <w:rsid w:val="00387D89"/>
    <w:rsid w:val="003914E4"/>
    <w:rsid w:val="003932AC"/>
    <w:rsid w:val="00393599"/>
    <w:rsid w:val="00393F3A"/>
    <w:rsid w:val="00395097"/>
    <w:rsid w:val="003955C9"/>
    <w:rsid w:val="00396D5A"/>
    <w:rsid w:val="00397C34"/>
    <w:rsid w:val="00397F1C"/>
    <w:rsid w:val="003A0475"/>
    <w:rsid w:val="003A2835"/>
    <w:rsid w:val="003A515B"/>
    <w:rsid w:val="003A53CF"/>
    <w:rsid w:val="003A6665"/>
    <w:rsid w:val="003A6882"/>
    <w:rsid w:val="003B3516"/>
    <w:rsid w:val="003B4A60"/>
    <w:rsid w:val="003B5F71"/>
    <w:rsid w:val="003C2392"/>
    <w:rsid w:val="003C2BD4"/>
    <w:rsid w:val="003C35F6"/>
    <w:rsid w:val="003C539D"/>
    <w:rsid w:val="003C6B26"/>
    <w:rsid w:val="003D045C"/>
    <w:rsid w:val="003D19FD"/>
    <w:rsid w:val="003D1D04"/>
    <w:rsid w:val="003D22D5"/>
    <w:rsid w:val="003D2438"/>
    <w:rsid w:val="003E20F6"/>
    <w:rsid w:val="003E2148"/>
    <w:rsid w:val="003E2C24"/>
    <w:rsid w:val="003E5C74"/>
    <w:rsid w:val="003F070F"/>
    <w:rsid w:val="003F0EF9"/>
    <w:rsid w:val="003F2134"/>
    <w:rsid w:val="0040234E"/>
    <w:rsid w:val="00405970"/>
    <w:rsid w:val="004076C8"/>
    <w:rsid w:val="00407FB7"/>
    <w:rsid w:val="0041170B"/>
    <w:rsid w:val="00423412"/>
    <w:rsid w:val="004355F2"/>
    <w:rsid w:val="0043699E"/>
    <w:rsid w:val="0044150D"/>
    <w:rsid w:val="004421A6"/>
    <w:rsid w:val="00450CA9"/>
    <w:rsid w:val="00451FA6"/>
    <w:rsid w:val="00454D5A"/>
    <w:rsid w:val="00460A24"/>
    <w:rsid w:val="0046518B"/>
    <w:rsid w:val="00465E86"/>
    <w:rsid w:val="004676E9"/>
    <w:rsid w:val="0047043F"/>
    <w:rsid w:val="00475327"/>
    <w:rsid w:val="00476F1E"/>
    <w:rsid w:val="00477004"/>
    <w:rsid w:val="0047770F"/>
    <w:rsid w:val="00477897"/>
    <w:rsid w:val="004814D7"/>
    <w:rsid w:val="004842CC"/>
    <w:rsid w:val="00486944"/>
    <w:rsid w:val="00486F74"/>
    <w:rsid w:val="004873E8"/>
    <w:rsid w:val="00490D35"/>
    <w:rsid w:val="00492C4A"/>
    <w:rsid w:val="004B428E"/>
    <w:rsid w:val="004B5F6C"/>
    <w:rsid w:val="004B6D78"/>
    <w:rsid w:val="004B7B74"/>
    <w:rsid w:val="004C0341"/>
    <w:rsid w:val="004C0454"/>
    <w:rsid w:val="004C4912"/>
    <w:rsid w:val="004C5405"/>
    <w:rsid w:val="004C7491"/>
    <w:rsid w:val="004D5C5E"/>
    <w:rsid w:val="004D6AED"/>
    <w:rsid w:val="004E2650"/>
    <w:rsid w:val="004E6241"/>
    <w:rsid w:val="004E6E7C"/>
    <w:rsid w:val="004F0688"/>
    <w:rsid w:val="004F0C63"/>
    <w:rsid w:val="004F3788"/>
    <w:rsid w:val="004F61EC"/>
    <w:rsid w:val="004F6C29"/>
    <w:rsid w:val="004F7CBE"/>
    <w:rsid w:val="0050141D"/>
    <w:rsid w:val="00504462"/>
    <w:rsid w:val="00507A3F"/>
    <w:rsid w:val="00513555"/>
    <w:rsid w:val="00515DA1"/>
    <w:rsid w:val="00515FAF"/>
    <w:rsid w:val="00525595"/>
    <w:rsid w:val="00531D70"/>
    <w:rsid w:val="005335F3"/>
    <w:rsid w:val="00536D21"/>
    <w:rsid w:val="00536D42"/>
    <w:rsid w:val="00541447"/>
    <w:rsid w:val="00541F50"/>
    <w:rsid w:val="0054292F"/>
    <w:rsid w:val="00544D65"/>
    <w:rsid w:val="0054663D"/>
    <w:rsid w:val="00546FDA"/>
    <w:rsid w:val="00552C39"/>
    <w:rsid w:val="0056097A"/>
    <w:rsid w:val="00562249"/>
    <w:rsid w:val="00563B5C"/>
    <w:rsid w:val="00565FED"/>
    <w:rsid w:val="00570CA6"/>
    <w:rsid w:val="00570FED"/>
    <w:rsid w:val="00574D64"/>
    <w:rsid w:val="00575D73"/>
    <w:rsid w:val="005765E3"/>
    <w:rsid w:val="00577D32"/>
    <w:rsid w:val="00580EC0"/>
    <w:rsid w:val="00581C64"/>
    <w:rsid w:val="00582499"/>
    <w:rsid w:val="005831BE"/>
    <w:rsid w:val="00583780"/>
    <w:rsid w:val="0058379C"/>
    <w:rsid w:val="005879ED"/>
    <w:rsid w:val="00591780"/>
    <w:rsid w:val="00596BD3"/>
    <w:rsid w:val="005A13BE"/>
    <w:rsid w:val="005A215B"/>
    <w:rsid w:val="005A6012"/>
    <w:rsid w:val="005A6590"/>
    <w:rsid w:val="005A7A30"/>
    <w:rsid w:val="005B03FC"/>
    <w:rsid w:val="005B0D5C"/>
    <w:rsid w:val="005B5D5B"/>
    <w:rsid w:val="005B70A7"/>
    <w:rsid w:val="005C3903"/>
    <w:rsid w:val="005D029D"/>
    <w:rsid w:val="005D0942"/>
    <w:rsid w:val="005D229E"/>
    <w:rsid w:val="005E0A2A"/>
    <w:rsid w:val="005F4B59"/>
    <w:rsid w:val="005F575E"/>
    <w:rsid w:val="005F600F"/>
    <w:rsid w:val="00601736"/>
    <w:rsid w:val="006026B6"/>
    <w:rsid w:val="00603DB3"/>
    <w:rsid w:val="00606238"/>
    <w:rsid w:val="006118AD"/>
    <w:rsid w:val="00614D8D"/>
    <w:rsid w:val="006226E5"/>
    <w:rsid w:val="00622E3D"/>
    <w:rsid w:val="0063015F"/>
    <w:rsid w:val="006347A2"/>
    <w:rsid w:val="00634BCC"/>
    <w:rsid w:val="0063699F"/>
    <w:rsid w:val="00636FE2"/>
    <w:rsid w:val="00650EE5"/>
    <w:rsid w:val="00651B88"/>
    <w:rsid w:val="00655C2B"/>
    <w:rsid w:val="006671D4"/>
    <w:rsid w:val="006705FE"/>
    <w:rsid w:val="006731B6"/>
    <w:rsid w:val="00680917"/>
    <w:rsid w:val="006824A0"/>
    <w:rsid w:val="00683C1A"/>
    <w:rsid w:val="00685437"/>
    <w:rsid w:val="006861B9"/>
    <w:rsid w:val="006866A9"/>
    <w:rsid w:val="00692143"/>
    <w:rsid w:val="00692C77"/>
    <w:rsid w:val="00692F90"/>
    <w:rsid w:val="00693663"/>
    <w:rsid w:val="00693A19"/>
    <w:rsid w:val="00694DDA"/>
    <w:rsid w:val="0069557D"/>
    <w:rsid w:val="00697CC9"/>
    <w:rsid w:val="006A2195"/>
    <w:rsid w:val="006B0E9F"/>
    <w:rsid w:val="006B2602"/>
    <w:rsid w:val="006B30E8"/>
    <w:rsid w:val="006B312B"/>
    <w:rsid w:val="006B49CD"/>
    <w:rsid w:val="006C1431"/>
    <w:rsid w:val="006C5EB5"/>
    <w:rsid w:val="006D1557"/>
    <w:rsid w:val="006D2916"/>
    <w:rsid w:val="006D52B0"/>
    <w:rsid w:val="006D6228"/>
    <w:rsid w:val="006E038D"/>
    <w:rsid w:val="006E0CB4"/>
    <w:rsid w:val="006E5F96"/>
    <w:rsid w:val="006E76B4"/>
    <w:rsid w:val="006F5082"/>
    <w:rsid w:val="0070086A"/>
    <w:rsid w:val="007024BB"/>
    <w:rsid w:val="00703F45"/>
    <w:rsid w:val="007045B3"/>
    <w:rsid w:val="00705515"/>
    <w:rsid w:val="00705A88"/>
    <w:rsid w:val="00710D40"/>
    <w:rsid w:val="007116AD"/>
    <w:rsid w:val="00716A74"/>
    <w:rsid w:val="007219E2"/>
    <w:rsid w:val="007224B3"/>
    <w:rsid w:val="00723D48"/>
    <w:rsid w:val="007246A9"/>
    <w:rsid w:val="00725483"/>
    <w:rsid w:val="00726B61"/>
    <w:rsid w:val="007303ED"/>
    <w:rsid w:val="00731D8E"/>
    <w:rsid w:val="0073301C"/>
    <w:rsid w:val="00733D05"/>
    <w:rsid w:val="0074098C"/>
    <w:rsid w:val="0074783B"/>
    <w:rsid w:val="007512B9"/>
    <w:rsid w:val="00751522"/>
    <w:rsid w:val="0075284E"/>
    <w:rsid w:val="007537F7"/>
    <w:rsid w:val="00755A20"/>
    <w:rsid w:val="00755A7A"/>
    <w:rsid w:val="00756B81"/>
    <w:rsid w:val="00763107"/>
    <w:rsid w:val="00764800"/>
    <w:rsid w:val="00766D06"/>
    <w:rsid w:val="0077540F"/>
    <w:rsid w:val="0077560A"/>
    <w:rsid w:val="007766A9"/>
    <w:rsid w:val="0077703C"/>
    <w:rsid w:val="007809A3"/>
    <w:rsid w:val="007815A9"/>
    <w:rsid w:val="007830A7"/>
    <w:rsid w:val="0078361F"/>
    <w:rsid w:val="007838C8"/>
    <w:rsid w:val="007848B3"/>
    <w:rsid w:val="00793FDB"/>
    <w:rsid w:val="007947D5"/>
    <w:rsid w:val="007A02A4"/>
    <w:rsid w:val="007A34F5"/>
    <w:rsid w:val="007A38C5"/>
    <w:rsid w:val="007A5790"/>
    <w:rsid w:val="007A6567"/>
    <w:rsid w:val="007A6B6E"/>
    <w:rsid w:val="007A7A0B"/>
    <w:rsid w:val="007B1330"/>
    <w:rsid w:val="007B1761"/>
    <w:rsid w:val="007B5B2C"/>
    <w:rsid w:val="007B77C4"/>
    <w:rsid w:val="007C091F"/>
    <w:rsid w:val="007C3385"/>
    <w:rsid w:val="007C7D1D"/>
    <w:rsid w:val="007D0741"/>
    <w:rsid w:val="007D33DF"/>
    <w:rsid w:val="007D6A52"/>
    <w:rsid w:val="007D72E4"/>
    <w:rsid w:val="007E1A9C"/>
    <w:rsid w:val="007E1C88"/>
    <w:rsid w:val="007E1DF0"/>
    <w:rsid w:val="007F311D"/>
    <w:rsid w:val="007F666D"/>
    <w:rsid w:val="007F7EA3"/>
    <w:rsid w:val="0080024E"/>
    <w:rsid w:val="00800A9C"/>
    <w:rsid w:val="008010F8"/>
    <w:rsid w:val="00801FEF"/>
    <w:rsid w:val="00805ABD"/>
    <w:rsid w:val="0081277F"/>
    <w:rsid w:val="00816C4E"/>
    <w:rsid w:val="00823118"/>
    <w:rsid w:val="008256BA"/>
    <w:rsid w:val="008327A8"/>
    <w:rsid w:val="0083354D"/>
    <w:rsid w:val="008356CA"/>
    <w:rsid w:val="00835767"/>
    <w:rsid w:val="00835B71"/>
    <w:rsid w:val="00836FFF"/>
    <w:rsid w:val="0084075B"/>
    <w:rsid w:val="00853CDA"/>
    <w:rsid w:val="008602EA"/>
    <w:rsid w:val="00861A96"/>
    <w:rsid w:val="008700DD"/>
    <w:rsid w:val="008708AA"/>
    <w:rsid w:val="00881590"/>
    <w:rsid w:val="00886AAD"/>
    <w:rsid w:val="008911DC"/>
    <w:rsid w:val="00897038"/>
    <w:rsid w:val="008A2AD2"/>
    <w:rsid w:val="008A4C01"/>
    <w:rsid w:val="008B27E1"/>
    <w:rsid w:val="008B2EFF"/>
    <w:rsid w:val="008B4815"/>
    <w:rsid w:val="008B48C9"/>
    <w:rsid w:val="008B4BC0"/>
    <w:rsid w:val="008B50C4"/>
    <w:rsid w:val="008C04A8"/>
    <w:rsid w:val="008C0617"/>
    <w:rsid w:val="008C210E"/>
    <w:rsid w:val="008C2195"/>
    <w:rsid w:val="008C3E76"/>
    <w:rsid w:val="008C5039"/>
    <w:rsid w:val="008C5417"/>
    <w:rsid w:val="008D0C40"/>
    <w:rsid w:val="008D676F"/>
    <w:rsid w:val="008E0BFD"/>
    <w:rsid w:val="008E67CF"/>
    <w:rsid w:val="008F2B48"/>
    <w:rsid w:val="009018BE"/>
    <w:rsid w:val="00903897"/>
    <w:rsid w:val="009043DB"/>
    <w:rsid w:val="00904DC3"/>
    <w:rsid w:val="00905C24"/>
    <w:rsid w:val="00906455"/>
    <w:rsid w:val="00913AD6"/>
    <w:rsid w:val="00926974"/>
    <w:rsid w:val="00927C23"/>
    <w:rsid w:val="00930C2C"/>
    <w:rsid w:val="00931D7D"/>
    <w:rsid w:val="009334CD"/>
    <w:rsid w:val="009423A4"/>
    <w:rsid w:val="0094308F"/>
    <w:rsid w:val="00943F1B"/>
    <w:rsid w:val="00945909"/>
    <w:rsid w:val="009463F6"/>
    <w:rsid w:val="00947CFD"/>
    <w:rsid w:val="00952938"/>
    <w:rsid w:val="009611F0"/>
    <w:rsid w:val="00961AD0"/>
    <w:rsid w:val="0096398D"/>
    <w:rsid w:val="00964429"/>
    <w:rsid w:val="00964DEF"/>
    <w:rsid w:val="009678A2"/>
    <w:rsid w:val="00967E58"/>
    <w:rsid w:val="009709B3"/>
    <w:rsid w:val="0097139A"/>
    <w:rsid w:val="00971E23"/>
    <w:rsid w:val="0097478E"/>
    <w:rsid w:val="0097600E"/>
    <w:rsid w:val="00981D00"/>
    <w:rsid w:val="009842F2"/>
    <w:rsid w:val="00984365"/>
    <w:rsid w:val="00985C38"/>
    <w:rsid w:val="009860E4"/>
    <w:rsid w:val="00986F1E"/>
    <w:rsid w:val="00987B34"/>
    <w:rsid w:val="0099076A"/>
    <w:rsid w:val="00990FB0"/>
    <w:rsid w:val="009935FE"/>
    <w:rsid w:val="0099702E"/>
    <w:rsid w:val="009A0D37"/>
    <w:rsid w:val="009A0D9A"/>
    <w:rsid w:val="009A16D7"/>
    <w:rsid w:val="009A1FE1"/>
    <w:rsid w:val="009A2D9C"/>
    <w:rsid w:val="009A316C"/>
    <w:rsid w:val="009A64AB"/>
    <w:rsid w:val="009A7851"/>
    <w:rsid w:val="009B092A"/>
    <w:rsid w:val="009B24F7"/>
    <w:rsid w:val="009C2488"/>
    <w:rsid w:val="009C32F9"/>
    <w:rsid w:val="009C35B0"/>
    <w:rsid w:val="009C39C7"/>
    <w:rsid w:val="009C3BB6"/>
    <w:rsid w:val="009C631F"/>
    <w:rsid w:val="009C7407"/>
    <w:rsid w:val="009D0DF9"/>
    <w:rsid w:val="009D3191"/>
    <w:rsid w:val="009D4DEB"/>
    <w:rsid w:val="009D5BF8"/>
    <w:rsid w:val="009E3CEB"/>
    <w:rsid w:val="009E3D3B"/>
    <w:rsid w:val="009E65A6"/>
    <w:rsid w:val="009F220A"/>
    <w:rsid w:val="009F3670"/>
    <w:rsid w:val="009F4D26"/>
    <w:rsid w:val="00A0597A"/>
    <w:rsid w:val="00A06E05"/>
    <w:rsid w:val="00A07BB4"/>
    <w:rsid w:val="00A1630E"/>
    <w:rsid w:val="00A16CCD"/>
    <w:rsid w:val="00A1757E"/>
    <w:rsid w:val="00A20669"/>
    <w:rsid w:val="00A24184"/>
    <w:rsid w:val="00A25EE5"/>
    <w:rsid w:val="00A2746D"/>
    <w:rsid w:val="00A30EC2"/>
    <w:rsid w:val="00A33223"/>
    <w:rsid w:val="00A40EDC"/>
    <w:rsid w:val="00A4217A"/>
    <w:rsid w:val="00A50BC5"/>
    <w:rsid w:val="00A548E0"/>
    <w:rsid w:val="00A6015C"/>
    <w:rsid w:val="00A6188F"/>
    <w:rsid w:val="00A6261F"/>
    <w:rsid w:val="00A62EB0"/>
    <w:rsid w:val="00A63D4C"/>
    <w:rsid w:val="00A65604"/>
    <w:rsid w:val="00A6613F"/>
    <w:rsid w:val="00A70EF7"/>
    <w:rsid w:val="00A72185"/>
    <w:rsid w:val="00A7301A"/>
    <w:rsid w:val="00A746E9"/>
    <w:rsid w:val="00A803C4"/>
    <w:rsid w:val="00A87DE5"/>
    <w:rsid w:val="00AA0066"/>
    <w:rsid w:val="00AA2E82"/>
    <w:rsid w:val="00AA58B1"/>
    <w:rsid w:val="00AA59D8"/>
    <w:rsid w:val="00AA62F9"/>
    <w:rsid w:val="00AA75B5"/>
    <w:rsid w:val="00AB3C6A"/>
    <w:rsid w:val="00AB6EF9"/>
    <w:rsid w:val="00AB73C7"/>
    <w:rsid w:val="00AC15B4"/>
    <w:rsid w:val="00AC297C"/>
    <w:rsid w:val="00AC4157"/>
    <w:rsid w:val="00AC5467"/>
    <w:rsid w:val="00AC7681"/>
    <w:rsid w:val="00AD592A"/>
    <w:rsid w:val="00AD5B53"/>
    <w:rsid w:val="00AD6B14"/>
    <w:rsid w:val="00AD6EAF"/>
    <w:rsid w:val="00AE05F6"/>
    <w:rsid w:val="00AE5F34"/>
    <w:rsid w:val="00AE61CF"/>
    <w:rsid w:val="00AE77EA"/>
    <w:rsid w:val="00AF7B77"/>
    <w:rsid w:val="00B0191C"/>
    <w:rsid w:val="00B02C9C"/>
    <w:rsid w:val="00B04C11"/>
    <w:rsid w:val="00B05243"/>
    <w:rsid w:val="00B067D1"/>
    <w:rsid w:val="00B1336D"/>
    <w:rsid w:val="00B151AE"/>
    <w:rsid w:val="00B17159"/>
    <w:rsid w:val="00B2082E"/>
    <w:rsid w:val="00B24332"/>
    <w:rsid w:val="00B27C34"/>
    <w:rsid w:val="00B316A7"/>
    <w:rsid w:val="00B32306"/>
    <w:rsid w:val="00B3401F"/>
    <w:rsid w:val="00B344E9"/>
    <w:rsid w:val="00B4089E"/>
    <w:rsid w:val="00B40FDA"/>
    <w:rsid w:val="00B42161"/>
    <w:rsid w:val="00B448C9"/>
    <w:rsid w:val="00B45647"/>
    <w:rsid w:val="00B46D04"/>
    <w:rsid w:val="00B47BDC"/>
    <w:rsid w:val="00B51B93"/>
    <w:rsid w:val="00B528EE"/>
    <w:rsid w:val="00B602F1"/>
    <w:rsid w:val="00B6127D"/>
    <w:rsid w:val="00B61F21"/>
    <w:rsid w:val="00B63023"/>
    <w:rsid w:val="00B6405D"/>
    <w:rsid w:val="00B64815"/>
    <w:rsid w:val="00B64D71"/>
    <w:rsid w:val="00B71A2B"/>
    <w:rsid w:val="00B71A2C"/>
    <w:rsid w:val="00B71C69"/>
    <w:rsid w:val="00B72749"/>
    <w:rsid w:val="00B739B4"/>
    <w:rsid w:val="00B75769"/>
    <w:rsid w:val="00B75CDB"/>
    <w:rsid w:val="00B77CC9"/>
    <w:rsid w:val="00B844FA"/>
    <w:rsid w:val="00B85A52"/>
    <w:rsid w:val="00B918E5"/>
    <w:rsid w:val="00B9213B"/>
    <w:rsid w:val="00B95F30"/>
    <w:rsid w:val="00BA0E7F"/>
    <w:rsid w:val="00BA340D"/>
    <w:rsid w:val="00BA6FD1"/>
    <w:rsid w:val="00BB0F37"/>
    <w:rsid w:val="00BB1234"/>
    <w:rsid w:val="00BB1896"/>
    <w:rsid w:val="00BB3106"/>
    <w:rsid w:val="00BB62FA"/>
    <w:rsid w:val="00BC0460"/>
    <w:rsid w:val="00BC1F8B"/>
    <w:rsid w:val="00BC316F"/>
    <w:rsid w:val="00BC6ADE"/>
    <w:rsid w:val="00BD08A6"/>
    <w:rsid w:val="00BD15C0"/>
    <w:rsid w:val="00BD525D"/>
    <w:rsid w:val="00BD785C"/>
    <w:rsid w:val="00BE189D"/>
    <w:rsid w:val="00BE1CD9"/>
    <w:rsid w:val="00BE7971"/>
    <w:rsid w:val="00BF11C0"/>
    <w:rsid w:val="00BF4B6A"/>
    <w:rsid w:val="00BF75C4"/>
    <w:rsid w:val="00C00A6A"/>
    <w:rsid w:val="00C03211"/>
    <w:rsid w:val="00C03E4A"/>
    <w:rsid w:val="00C1096A"/>
    <w:rsid w:val="00C159D5"/>
    <w:rsid w:val="00C16988"/>
    <w:rsid w:val="00C23E87"/>
    <w:rsid w:val="00C24995"/>
    <w:rsid w:val="00C269C3"/>
    <w:rsid w:val="00C27B79"/>
    <w:rsid w:val="00C324E1"/>
    <w:rsid w:val="00C345DF"/>
    <w:rsid w:val="00C35C0D"/>
    <w:rsid w:val="00C40D7F"/>
    <w:rsid w:val="00C42768"/>
    <w:rsid w:val="00C44909"/>
    <w:rsid w:val="00C469A7"/>
    <w:rsid w:val="00C51ADD"/>
    <w:rsid w:val="00C56A2A"/>
    <w:rsid w:val="00C57ABD"/>
    <w:rsid w:val="00C60670"/>
    <w:rsid w:val="00C633BD"/>
    <w:rsid w:val="00C63678"/>
    <w:rsid w:val="00C67A88"/>
    <w:rsid w:val="00C7010C"/>
    <w:rsid w:val="00C765CE"/>
    <w:rsid w:val="00C81912"/>
    <w:rsid w:val="00C85B5A"/>
    <w:rsid w:val="00C90066"/>
    <w:rsid w:val="00C91960"/>
    <w:rsid w:val="00C97386"/>
    <w:rsid w:val="00C97E7C"/>
    <w:rsid w:val="00CA2327"/>
    <w:rsid w:val="00CA24AC"/>
    <w:rsid w:val="00CA6B66"/>
    <w:rsid w:val="00CB1F3A"/>
    <w:rsid w:val="00CB36EA"/>
    <w:rsid w:val="00CC0E4A"/>
    <w:rsid w:val="00CC13A0"/>
    <w:rsid w:val="00CC204F"/>
    <w:rsid w:val="00CC3317"/>
    <w:rsid w:val="00CC4D68"/>
    <w:rsid w:val="00CC539B"/>
    <w:rsid w:val="00CD09B5"/>
    <w:rsid w:val="00CD5578"/>
    <w:rsid w:val="00CD6024"/>
    <w:rsid w:val="00CD60BA"/>
    <w:rsid w:val="00CE047E"/>
    <w:rsid w:val="00CE08E5"/>
    <w:rsid w:val="00CE1F2B"/>
    <w:rsid w:val="00CE6EC9"/>
    <w:rsid w:val="00D026CF"/>
    <w:rsid w:val="00D027F8"/>
    <w:rsid w:val="00D02C0C"/>
    <w:rsid w:val="00D04911"/>
    <w:rsid w:val="00D11B47"/>
    <w:rsid w:val="00D11FA8"/>
    <w:rsid w:val="00D120C3"/>
    <w:rsid w:val="00D20182"/>
    <w:rsid w:val="00D22A58"/>
    <w:rsid w:val="00D23B6A"/>
    <w:rsid w:val="00D27E98"/>
    <w:rsid w:val="00D3282B"/>
    <w:rsid w:val="00D40AB1"/>
    <w:rsid w:val="00D565E5"/>
    <w:rsid w:val="00D67E83"/>
    <w:rsid w:val="00D70F32"/>
    <w:rsid w:val="00D724AA"/>
    <w:rsid w:val="00D75B1F"/>
    <w:rsid w:val="00D779C5"/>
    <w:rsid w:val="00D77B72"/>
    <w:rsid w:val="00D837C9"/>
    <w:rsid w:val="00D839B0"/>
    <w:rsid w:val="00D84449"/>
    <w:rsid w:val="00D9006C"/>
    <w:rsid w:val="00D91C18"/>
    <w:rsid w:val="00D9357E"/>
    <w:rsid w:val="00D948D8"/>
    <w:rsid w:val="00D94DA6"/>
    <w:rsid w:val="00D97C75"/>
    <w:rsid w:val="00DA0744"/>
    <w:rsid w:val="00DA182F"/>
    <w:rsid w:val="00DA20E1"/>
    <w:rsid w:val="00DA4C81"/>
    <w:rsid w:val="00DA5A64"/>
    <w:rsid w:val="00DA60B9"/>
    <w:rsid w:val="00DB0280"/>
    <w:rsid w:val="00DB068E"/>
    <w:rsid w:val="00DB2C32"/>
    <w:rsid w:val="00DB3ADC"/>
    <w:rsid w:val="00DB50B1"/>
    <w:rsid w:val="00DB5C84"/>
    <w:rsid w:val="00DB6E44"/>
    <w:rsid w:val="00DB79B7"/>
    <w:rsid w:val="00DC0811"/>
    <w:rsid w:val="00DC2AE4"/>
    <w:rsid w:val="00DC6212"/>
    <w:rsid w:val="00DC73B8"/>
    <w:rsid w:val="00DD1FF2"/>
    <w:rsid w:val="00DD3D40"/>
    <w:rsid w:val="00DD4832"/>
    <w:rsid w:val="00DD56A8"/>
    <w:rsid w:val="00DD6934"/>
    <w:rsid w:val="00DD69C9"/>
    <w:rsid w:val="00DE323D"/>
    <w:rsid w:val="00DE3AF0"/>
    <w:rsid w:val="00DE4744"/>
    <w:rsid w:val="00DE5522"/>
    <w:rsid w:val="00DF316D"/>
    <w:rsid w:val="00E0312E"/>
    <w:rsid w:val="00E0337A"/>
    <w:rsid w:val="00E05865"/>
    <w:rsid w:val="00E0797C"/>
    <w:rsid w:val="00E116F4"/>
    <w:rsid w:val="00E13290"/>
    <w:rsid w:val="00E16F63"/>
    <w:rsid w:val="00E219D6"/>
    <w:rsid w:val="00E223FA"/>
    <w:rsid w:val="00E31AD3"/>
    <w:rsid w:val="00E32583"/>
    <w:rsid w:val="00E40779"/>
    <w:rsid w:val="00E44715"/>
    <w:rsid w:val="00E4732D"/>
    <w:rsid w:val="00E5219B"/>
    <w:rsid w:val="00E53ED7"/>
    <w:rsid w:val="00E55A99"/>
    <w:rsid w:val="00E569C7"/>
    <w:rsid w:val="00E57EC7"/>
    <w:rsid w:val="00E62275"/>
    <w:rsid w:val="00E62431"/>
    <w:rsid w:val="00E62F12"/>
    <w:rsid w:val="00E64346"/>
    <w:rsid w:val="00E71EAB"/>
    <w:rsid w:val="00E724AE"/>
    <w:rsid w:val="00E7481A"/>
    <w:rsid w:val="00E74DDC"/>
    <w:rsid w:val="00E75D95"/>
    <w:rsid w:val="00E86D1E"/>
    <w:rsid w:val="00E928D6"/>
    <w:rsid w:val="00E931C2"/>
    <w:rsid w:val="00E9328B"/>
    <w:rsid w:val="00EA0BE6"/>
    <w:rsid w:val="00EA33A6"/>
    <w:rsid w:val="00EA3F3A"/>
    <w:rsid w:val="00EA48E7"/>
    <w:rsid w:val="00EA63B4"/>
    <w:rsid w:val="00EB3071"/>
    <w:rsid w:val="00EB373F"/>
    <w:rsid w:val="00EB4A09"/>
    <w:rsid w:val="00EB4E4A"/>
    <w:rsid w:val="00EB65A0"/>
    <w:rsid w:val="00EB76E1"/>
    <w:rsid w:val="00EC1DC3"/>
    <w:rsid w:val="00EC40A6"/>
    <w:rsid w:val="00EC4975"/>
    <w:rsid w:val="00EC66AE"/>
    <w:rsid w:val="00EC6881"/>
    <w:rsid w:val="00ED2E13"/>
    <w:rsid w:val="00ED3A0D"/>
    <w:rsid w:val="00ED6523"/>
    <w:rsid w:val="00EE07F9"/>
    <w:rsid w:val="00EE08AE"/>
    <w:rsid w:val="00EE1C38"/>
    <w:rsid w:val="00EE52CD"/>
    <w:rsid w:val="00EE6EDC"/>
    <w:rsid w:val="00EF032F"/>
    <w:rsid w:val="00EF1440"/>
    <w:rsid w:val="00EF5968"/>
    <w:rsid w:val="00EF6A88"/>
    <w:rsid w:val="00EF7AE2"/>
    <w:rsid w:val="00F00BA8"/>
    <w:rsid w:val="00F06465"/>
    <w:rsid w:val="00F14D6C"/>
    <w:rsid w:val="00F152D3"/>
    <w:rsid w:val="00F2486E"/>
    <w:rsid w:val="00F30E16"/>
    <w:rsid w:val="00F31C27"/>
    <w:rsid w:val="00F3632B"/>
    <w:rsid w:val="00F36393"/>
    <w:rsid w:val="00F44548"/>
    <w:rsid w:val="00F47F7C"/>
    <w:rsid w:val="00F5422F"/>
    <w:rsid w:val="00F5522D"/>
    <w:rsid w:val="00F61429"/>
    <w:rsid w:val="00F6167D"/>
    <w:rsid w:val="00F6271F"/>
    <w:rsid w:val="00F652DF"/>
    <w:rsid w:val="00F65CD5"/>
    <w:rsid w:val="00F672EB"/>
    <w:rsid w:val="00F71784"/>
    <w:rsid w:val="00F72BBC"/>
    <w:rsid w:val="00F73B46"/>
    <w:rsid w:val="00F73C42"/>
    <w:rsid w:val="00F816FA"/>
    <w:rsid w:val="00F906F5"/>
    <w:rsid w:val="00F90A95"/>
    <w:rsid w:val="00F90EB4"/>
    <w:rsid w:val="00F92C4A"/>
    <w:rsid w:val="00F967DD"/>
    <w:rsid w:val="00FA13F6"/>
    <w:rsid w:val="00FA32C9"/>
    <w:rsid w:val="00FA402E"/>
    <w:rsid w:val="00FB040E"/>
    <w:rsid w:val="00FB16D3"/>
    <w:rsid w:val="00FB45AE"/>
    <w:rsid w:val="00FB64CF"/>
    <w:rsid w:val="00FC14C8"/>
    <w:rsid w:val="00FC19D1"/>
    <w:rsid w:val="00FC4064"/>
    <w:rsid w:val="00FD240D"/>
    <w:rsid w:val="00FD2DE1"/>
    <w:rsid w:val="00FD2E08"/>
    <w:rsid w:val="00FD328C"/>
    <w:rsid w:val="00FD3DC5"/>
    <w:rsid w:val="00FD5001"/>
    <w:rsid w:val="00FD54A3"/>
    <w:rsid w:val="00FD67ED"/>
    <w:rsid w:val="00FE25C1"/>
    <w:rsid w:val="00FE504F"/>
    <w:rsid w:val="00FF09BF"/>
    <w:rsid w:val="00FF2F7E"/>
    <w:rsid w:val="00FF3E19"/>
    <w:rsid w:val="00FF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white"/>
    </o:shapedefaults>
    <o:shapelayout v:ext="edit">
      <o:idmap v:ext="edit" data="1"/>
    </o:shapelayout>
  </w:shapeDefaults>
  <w:decimalSymbol w:val="."/>
  <w:listSeparator w:val=","/>
  <w15:chartTrackingRefBased/>
  <w15:docId w15:val="{3FA3560E-43DB-4296-898B-C96B69C8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lang w:val="en-AU"/>
    </w:rPr>
  </w:style>
  <w:style w:type="paragraph" w:styleId="Heading1">
    <w:name w:val="heading 1"/>
    <w:basedOn w:val="Normal"/>
    <w:next w:val="Normal"/>
    <w:link w:val="Heading1Char"/>
    <w:qFormat/>
    <w:rsid w:val="007224B3"/>
    <w:pPr>
      <w:keepNext/>
      <w:spacing w:before="240" w:after="240" w:line="240" w:lineRule="auto"/>
      <w:outlineLvl w:val="0"/>
    </w:pPr>
    <w:rPr>
      <w:rFonts w:ascii="Calibri" w:eastAsia="Times New Roman" w:hAnsi="Calibri" w:cs="Arial"/>
      <w:b/>
      <w:bCs/>
      <w:color w:val="1178A2"/>
      <w:kern w:val="28"/>
      <w:sz w:val="40"/>
      <w:szCs w:val="32"/>
      <w:lang w:eastAsia="en-AU"/>
    </w:rPr>
  </w:style>
  <w:style w:type="paragraph" w:styleId="Heading2">
    <w:name w:val="heading 2"/>
    <w:basedOn w:val="Normal"/>
    <w:next w:val="Normal"/>
    <w:link w:val="Heading2Char"/>
    <w:uiPriority w:val="9"/>
    <w:unhideWhenUsed/>
    <w:qFormat/>
    <w:rsid w:val="0008247B"/>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196E4F"/>
    <w:pPr>
      <w:keepNext/>
      <w:keepLines/>
      <w:spacing w:before="40" w:after="0"/>
      <w:outlineLvl w:val="2"/>
    </w:pPr>
    <w:rPr>
      <w:rFonts w:ascii="Calibri Light" w:eastAsia="Times New Roman" w:hAnsi="Calibri Light"/>
      <w:color w:val="1F4D78"/>
    </w:rPr>
  </w:style>
  <w:style w:type="paragraph" w:styleId="Heading4">
    <w:name w:val="heading 4"/>
    <w:basedOn w:val="Normal"/>
    <w:next w:val="Normal"/>
    <w:link w:val="Heading4Char"/>
    <w:uiPriority w:val="9"/>
    <w:unhideWhenUsed/>
    <w:qFormat/>
    <w:rsid w:val="00DE474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24B3"/>
    <w:rPr>
      <w:rFonts w:ascii="Calibri" w:eastAsia="Times New Roman" w:hAnsi="Calibri" w:cs="Arial"/>
      <w:b/>
      <w:bCs/>
      <w:color w:val="1178A2"/>
      <w:kern w:val="28"/>
      <w:sz w:val="40"/>
      <w:szCs w:val="32"/>
      <w:lang w:eastAsia="en-AU"/>
    </w:rPr>
  </w:style>
  <w:style w:type="paragraph" w:styleId="Title">
    <w:name w:val="Title"/>
    <w:basedOn w:val="Normal"/>
    <w:next w:val="Normal"/>
    <w:link w:val="TitleChar"/>
    <w:qFormat/>
    <w:rsid w:val="007224B3"/>
    <w:pPr>
      <w:spacing w:after="300" w:line="240" w:lineRule="auto"/>
      <w:contextualSpacing/>
    </w:pPr>
    <w:rPr>
      <w:rFonts w:ascii="Arial Bold" w:eastAsia="Times New Roman" w:hAnsi="Arial Bold"/>
      <w:b/>
      <w:color w:val="0A4A63"/>
      <w:kern w:val="28"/>
      <w:sz w:val="56"/>
      <w:szCs w:val="56"/>
      <w:lang w:eastAsia="en-AU"/>
    </w:rPr>
  </w:style>
  <w:style w:type="character" w:customStyle="1" w:styleId="TitleChar">
    <w:name w:val="Title Char"/>
    <w:link w:val="Title"/>
    <w:rsid w:val="007224B3"/>
    <w:rPr>
      <w:rFonts w:ascii="Arial Bold" w:eastAsia="Times New Roman" w:hAnsi="Arial Bold" w:cs="Times New Roman"/>
      <w:b/>
      <w:color w:val="0A4A63"/>
      <w:kern w:val="28"/>
      <w:sz w:val="56"/>
      <w:szCs w:val="56"/>
      <w:lang w:eastAsia="en-AU"/>
    </w:rPr>
  </w:style>
  <w:style w:type="paragraph" w:customStyle="1" w:styleId="Subheading">
    <w:name w:val="Subheading"/>
    <w:basedOn w:val="Normal"/>
    <w:next w:val="Normal"/>
    <w:qFormat/>
    <w:rsid w:val="007224B3"/>
    <w:pPr>
      <w:spacing w:before="240" w:after="200" w:line="240" w:lineRule="auto"/>
    </w:pPr>
    <w:rPr>
      <w:rFonts w:ascii="Calibri" w:eastAsia="Times New Roman" w:hAnsi="Calibri"/>
      <w:b/>
      <w:color w:val="00A9E5"/>
      <w:sz w:val="36"/>
      <w:szCs w:val="36"/>
      <w:lang w:eastAsia="en-AU"/>
    </w:rPr>
  </w:style>
  <w:style w:type="paragraph" w:customStyle="1" w:styleId="PublicationDate">
    <w:name w:val="Publication Date"/>
    <w:basedOn w:val="Normal"/>
    <w:link w:val="PublicationDateChar"/>
    <w:qFormat/>
    <w:rsid w:val="007224B3"/>
    <w:pPr>
      <w:spacing w:before="240" w:after="240" w:line="240" w:lineRule="auto"/>
    </w:pPr>
    <w:rPr>
      <w:rFonts w:ascii="Calibri" w:eastAsia="Times New Roman" w:hAnsi="Calibri"/>
      <w:color w:val="0A4A63"/>
      <w:sz w:val="32"/>
      <w:szCs w:val="40"/>
      <w:lang w:eastAsia="en-AU"/>
    </w:rPr>
  </w:style>
  <w:style w:type="character" w:customStyle="1" w:styleId="PublicationDateChar">
    <w:name w:val="Publication Date Char"/>
    <w:link w:val="PublicationDate"/>
    <w:rsid w:val="007224B3"/>
    <w:rPr>
      <w:rFonts w:ascii="Calibri" w:eastAsia="Times New Roman" w:hAnsi="Calibri"/>
      <w:color w:val="0A4A63"/>
      <w:sz w:val="32"/>
      <w:szCs w:val="40"/>
      <w:lang w:eastAsia="en-AU"/>
    </w:rPr>
  </w:style>
  <w:style w:type="paragraph" w:styleId="Header">
    <w:name w:val="header"/>
    <w:basedOn w:val="Normal"/>
    <w:link w:val="HeaderChar"/>
    <w:uiPriority w:val="99"/>
    <w:unhideWhenUsed/>
    <w:rsid w:val="00722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B3"/>
  </w:style>
  <w:style w:type="paragraph" w:styleId="Footer">
    <w:name w:val="footer"/>
    <w:basedOn w:val="Normal"/>
    <w:link w:val="FooterChar"/>
    <w:unhideWhenUsed/>
    <w:rsid w:val="007224B3"/>
    <w:pPr>
      <w:tabs>
        <w:tab w:val="center" w:pos="4513"/>
        <w:tab w:val="right" w:pos="9026"/>
      </w:tabs>
      <w:spacing w:after="0" w:line="240" w:lineRule="auto"/>
    </w:pPr>
  </w:style>
  <w:style w:type="character" w:customStyle="1" w:styleId="FooterChar">
    <w:name w:val="Footer Char"/>
    <w:basedOn w:val="DefaultParagraphFont"/>
    <w:link w:val="Footer"/>
    <w:rsid w:val="007224B3"/>
  </w:style>
  <w:style w:type="paragraph" w:styleId="Caption">
    <w:name w:val="caption"/>
    <w:basedOn w:val="Normal"/>
    <w:next w:val="Normal"/>
    <w:uiPriority w:val="35"/>
    <w:unhideWhenUsed/>
    <w:qFormat/>
    <w:rsid w:val="007224B3"/>
    <w:pPr>
      <w:spacing w:after="200" w:line="240" w:lineRule="auto"/>
    </w:pPr>
    <w:rPr>
      <w:rFonts w:ascii="Calibri" w:eastAsia="Times New Roman" w:hAnsi="Calibri"/>
      <w:b/>
      <w:bCs/>
      <w:color w:val="5B9BD5"/>
      <w:sz w:val="18"/>
      <w:szCs w:val="18"/>
      <w:lang w:eastAsia="en-AU"/>
    </w:rPr>
  </w:style>
  <w:style w:type="table" w:styleId="TableGrid">
    <w:name w:val="Table Grid"/>
    <w:aliases w:val="Commission"/>
    <w:basedOn w:val="TableNormal"/>
    <w:rsid w:val="00196E4F"/>
    <w:rPr>
      <w:rFonts w:ascii="Arial" w:eastAsia="Times New Roman" w:hAnsi="Arial"/>
      <w:color w:val="000000"/>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Segoe UI" w:hAnsi="Segoe UI"/>
        <w:b/>
        <w:color w:val="000000"/>
        <w:sz w:val="18"/>
      </w:rPr>
      <w:tblPr/>
      <w:tcPr>
        <w:shd w:val="clear" w:color="auto" w:fill="ACB9CA"/>
      </w:tcPr>
    </w:tblStylePr>
  </w:style>
  <w:style w:type="character" w:customStyle="1" w:styleId="Heading3Char">
    <w:name w:val="Heading 3 Char"/>
    <w:link w:val="Heading3"/>
    <w:uiPriority w:val="9"/>
    <w:rsid w:val="00196E4F"/>
    <w:rPr>
      <w:rFonts w:ascii="Calibri Light" w:eastAsia="Times New Roman" w:hAnsi="Calibri Light" w:cs="Times New Roman"/>
      <w:color w:val="1F4D78"/>
    </w:rPr>
  </w:style>
  <w:style w:type="character" w:customStyle="1" w:styleId="Heading2Char">
    <w:name w:val="Heading 2 Char"/>
    <w:link w:val="Heading2"/>
    <w:uiPriority w:val="9"/>
    <w:rsid w:val="0008247B"/>
    <w:rPr>
      <w:rFonts w:ascii="Calibri Light" w:eastAsia="Times New Roman" w:hAnsi="Calibri Light" w:cs="Times New Roman"/>
      <w:color w:val="2E74B5"/>
      <w:sz w:val="26"/>
      <w:szCs w:val="26"/>
    </w:rPr>
  </w:style>
  <w:style w:type="paragraph" w:styleId="FootnoteText">
    <w:name w:val="footnote text"/>
    <w:basedOn w:val="Normal"/>
    <w:link w:val="FootnoteTextChar"/>
    <w:rsid w:val="0008247B"/>
    <w:pPr>
      <w:spacing w:after="0" w:line="240" w:lineRule="auto"/>
    </w:pPr>
    <w:rPr>
      <w:rFonts w:ascii="Calibri" w:eastAsia="Times New Roman" w:hAnsi="Calibri"/>
      <w:sz w:val="20"/>
      <w:szCs w:val="20"/>
      <w:lang w:eastAsia="en-AU"/>
    </w:rPr>
  </w:style>
  <w:style w:type="character" w:customStyle="1" w:styleId="FootnoteTextChar">
    <w:name w:val="Footnote Text Char"/>
    <w:link w:val="FootnoteText"/>
    <w:rsid w:val="0008247B"/>
    <w:rPr>
      <w:rFonts w:ascii="Calibri" w:eastAsia="Times New Roman" w:hAnsi="Calibri"/>
      <w:sz w:val="20"/>
      <w:szCs w:val="20"/>
      <w:lang w:eastAsia="en-AU"/>
    </w:rPr>
  </w:style>
  <w:style w:type="character" w:styleId="FootnoteReference">
    <w:name w:val="footnote reference"/>
    <w:rsid w:val="0008247B"/>
    <w:rPr>
      <w:rFonts w:ascii="Arial" w:hAnsi="Arial"/>
      <w:vertAlign w:val="superscript"/>
    </w:rPr>
  </w:style>
  <w:style w:type="character" w:styleId="Hyperlink">
    <w:name w:val="Hyperlink"/>
    <w:rsid w:val="00121840"/>
    <w:rPr>
      <w:color w:val="0563C1"/>
      <w:u w:val="single"/>
    </w:rPr>
  </w:style>
  <w:style w:type="paragraph" w:styleId="ListParagraph">
    <w:name w:val="List Paragraph"/>
    <w:basedOn w:val="Normal"/>
    <w:uiPriority w:val="34"/>
    <w:qFormat/>
    <w:rsid w:val="00121840"/>
    <w:pPr>
      <w:spacing w:after="200" w:line="240" w:lineRule="auto"/>
      <w:ind w:left="720"/>
      <w:contextualSpacing/>
    </w:pPr>
    <w:rPr>
      <w:rFonts w:ascii="Calibri" w:eastAsia="Times New Roman" w:hAnsi="Calibri"/>
      <w:sz w:val="22"/>
      <w:szCs w:val="22"/>
      <w:lang w:eastAsia="en-AU"/>
    </w:rPr>
  </w:style>
  <w:style w:type="paragraph" w:styleId="BalloonText">
    <w:name w:val="Balloon Text"/>
    <w:basedOn w:val="Normal"/>
    <w:link w:val="BalloonTextChar"/>
    <w:uiPriority w:val="99"/>
    <w:semiHidden/>
    <w:unhideWhenUsed/>
    <w:rsid w:val="00577D3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7D32"/>
    <w:rPr>
      <w:rFonts w:ascii="Segoe UI" w:hAnsi="Segoe UI" w:cs="Segoe UI"/>
      <w:sz w:val="18"/>
      <w:szCs w:val="18"/>
    </w:rPr>
  </w:style>
  <w:style w:type="character" w:styleId="CommentReference">
    <w:name w:val="annotation reference"/>
    <w:uiPriority w:val="99"/>
    <w:semiHidden/>
    <w:unhideWhenUsed/>
    <w:rsid w:val="00036EB3"/>
    <w:rPr>
      <w:sz w:val="16"/>
      <w:szCs w:val="16"/>
    </w:rPr>
  </w:style>
  <w:style w:type="paragraph" w:styleId="CommentText">
    <w:name w:val="annotation text"/>
    <w:basedOn w:val="Normal"/>
    <w:link w:val="CommentTextChar"/>
    <w:uiPriority w:val="99"/>
    <w:unhideWhenUsed/>
    <w:rsid w:val="00036EB3"/>
    <w:pPr>
      <w:spacing w:line="240" w:lineRule="auto"/>
    </w:pPr>
    <w:rPr>
      <w:sz w:val="20"/>
      <w:szCs w:val="20"/>
    </w:rPr>
  </w:style>
  <w:style w:type="character" w:customStyle="1" w:styleId="CommentTextChar">
    <w:name w:val="Comment Text Char"/>
    <w:link w:val="CommentText"/>
    <w:uiPriority w:val="99"/>
    <w:rsid w:val="00036EB3"/>
    <w:rPr>
      <w:lang w:eastAsia="en-US"/>
    </w:rPr>
  </w:style>
  <w:style w:type="paragraph" w:styleId="CommentSubject">
    <w:name w:val="annotation subject"/>
    <w:basedOn w:val="CommentText"/>
    <w:next w:val="CommentText"/>
    <w:link w:val="CommentSubjectChar"/>
    <w:uiPriority w:val="99"/>
    <w:semiHidden/>
    <w:unhideWhenUsed/>
    <w:rsid w:val="00036EB3"/>
    <w:rPr>
      <w:b/>
      <w:bCs/>
    </w:rPr>
  </w:style>
  <w:style w:type="character" w:customStyle="1" w:styleId="CommentSubjectChar">
    <w:name w:val="Comment Subject Char"/>
    <w:link w:val="CommentSubject"/>
    <w:uiPriority w:val="99"/>
    <w:semiHidden/>
    <w:rsid w:val="00036EB3"/>
    <w:rPr>
      <w:b/>
      <w:bCs/>
      <w:lang w:eastAsia="en-US"/>
    </w:rPr>
  </w:style>
  <w:style w:type="paragraph" w:styleId="Revision">
    <w:name w:val="Revision"/>
    <w:hidden/>
    <w:uiPriority w:val="99"/>
    <w:semiHidden/>
    <w:rsid w:val="009709B3"/>
    <w:rPr>
      <w:sz w:val="24"/>
      <w:szCs w:val="24"/>
      <w:lang w:val="en-AU"/>
    </w:rPr>
  </w:style>
  <w:style w:type="character" w:customStyle="1" w:styleId="Heading4Char">
    <w:name w:val="Heading 4 Char"/>
    <w:link w:val="Heading4"/>
    <w:uiPriority w:val="9"/>
    <w:rsid w:val="00DE4744"/>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CA2327"/>
    <w:rPr>
      <w:color w:val="954F72"/>
      <w:u w:val="single"/>
    </w:rPr>
  </w:style>
  <w:style w:type="paragraph" w:customStyle="1" w:styleId="Default">
    <w:name w:val="Default"/>
    <w:rsid w:val="00823118"/>
    <w:pPr>
      <w:autoSpaceDE w:val="0"/>
      <w:autoSpaceDN w:val="0"/>
      <w:adjustRightInd w:val="0"/>
    </w:pPr>
    <w:rPr>
      <w:rFonts w:ascii="Calibri" w:hAnsi="Calibri" w:cs="Calibri"/>
      <w:color w:val="000000"/>
      <w:sz w:val="24"/>
      <w:szCs w:val="24"/>
      <w:lang w:val="en-AU" w:eastAsia="en-AU"/>
    </w:rPr>
  </w:style>
  <w:style w:type="paragraph" w:customStyle="1" w:styleId="EndNoteBibliographyTitle">
    <w:name w:val="EndNote Bibliography Title"/>
    <w:basedOn w:val="Normal"/>
    <w:link w:val="EndNoteBibliographyTitleChar"/>
    <w:rsid w:val="00317483"/>
    <w:pPr>
      <w:spacing w:after="0"/>
      <w:jc w:val="center"/>
    </w:pPr>
    <w:rPr>
      <w:noProof/>
      <w:lang w:val="en-US"/>
    </w:rPr>
  </w:style>
  <w:style w:type="character" w:customStyle="1" w:styleId="EndNoteBibliographyTitleChar">
    <w:name w:val="EndNote Bibliography Title Char"/>
    <w:link w:val="EndNoteBibliographyTitle"/>
    <w:rsid w:val="00317483"/>
    <w:rPr>
      <w:noProof/>
      <w:sz w:val="24"/>
      <w:szCs w:val="24"/>
      <w:lang w:val="en-US" w:eastAsia="en-US"/>
    </w:rPr>
  </w:style>
  <w:style w:type="paragraph" w:customStyle="1" w:styleId="EndNoteBibliography">
    <w:name w:val="EndNote Bibliography"/>
    <w:basedOn w:val="Normal"/>
    <w:link w:val="EndNoteBibliographyChar"/>
    <w:rsid w:val="00317483"/>
    <w:pPr>
      <w:spacing w:line="240" w:lineRule="auto"/>
    </w:pPr>
    <w:rPr>
      <w:noProof/>
      <w:lang w:val="en-US"/>
    </w:rPr>
  </w:style>
  <w:style w:type="character" w:customStyle="1" w:styleId="EndNoteBibliographyChar">
    <w:name w:val="EndNote Bibliography Char"/>
    <w:link w:val="EndNoteBibliography"/>
    <w:rsid w:val="00317483"/>
    <w:rPr>
      <w:noProof/>
      <w:sz w:val="24"/>
      <w:szCs w:val="24"/>
      <w:lang w:val="en-US" w:eastAsia="en-US"/>
    </w:rPr>
  </w:style>
  <w:style w:type="paragraph" w:styleId="NoSpacing">
    <w:name w:val="No Spacing"/>
    <w:uiPriority w:val="1"/>
    <w:qFormat/>
    <w:rsid w:val="00565FED"/>
    <w:rPr>
      <w:sz w:val="24"/>
      <w:szCs w:val="24"/>
      <w:lang w:val="en-AU"/>
    </w:rPr>
  </w:style>
  <w:style w:type="character" w:styleId="Strong">
    <w:name w:val="Strong"/>
    <w:qFormat/>
    <w:rsid w:val="00210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642540">
      <w:bodyDiv w:val="1"/>
      <w:marLeft w:val="0"/>
      <w:marRight w:val="0"/>
      <w:marTop w:val="0"/>
      <w:marBottom w:val="0"/>
      <w:divBdr>
        <w:top w:val="none" w:sz="0" w:space="0" w:color="auto"/>
        <w:left w:val="none" w:sz="0" w:space="0" w:color="auto"/>
        <w:bottom w:val="none" w:sz="0" w:space="0" w:color="auto"/>
        <w:right w:val="none" w:sz="0" w:space="0" w:color="auto"/>
      </w:divBdr>
    </w:div>
    <w:div w:id="1655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aihw.gov.au/reports-data/myhospitals/content/data-downloads" TargetMode="External"/><Relationship Id="rId26" Type="http://schemas.openxmlformats.org/officeDocument/2006/relationships/hyperlink" Target="http://www.sciencedirect.com/science/article/pii/S1198743X18300211%20" TargetMode="External"/><Relationship Id="rId3" Type="http://schemas.openxmlformats.org/officeDocument/2006/relationships/styles" Target="styles.xml"/><Relationship Id="rId21" Type="http://schemas.openxmlformats.org/officeDocument/2006/relationships/hyperlink" Target="http://www.aihw.gov.au/hospitals-data/principal-diagnosis-data-cub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meteor.aihw.gov.au/content/index.phtml/itemId/496512" TargetMode="External"/><Relationship Id="rId25" Type="http://schemas.openxmlformats.org/officeDocument/2006/relationships/hyperlink" Target="https://www.ihpa.gov.au/sites/default/files/publications/pricing_and_funding_for_safety_and_quality_-_risk_adjustment_model_for_hospital_acquired_complications_2019-20.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meteor.aihw.gov.au/content/index.phtml/itemId/6121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safetyandquality.gov.au" TargetMode="External"/><Relationship Id="rId24" Type="http://schemas.openxmlformats.org/officeDocument/2006/relationships/hyperlink" Target="https://www.ncas-australia.org/education"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frontiersin.org/article/10.3389/fpubh.2019.00164"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nice.org.uk/advice/esmpb1/chapter/Key-points-from-the-evidence" TargetMode="External"/><Relationship Id="rId4" Type="http://schemas.openxmlformats.org/officeDocument/2006/relationships/settings" Target="settings.xml"/><Relationship Id="rId9" Type="http://schemas.openxmlformats.org/officeDocument/2006/relationships/hyperlink" Target="http://creativecommons.org/licenses/by-nc-nd/4.0/" TargetMode="External"/><Relationship Id="rId14" Type="http://schemas.openxmlformats.org/officeDocument/2006/relationships/image" Target="media/image5.png"/><Relationship Id="rId22" Type="http://schemas.openxmlformats.org/officeDocument/2006/relationships/hyperlink" Target="https://meteor.aihw.gov.au/content/index.phtml/itemId/49651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BD906-8A0C-4FFC-A226-F85EB10B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4073</Words>
  <Characters>23221</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27240</CharactersWithSpaces>
  <SharedDoc>false</SharedDoc>
  <HLinks>
    <vt:vector size="72" baseType="variant">
      <vt:variant>
        <vt:i4>6946933</vt:i4>
      </vt:variant>
      <vt:variant>
        <vt:i4>59</vt:i4>
      </vt:variant>
      <vt:variant>
        <vt:i4>0</vt:i4>
      </vt:variant>
      <vt:variant>
        <vt:i4>5</vt:i4>
      </vt:variant>
      <vt:variant>
        <vt:lpwstr>http://www.sciencedirect.com/science/article/pii/S1198743X18300211</vt:lpwstr>
      </vt:variant>
      <vt:variant>
        <vt:lpwstr/>
      </vt:variant>
      <vt:variant>
        <vt:i4>1048635</vt:i4>
      </vt:variant>
      <vt:variant>
        <vt:i4>56</vt:i4>
      </vt:variant>
      <vt:variant>
        <vt:i4>0</vt:i4>
      </vt:variant>
      <vt:variant>
        <vt:i4>5</vt:i4>
      </vt:variant>
      <vt:variant>
        <vt:lpwstr>https://www.ihpa.gov.au/sites/default/files/publications/pricing_and_funding_for_safety_and_quality_-_risk_adjustment_model_for_hospital_acquired_complications_2019-20.pdf</vt:lpwstr>
      </vt:variant>
      <vt:variant>
        <vt:lpwstr/>
      </vt:variant>
      <vt:variant>
        <vt:i4>4915204</vt:i4>
      </vt:variant>
      <vt:variant>
        <vt:i4>53</vt:i4>
      </vt:variant>
      <vt:variant>
        <vt:i4>0</vt:i4>
      </vt:variant>
      <vt:variant>
        <vt:i4>5</vt:i4>
      </vt:variant>
      <vt:variant>
        <vt:lpwstr>https://www.ncas-australia.org/education</vt:lpwstr>
      </vt:variant>
      <vt:variant>
        <vt:lpwstr/>
      </vt:variant>
      <vt:variant>
        <vt:i4>7340085</vt:i4>
      </vt:variant>
      <vt:variant>
        <vt:i4>50</vt:i4>
      </vt:variant>
      <vt:variant>
        <vt:i4>0</vt:i4>
      </vt:variant>
      <vt:variant>
        <vt:i4>5</vt:i4>
      </vt:variant>
      <vt:variant>
        <vt:lpwstr>http://www.frontiersin.org/article/10.3389/fpubh.2019.00164</vt:lpwstr>
      </vt:variant>
      <vt:variant>
        <vt:lpwstr/>
      </vt:variant>
      <vt:variant>
        <vt:i4>327746</vt:i4>
      </vt:variant>
      <vt:variant>
        <vt:i4>47</vt:i4>
      </vt:variant>
      <vt:variant>
        <vt:i4>0</vt:i4>
      </vt:variant>
      <vt:variant>
        <vt:i4>5</vt:i4>
      </vt:variant>
      <vt:variant>
        <vt:lpwstr>https://meteor.aihw.gov.au/content/index.phtml/itemId/496512</vt:lpwstr>
      </vt:variant>
      <vt:variant>
        <vt:lpwstr/>
      </vt:variant>
      <vt:variant>
        <vt:i4>589851</vt:i4>
      </vt:variant>
      <vt:variant>
        <vt:i4>44</vt:i4>
      </vt:variant>
      <vt:variant>
        <vt:i4>0</vt:i4>
      </vt:variant>
      <vt:variant>
        <vt:i4>5</vt:i4>
      </vt:variant>
      <vt:variant>
        <vt:lpwstr>http://www.aihw.gov.au/hospitals-data/principal-diagnosis-data-cubes/</vt:lpwstr>
      </vt:variant>
      <vt:variant>
        <vt:lpwstr/>
      </vt:variant>
      <vt:variant>
        <vt:i4>2687011</vt:i4>
      </vt:variant>
      <vt:variant>
        <vt:i4>41</vt:i4>
      </vt:variant>
      <vt:variant>
        <vt:i4>0</vt:i4>
      </vt:variant>
      <vt:variant>
        <vt:i4>5</vt:i4>
      </vt:variant>
      <vt:variant>
        <vt:lpwstr>http://meteor.aihw.gov.au/content/index.phtml/itemId/612171</vt:lpwstr>
      </vt:variant>
      <vt:variant>
        <vt:lpwstr/>
      </vt:variant>
      <vt:variant>
        <vt:i4>262230</vt:i4>
      </vt:variant>
      <vt:variant>
        <vt:i4>38</vt:i4>
      </vt:variant>
      <vt:variant>
        <vt:i4>0</vt:i4>
      </vt:variant>
      <vt:variant>
        <vt:i4>5</vt:i4>
      </vt:variant>
      <vt:variant>
        <vt:lpwstr>http://www.nice.org.uk/advice/esmpb1/chapter/Key-points-from-the-evidence</vt:lpwstr>
      </vt:variant>
      <vt:variant>
        <vt:lpwstr/>
      </vt:variant>
      <vt:variant>
        <vt:i4>8126586</vt:i4>
      </vt:variant>
      <vt:variant>
        <vt:i4>33</vt:i4>
      </vt:variant>
      <vt:variant>
        <vt:i4>0</vt:i4>
      </vt:variant>
      <vt:variant>
        <vt:i4>5</vt:i4>
      </vt:variant>
      <vt:variant>
        <vt:lpwstr>https://www.aihw.gov.au/reports-data/myhospitals/content/data-downloads</vt:lpwstr>
      </vt:variant>
      <vt:variant>
        <vt:lpwstr/>
      </vt:variant>
      <vt:variant>
        <vt:i4>327746</vt:i4>
      </vt:variant>
      <vt:variant>
        <vt:i4>30</vt:i4>
      </vt:variant>
      <vt:variant>
        <vt:i4>0</vt:i4>
      </vt:variant>
      <vt:variant>
        <vt:i4>5</vt:i4>
      </vt:variant>
      <vt:variant>
        <vt:lpwstr>https://meteor.aihw.gov.au/content/index.phtml/itemId/496512</vt:lpwstr>
      </vt:variant>
      <vt:variant>
        <vt:lpwstr/>
      </vt:variant>
      <vt:variant>
        <vt:i4>3473483</vt:i4>
      </vt:variant>
      <vt:variant>
        <vt:i4>3</vt:i4>
      </vt:variant>
      <vt:variant>
        <vt:i4>0</vt:i4>
      </vt:variant>
      <vt:variant>
        <vt:i4>5</vt:i4>
      </vt:variant>
      <vt:variant>
        <vt:lpwstr>mailto:communications@safetyandquality.gov.au</vt:lpwstr>
      </vt:variant>
      <vt:variant>
        <vt:lpwstr/>
      </vt:variant>
      <vt:variant>
        <vt:i4>4456518</vt:i4>
      </vt:variant>
      <vt:variant>
        <vt:i4>0</vt:i4>
      </vt:variant>
      <vt:variant>
        <vt:i4>0</vt:i4>
      </vt:variant>
      <vt:variant>
        <vt:i4>5</vt:i4>
      </vt:variant>
      <vt:variant>
        <vt:lpwstr>http://creativecommons.org/licenses/by-nc-nd/4.0/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Jennifer</dc:creator>
  <cp:keywords/>
  <dc:description/>
  <cp:lastModifiedBy>Mertens, Kate</cp:lastModifiedBy>
  <cp:revision>2</cp:revision>
  <cp:lastPrinted>2020-08-04T01:59:00Z</cp:lastPrinted>
  <dcterms:created xsi:type="dcterms:W3CDTF">2021-07-08T01:38:00Z</dcterms:created>
  <dcterms:modified xsi:type="dcterms:W3CDTF">2021-07-08T01:38:00Z</dcterms:modified>
</cp:coreProperties>
</file>