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672D68">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712DD0">
        <w:rPr>
          <w:rFonts w:ascii="Garamond" w:hAnsi="Garamond"/>
          <w:color w:val="000000" w:themeColor="text1"/>
          <w:lang w:val="en-AU"/>
        </w:rPr>
        <w:t>31</w:t>
      </w:r>
    </w:p>
    <w:p w:rsidR="00755242" w:rsidRDefault="00A44432" w:rsidP="00F738B5">
      <w:pPr>
        <w:rPr>
          <w:rFonts w:ascii="Garamond" w:hAnsi="Garamond"/>
          <w:lang w:val="en-AU"/>
        </w:rPr>
      </w:pPr>
      <w:r>
        <w:rPr>
          <w:rFonts w:ascii="Garamond" w:hAnsi="Garamond"/>
          <w:lang w:val="en-AU"/>
        </w:rPr>
        <w:t>Tuesday 5</w:t>
      </w:r>
      <w:r w:rsidR="00712DD0">
        <w:rPr>
          <w:rFonts w:ascii="Garamond" w:hAnsi="Garamond"/>
          <w:lang w:val="en-AU"/>
        </w:rPr>
        <w:t xml:space="preserve"> Octo</w:t>
      </w:r>
      <w:r w:rsidR="00AF54F8">
        <w:rPr>
          <w:rFonts w:ascii="Garamond" w:hAnsi="Garamond"/>
          <w:lang w:val="en-AU"/>
        </w:rPr>
        <w:t xml:space="preserve">ber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315A48" w:rsidRDefault="00210235" w:rsidP="00DA7517">
      <w:pPr>
        <w:keepNext/>
        <w:pBdr>
          <w:top w:val="single" w:sz="4" w:space="1" w:color="auto"/>
        </w:pBd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A63D6B">
        <w:rPr>
          <w:rFonts w:ascii="Garamond" w:hAnsi="Garamond"/>
          <w:bCs/>
          <w:lang w:val="en-AU"/>
        </w:rPr>
        <w:t>, Sandra Rigby</w:t>
      </w:r>
      <w:r w:rsidR="00B419AC">
        <w:rPr>
          <w:rFonts w:ascii="Garamond" w:hAnsi="Garamond"/>
          <w:bCs/>
          <w:lang w:val="en-AU"/>
        </w:rPr>
        <w:t>, Kim Stewart</w:t>
      </w:r>
    </w:p>
    <w:p w:rsidR="00271718" w:rsidRDefault="00271718" w:rsidP="00271718">
      <w:pPr>
        <w:keepLines/>
        <w:rPr>
          <w:rFonts w:ascii="Garamond" w:hAnsi="Garamond"/>
          <w:lang w:val="en-AU"/>
        </w:rPr>
      </w:pPr>
    </w:p>
    <w:p w:rsidR="00A63D6B" w:rsidRDefault="00A63D6B" w:rsidP="00271718">
      <w:pPr>
        <w:keepLines/>
        <w:rPr>
          <w:rFonts w:ascii="Garamond" w:hAnsi="Garamond"/>
          <w:lang w:val="en-AU"/>
        </w:rPr>
      </w:pPr>
    </w:p>
    <w:p w:rsidR="00712DD0" w:rsidRDefault="00712DD0" w:rsidP="00E34A10">
      <w:pPr>
        <w:keepNext/>
        <w:keepLines/>
        <w:autoSpaceDE w:val="0"/>
        <w:autoSpaceDN w:val="0"/>
        <w:adjustRightInd w:val="0"/>
        <w:rPr>
          <w:rFonts w:ascii="Garamond" w:hAnsi="Garamond"/>
          <w:b/>
          <w:lang w:val="en-AU"/>
        </w:rPr>
      </w:pPr>
      <w:r>
        <w:rPr>
          <w:rFonts w:ascii="Garamond" w:hAnsi="Garamond"/>
          <w:b/>
          <w:lang w:val="en-AU"/>
        </w:rPr>
        <w:t>Reports</w:t>
      </w:r>
    </w:p>
    <w:p w:rsidR="00712DD0" w:rsidRDefault="00712DD0" w:rsidP="00712DD0">
      <w:pPr>
        <w:keepNext/>
        <w:keepLines/>
        <w:tabs>
          <w:tab w:val="left" w:pos="2114"/>
        </w:tabs>
        <w:autoSpaceDE w:val="0"/>
        <w:autoSpaceDN w:val="0"/>
        <w:adjustRightInd w:val="0"/>
        <w:rPr>
          <w:rFonts w:ascii="Garamond" w:hAnsi="Garamond"/>
          <w:lang w:val="en-AU"/>
        </w:rPr>
      </w:pPr>
    </w:p>
    <w:p w:rsidR="00712DD0" w:rsidRPr="00FC5866" w:rsidRDefault="00FC5866" w:rsidP="00FC5866">
      <w:pPr>
        <w:keepNext/>
        <w:keepLines/>
        <w:tabs>
          <w:tab w:val="left" w:pos="2114"/>
        </w:tabs>
        <w:autoSpaceDE w:val="0"/>
        <w:autoSpaceDN w:val="0"/>
        <w:adjustRightInd w:val="0"/>
        <w:rPr>
          <w:rFonts w:ascii="Garamond" w:hAnsi="Garamond"/>
          <w:i/>
          <w:lang w:val="en-AU"/>
        </w:rPr>
      </w:pPr>
      <w:r w:rsidRPr="00FC5866">
        <w:rPr>
          <w:rFonts w:ascii="Garamond" w:hAnsi="Garamond"/>
          <w:i/>
          <w:lang w:val="en-AU"/>
        </w:rPr>
        <w:t>Good for you, good for us, good for everybody: A plan to reduce overprescribing to make patient care better and safer, support the NHS, and reduce carbon emissions</w:t>
      </w:r>
    </w:p>
    <w:p w:rsidR="00D632B0" w:rsidRDefault="00D632B0" w:rsidP="00FC5866">
      <w:pPr>
        <w:keepNext/>
        <w:keepLines/>
        <w:tabs>
          <w:tab w:val="left" w:pos="2114"/>
        </w:tabs>
        <w:autoSpaceDE w:val="0"/>
        <w:autoSpaceDN w:val="0"/>
        <w:adjustRightInd w:val="0"/>
        <w:rPr>
          <w:rFonts w:ascii="Garamond" w:hAnsi="Garamond"/>
          <w:lang w:val="en-AU"/>
        </w:rPr>
      </w:pPr>
      <w:r w:rsidRPr="00D632B0">
        <w:rPr>
          <w:rFonts w:ascii="Garamond" w:hAnsi="Garamond"/>
          <w:lang w:val="en-AU"/>
        </w:rPr>
        <w:t xml:space="preserve">Department of Health and Social Care </w:t>
      </w:r>
    </w:p>
    <w:p w:rsidR="00FC5866" w:rsidRDefault="00D632B0" w:rsidP="00FC5866">
      <w:pPr>
        <w:keepNext/>
        <w:keepLines/>
        <w:tabs>
          <w:tab w:val="left" w:pos="2114"/>
        </w:tabs>
        <w:autoSpaceDE w:val="0"/>
        <w:autoSpaceDN w:val="0"/>
        <w:adjustRightInd w:val="0"/>
        <w:rPr>
          <w:rFonts w:ascii="Garamond" w:hAnsi="Garamond"/>
          <w:lang w:val="en-AU"/>
        </w:rPr>
      </w:pPr>
      <w:r w:rsidRPr="00D632B0">
        <w:rPr>
          <w:rFonts w:ascii="Garamond" w:hAnsi="Garamond"/>
          <w:lang w:val="en-AU"/>
        </w:rPr>
        <w:t>London: Department of Health and Social Care; 2021. p. 85.</w:t>
      </w:r>
    </w:p>
    <w:tbl>
      <w:tblPr>
        <w:tblStyle w:val="TableGrid"/>
        <w:tblW w:w="9360" w:type="dxa"/>
        <w:tblInd w:w="288" w:type="dxa"/>
        <w:tblLayout w:type="fixed"/>
        <w:tblLook w:val="01E0" w:firstRow="1" w:lastRow="1" w:firstColumn="1" w:lastColumn="1" w:noHBand="0" w:noVBand="0"/>
      </w:tblPr>
      <w:tblGrid>
        <w:gridCol w:w="1080"/>
        <w:gridCol w:w="8280"/>
      </w:tblGrid>
      <w:tr w:rsidR="00712DD0" w:rsidRPr="000170DA" w:rsidTr="00EC5E4B">
        <w:tc>
          <w:tcPr>
            <w:tcW w:w="1080" w:type="dxa"/>
            <w:tcBorders>
              <w:top w:val="single" w:sz="4" w:space="0" w:color="auto"/>
              <w:left w:val="single" w:sz="4" w:space="0" w:color="auto"/>
              <w:bottom w:val="single" w:sz="4" w:space="0" w:color="auto"/>
              <w:right w:val="single" w:sz="4" w:space="0" w:color="auto"/>
            </w:tcBorders>
            <w:vAlign w:val="center"/>
          </w:tcPr>
          <w:p w:rsidR="00712DD0" w:rsidRPr="000170DA" w:rsidRDefault="00712DD0" w:rsidP="00EC5E4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12DD0" w:rsidRPr="000170DA" w:rsidRDefault="00902FA9" w:rsidP="00EC5E4B">
            <w:pPr>
              <w:rPr>
                <w:rStyle w:val="Hyperlink"/>
                <w:rFonts w:ascii="Garamond" w:hAnsi="Garamond"/>
                <w:color w:val="auto"/>
                <w:u w:val="none"/>
                <w:lang w:val="en-AU"/>
              </w:rPr>
            </w:pPr>
            <w:hyperlink r:id="rId15" w:history="1">
              <w:r w:rsidR="00FC5866" w:rsidRPr="0099108E">
                <w:rPr>
                  <w:rStyle w:val="Hyperlink"/>
                  <w:rFonts w:ascii="Garamond" w:hAnsi="Garamond"/>
                  <w:lang w:val="en-AU"/>
                </w:rPr>
                <w:t>https://www.gov.uk/government/publications/national-overprescribing-review-report</w:t>
              </w:r>
            </w:hyperlink>
          </w:p>
        </w:tc>
      </w:tr>
      <w:tr w:rsidR="00712DD0" w:rsidRPr="000170DA" w:rsidTr="00EC5E4B">
        <w:tc>
          <w:tcPr>
            <w:tcW w:w="1080" w:type="dxa"/>
            <w:tcBorders>
              <w:top w:val="single" w:sz="4" w:space="0" w:color="auto"/>
              <w:left w:val="single" w:sz="4" w:space="0" w:color="auto"/>
              <w:bottom w:val="single" w:sz="4" w:space="0" w:color="auto"/>
              <w:right w:val="single" w:sz="4" w:space="0" w:color="auto"/>
            </w:tcBorders>
            <w:vAlign w:val="center"/>
          </w:tcPr>
          <w:p w:rsidR="00712DD0" w:rsidRPr="000170DA" w:rsidRDefault="00712DD0" w:rsidP="00EC5E4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A4544" w:rsidRDefault="009A4544" w:rsidP="009A4544">
            <w:pPr>
              <w:rPr>
                <w:rFonts w:ascii="Garamond" w:hAnsi="Garamond"/>
                <w:lang w:val="en-AU"/>
              </w:rPr>
            </w:pPr>
            <w:r>
              <w:rPr>
                <w:rFonts w:ascii="Garamond" w:hAnsi="Garamond"/>
                <w:lang w:val="en-AU"/>
              </w:rPr>
              <w:t>The UK Department of Health and Social Care has published t</w:t>
            </w:r>
            <w:r w:rsidR="00AE6B6F">
              <w:rPr>
                <w:rFonts w:ascii="Garamond" w:hAnsi="Garamond"/>
                <w:lang w:val="en-AU"/>
              </w:rPr>
              <w:t>his report into overprescribing</w:t>
            </w:r>
            <w:r>
              <w:rPr>
                <w:rFonts w:ascii="Garamond" w:hAnsi="Garamond"/>
                <w:lang w:val="en-AU"/>
              </w:rPr>
              <w:t>.</w:t>
            </w:r>
            <w:r w:rsidRPr="000774CF">
              <w:rPr>
                <w:rFonts w:ascii="Garamond" w:hAnsi="Garamond"/>
                <w:lang w:val="en-AU"/>
              </w:rPr>
              <w:t xml:space="preserve"> This review was </w:t>
            </w:r>
            <w:r>
              <w:rPr>
                <w:rFonts w:ascii="Garamond" w:hAnsi="Garamond"/>
                <w:lang w:val="en-AU"/>
              </w:rPr>
              <w:t xml:space="preserve">established </w:t>
            </w:r>
            <w:r w:rsidRPr="000774CF">
              <w:rPr>
                <w:rFonts w:ascii="Garamond" w:hAnsi="Garamond"/>
                <w:lang w:val="en-AU"/>
              </w:rPr>
              <w:t>to develop recommendations to reduce overprescribing, which is</w:t>
            </w:r>
            <w:r>
              <w:rPr>
                <w:rFonts w:ascii="Garamond" w:hAnsi="Garamond"/>
                <w:lang w:val="en-AU"/>
              </w:rPr>
              <w:t xml:space="preserve"> </w:t>
            </w:r>
            <w:r w:rsidRPr="000774CF">
              <w:rPr>
                <w:rFonts w:ascii="Garamond" w:hAnsi="Garamond"/>
                <w:lang w:val="en-AU"/>
              </w:rPr>
              <w:t>where people are given medicines they don’t need or want, or which may do them harm.</w:t>
            </w:r>
            <w:r>
              <w:rPr>
                <w:rFonts w:ascii="Garamond" w:hAnsi="Garamond"/>
                <w:lang w:val="en-AU"/>
              </w:rPr>
              <w:t xml:space="preserve"> </w:t>
            </w:r>
            <w:r w:rsidRPr="000774CF">
              <w:rPr>
                <w:rFonts w:ascii="Garamond" w:hAnsi="Garamond"/>
                <w:lang w:val="en-AU"/>
              </w:rPr>
              <w:t>The review has found that overprescribing is a serious problem in health systems</w:t>
            </w:r>
            <w:r>
              <w:rPr>
                <w:rFonts w:ascii="Garamond" w:hAnsi="Garamond"/>
                <w:lang w:val="en-AU"/>
              </w:rPr>
              <w:t xml:space="preserve"> </w:t>
            </w:r>
            <w:r w:rsidRPr="000774CF">
              <w:rPr>
                <w:rFonts w:ascii="Garamond" w:hAnsi="Garamond"/>
                <w:lang w:val="en-AU"/>
              </w:rPr>
              <w:t>internationally that has grown drama</w:t>
            </w:r>
            <w:r>
              <w:rPr>
                <w:rFonts w:ascii="Garamond" w:hAnsi="Garamond"/>
                <w:lang w:val="en-AU"/>
              </w:rPr>
              <w:t>tically over the last 25 years.</w:t>
            </w:r>
          </w:p>
          <w:p w:rsidR="000774CF" w:rsidRDefault="009A4544" w:rsidP="009A4544">
            <w:pPr>
              <w:rPr>
                <w:rFonts w:ascii="Garamond" w:hAnsi="Garamond"/>
                <w:lang w:val="en-AU"/>
              </w:rPr>
            </w:pPr>
            <w:r>
              <w:rPr>
                <w:rFonts w:ascii="Garamond" w:hAnsi="Garamond"/>
                <w:lang w:val="en-AU"/>
              </w:rPr>
              <w:t xml:space="preserve">The report </w:t>
            </w:r>
            <w:r w:rsidR="0018355A" w:rsidRPr="0018355A">
              <w:rPr>
                <w:rFonts w:ascii="Garamond" w:hAnsi="Garamond"/>
                <w:lang w:val="en-AU"/>
              </w:rPr>
              <w:t xml:space="preserve">estimates </w:t>
            </w:r>
            <w:r w:rsidR="0018355A" w:rsidRPr="005F4609">
              <w:rPr>
                <w:rFonts w:ascii="Garamond" w:hAnsi="Garamond"/>
                <w:b/>
                <w:lang w:val="en-AU"/>
              </w:rPr>
              <w:t>10% of items dispensed in primary care are overprescribed</w:t>
            </w:r>
            <w:r w:rsidR="0018355A" w:rsidRPr="0018355A">
              <w:rPr>
                <w:rFonts w:ascii="Garamond" w:hAnsi="Garamond"/>
                <w:lang w:val="en-AU"/>
              </w:rPr>
              <w:t xml:space="preserve"> with 15% of people taking 5 or more medicines a day, increasing the risk of adverse effects</w:t>
            </w:r>
            <w:r>
              <w:rPr>
                <w:rFonts w:ascii="Garamond" w:hAnsi="Garamond"/>
                <w:lang w:val="en-AU"/>
              </w:rPr>
              <w:t xml:space="preserve">. The report observes that almost </w:t>
            </w:r>
            <w:r w:rsidRPr="005F4609">
              <w:rPr>
                <w:rFonts w:ascii="Garamond" w:hAnsi="Garamond"/>
                <w:b/>
                <w:lang w:val="en-AU"/>
              </w:rPr>
              <w:t xml:space="preserve">20% of </w:t>
            </w:r>
            <w:r w:rsidR="0018355A" w:rsidRPr="005F4609">
              <w:rPr>
                <w:rFonts w:ascii="Garamond" w:hAnsi="Garamond"/>
                <w:b/>
                <w:lang w:val="en-AU"/>
              </w:rPr>
              <w:t>hospital admissions in over-65s are caused by the adverse effects of medicines</w:t>
            </w:r>
            <w:r>
              <w:rPr>
                <w:rFonts w:ascii="Garamond" w:hAnsi="Garamond"/>
                <w:lang w:val="en-AU"/>
              </w:rPr>
              <w:t xml:space="preserve">. </w:t>
            </w:r>
          </w:p>
          <w:p w:rsidR="000774CF" w:rsidRPr="000774CF" w:rsidRDefault="009A4544" w:rsidP="000774CF">
            <w:pPr>
              <w:rPr>
                <w:rFonts w:ascii="Garamond" w:hAnsi="Garamond"/>
                <w:lang w:val="en-AU"/>
              </w:rPr>
            </w:pPr>
            <w:r>
              <w:rPr>
                <w:rFonts w:ascii="Garamond" w:hAnsi="Garamond"/>
                <w:lang w:val="en-AU"/>
              </w:rPr>
              <w:lastRenderedPageBreak/>
              <w:t>T</w:t>
            </w:r>
            <w:r w:rsidR="000774CF" w:rsidRPr="000774CF">
              <w:rPr>
                <w:rFonts w:ascii="Garamond" w:hAnsi="Garamond"/>
                <w:lang w:val="en-AU"/>
              </w:rPr>
              <w:t xml:space="preserve">wo main </w:t>
            </w:r>
            <w:r w:rsidR="00673D49">
              <w:rPr>
                <w:rFonts w:ascii="Garamond" w:hAnsi="Garamond"/>
                <w:lang w:val="en-AU"/>
              </w:rPr>
              <w:t>categories of cause</w:t>
            </w:r>
            <w:r>
              <w:rPr>
                <w:rFonts w:ascii="Garamond" w:hAnsi="Garamond"/>
                <w:lang w:val="en-AU"/>
              </w:rPr>
              <w:t xml:space="preserve"> are given for this rate of overprescribing</w:t>
            </w:r>
            <w:r w:rsidR="000774CF" w:rsidRPr="000774CF">
              <w:rPr>
                <w:rFonts w:ascii="Garamond" w:hAnsi="Garamond"/>
                <w:lang w:val="en-AU"/>
              </w:rPr>
              <w:t>:</w:t>
            </w:r>
          </w:p>
          <w:p w:rsidR="000774CF" w:rsidRPr="000774CF" w:rsidRDefault="000774CF" w:rsidP="000774CF">
            <w:pPr>
              <w:pStyle w:val="ListParagraph"/>
              <w:numPr>
                <w:ilvl w:val="0"/>
                <w:numId w:val="42"/>
              </w:numPr>
              <w:rPr>
                <w:rFonts w:ascii="Garamond" w:hAnsi="Garamond"/>
                <w:lang w:val="en-AU"/>
              </w:rPr>
            </w:pPr>
            <w:r w:rsidRPr="008D5CCA">
              <w:rPr>
                <w:rFonts w:ascii="Garamond" w:hAnsi="Garamond"/>
                <w:lang w:val="en-AU"/>
              </w:rPr>
              <w:t>systemic</w:t>
            </w:r>
            <w:r w:rsidRPr="000774CF">
              <w:rPr>
                <w:rFonts w:ascii="Garamond" w:hAnsi="Garamond"/>
                <w:lang w:val="en-AU"/>
              </w:rPr>
              <w:t xml:space="preserve">: key factors are single-condition clinical guidelines, a lack of alternatives to prescribing a medicine, a need for on-going review and deprescribing to be built into the process of prescribing, inability to access comprehensive patient records, the lack of digital interoperability, and pressure of time </w:t>
            </w:r>
          </w:p>
          <w:p w:rsidR="000774CF" w:rsidRDefault="000774CF" w:rsidP="000774CF">
            <w:pPr>
              <w:pStyle w:val="ListParagraph"/>
              <w:numPr>
                <w:ilvl w:val="0"/>
                <w:numId w:val="42"/>
              </w:numPr>
              <w:rPr>
                <w:rFonts w:ascii="Garamond" w:hAnsi="Garamond"/>
                <w:lang w:val="en-AU"/>
              </w:rPr>
            </w:pPr>
            <w:r w:rsidRPr="008D5CCA">
              <w:rPr>
                <w:rFonts w:ascii="Garamond" w:hAnsi="Garamond"/>
                <w:lang w:val="en-AU"/>
              </w:rPr>
              <w:t>cultural</w:t>
            </w:r>
            <w:r w:rsidRPr="000774CF">
              <w:rPr>
                <w:rFonts w:ascii="Garamond" w:hAnsi="Garamond"/>
                <w:lang w:val="en-AU"/>
              </w:rPr>
              <w:t>: a healthcare culture that favours medicines over alternatives and in which some patients struggle to be heard</w:t>
            </w:r>
          </w:p>
          <w:p w:rsidR="000774CF" w:rsidRDefault="009A4544" w:rsidP="000774CF">
            <w:pPr>
              <w:rPr>
                <w:rFonts w:ascii="Garamond" w:hAnsi="Garamond"/>
                <w:lang w:val="en-AU"/>
              </w:rPr>
            </w:pPr>
            <w:r>
              <w:rPr>
                <w:rFonts w:ascii="Garamond" w:hAnsi="Garamond"/>
                <w:lang w:val="en-AU"/>
              </w:rPr>
              <w:t xml:space="preserve">The report identifies things that can </w:t>
            </w:r>
            <w:r w:rsidR="000774CF" w:rsidRPr="000774CF">
              <w:rPr>
                <w:rFonts w:ascii="Garamond" w:hAnsi="Garamond"/>
                <w:lang w:val="en-AU"/>
              </w:rPr>
              <w:t xml:space="preserve">reduce overprescribing: </w:t>
            </w:r>
            <w:r w:rsidR="000774CF" w:rsidRPr="009A4544">
              <w:rPr>
                <w:rFonts w:ascii="Garamond" w:hAnsi="Garamond"/>
                <w:b/>
                <w:lang w:val="en-AU"/>
              </w:rPr>
              <w:t>shared decision-making</w:t>
            </w:r>
            <w:r w:rsidR="000774CF" w:rsidRPr="000774CF">
              <w:rPr>
                <w:rFonts w:ascii="Garamond" w:hAnsi="Garamond"/>
                <w:lang w:val="en-AU"/>
              </w:rPr>
              <w:t xml:space="preserve"> with patients; better</w:t>
            </w:r>
            <w:r w:rsidR="000774CF">
              <w:rPr>
                <w:rFonts w:ascii="Garamond" w:hAnsi="Garamond"/>
                <w:lang w:val="en-AU"/>
              </w:rPr>
              <w:t xml:space="preserve"> </w:t>
            </w:r>
            <w:r w:rsidR="000774CF" w:rsidRPr="009A4544">
              <w:rPr>
                <w:rFonts w:ascii="Garamond" w:hAnsi="Garamond"/>
                <w:b/>
                <w:lang w:val="en-AU"/>
              </w:rPr>
              <w:t>guidance and support for clinicians</w:t>
            </w:r>
            <w:r w:rsidR="000774CF" w:rsidRPr="000774CF">
              <w:rPr>
                <w:rFonts w:ascii="Garamond" w:hAnsi="Garamond"/>
                <w:lang w:val="en-AU"/>
              </w:rPr>
              <w:t>; more alternatives to medicines, such as physical and</w:t>
            </w:r>
            <w:r w:rsidR="000774CF">
              <w:rPr>
                <w:rFonts w:ascii="Garamond" w:hAnsi="Garamond"/>
                <w:lang w:val="en-AU"/>
              </w:rPr>
              <w:t xml:space="preserve"> </w:t>
            </w:r>
            <w:r w:rsidR="000774CF" w:rsidRPr="000774CF">
              <w:rPr>
                <w:rFonts w:ascii="Garamond" w:hAnsi="Garamond"/>
                <w:lang w:val="en-AU"/>
              </w:rPr>
              <w:t>social activities and talking therapies; and more Structured Medication Reviews (SMR) for</w:t>
            </w:r>
            <w:r w:rsidR="000774CF">
              <w:rPr>
                <w:rFonts w:ascii="Garamond" w:hAnsi="Garamond"/>
                <w:lang w:val="en-AU"/>
              </w:rPr>
              <w:t xml:space="preserve"> </w:t>
            </w:r>
            <w:r w:rsidR="000774CF" w:rsidRPr="000774CF">
              <w:rPr>
                <w:rFonts w:ascii="Garamond" w:hAnsi="Garamond"/>
                <w:lang w:val="en-AU"/>
              </w:rPr>
              <w:t>those with long-term health conditions.</w:t>
            </w:r>
          </w:p>
          <w:p w:rsidR="005D3FF9" w:rsidRPr="005D3FF9" w:rsidRDefault="005D3FF9" w:rsidP="005D3FF9">
            <w:pPr>
              <w:rPr>
                <w:rFonts w:ascii="Garamond" w:hAnsi="Garamond"/>
                <w:lang w:val="en-AU"/>
              </w:rPr>
            </w:pPr>
            <w:r w:rsidRPr="005D3FF9">
              <w:rPr>
                <w:rFonts w:ascii="Garamond" w:hAnsi="Garamond"/>
                <w:lang w:val="en-AU"/>
              </w:rPr>
              <w:t xml:space="preserve">The key recommendations from the review </w:t>
            </w:r>
            <w:r>
              <w:rPr>
                <w:rFonts w:ascii="Garamond" w:hAnsi="Garamond"/>
                <w:lang w:val="en-AU"/>
              </w:rPr>
              <w:t>include</w:t>
            </w:r>
            <w:r w:rsidRPr="005D3FF9">
              <w:rPr>
                <w:rFonts w:ascii="Garamond" w:hAnsi="Garamond"/>
                <w:lang w:val="en-AU"/>
              </w:rPr>
              <w:t>:</w:t>
            </w:r>
          </w:p>
          <w:p w:rsidR="005D3FF9" w:rsidRPr="005D3FF9" w:rsidRDefault="005D3FF9" w:rsidP="005D3FF9">
            <w:pPr>
              <w:pStyle w:val="ListParagraph"/>
              <w:numPr>
                <w:ilvl w:val="0"/>
                <w:numId w:val="43"/>
              </w:numPr>
              <w:rPr>
                <w:rFonts w:ascii="Garamond" w:hAnsi="Garamond"/>
                <w:lang w:val="en-AU"/>
              </w:rPr>
            </w:pPr>
            <w:r w:rsidRPr="005D3FF9">
              <w:rPr>
                <w:rFonts w:ascii="Garamond" w:hAnsi="Garamond"/>
                <w:lang w:val="en-AU"/>
              </w:rPr>
              <w:t>the introduction of a new National Clinical Director for Prescribing to lead a 3-year programme to help enable effective prescribing</w:t>
            </w:r>
          </w:p>
          <w:p w:rsidR="005D3FF9" w:rsidRPr="005D3FF9" w:rsidRDefault="005D3FF9" w:rsidP="005D3FF9">
            <w:pPr>
              <w:pStyle w:val="ListParagraph"/>
              <w:numPr>
                <w:ilvl w:val="0"/>
                <w:numId w:val="43"/>
              </w:numPr>
              <w:rPr>
                <w:rFonts w:ascii="Garamond" w:hAnsi="Garamond"/>
                <w:lang w:val="en-AU"/>
              </w:rPr>
            </w:pPr>
            <w:r w:rsidRPr="005D3FF9">
              <w:rPr>
                <w:rFonts w:ascii="Garamond" w:hAnsi="Garamond"/>
                <w:lang w:val="en-AU"/>
              </w:rPr>
              <w:t>system-wide changes to improve patient records, improve handovers between primary and secondary care, develop a national toolkit and deliver training to help general practices improve the consistency of repeat prescribing processes</w:t>
            </w:r>
          </w:p>
          <w:p w:rsidR="005D3FF9" w:rsidRPr="005D3FF9" w:rsidRDefault="005D3FF9" w:rsidP="005D3FF9">
            <w:pPr>
              <w:pStyle w:val="ListParagraph"/>
              <w:numPr>
                <w:ilvl w:val="0"/>
                <w:numId w:val="43"/>
              </w:numPr>
              <w:rPr>
                <w:rFonts w:ascii="Garamond" w:hAnsi="Garamond"/>
                <w:lang w:val="en-AU"/>
              </w:rPr>
            </w:pPr>
            <w:r w:rsidRPr="005D3FF9">
              <w:rPr>
                <w:rFonts w:ascii="Garamond" w:hAnsi="Garamond"/>
                <w:lang w:val="en-AU"/>
              </w:rPr>
              <w:t>improving the evidence base for safely withdrawing inappropriate medication (deprescribing), and updated clinical guidance to sup</w:t>
            </w:r>
            <w:r w:rsidR="009A4544">
              <w:rPr>
                <w:rFonts w:ascii="Garamond" w:hAnsi="Garamond"/>
                <w:lang w:val="en-AU"/>
              </w:rPr>
              <w:t>port more patient-centred care.</w:t>
            </w:r>
          </w:p>
          <w:p w:rsidR="005D3FF9" w:rsidRPr="005D3FF9" w:rsidRDefault="005D3FF9" w:rsidP="005D3FF9">
            <w:pPr>
              <w:pStyle w:val="ListParagraph"/>
              <w:numPr>
                <w:ilvl w:val="0"/>
                <w:numId w:val="43"/>
              </w:numPr>
              <w:rPr>
                <w:rFonts w:ascii="Garamond" w:hAnsi="Garamond"/>
                <w:lang w:val="en-AU"/>
              </w:rPr>
            </w:pPr>
            <w:r w:rsidRPr="005D3FF9">
              <w:rPr>
                <w:rFonts w:ascii="Garamond" w:hAnsi="Garamond"/>
                <w:lang w:val="en-AU"/>
              </w:rPr>
              <w:t>cultural changes to reduce a reliance on medicines and support shared decision-making between clinicians and patients, including increasing</w:t>
            </w:r>
            <w:r w:rsidR="009A4544">
              <w:rPr>
                <w:rFonts w:ascii="Garamond" w:hAnsi="Garamond"/>
                <w:lang w:val="en-AU"/>
              </w:rPr>
              <w:t xml:space="preserve"> the use of ‘social prescribing’.</w:t>
            </w:r>
          </w:p>
          <w:p w:rsidR="005D3FF9" w:rsidRPr="005D3FF9" w:rsidRDefault="005D3FF9" w:rsidP="005D3FF9">
            <w:pPr>
              <w:pStyle w:val="ListParagraph"/>
              <w:numPr>
                <w:ilvl w:val="0"/>
                <w:numId w:val="43"/>
              </w:numPr>
              <w:rPr>
                <w:rFonts w:ascii="Garamond" w:hAnsi="Garamond"/>
                <w:lang w:val="en-AU"/>
              </w:rPr>
            </w:pPr>
            <w:r w:rsidRPr="005D3FF9">
              <w:rPr>
                <w:rFonts w:ascii="Garamond" w:hAnsi="Garamond"/>
                <w:lang w:val="en-AU"/>
              </w:rPr>
              <w:t>providing clear information for patients about their medication and the creation of a platform for patients to be able to provide information about the effectiveness and the adverse effects of their medicines; and</w:t>
            </w:r>
          </w:p>
          <w:p w:rsidR="005D3FF9" w:rsidRPr="005D3FF9" w:rsidRDefault="005D3FF9" w:rsidP="005D3FF9">
            <w:pPr>
              <w:pStyle w:val="ListParagraph"/>
              <w:numPr>
                <w:ilvl w:val="0"/>
                <w:numId w:val="43"/>
              </w:numPr>
              <w:rPr>
                <w:rFonts w:ascii="Garamond" w:hAnsi="Garamond"/>
                <w:lang w:val="en-AU"/>
              </w:rPr>
            </w:pPr>
            <w:r w:rsidRPr="005D3FF9">
              <w:rPr>
                <w:rFonts w:ascii="Garamond" w:hAnsi="Garamond"/>
                <w:lang w:val="en-AU"/>
              </w:rPr>
              <w:t>the development of interventions to reduce waste and help deliver NHS’s net zero carbon emissions</w:t>
            </w:r>
            <w:r w:rsidR="009A4544">
              <w:rPr>
                <w:rFonts w:ascii="Garamond" w:hAnsi="Garamond"/>
                <w:lang w:val="en-AU"/>
              </w:rPr>
              <w:t>.</w:t>
            </w:r>
          </w:p>
        </w:tc>
      </w:tr>
    </w:tbl>
    <w:p w:rsidR="009A4544" w:rsidRDefault="009A4544" w:rsidP="00BD030B">
      <w:pPr>
        <w:keepNext/>
        <w:keepLines/>
        <w:tabs>
          <w:tab w:val="left" w:pos="2114"/>
        </w:tabs>
        <w:autoSpaceDE w:val="0"/>
        <w:autoSpaceDN w:val="0"/>
        <w:adjustRightInd w:val="0"/>
        <w:rPr>
          <w:rFonts w:ascii="Garamond" w:hAnsi="Garamond"/>
          <w:lang w:val="en-AU"/>
        </w:rPr>
      </w:pPr>
    </w:p>
    <w:p w:rsidR="00BD030B" w:rsidRDefault="00BD030B" w:rsidP="00BD030B">
      <w:pPr>
        <w:keepNext/>
        <w:keepLines/>
        <w:tabs>
          <w:tab w:val="left" w:pos="2114"/>
        </w:tabs>
        <w:autoSpaceDE w:val="0"/>
        <w:autoSpaceDN w:val="0"/>
        <w:adjustRightInd w:val="0"/>
        <w:rPr>
          <w:rFonts w:ascii="Garamond" w:hAnsi="Garamond"/>
          <w:lang w:val="en-AU"/>
        </w:rPr>
      </w:pPr>
      <w:r w:rsidRPr="00D93C43">
        <w:rPr>
          <w:rFonts w:ascii="Garamond" w:hAnsi="Garamond"/>
          <w:lang w:val="en-AU"/>
        </w:rPr>
        <w:t xml:space="preserve">For information on the Commission’s </w:t>
      </w:r>
      <w:r>
        <w:rPr>
          <w:rFonts w:ascii="Garamond" w:hAnsi="Garamond"/>
          <w:lang w:val="en-AU"/>
        </w:rPr>
        <w:t xml:space="preserve">work on medication safety, see </w:t>
      </w:r>
      <w:hyperlink r:id="rId16" w:history="1">
        <w:r w:rsidRPr="003D2E0B">
          <w:rPr>
            <w:rStyle w:val="Hyperlink"/>
            <w:rFonts w:ascii="Garamond" w:hAnsi="Garamond"/>
            <w:lang w:val="en-AU"/>
          </w:rPr>
          <w:t>https://www.safetyandquality.gov.au/our-work/medication-safety</w:t>
        </w:r>
      </w:hyperlink>
    </w:p>
    <w:p w:rsidR="00712DD0" w:rsidRDefault="00712DD0" w:rsidP="00712DD0">
      <w:pPr>
        <w:keepNext/>
        <w:keepLines/>
        <w:tabs>
          <w:tab w:val="left" w:pos="2114"/>
        </w:tabs>
        <w:autoSpaceDE w:val="0"/>
        <w:autoSpaceDN w:val="0"/>
        <w:adjustRightInd w:val="0"/>
        <w:rPr>
          <w:rFonts w:ascii="Garamond" w:hAnsi="Garamond"/>
          <w:lang w:val="en-AU"/>
        </w:rPr>
      </w:pPr>
    </w:p>
    <w:p w:rsidR="00F37FAF" w:rsidRDefault="00F37FAF" w:rsidP="00712DD0">
      <w:pPr>
        <w:keepNext/>
        <w:keepLines/>
        <w:tabs>
          <w:tab w:val="left" w:pos="2114"/>
        </w:tabs>
        <w:autoSpaceDE w:val="0"/>
        <w:autoSpaceDN w:val="0"/>
        <w:adjustRightInd w:val="0"/>
        <w:rPr>
          <w:rFonts w:ascii="Garamond" w:hAnsi="Garamond"/>
          <w:lang w:val="en-AU"/>
        </w:rPr>
      </w:pPr>
    </w:p>
    <w:p w:rsidR="00F37FAF" w:rsidRDefault="00F37FAF" w:rsidP="00712DD0">
      <w:pPr>
        <w:keepNext/>
        <w:keepLines/>
        <w:tabs>
          <w:tab w:val="left" w:pos="2114"/>
        </w:tabs>
        <w:autoSpaceDE w:val="0"/>
        <w:autoSpaceDN w:val="0"/>
        <w:adjustRightInd w:val="0"/>
        <w:rPr>
          <w:rFonts w:ascii="Garamond" w:hAnsi="Garamond"/>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D71C54" w:rsidRDefault="00D71C54" w:rsidP="00D71C54">
      <w:pPr>
        <w:keepNext/>
        <w:keepLines/>
        <w:autoSpaceDE w:val="0"/>
        <w:autoSpaceDN w:val="0"/>
        <w:adjustRightInd w:val="0"/>
        <w:rPr>
          <w:rFonts w:ascii="Garamond" w:hAnsi="Garamond"/>
          <w:i/>
          <w:lang w:val="en-AU"/>
        </w:rPr>
      </w:pPr>
    </w:p>
    <w:p w:rsidR="00F37FAF" w:rsidRPr="005F68EE" w:rsidRDefault="00F37FAF" w:rsidP="00F37FAF">
      <w:pPr>
        <w:keepNext/>
        <w:keepLines/>
        <w:tabs>
          <w:tab w:val="left" w:pos="2114"/>
        </w:tabs>
        <w:autoSpaceDE w:val="0"/>
        <w:autoSpaceDN w:val="0"/>
        <w:adjustRightInd w:val="0"/>
        <w:rPr>
          <w:rFonts w:ascii="Garamond" w:hAnsi="Garamond"/>
          <w:i/>
          <w:lang w:val="en-AU"/>
        </w:rPr>
      </w:pPr>
      <w:r w:rsidRPr="005F68EE">
        <w:rPr>
          <w:rFonts w:ascii="Garamond" w:hAnsi="Garamond"/>
          <w:i/>
          <w:lang w:val="en-AU"/>
        </w:rPr>
        <w:t>Perspectives of Australian hospital leaders on the provision of safe care: implications for safety I and safety II</w:t>
      </w:r>
    </w:p>
    <w:p w:rsidR="00F37FAF" w:rsidRDefault="00F37FAF" w:rsidP="00F37FAF">
      <w:pPr>
        <w:keepNext/>
        <w:keepLines/>
        <w:tabs>
          <w:tab w:val="left" w:pos="2114"/>
        </w:tabs>
        <w:autoSpaceDE w:val="0"/>
        <w:autoSpaceDN w:val="0"/>
        <w:adjustRightInd w:val="0"/>
        <w:rPr>
          <w:rFonts w:ascii="Garamond" w:hAnsi="Garamond"/>
          <w:lang w:val="en-AU"/>
        </w:rPr>
      </w:pPr>
      <w:r w:rsidRPr="0072550D">
        <w:rPr>
          <w:rFonts w:ascii="Garamond" w:hAnsi="Garamond"/>
          <w:lang w:val="en-AU"/>
        </w:rPr>
        <w:t>Leggat SG, Balding C, Bish M</w:t>
      </w:r>
    </w:p>
    <w:p w:rsidR="00F37FAF" w:rsidRDefault="00F37FAF" w:rsidP="00F37FAF">
      <w:pPr>
        <w:keepNext/>
        <w:keepLines/>
        <w:tabs>
          <w:tab w:val="left" w:pos="2114"/>
        </w:tabs>
        <w:autoSpaceDE w:val="0"/>
        <w:autoSpaceDN w:val="0"/>
        <w:adjustRightInd w:val="0"/>
        <w:rPr>
          <w:rFonts w:ascii="Garamond" w:hAnsi="Garamond"/>
          <w:lang w:val="en-AU"/>
        </w:rPr>
      </w:pPr>
      <w:r w:rsidRPr="0072550D">
        <w:rPr>
          <w:rFonts w:ascii="Garamond" w:hAnsi="Garamond"/>
          <w:lang w:val="en-AU"/>
        </w:rPr>
        <w:t>Journal of Health Organization and Management. 2021;35(5):550-560.</w:t>
      </w:r>
    </w:p>
    <w:tbl>
      <w:tblPr>
        <w:tblStyle w:val="TableGrid"/>
        <w:tblW w:w="9360" w:type="dxa"/>
        <w:tblInd w:w="288" w:type="dxa"/>
        <w:tblLayout w:type="fixed"/>
        <w:tblLook w:val="01E0" w:firstRow="1" w:lastRow="1" w:firstColumn="1" w:lastColumn="1" w:noHBand="0" w:noVBand="0"/>
      </w:tblPr>
      <w:tblGrid>
        <w:gridCol w:w="1080"/>
        <w:gridCol w:w="8280"/>
      </w:tblGrid>
      <w:tr w:rsidR="00F37FAF" w:rsidRPr="000170DA" w:rsidTr="00216380">
        <w:tc>
          <w:tcPr>
            <w:tcW w:w="1080" w:type="dxa"/>
            <w:tcBorders>
              <w:top w:val="single" w:sz="4" w:space="0" w:color="auto"/>
              <w:left w:val="single" w:sz="4" w:space="0" w:color="auto"/>
              <w:bottom w:val="single" w:sz="4" w:space="0" w:color="auto"/>
              <w:right w:val="single" w:sz="4" w:space="0" w:color="auto"/>
            </w:tcBorders>
            <w:vAlign w:val="center"/>
          </w:tcPr>
          <w:p w:rsidR="00F37FAF" w:rsidRPr="000170DA" w:rsidRDefault="00F37FAF" w:rsidP="0021638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37FAF" w:rsidRPr="000170DA" w:rsidRDefault="00902FA9" w:rsidP="00216380">
            <w:pPr>
              <w:rPr>
                <w:rStyle w:val="Hyperlink"/>
                <w:rFonts w:ascii="Garamond" w:hAnsi="Garamond"/>
                <w:color w:val="auto"/>
                <w:u w:val="none"/>
                <w:lang w:val="en-AU"/>
              </w:rPr>
            </w:pPr>
            <w:hyperlink r:id="rId17" w:history="1">
              <w:r w:rsidR="00F37FAF" w:rsidRPr="007E0609">
                <w:rPr>
                  <w:rStyle w:val="Hyperlink"/>
                  <w:rFonts w:ascii="Garamond" w:hAnsi="Garamond"/>
                  <w:lang w:val="en-AU"/>
                </w:rPr>
                <w:t>http://doi.org/10.1108/JHOM-10-2020-0398</w:t>
              </w:r>
            </w:hyperlink>
          </w:p>
        </w:tc>
      </w:tr>
      <w:tr w:rsidR="00F37FAF" w:rsidRPr="000170DA" w:rsidTr="00216380">
        <w:tc>
          <w:tcPr>
            <w:tcW w:w="1080" w:type="dxa"/>
            <w:tcBorders>
              <w:top w:val="single" w:sz="4" w:space="0" w:color="auto"/>
              <w:left w:val="single" w:sz="4" w:space="0" w:color="auto"/>
              <w:bottom w:val="single" w:sz="4" w:space="0" w:color="auto"/>
              <w:right w:val="single" w:sz="4" w:space="0" w:color="auto"/>
            </w:tcBorders>
            <w:vAlign w:val="center"/>
          </w:tcPr>
          <w:p w:rsidR="00F37FAF" w:rsidRPr="000170DA" w:rsidRDefault="00F37FAF" w:rsidP="0021638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37FAF" w:rsidRPr="003A2A81" w:rsidRDefault="00F37FAF" w:rsidP="00216380">
            <w:pPr>
              <w:rPr>
                <w:rFonts w:ascii="Garamond" w:hAnsi="Garamond"/>
                <w:lang w:val="en-AU"/>
              </w:rPr>
            </w:pPr>
            <w:r>
              <w:rPr>
                <w:rFonts w:ascii="Garamond" w:hAnsi="Garamond"/>
                <w:lang w:val="en-AU"/>
              </w:rPr>
              <w:t xml:space="preserve">Paper reporting on a three-year </w:t>
            </w:r>
            <w:r w:rsidRPr="00F37FAF">
              <w:rPr>
                <w:rFonts w:ascii="Garamond" w:hAnsi="Garamond"/>
                <w:lang w:val="en-AU"/>
              </w:rPr>
              <w:t xml:space="preserve">longitudinal study of </w:t>
            </w:r>
            <w:r>
              <w:rPr>
                <w:rFonts w:ascii="Garamond" w:hAnsi="Garamond"/>
                <w:lang w:val="en-AU"/>
              </w:rPr>
              <w:t xml:space="preserve">eight </w:t>
            </w:r>
            <w:r w:rsidRPr="00F37FAF">
              <w:rPr>
                <w:rFonts w:ascii="Garamond" w:hAnsi="Garamond"/>
                <w:lang w:val="en-AU"/>
              </w:rPr>
              <w:t xml:space="preserve">Australian hospitals </w:t>
            </w:r>
            <w:r>
              <w:rPr>
                <w:rFonts w:ascii="Garamond" w:hAnsi="Garamond"/>
                <w:lang w:val="en-AU"/>
              </w:rPr>
              <w:t>that e</w:t>
            </w:r>
            <w:r w:rsidRPr="00F37FAF">
              <w:rPr>
                <w:rFonts w:ascii="Garamond" w:hAnsi="Garamond"/>
                <w:lang w:val="en-AU"/>
              </w:rPr>
              <w:t>xplored the perspectives of hospital leaders on the challenges of leading safe care.</w:t>
            </w:r>
            <w:r>
              <w:rPr>
                <w:rFonts w:ascii="Garamond" w:hAnsi="Garamond"/>
                <w:lang w:val="en-AU"/>
              </w:rPr>
              <w:t xml:space="preserve"> Based on focus groups of a</w:t>
            </w:r>
            <w:r w:rsidRPr="00F37FAF">
              <w:rPr>
                <w:rFonts w:ascii="Garamond" w:hAnsi="Garamond"/>
                <w:lang w:val="en-AU"/>
              </w:rPr>
              <w:t xml:space="preserve"> representative sample of hospital leaders, comprising board members, senior and middle managers and clinical leaders</w:t>
            </w:r>
            <w:r>
              <w:rPr>
                <w:rFonts w:ascii="Garamond" w:hAnsi="Garamond"/>
                <w:lang w:val="en-AU"/>
              </w:rPr>
              <w:t xml:space="preserve"> that met twice a year from 2015 to 2017, the study found </w:t>
            </w:r>
            <w:r w:rsidRPr="00F37FAF">
              <w:rPr>
                <w:rFonts w:ascii="Garamond" w:hAnsi="Garamond"/>
                <w:lang w:val="en-AU"/>
              </w:rPr>
              <w:t xml:space="preserve">that </w:t>
            </w:r>
            <w:r>
              <w:rPr>
                <w:rFonts w:ascii="Garamond" w:hAnsi="Garamond"/>
                <w:lang w:val="en-AU"/>
              </w:rPr>
              <w:t xml:space="preserve">these </w:t>
            </w:r>
            <w:r w:rsidRPr="00F37FAF">
              <w:rPr>
                <w:rFonts w:ascii="Garamond" w:hAnsi="Garamond"/>
                <w:lang w:val="en-AU"/>
              </w:rPr>
              <w:t>leaders primarily relied on staff to ensure patient safety, rather than relying on systems and processes to prevent errors.</w:t>
            </w:r>
          </w:p>
        </w:tc>
      </w:tr>
    </w:tbl>
    <w:p w:rsidR="000105AE" w:rsidRPr="000105AE" w:rsidRDefault="000105AE" w:rsidP="000105AE">
      <w:pPr>
        <w:keepNext/>
        <w:keepLines/>
        <w:tabs>
          <w:tab w:val="left" w:pos="2114"/>
        </w:tabs>
        <w:autoSpaceDE w:val="0"/>
        <w:autoSpaceDN w:val="0"/>
        <w:adjustRightInd w:val="0"/>
        <w:rPr>
          <w:rFonts w:ascii="Garamond" w:hAnsi="Garamond"/>
          <w:i/>
          <w:lang w:val="en-AU"/>
        </w:rPr>
      </w:pPr>
      <w:r w:rsidRPr="000105AE">
        <w:rPr>
          <w:rFonts w:ascii="Garamond" w:hAnsi="Garamond"/>
          <w:i/>
          <w:lang w:val="en-AU"/>
        </w:rPr>
        <w:lastRenderedPageBreak/>
        <w:t>The development of National Safety and Quality Digital Mental Health Standards</w:t>
      </w:r>
    </w:p>
    <w:p w:rsidR="000105AE" w:rsidRDefault="000105AE" w:rsidP="004D36E0">
      <w:pPr>
        <w:keepNext/>
        <w:keepLines/>
        <w:tabs>
          <w:tab w:val="left" w:pos="2114"/>
        </w:tabs>
        <w:autoSpaceDE w:val="0"/>
        <w:autoSpaceDN w:val="0"/>
        <w:adjustRightInd w:val="0"/>
        <w:rPr>
          <w:rFonts w:ascii="Garamond" w:hAnsi="Garamond"/>
          <w:lang w:val="en-AU"/>
        </w:rPr>
      </w:pPr>
      <w:r w:rsidRPr="000105AE">
        <w:rPr>
          <w:rFonts w:ascii="Garamond" w:hAnsi="Garamond"/>
          <w:lang w:val="en-AU"/>
        </w:rPr>
        <w:t>Brown P, Prest B, Miles P, Rossi V</w:t>
      </w:r>
    </w:p>
    <w:p w:rsidR="00D439E4" w:rsidRDefault="000105AE" w:rsidP="004D36E0">
      <w:pPr>
        <w:keepNext/>
        <w:keepLines/>
        <w:tabs>
          <w:tab w:val="left" w:pos="2114"/>
        </w:tabs>
        <w:autoSpaceDE w:val="0"/>
        <w:autoSpaceDN w:val="0"/>
        <w:adjustRightInd w:val="0"/>
        <w:rPr>
          <w:rFonts w:ascii="Garamond" w:hAnsi="Garamond"/>
          <w:lang w:val="en-AU"/>
        </w:rPr>
      </w:pPr>
      <w:r w:rsidRPr="000105AE">
        <w:rPr>
          <w:rFonts w:ascii="Garamond" w:hAnsi="Garamond"/>
          <w:lang w:val="en-AU"/>
        </w:rPr>
        <w:t>Australasian Psychiatry. 2021:10398562211042361.</w:t>
      </w:r>
    </w:p>
    <w:tbl>
      <w:tblPr>
        <w:tblStyle w:val="TableGrid"/>
        <w:tblW w:w="9360" w:type="dxa"/>
        <w:tblInd w:w="288" w:type="dxa"/>
        <w:tblLayout w:type="fixed"/>
        <w:tblLook w:val="01E0" w:firstRow="1" w:lastRow="1" w:firstColumn="1" w:lastColumn="1" w:noHBand="0" w:noVBand="0"/>
      </w:tblPr>
      <w:tblGrid>
        <w:gridCol w:w="1080"/>
        <w:gridCol w:w="8280"/>
      </w:tblGrid>
      <w:tr w:rsidR="004D36E0" w:rsidRPr="000170DA" w:rsidTr="004A202C">
        <w:tc>
          <w:tcPr>
            <w:tcW w:w="1080" w:type="dxa"/>
            <w:tcBorders>
              <w:top w:val="single" w:sz="4" w:space="0" w:color="auto"/>
              <w:left w:val="single" w:sz="4" w:space="0" w:color="auto"/>
              <w:bottom w:val="single" w:sz="4" w:space="0" w:color="auto"/>
              <w:right w:val="single" w:sz="4" w:space="0" w:color="auto"/>
            </w:tcBorders>
            <w:vAlign w:val="center"/>
          </w:tcPr>
          <w:p w:rsidR="004D36E0" w:rsidRPr="000170DA" w:rsidRDefault="004D36E0" w:rsidP="004A202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63D6B" w:rsidRPr="000170DA" w:rsidRDefault="00902FA9" w:rsidP="00A63D6B">
            <w:pPr>
              <w:rPr>
                <w:rStyle w:val="Hyperlink"/>
                <w:rFonts w:ascii="Garamond" w:hAnsi="Garamond"/>
                <w:color w:val="auto"/>
                <w:u w:val="none"/>
                <w:lang w:val="en-AU"/>
              </w:rPr>
            </w:pPr>
            <w:hyperlink r:id="rId18" w:history="1">
              <w:r w:rsidR="00A63D6B" w:rsidRPr="000B2507">
                <w:rPr>
                  <w:rStyle w:val="Hyperlink"/>
                  <w:rFonts w:ascii="Garamond" w:hAnsi="Garamond"/>
                  <w:lang w:val="en-AU"/>
                </w:rPr>
                <w:t>https://doi.org/10.1177/10398562211042361</w:t>
              </w:r>
            </w:hyperlink>
          </w:p>
        </w:tc>
      </w:tr>
      <w:tr w:rsidR="004D36E0" w:rsidRPr="000170DA" w:rsidTr="004A202C">
        <w:tc>
          <w:tcPr>
            <w:tcW w:w="1080" w:type="dxa"/>
            <w:tcBorders>
              <w:top w:val="single" w:sz="4" w:space="0" w:color="auto"/>
              <w:left w:val="single" w:sz="4" w:space="0" w:color="auto"/>
              <w:bottom w:val="single" w:sz="4" w:space="0" w:color="auto"/>
              <w:right w:val="single" w:sz="4" w:space="0" w:color="auto"/>
            </w:tcBorders>
            <w:vAlign w:val="center"/>
          </w:tcPr>
          <w:p w:rsidR="004D36E0" w:rsidRPr="000170DA" w:rsidRDefault="004D36E0" w:rsidP="004A202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105AE" w:rsidRPr="003A2A81" w:rsidRDefault="00F61D03" w:rsidP="003F3A1B">
            <w:pPr>
              <w:rPr>
                <w:rFonts w:ascii="Garamond" w:hAnsi="Garamond"/>
                <w:lang w:val="en-AU"/>
              </w:rPr>
            </w:pPr>
            <w:r w:rsidRPr="00F61D03">
              <w:rPr>
                <w:rFonts w:ascii="Garamond" w:hAnsi="Garamond"/>
                <w:lang w:val="en-AU"/>
              </w:rPr>
              <w:t>The National Safety and Quality Digital Mental Health Standards (the Standards), developed by the Australian Commission on Safety and Quality in Health Care, aim to improve the quality of digital mental health service provision and protect service users from harm. The Standards were developed following an extensive public consultation process and pilot study; the latter featuring accrediting agencies who assessed service providers on how they met the Standards. The authors outline how the Standards provide a nationally consistent statement about the standard of care expected from a digital mental health service, and a quality assurance mechanism to improve digital mental health care in Australia.</w:t>
            </w:r>
            <w:r w:rsidR="003F3A1B">
              <w:rPr>
                <w:rFonts w:ascii="Garamond" w:hAnsi="Garamond"/>
                <w:lang w:val="en-AU"/>
              </w:rPr>
              <w:t xml:space="preserve"> </w:t>
            </w:r>
            <w:r w:rsidRPr="00F61D03">
              <w:rPr>
                <w:rFonts w:ascii="Garamond" w:hAnsi="Garamond"/>
                <w:lang w:val="en-AU"/>
              </w:rPr>
              <w:t>For further information on the National Safety and Quality Digi</w:t>
            </w:r>
            <w:r w:rsidR="00673D49">
              <w:rPr>
                <w:rFonts w:ascii="Garamond" w:hAnsi="Garamond"/>
                <w:lang w:val="en-AU"/>
              </w:rPr>
              <w:t>tal Mental Health Standards see</w:t>
            </w:r>
            <w:r w:rsidRPr="00F61D03">
              <w:rPr>
                <w:rFonts w:ascii="Garamond" w:hAnsi="Garamond"/>
                <w:lang w:val="en-AU"/>
              </w:rPr>
              <w:t xml:space="preserve"> </w:t>
            </w:r>
            <w:hyperlink r:id="rId19" w:history="1">
              <w:r w:rsidRPr="000B2507">
                <w:rPr>
                  <w:rStyle w:val="Hyperlink"/>
                  <w:rFonts w:ascii="Garamond" w:hAnsi="Garamond"/>
                  <w:lang w:val="en-AU"/>
                </w:rPr>
                <w:t>https://www.safetyandquality.gov.au/DMHS</w:t>
              </w:r>
            </w:hyperlink>
          </w:p>
        </w:tc>
      </w:tr>
    </w:tbl>
    <w:p w:rsidR="00F37FAF" w:rsidRDefault="00F37FAF" w:rsidP="00712DD0">
      <w:pPr>
        <w:keepNext/>
        <w:keepLines/>
        <w:tabs>
          <w:tab w:val="left" w:pos="2114"/>
        </w:tabs>
        <w:autoSpaceDE w:val="0"/>
        <w:autoSpaceDN w:val="0"/>
        <w:adjustRightInd w:val="0"/>
        <w:rPr>
          <w:rFonts w:ascii="Garamond" w:hAnsi="Garamond"/>
          <w:i/>
          <w:lang w:val="en-AU"/>
        </w:rPr>
      </w:pPr>
    </w:p>
    <w:p w:rsidR="00712DD0" w:rsidRPr="005F68EE" w:rsidRDefault="005F68EE" w:rsidP="00712DD0">
      <w:pPr>
        <w:keepNext/>
        <w:keepLines/>
        <w:tabs>
          <w:tab w:val="left" w:pos="2114"/>
        </w:tabs>
        <w:autoSpaceDE w:val="0"/>
        <w:autoSpaceDN w:val="0"/>
        <w:adjustRightInd w:val="0"/>
        <w:rPr>
          <w:rFonts w:ascii="Garamond" w:hAnsi="Garamond"/>
          <w:i/>
          <w:lang w:val="en-AU"/>
        </w:rPr>
      </w:pPr>
      <w:r w:rsidRPr="005F68EE">
        <w:rPr>
          <w:rFonts w:ascii="Garamond" w:hAnsi="Garamond"/>
          <w:i/>
          <w:lang w:val="en-AU"/>
        </w:rPr>
        <w:t xml:space="preserve">Interventions to improve communication at hospital discharge and rates of readmission: </w:t>
      </w:r>
      <w:r w:rsidR="0072550D">
        <w:rPr>
          <w:rFonts w:ascii="Garamond" w:hAnsi="Garamond"/>
          <w:i/>
          <w:lang w:val="en-AU"/>
        </w:rPr>
        <w:t>A</w:t>
      </w:r>
      <w:r w:rsidRPr="005F68EE">
        <w:rPr>
          <w:rFonts w:ascii="Garamond" w:hAnsi="Garamond"/>
          <w:i/>
          <w:lang w:val="en-AU"/>
        </w:rPr>
        <w:t xml:space="preserve"> systematic review and meta-</w:t>
      </w:r>
      <w:proofErr w:type="gramStart"/>
      <w:r w:rsidRPr="005F68EE">
        <w:rPr>
          <w:rFonts w:ascii="Garamond" w:hAnsi="Garamond"/>
          <w:i/>
          <w:lang w:val="en-AU"/>
        </w:rPr>
        <w:t>analysis</w:t>
      </w:r>
      <w:proofErr w:type="gramEnd"/>
    </w:p>
    <w:p w:rsidR="0072550D" w:rsidRDefault="0072550D" w:rsidP="0072550D">
      <w:pPr>
        <w:keepNext/>
        <w:keepLines/>
        <w:tabs>
          <w:tab w:val="left" w:pos="2114"/>
        </w:tabs>
        <w:autoSpaceDE w:val="0"/>
        <w:autoSpaceDN w:val="0"/>
        <w:adjustRightInd w:val="0"/>
        <w:rPr>
          <w:rFonts w:ascii="Garamond" w:hAnsi="Garamond"/>
          <w:lang w:val="en-AU"/>
        </w:rPr>
      </w:pPr>
      <w:r w:rsidRPr="0072550D">
        <w:rPr>
          <w:rFonts w:ascii="Garamond" w:hAnsi="Garamond"/>
          <w:lang w:val="en-AU"/>
        </w:rPr>
        <w:t>Becker C, Zumbrunn S, Beck K, Vincent A, Loretz N, Müller J, et al.</w:t>
      </w:r>
    </w:p>
    <w:p w:rsidR="0072550D" w:rsidRPr="0072550D" w:rsidRDefault="0072550D" w:rsidP="0072550D">
      <w:pPr>
        <w:keepNext/>
        <w:keepLines/>
        <w:tabs>
          <w:tab w:val="left" w:pos="2114"/>
        </w:tabs>
        <w:autoSpaceDE w:val="0"/>
        <w:autoSpaceDN w:val="0"/>
        <w:adjustRightInd w:val="0"/>
        <w:rPr>
          <w:rFonts w:ascii="Garamond" w:hAnsi="Garamond"/>
          <w:lang w:val="en-AU"/>
        </w:rPr>
      </w:pPr>
      <w:r w:rsidRPr="0072550D">
        <w:rPr>
          <w:rFonts w:ascii="Garamond" w:hAnsi="Garamond"/>
          <w:lang w:val="en-AU"/>
        </w:rPr>
        <w:t>JAMA Network Open. 2021;4(8):e2119346</w:t>
      </w:r>
    </w:p>
    <w:tbl>
      <w:tblPr>
        <w:tblStyle w:val="TableGrid"/>
        <w:tblW w:w="9360" w:type="dxa"/>
        <w:tblInd w:w="288" w:type="dxa"/>
        <w:tblLayout w:type="fixed"/>
        <w:tblLook w:val="01E0" w:firstRow="1" w:lastRow="1" w:firstColumn="1" w:lastColumn="1" w:noHBand="0" w:noVBand="0"/>
      </w:tblPr>
      <w:tblGrid>
        <w:gridCol w:w="1080"/>
        <w:gridCol w:w="8280"/>
      </w:tblGrid>
      <w:tr w:rsidR="00712DD0" w:rsidRPr="000170DA" w:rsidTr="00EC5E4B">
        <w:tc>
          <w:tcPr>
            <w:tcW w:w="1080" w:type="dxa"/>
            <w:tcBorders>
              <w:top w:val="single" w:sz="4" w:space="0" w:color="auto"/>
              <w:left w:val="single" w:sz="4" w:space="0" w:color="auto"/>
              <w:bottom w:val="single" w:sz="4" w:space="0" w:color="auto"/>
              <w:right w:val="single" w:sz="4" w:space="0" w:color="auto"/>
            </w:tcBorders>
            <w:vAlign w:val="center"/>
          </w:tcPr>
          <w:p w:rsidR="00712DD0" w:rsidRPr="000170DA" w:rsidRDefault="00712DD0" w:rsidP="00EC5E4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12DD0" w:rsidRPr="000170DA" w:rsidRDefault="00902FA9" w:rsidP="00EC5E4B">
            <w:pPr>
              <w:rPr>
                <w:rStyle w:val="Hyperlink"/>
                <w:rFonts w:ascii="Garamond" w:hAnsi="Garamond"/>
                <w:color w:val="auto"/>
                <w:u w:val="none"/>
                <w:lang w:val="en-AU"/>
              </w:rPr>
            </w:pPr>
            <w:hyperlink r:id="rId20" w:history="1">
              <w:r w:rsidR="005F68EE" w:rsidRPr="007E0609">
                <w:rPr>
                  <w:rStyle w:val="Hyperlink"/>
                  <w:rFonts w:ascii="Garamond" w:hAnsi="Garamond"/>
                  <w:lang w:val="en-AU"/>
                </w:rPr>
                <w:t>http://doi.org/10.1001/jamanetworkopen.2021.19346</w:t>
              </w:r>
            </w:hyperlink>
          </w:p>
        </w:tc>
      </w:tr>
      <w:tr w:rsidR="00712DD0" w:rsidRPr="000170DA" w:rsidTr="00EC5E4B">
        <w:tc>
          <w:tcPr>
            <w:tcW w:w="1080" w:type="dxa"/>
            <w:tcBorders>
              <w:top w:val="single" w:sz="4" w:space="0" w:color="auto"/>
              <w:left w:val="single" w:sz="4" w:space="0" w:color="auto"/>
              <w:bottom w:val="single" w:sz="4" w:space="0" w:color="auto"/>
              <w:right w:val="single" w:sz="4" w:space="0" w:color="auto"/>
            </w:tcBorders>
            <w:vAlign w:val="center"/>
          </w:tcPr>
          <w:p w:rsidR="00712DD0" w:rsidRPr="000170DA" w:rsidRDefault="00712DD0" w:rsidP="00EC5E4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2550D" w:rsidRPr="003A2A81" w:rsidRDefault="0072550D" w:rsidP="007A6D1E">
            <w:pPr>
              <w:rPr>
                <w:rFonts w:ascii="Garamond" w:hAnsi="Garamond"/>
                <w:lang w:val="en-AU"/>
              </w:rPr>
            </w:pPr>
            <w:r>
              <w:rPr>
                <w:rFonts w:ascii="Garamond" w:hAnsi="Garamond"/>
                <w:lang w:val="en-AU"/>
              </w:rPr>
              <w:t xml:space="preserve">There have been various attempts to improve and/or standardise discharge communications, including discharge summaries. This review </w:t>
            </w:r>
            <w:r w:rsidR="007A6D1E">
              <w:rPr>
                <w:rFonts w:ascii="Garamond" w:hAnsi="Garamond"/>
                <w:lang w:val="en-AU"/>
              </w:rPr>
              <w:t>sought to examine whether patient communication at hospital discharge was associated with rates of hospital readmission. The review and meta-analysis examined 19 clinical trials that covered 3,953 patients and had some form of ‘communication intervention at hospital discharge’. The authors report finding that ‘</w:t>
            </w:r>
            <w:r w:rsidR="007A6D1E" w:rsidRPr="005F4609">
              <w:rPr>
                <w:rFonts w:ascii="Garamond" w:hAnsi="Garamond"/>
                <w:b/>
                <w:lang w:val="en-AU"/>
              </w:rPr>
              <w:t>communication interventions</w:t>
            </w:r>
            <w:r w:rsidR="007A6D1E" w:rsidRPr="007A6D1E">
              <w:rPr>
                <w:rFonts w:ascii="Garamond" w:hAnsi="Garamond"/>
                <w:lang w:val="en-AU"/>
              </w:rPr>
              <w:t xml:space="preserve"> at discharge were significantly associated with </w:t>
            </w:r>
            <w:r w:rsidR="007A6D1E" w:rsidRPr="005F4609">
              <w:rPr>
                <w:rFonts w:ascii="Garamond" w:hAnsi="Garamond"/>
                <w:b/>
                <w:lang w:val="en-AU"/>
              </w:rPr>
              <w:t>lower readmission rates, higher medication adherence, and higher patient satisfaction</w:t>
            </w:r>
            <w:r w:rsidR="007A6D1E" w:rsidRPr="007A6D1E">
              <w:rPr>
                <w:rFonts w:ascii="Garamond" w:hAnsi="Garamond"/>
                <w:lang w:val="en-AU"/>
              </w:rPr>
              <w:t>.</w:t>
            </w:r>
            <w:r w:rsidR="007A6D1E">
              <w:rPr>
                <w:rFonts w:ascii="Garamond" w:hAnsi="Garamond"/>
                <w:lang w:val="en-AU"/>
              </w:rPr>
              <w:t>’</w:t>
            </w:r>
          </w:p>
        </w:tc>
      </w:tr>
    </w:tbl>
    <w:p w:rsidR="00712DD0" w:rsidRDefault="00712DD0" w:rsidP="00712DD0">
      <w:pPr>
        <w:keepNext/>
        <w:keepLines/>
        <w:tabs>
          <w:tab w:val="left" w:pos="2114"/>
        </w:tabs>
        <w:autoSpaceDE w:val="0"/>
        <w:autoSpaceDN w:val="0"/>
        <w:adjustRightInd w:val="0"/>
        <w:rPr>
          <w:rFonts w:ascii="Garamond" w:hAnsi="Garamond"/>
          <w:lang w:val="en-AU"/>
        </w:rPr>
      </w:pPr>
    </w:p>
    <w:p w:rsidR="00712DD0" w:rsidRPr="005F68EE" w:rsidRDefault="005F68EE" w:rsidP="00712DD0">
      <w:pPr>
        <w:keepNext/>
        <w:keepLines/>
        <w:tabs>
          <w:tab w:val="left" w:pos="2114"/>
        </w:tabs>
        <w:autoSpaceDE w:val="0"/>
        <w:autoSpaceDN w:val="0"/>
        <w:adjustRightInd w:val="0"/>
        <w:rPr>
          <w:rFonts w:ascii="Garamond" w:hAnsi="Garamond"/>
          <w:i/>
          <w:lang w:val="en-AU"/>
        </w:rPr>
      </w:pPr>
      <w:r w:rsidRPr="005F68EE">
        <w:rPr>
          <w:rFonts w:ascii="Garamond" w:hAnsi="Garamond"/>
          <w:i/>
          <w:lang w:val="en-AU"/>
        </w:rPr>
        <w:t>Evolving factors in hospital safety: a systematic review and meta-analysis of hospital adverse events</w:t>
      </w:r>
    </w:p>
    <w:p w:rsidR="0072550D" w:rsidRDefault="0072550D" w:rsidP="00712DD0">
      <w:pPr>
        <w:keepNext/>
        <w:keepLines/>
        <w:tabs>
          <w:tab w:val="left" w:pos="2114"/>
        </w:tabs>
        <w:autoSpaceDE w:val="0"/>
        <w:autoSpaceDN w:val="0"/>
        <w:adjustRightInd w:val="0"/>
        <w:rPr>
          <w:rFonts w:ascii="Garamond" w:hAnsi="Garamond"/>
          <w:lang w:val="en-AU"/>
        </w:rPr>
      </w:pPr>
      <w:r w:rsidRPr="0072550D">
        <w:rPr>
          <w:rFonts w:ascii="Garamond" w:hAnsi="Garamond"/>
          <w:lang w:val="en-AU"/>
        </w:rPr>
        <w:t>Sauro KM, Machan M, Whalen-Browne L, Owen V, Wu G, Stelfox HT</w:t>
      </w:r>
    </w:p>
    <w:p w:rsidR="005F68EE" w:rsidRDefault="0072550D" w:rsidP="00712DD0">
      <w:pPr>
        <w:keepNext/>
        <w:keepLines/>
        <w:tabs>
          <w:tab w:val="left" w:pos="2114"/>
        </w:tabs>
        <w:autoSpaceDE w:val="0"/>
        <w:autoSpaceDN w:val="0"/>
        <w:adjustRightInd w:val="0"/>
        <w:rPr>
          <w:rFonts w:ascii="Garamond" w:hAnsi="Garamond"/>
          <w:lang w:val="en-AU"/>
        </w:rPr>
      </w:pPr>
      <w:r w:rsidRPr="0072550D">
        <w:rPr>
          <w:rFonts w:ascii="Garamond" w:hAnsi="Garamond"/>
          <w:lang w:val="en-AU"/>
        </w:rPr>
        <w:t>Journal of Patient Safety. 2021.</w:t>
      </w:r>
    </w:p>
    <w:tbl>
      <w:tblPr>
        <w:tblStyle w:val="TableGrid"/>
        <w:tblW w:w="9360" w:type="dxa"/>
        <w:tblInd w:w="288" w:type="dxa"/>
        <w:tblLayout w:type="fixed"/>
        <w:tblLook w:val="01E0" w:firstRow="1" w:lastRow="1" w:firstColumn="1" w:lastColumn="1" w:noHBand="0" w:noVBand="0"/>
      </w:tblPr>
      <w:tblGrid>
        <w:gridCol w:w="1080"/>
        <w:gridCol w:w="8280"/>
      </w:tblGrid>
      <w:tr w:rsidR="00712DD0" w:rsidRPr="000170DA" w:rsidTr="00EC5E4B">
        <w:tc>
          <w:tcPr>
            <w:tcW w:w="1080" w:type="dxa"/>
            <w:tcBorders>
              <w:top w:val="single" w:sz="4" w:space="0" w:color="auto"/>
              <w:left w:val="single" w:sz="4" w:space="0" w:color="auto"/>
              <w:bottom w:val="single" w:sz="4" w:space="0" w:color="auto"/>
              <w:right w:val="single" w:sz="4" w:space="0" w:color="auto"/>
            </w:tcBorders>
            <w:vAlign w:val="center"/>
          </w:tcPr>
          <w:p w:rsidR="00712DD0" w:rsidRPr="000170DA" w:rsidRDefault="00712DD0" w:rsidP="00EC5E4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12DD0" w:rsidRPr="000170DA" w:rsidRDefault="00902FA9" w:rsidP="00EC5E4B">
            <w:pPr>
              <w:rPr>
                <w:rStyle w:val="Hyperlink"/>
                <w:rFonts w:ascii="Garamond" w:hAnsi="Garamond"/>
                <w:color w:val="auto"/>
                <w:u w:val="none"/>
                <w:lang w:val="en-AU"/>
              </w:rPr>
            </w:pPr>
            <w:hyperlink r:id="rId21" w:history="1">
              <w:r w:rsidR="005F68EE" w:rsidRPr="007E0609">
                <w:rPr>
                  <w:rStyle w:val="Hyperlink"/>
                  <w:rFonts w:ascii="Garamond" w:hAnsi="Garamond"/>
                  <w:lang w:val="en-AU"/>
                </w:rPr>
                <w:t>http://doi.org/10.1097/pts.0000000000000889</w:t>
              </w:r>
            </w:hyperlink>
          </w:p>
        </w:tc>
      </w:tr>
      <w:tr w:rsidR="00712DD0" w:rsidRPr="000170DA" w:rsidTr="00EC5E4B">
        <w:tc>
          <w:tcPr>
            <w:tcW w:w="1080" w:type="dxa"/>
            <w:tcBorders>
              <w:top w:val="single" w:sz="4" w:space="0" w:color="auto"/>
              <w:left w:val="single" w:sz="4" w:space="0" w:color="auto"/>
              <w:bottom w:val="single" w:sz="4" w:space="0" w:color="auto"/>
              <w:right w:val="single" w:sz="4" w:space="0" w:color="auto"/>
            </w:tcBorders>
            <w:vAlign w:val="center"/>
          </w:tcPr>
          <w:p w:rsidR="00712DD0" w:rsidRPr="000170DA" w:rsidRDefault="00712DD0" w:rsidP="00EC5E4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37FAF" w:rsidRDefault="007A6D1E" w:rsidP="007A6D1E">
            <w:pPr>
              <w:rPr>
                <w:rFonts w:ascii="Garamond" w:hAnsi="Garamond"/>
                <w:lang w:val="en-AU"/>
              </w:rPr>
            </w:pPr>
            <w:r>
              <w:rPr>
                <w:rFonts w:ascii="Garamond" w:hAnsi="Garamond"/>
                <w:lang w:val="en-AU"/>
              </w:rPr>
              <w:t xml:space="preserve">Paper reporting on a review that sought to estimate the </w:t>
            </w:r>
            <w:r w:rsidRPr="007A6D1E">
              <w:rPr>
                <w:rFonts w:ascii="Garamond" w:hAnsi="Garamond"/>
                <w:lang w:val="en-AU"/>
              </w:rPr>
              <w:t>frequency of hospital adverse events (AEs) and explore the rate of AEs over time, and across and within hospital populations.</w:t>
            </w:r>
            <w:r>
              <w:rPr>
                <w:rFonts w:ascii="Garamond" w:hAnsi="Garamond"/>
                <w:lang w:val="en-AU"/>
              </w:rPr>
              <w:t xml:space="preserve"> </w:t>
            </w:r>
            <w:r w:rsidR="00F37FAF">
              <w:rPr>
                <w:rFonts w:ascii="Garamond" w:hAnsi="Garamond"/>
                <w:lang w:val="en-AU"/>
              </w:rPr>
              <w:t xml:space="preserve">The study included </w:t>
            </w:r>
            <w:r w:rsidR="00F37FAF" w:rsidRPr="00F37FAF">
              <w:rPr>
                <w:rFonts w:ascii="Garamond" w:hAnsi="Garamond"/>
                <w:lang w:val="en-AU"/>
              </w:rPr>
              <w:t>94 studies representing 590 million admissions from</w:t>
            </w:r>
            <w:r w:rsidR="00F37FAF">
              <w:rPr>
                <w:rFonts w:ascii="Garamond" w:hAnsi="Garamond"/>
                <w:lang w:val="en-AU"/>
              </w:rPr>
              <w:t xml:space="preserve"> 25 countries from 1961 to 2014. The authors report finding:</w:t>
            </w:r>
          </w:p>
          <w:p w:rsidR="00F37FAF" w:rsidRPr="00F37FAF" w:rsidRDefault="00F37FAF" w:rsidP="00F37FAF">
            <w:pPr>
              <w:pStyle w:val="ListParagraph"/>
              <w:numPr>
                <w:ilvl w:val="0"/>
                <w:numId w:val="45"/>
              </w:numPr>
              <w:rPr>
                <w:rFonts w:ascii="Garamond" w:hAnsi="Garamond"/>
                <w:lang w:val="en-AU"/>
              </w:rPr>
            </w:pPr>
            <w:r w:rsidRPr="00F37FAF">
              <w:rPr>
                <w:rFonts w:ascii="Garamond" w:hAnsi="Garamond"/>
                <w:lang w:val="en-AU"/>
              </w:rPr>
              <w:t xml:space="preserve">The incidence of </w:t>
            </w:r>
            <w:r w:rsidRPr="005F4609">
              <w:rPr>
                <w:rFonts w:ascii="Garamond" w:hAnsi="Garamond"/>
                <w:b/>
                <w:lang w:val="en-AU"/>
              </w:rPr>
              <w:t>hospital AEs was 8.6 per 100 patient admissions</w:t>
            </w:r>
            <w:r w:rsidRPr="00F37FAF">
              <w:rPr>
                <w:rFonts w:ascii="Garamond" w:hAnsi="Garamond"/>
                <w:lang w:val="en-AU"/>
              </w:rPr>
              <w:t xml:space="preserve"> (95% confidence interval [CI], 8.3 to 8.9; I2 = 100%, P &lt; 0.001).</w:t>
            </w:r>
          </w:p>
          <w:p w:rsidR="00F37FAF" w:rsidRPr="00F37FAF" w:rsidRDefault="00F37FAF" w:rsidP="00F37FAF">
            <w:pPr>
              <w:pStyle w:val="ListParagraph"/>
              <w:numPr>
                <w:ilvl w:val="0"/>
                <w:numId w:val="45"/>
              </w:numPr>
              <w:rPr>
                <w:rFonts w:ascii="Garamond" w:hAnsi="Garamond"/>
                <w:lang w:val="en-AU"/>
              </w:rPr>
            </w:pPr>
            <w:r w:rsidRPr="005F4609">
              <w:rPr>
                <w:rFonts w:ascii="Garamond" w:hAnsi="Garamond"/>
                <w:b/>
                <w:lang w:val="en-AU"/>
              </w:rPr>
              <w:t>Half of the AEs were preventable</w:t>
            </w:r>
            <w:r w:rsidRPr="00F37FAF">
              <w:rPr>
                <w:rFonts w:ascii="Garamond" w:hAnsi="Garamond"/>
                <w:lang w:val="en-AU"/>
              </w:rPr>
              <w:t xml:space="preserve"> (52.6%), and a third resulted in </w:t>
            </w:r>
            <w:r w:rsidRPr="005F4609">
              <w:rPr>
                <w:rFonts w:ascii="Garamond" w:hAnsi="Garamond"/>
                <w:b/>
                <w:lang w:val="en-AU"/>
              </w:rPr>
              <w:t>moderate/significant harm (39.7%)</w:t>
            </w:r>
            <w:r w:rsidRPr="00F37FAF">
              <w:rPr>
                <w:rFonts w:ascii="Garamond" w:hAnsi="Garamond"/>
                <w:lang w:val="en-AU"/>
              </w:rPr>
              <w:t xml:space="preserve">. </w:t>
            </w:r>
          </w:p>
          <w:p w:rsidR="00F37FAF" w:rsidRPr="00F37FAF" w:rsidRDefault="00F37FAF" w:rsidP="00F37FAF">
            <w:pPr>
              <w:pStyle w:val="ListParagraph"/>
              <w:numPr>
                <w:ilvl w:val="0"/>
                <w:numId w:val="45"/>
              </w:numPr>
              <w:rPr>
                <w:rFonts w:ascii="Garamond" w:hAnsi="Garamond"/>
                <w:lang w:val="en-AU"/>
              </w:rPr>
            </w:pPr>
            <w:r w:rsidRPr="00F37FAF">
              <w:rPr>
                <w:rFonts w:ascii="Garamond" w:hAnsi="Garamond"/>
                <w:lang w:val="en-AU"/>
              </w:rPr>
              <w:t xml:space="preserve">The most evaluated AEs were surgical AEs, drug-related AEs, and nosocomial infections. </w:t>
            </w:r>
          </w:p>
          <w:p w:rsidR="00F37FAF" w:rsidRPr="00F37FAF" w:rsidRDefault="00F37FAF" w:rsidP="00F37FAF">
            <w:pPr>
              <w:pStyle w:val="ListParagraph"/>
              <w:numPr>
                <w:ilvl w:val="0"/>
                <w:numId w:val="45"/>
              </w:numPr>
              <w:rPr>
                <w:rFonts w:ascii="Garamond" w:hAnsi="Garamond"/>
                <w:lang w:val="en-AU"/>
              </w:rPr>
            </w:pPr>
            <w:r w:rsidRPr="00F37FAF">
              <w:rPr>
                <w:rFonts w:ascii="Garamond" w:hAnsi="Garamond"/>
                <w:lang w:val="en-AU"/>
              </w:rPr>
              <w:t xml:space="preserve">The occurrence of AEs increased by year (95% CI, −0.05 to −0.04; P &lt; 0.001) and patient age (95% CI = −0.15 to −0.14; P &lt; 0.001), and varied by country income level and study characteristics. </w:t>
            </w:r>
          </w:p>
          <w:p w:rsidR="00F37FAF" w:rsidRPr="00F37FAF" w:rsidRDefault="00F37FAF" w:rsidP="00F37FAF">
            <w:pPr>
              <w:pStyle w:val="ListParagraph"/>
              <w:numPr>
                <w:ilvl w:val="0"/>
                <w:numId w:val="45"/>
              </w:numPr>
              <w:rPr>
                <w:rFonts w:ascii="Garamond" w:hAnsi="Garamond"/>
                <w:lang w:val="en-AU"/>
              </w:rPr>
            </w:pPr>
            <w:r w:rsidRPr="00F37FAF">
              <w:rPr>
                <w:rFonts w:ascii="Garamond" w:hAnsi="Garamond"/>
                <w:lang w:val="en-AU"/>
              </w:rPr>
              <w:t>Patient sex, hospital type, hospital service, and geographical location were not associated with AEs.</w:t>
            </w:r>
          </w:p>
        </w:tc>
      </w:tr>
    </w:tbl>
    <w:p w:rsidR="005F68EE" w:rsidRPr="001F6C3B" w:rsidRDefault="001F6C3B" w:rsidP="001F6C3B">
      <w:pPr>
        <w:keepNext/>
        <w:keepLines/>
        <w:tabs>
          <w:tab w:val="left" w:pos="2114"/>
        </w:tabs>
        <w:autoSpaceDE w:val="0"/>
        <w:autoSpaceDN w:val="0"/>
        <w:adjustRightInd w:val="0"/>
        <w:rPr>
          <w:rFonts w:ascii="Garamond" w:hAnsi="Garamond"/>
          <w:i/>
          <w:lang w:val="en-AU"/>
        </w:rPr>
      </w:pPr>
      <w:r w:rsidRPr="001F6C3B">
        <w:rPr>
          <w:rFonts w:ascii="Garamond" w:hAnsi="Garamond"/>
          <w:i/>
          <w:lang w:val="en-AU"/>
        </w:rPr>
        <w:lastRenderedPageBreak/>
        <w:t>Barriers and facilitators to shared decisionmaking in hospitals from policy to practice:</w:t>
      </w:r>
      <w:r w:rsidR="002911E0">
        <w:rPr>
          <w:rFonts w:ascii="Garamond" w:hAnsi="Garamond"/>
          <w:i/>
          <w:lang w:val="en-AU"/>
        </w:rPr>
        <w:t xml:space="preserve"> A</w:t>
      </w:r>
      <w:r w:rsidRPr="001F6C3B">
        <w:rPr>
          <w:rFonts w:ascii="Garamond" w:hAnsi="Garamond"/>
          <w:i/>
          <w:lang w:val="en-AU"/>
        </w:rPr>
        <w:t xml:space="preserve"> systematic review</w:t>
      </w:r>
    </w:p>
    <w:p w:rsidR="002911E0" w:rsidRDefault="0072550D" w:rsidP="001F6C3B">
      <w:pPr>
        <w:keepNext/>
        <w:keepLines/>
        <w:tabs>
          <w:tab w:val="left" w:pos="2114"/>
        </w:tabs>
        <w:autoSpaceDE w:val="0"/>
        <w:autoSpaceDN w:val="0"/>
        <w:adjustRightInd w:val="0"/>
        <w:rPr>
          <w:rFonts w:ascii="Garamond" w:hAnsi="Garamond"/>
          <w:lang w:val="en-AU"/>
        </w:rPr>
      </w:pPr>
      <w:r w:rsidRPr="0072550D">
        <w:rPr>
          <w:rFonts w:ascii="Garamond" w:hAnsi="Garamond"/>
          <w:lang w:val="en-AU"/>
        </w:rPr>
        <w:t>Waddell A, Lennox A, Spassova G, Bragge P</w:t>
      </w:r>
    </w:p>
    <w:p w:rsidR="001F6C3B" w:rsidRDefault="0072550D" w:rsidP="001F6C3B">
      <w:pPr>
        <w:keepNext/>
        <w:keepLines/>
        <w:tabs>
          <w:tab w:val="left" w:pos="2114"/>
        </w:tabs>
        <w:autoSpaceDE w:val="0"/>
        <w:autoSpaceDN w:val="0"/>
        <w:adjustRightInd w:val="0"/>
        <w:rPr>
          <w:rFonts w:ascii="Garamond" w:hAnsi="Garamond"/>
          <w:lang w:val="en-AU"/>
        </w:rPr>
      </w:pPr>
      <w:r w:rsidRPr="0072550D">
        <w:rPr>
          <w:rFonts w:ascii="Garamond" w:hAnsi="Garamond"/>
          <w:lang w:val="en-AU"/>
        </w:rPr>
        <w:t>Implementation Science. 2021;16(1):74.</w:t>
      </w:r>
    </w:p>
    <w:tbl>
      <w:tblPr>
        <w:tblStyle w:val="TableGrid"/>
        <w:tblW w:w="9360" w:type="dxa"/>
        <w:tblInd w:w="288" w:type="dxa"/>
        <w:tblLayout w:type="fixed"/>
        <w:tblLook w:val="01E0" w:firstRow="1" w:lastRow="1" w:firstColumn="1" w:lastColumn="1" w:noHBand="0" w:noVBand="0"/>
      </w:tblPr>
      <w:tblGrid>
        <w:gridCol w:w="1080"/>
        <w:gridCol w:w="8280"/>
      </w:tblGrid>
      <w:tr w:rsidR="00712DD0" w:rsidRPr="000170DA" w:rsidTr="00EC5E4B">
        <w:tc>
          <w:tcPr>
            <w:tcW w:w="1080" w:type="dxa"/>
            <w:tcBorders>
              <w:top w:val="single" w:sz="4" w:space="0" w:color="auto"/>
              <w:left w:val="single" w:sz="4" w:space="0" w:color="auto"/>
              <w:bottom w:val="single" w:sz="4" w:space="0" w:color="auto"/>
              <w:right w:val="single" w:sz="4" w:space="0" w:color="auto"/>
            </w:tcBorders>
            <w:vAlign w:val="center"/>
          </w:tcPr>
          <w:p w:rsidR="00712DD0" w:rsidRPr="000170DA" w:rsidRDefault="00712DD0" w:rsidP="00EC5E4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12DD0" w:rsidRPr="000170DA" w:rsidRDefault="00902FA9" w:rsidP="00EC5E4B">
            <w:pPr>
              <w:rPr>
                <w:rStyle w:val="Hyperlink"/>
                <w:rFonts w:ascii="Garamond" w:hAnsi="Garamond"/>
                <w:color w:val="auto"/>
                <w:u w:val="none"/>
                <w:lang w:val="en-AU"/>
              </w:rPr>
            </w:pPr>
            <w:hyperlink r:id="rId22" w:history="1">
              <w:r w:rsidR="002911E0" w:rsidRPr="0052137D">
                <w:rPr>
                  <w:rStyle w:val="Hyperlink"/>
                  <w:rFonts w:ascii="Garamond" w:hAnsi="Garamond"/>
                  <w:lang w:val="en-AU"/>
                </w:rPr>
                <w:t>https://doi.org/10.1186/s13012-021-01142-y</w:t>
              </w:r>
            </w:hyperlink>
          </w:p>
        </w:tc>
      </w:tr>
      <w:tr w:rsidR="00712DD0" w:rsidRPr="000170DA" w:rsidTr="00EC5E4B">
        <w:tc>
          <w:tcPr>
            <w:tcW w:w="1080" w:type="dxa"/>
            <w:tcBorders>
              <w:top w:val="single" w:sz="4" w:space="0" w:color="auto"/>
              <w:left w:val="single" w:sz="4" w:space="0" w:color="auto"/>
              <w:bottom w:val="single" w:sz="4" w:space="0" w:color="auto"/>
              <w:right w:val="single" w:sz="4" w:space="0" w:color="auto"/>
            </w:tcBorders>
            <w:vAlign w:val="center"/>
          </w:tcPr>
          <w:p w:rsidR="00712DD0" w:rsidRPr="000170DA" w:rsidRDefault="00712DD0" w:rsidP="00EC5E4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6391C" w:rsidRPr="003A2A81" w:rsidRDefault="0076391C" w:rsidP="00C16ECC">
            <w:pPr>
              <w:rPr>
                <w:rFonts w:ascii="Garamond" w:hAnsi="Garamond"/>
                <w:lang w:val="en-AU"/>
              </w:rPr>
            </w:pPr>
            <w:r w:rsidRPr="0076391C">
              <w:rPr>
                <w:rFonts w:ascii="Garamond" w:hAnsi="Garamond"/>
                <w:lang w:val="en-AU"/>
              </w:rPr>
              <w:t xml:space="preserve">Shared decision making </w:t>
            </w:r>
            <w:r w:rsidR="00C16ECC">
              <w:rPr>
                <w:rFonts w:ascii="Garamond" w:hAnsi="Garamond"/>
                <w:lang w:val="en-AU"/>
              </w:rPr>
              <w:t xml:space="preserve">(SDM) </w:t>
            </w:r>
            <w:r w:rsidRPr="0076391C">
              <w:rPr>
                <w:rFonts w:ascii="Garamond" w:hAnsi="Garamond"/>
                <w:lang w:val="en-AU"/>
              </w:rPr>
              <w:t>involves discussion and collaboration between a consumer and their healthcare provider. It is about bringing together the consumer's values, goals and preferences with the best available evidence about benefits, risks and uncertainties of treatment, in order to reach the most appropriate healthcare decisions for that person.</w:t>
            </w:r>
            <w:r w:rsidR="00C16ECC">
              <w:rPr>
                <w:rFonts w:ascii="Garamond" w:hAnsi="Garamond"/>
                <w:lang w:val="en-AU"/>
              </w:rPr>
              <w:t xml:space="preserve"> </w:t>
            </w:r>
            <w:r w:rsidR="00BE2C04">
              <w:rPr>
                <w:rFonts w:ascii="Garamond" w:hAnsi="Garamond"/>
                <w:lang w:val="en-AU"/>
              </w:rPr>
              <w:t xml:space="preserve">This Australian </w:t>
            </w:r>
            <w:r w:rsidR="00C16ECC">
              <w:rPr>
                <w:rFonts w:ascii="Garamond" w:hAnsi="Garamond"/>
                <w:lang w:val="en-AU"/>
              </w:rPr>
              <w:t xml:space="preserve">review sought to </w:t>
            </w:r>
            <w:r w:rsidR="00C16ECC" w:rsidRPr="00C16ECC">
              <w:rPr>
                <w:rFonts w:ascii="Garamond" w:hAnsi="Garamond"/>
                <w:lang w:val="en-AU"/>
              </w:rPr>
              <w:t xml:space="preserve">review </w:t>
            </w:r>
            <w:r w:rsidR="00C16ECC">
              <w:rPr>
                <w:rFonts w:ascii="Garamond" w:hAnsi="Garamond"/>
                <w:lang w:val="en-AU"/>
              </w:rPr>
              <w:t xml:space="preserve">the </w:t>
            </w:r>
            <w:r w:rsidR="00C16ECC" w:rsidRPr="00C16ECC">
              <w:rPr>
                <w:rFonts w:ascii="Garamond" w:hAnsi="Garamond"/>
                <w:lang w:val="en-AU"/>
              </w:rPr>
              <w:t>literature exploring barriers and facilitators to implementing SDM in hospital settings from multiple stakeholder perspectives.</w:t>
            </w:r>
            <w:r w:rsidR="00C16ECC">
              <w:rPr>
                <w:rFonts w:ascii="Garamond" w:hAnsi="Garamond"/>
                <w:lang w:val="en-AU"/>
              </w:rPr>
              <w:t xml:space="preserve"> Focusing on 14 studies, 12 of which were conducted in the last 4 years, the authors report finding that the reported barriers ‘</w:t>
            </w:r>
            <w:r w:rsidR="00C16ECC" w:rsidRPr="00C16ECC">
              <w:rPr>
                <w:rFonts w:ascii="Garamond" w:hAnsi="Garamond"/>
                <w:lang w:val="en-AU"/>
              </w:rPr>
              <w:t>specific to the hospital setting included noisy and busy ward environments and a lack of private spaces in which to conduct SDM conversations.</w:t>
            </w:r>
            <w:r w:rsidR="00C16ECC">
              <w:rPr>
                <w:rFonts w:ascii="Garamond" w:hAnsi="Garamond"/>
                <w:lang w:val="en-AU"/>
              </w:rPr>
              <w:t>’</w:t>
            </w:r>
          </w:p>
        </w:tc>
      </w:tr>
    </w:tbl>
    <w:p w:rsidR="00712DD0" w:rsidRDefault="00712DD0" w:rsidP="00712DD0">
      <w:pPr>
        <w:keepNext/>
        <w:keepLines/>
        <w:tabs>
          <w:tab w:val="left" w:pos="2114"/>
        </w:tabs>
        <w:autoSpaceDE w:val="0"/>
        <w:autoSpaceDN w:val="0"/>
        <w:adjustRightInd w:val="0"/>
        <w:rPr>
          <w:rFonts w:ascii="Garamond" w:hAnsi="Garamond"/>
          <w:lang w:val="en-AU"/>
        </w:rPr>
      </w:pPr>
    </w:p>
    <w:p w:rsidR="003A2A81" w:rsidRDefault="00736D24" w:rsidP="003A2A81">
      <w:pPr>
        <w:keepNext/>
        <w:keepLines/>
        <w:tabs>
          <w:tab w:val="left" w:pos="2114"/>
        </w:tabs>
        <w:autoSpaceDE w:val="0"/>
        <w:autoSpaceDN w:val="0"/>
        <w:adjustRightInd w:val="0"/>
        <w:rPr>
          <w:rFonts w:ascii="Garamond" w:hAnsi="Garamond"/>
          <w:lang w:val="en-AU"/>
        </w:rPr>
      </w:pPr>
      <w:r w:rsidRPr="00D93C43">
        <w:rPr>
          <w:rFonts w:ascii="Garamond" w:hAnsi="Garamond"/>
          <w:lang w:val="en-AU"/>
        </w:rPr>
        <w:t xml:space="preserve">For information on the Commission’s </w:t>
      </w:r>
      <w:r>
        <w:rPr>
          <w:rFonts w:ascii="Garamond" w:hAnsi="Garamond"/>
          <w:lang w:val="en-AU"/>
        </w:rPr>
        <w:t xml:space="preserve">work on </w:t>
      </w:r>
      <w:r w:rsidR="001F6C3B">
        <w:rPr>
          <w:rFonts w:ascii="Garamond" w:hAnsi="Garamond"/>
          <w:lang w:val="en-AU"/>
        </w:rPr>
        <w:t>shared decision making</w:t>
      </w:r>
      <w:r>
        <w:rPr>
          <w:rFonts w:ascii="Garamond" w:hAnsi="Garamond"/>
          <w:lang w:val="en-AU"/>
        </w:rPr>
        <w:t xml:space="preserve">, see </w:t>
      </w:r>
      <w:hyperlink r:id="rId23" w:history="1">
        <w:r w:rsidR="001F6C3B" w:rsidRPr="0052137D">
          <w:rPr>
            <w:rStyle w:val="Hyperlink"/>
            <w:rFonts w:ascii="Garamond" w:hAnsi="Garamond"/>
            <w:lang w:val="en-AU"/>
          </w:rPr>
          <w:t>https://www.safetyandquality.gov.au/our-work/partnering-consumers/shared-decision-making</w:t>
        </w:r>
      </w:hyperlink>
    </w:p>
    <w:p w:rsidR="00736D24" w:rsidRDefault="00736D24" w:rsidP="003A2A81">
      <w:pPr>
        <w:keepNext/>
        <w:keepLines/>
        <w:tabs>
          <w:tab w:val="left" w:pos="2114"/>
        </w:tabs>
        <w:autoSpaceDE w:val="0"/>
        <w:autoSpaceDN w:val="0"/>
        <w:adjustRightInd w:val="0"/>
        <w:rPr>
          <w:rFonts w:ascii="Garamond" w:hAnsi="Garamond"/>
          <w:lang w:val="en-AU"/>
        </w:rPr>
      </w:pPr>
    </w:p>
    <w:p w:rsidR="0076391C" w:rsidRPr="005F68EE" w:rsidRDefault="0076391C" w:rsidP="0076391C">
      <w:pPr>
        <w:keepNext/>
        <w:keepLines/>
        <w:tabs>
          <w:tab w:val="left" w:pos="2114"/>
        </w:tabs>
        <w:autoSpaceDE w:val="0"/>
        <w:autoSpaceDN w:val="0"/>
        <w:adjustRightInd w:val="0"/>
        <w:rPr>
          <w:rFonts w:ascii="Garamond" w:hAnsi="Garamond"/>
          <w:i/>
          <w:lang w:val="en-AU"/>
        </w:rPr>
      </w:pPr>
      <w:r w:rsidRPr="005F68EE">
        <w:rPr>
          <w:rFonts w:ascii="Garamond" w:hAnsi="Garamond"/>
          <w:i/>
          <w:lang w:val="en-AU"/>
        </w:rPr>
        <w:t>Emergency departments are higher-risk locations for wrong blood in tube errors</w:t>
      </w:r>
    </w:p>
    <w:p w:rsidR="00BE2C04" w:rsidRDefault="00BE2C04" w:rsidP="00BE2C04">
      <w:pPr>
        <w:keepNext/>
        <w:keepLines/>
        <w:tabs>
          <w:tab w:val="left" w:pos="2114"/>
        </w:tabs>
        <w:autoSpaceDE w:val="0"/>
        <w:autoSpaceDN w:val="0"/>
        <w:adjustRightInd w:val="0"/>
        <w:rPr>
          <w:rFonts w:ascii="Garamond" w:hAnsi="Garamond"/>
          <w:lang w:val="en-AU"/>
        </w:rPr>
      </w:pPr>
      <w:r w:rsidRPr="00BE2C04">
        <w:rPr>
          <w:rFonts w:ascii="Garamond" w:hAnsi="Garamond"/>
          <w:lang w:val="en-AU"/>
        </w:rPr>
        <w:t>Dunbar NM, Delaney M, Murphy MF, Pagano MB, Saifee NH, Seheult J, et al</w:t>
      </w:r>
    </w:p>
    <w:p w:rsidR="0076391C" w:rsidRPr="00BE2C04" w:rsidRDefault="00BE2C04" w:rsidP="00BE2C04">
      <w:pPr>
        <w:keepNext/>
        <w:keepLines/>
        <w:tabs>
          <w:tab w:val="left" w:pos="2114"/>
        </w:tabs>
        <w:autoSpaceDE w:val="0"/>
        <w:autoSpaceDN w:val="0"/>
        <w:adjustRightInd w:val="0"/>
        <w:rPr>
          <w:rFonts w:ascii="Garamond" w:hAnsi="Garamond"/>
          <w:lang w:val="en-AU"/>
        </w:rPr>
      </w:pPr>
      <w:r w:rsidRPr="00BE2C04">
        <w:rPr>
          <w:rFonts w:ascii="Garamond" w:hAnsi="Garamond"/>
          <w:lang w:val="en-AU"/>
        </w:rPr>
        <w:t>Transfusion. 2021;61(9):2601-2610.</w:t>
      </w:r>
    </w:p>
    <w:p w:rsidR="00BE2C04" w:rsidRPr="00BE2C04" w:rsidRDefault="00BE2C04" w:rsidP="00BE2C04">
      <w:pPr>
        <w:keepNext/>
        <w:keepLines/>
        <w:tabs>
          <w:tab w:val="left" w:pos="2114"/>
        </w:tabs>
        <w:autoSpaceDE w:val="0"/>
        <w:autoSpaceDN w:val="0"/>
        <w:adjustRightInd w:val="0"/>
        <w:rPr>
          <w:rFonts w:ascii="Garamond" w:hAnsi="Garamond"/>
          <w:lang w:val="en-AU"/>
        </w:rPr>
      </w:pPr>
    </w:p>
    <w:p w:rsidR="0076391C" w:rsidRPr="00871B3E" w:rsidRDefault="0076391C" w:rsidP="0076391C">
      <w:pPr>
        <w:keepNext/>
        <w:keepLines/>
        <w:tabs>
          <w:tab w:val="left" w:pos="2114"/>
        </w:tabs>
        <w:autoSpaceDE w:val="0"/>
        <w:autoSpaceDN w:val="0"/>
        <w:adjustRightInd w:val="0"/>
        <w:rPr>
          <w:rFonts w:ascii="Garamond" w:hAnsi="Garamond"/>
          <w:i/>
          <w:lang w:val="en-AU"/>
        </w:rPr>
      </w:pPr>
      <w:r w:rsidRPr="00871B3E">
        <w:rPr>
          <w:rFonts w:ascii="Garamond" w:hAnsi="Garamond"/>
          <w:i/>
          <w:lang w:val="en-AU"/>
        </w:rPr>
        <w:t>Incidence of prescription errors in patients discharged from the emergency department</w:t>
      </w:r>
    </w:p>
    <w:p w:rsidR="0076391C" w:rsidRDefault="0076391C" w:rsidP="0076391C">
      <w:pPr>
        <w:keepNext/>
        <w:keepLines/>
        <w:tabs>
          <w:tab w:val="left" w:pos="2114"/>
        </w:tabs>
        <w:autoSpaceDE w:val="0"/>
        <w:autoSpaceDN w:val="0"/>
        <w:adjustRightInd w:val="0"/>
        <w:rPr>
          <w:rFonts w:ascii="Garamond" w:hAnsi="Garamond"/>
          <w:lang w:val="en-AU"/>
        </w:rPr>
      </w:pPr>
      <w:r w:rsidRPr="00871B3E">
        <w:rPr>
          <w:rFonts w:ascii="Garamond" w:hAnsi="Garamond"/>
          <w:lang w:val="en-AU"/>
        </w:rPr>
        <w:t>Gregory H, Cantley M, Calhoun C, Hall GA, Matuskowitz AJ, Weant KA</w:t>
      </w:r>
    </w:p>
    <w:p w:rsidR="0076391C" w:rsidRDefault="0076391C" w:rsidP="0076391C">
      <w:pPr>
        <w:keepNext/>
        <w:keepLines/>
        <w:tabs>
          <w:tab w:val="left" w:pos="2114"/>
        </w:tabs>
        <w:autoSpaceDE w:val="0"/>
        <w:autoSpaceDN w:val="0"/>
        <w:adjustRightInd w:val="0"/>
        <w:rPr>
          <w:rFonts w:ascii="Garamond" w:hAnsi="Garamond"/>
          <w:lang w:val="en-AU"/>
        </w:rPr>
      </w:pPr>
      <w:r w:rsidRPr="00871B3E">
        <w:rPr>
          <w:rFonts w:ascii="Garamond" w:hAnsi="Garamond"/>
          <w:lang w:val="en-AU"/>
        </w:rPr>
        <w:t>The American Jour</w:t>
      </w:r>
      <w:r w:rsidR="00343870">
        <w:rPr>
          <w:rFonts w:ascii="Garamond" w:hAnsi="Garamond"/>
          <w:lang w:val="en-AU"/>
        </w:rPr>
        <w:t>nal of Emergency Medicine. 2021</w:t>
      </w:r>
      <w:r w:rsidRPr="00871B3E">
        <w:rPr>
          <w:rFonts w:ascii="Garamond" w:hAnsi="Garamond"/>
          <w:lang w:val="en-AU"/>
        </w:rPr>
        <w:t>;46:266-270.</w:t>
      </w:r>
    </w:p>
    <w:tbl>
      <w:tblPr>
        <w:tblStyle w:val="TableGrid"/>
        <w:tblW w:w="9360" w:type="dxa"/>
        <w:tblInd w:w="288" w:type="dxa"/>
        <w:tblLayout w:type="fixed"/>
        <w:tblLook w:val="01E0" w:firstRow="1" w:lastRow="1" w:firstColumn="1" w:lastColumn="1" w:noHBand="0" w:noVBand="0"/>
      </w:tblPr>
      <w:tblGrid>
        <w:gridCol w:w="1080"/>
        <w:gridCol w:w="8280"/>
      </w:tblGrid>
      <w:tr w:rsidR="0076391C" w:rsidRPr="000170DA" w:rsidTr="00216380">
        <w:tc>
          <w:tcPr>
            <w:tcW w:w="1080" w:type="dxa"/>
            <w:tcBorders>
              <w:top w:val="single" w:sz="4" w:space="0" w:color="auto"/>
              <w:left w:val="single" w:sz="4" w:space="0" w:color="auto"/>
              <w:bottom w:val="single" w:sz="4" w:space="0" w:color="auto"/>
              <w:right w:val="single" w:sz="4" w:space="0" w:color="auto"/>
            </w:tcBorders>
            <w:vAlign w:val="center"/>
          </w:tcPr>
          <w:p w:rsidR="0076391C" w:rsidRPr="000170DA" w:rsidRDefault="0076391C" w:rsidP="0021638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6391C" w:rsidRDefault="00BE2C04" w:rsidP="00BE2C04">
            <w:pPr>
              <w:rPr>
                <w:rFonts w:ascii="Garamond" w:hAnsi="Garamond"/>
                <w:lang w:val="en-AU"/>
              </w:rPr>
            </w:pPr>
            <w:r w:rsidRPr="00BE2C04">
              <w:rPr>
                <w:rFonts w:ascii="Garamond" w:hAnsi="Garamond"/>
                <w:lang w:val="en-AU"/>
              </w:rPr>
              <w:t xml:space="preserve">Dunbar et al </w:t>
            </w:r>
            <w:hyperlink r:id="rId24" w:history="1">
              <w:r w:rsidR="0076391C" w:rsidRPr="007E0609">
                <w:rPr>
                  <w:rStyle w:val="Hyperlink"/>
                  <w:rFonts w:ascii="Garamond" w:hAnsi="Garamond"/>
                  <w:lang w:val="en-AU"/>
                </w:rPr>
                <w:t>http://doi.org/10.1111/trf.16588</w:t>
              </w:r>
            </w:hyperlink>
          </w:p>
          <w:p w:rsidR="0076391C" w:rsidRPr="000170DA" w:rsidRDefault="0076391C" w:rsidP="00216380">
            <w:pPr>
              <w:rPr>
                <w:rStyle w:val="Hyperlink"/>
                <w:rFonts w:ascii="Garamond" w:hAnsi="Garamond"/>
                <w:color w:val="auto"/>
                <w:u w:val="none"/>
                <w:lang w:val="en-AU"/>
              </w:rPr>
            </w:pPr>
            <w:r w:rsidRPr="003F3A1B">
              <w:rPr>
                <w:rFonts w:ascii="Garamond" w:hAnsi="Garamond"/>
              </w:rPr>
              <w:t xml:space="preserve">Gregory et al </w:t>
            </w:r>
            <w:hyperlink r:id="rId25" w:history="1">
              <w:r w:rsidRPr="003D2E0B">
                <w:rPr>
                  <w:rStyle w:val="Hyperlink"/>
                  <w:rFonts w:ascii="Garamond" w:hAnsi="Garamond"/>
                  <w:lang w:val="en-AU"/>
                </w:rPr>
                <w:t>https://doi.org/10.1016/j.ajem.2020.07.061</w:t>
              </w:r>
            </w:hyperlink>
          </w:p>
        </w:tc>
      </w:tr>
      <w:tr w:rsidR="0076391C" w:rsidRPr="000170DA" w:rsidTr="00216380">
        <w:tc>
          <w:tcPr>
            <w:tcW w:w="1080" w:type="dxa"/>
            <w:tcBorders>
              <w:top w:val="single" w:sz="4" w:space="0" w:color="auto"/>
              <w:left w:val="single" w:sz="4" w:space="0" w:color="auto"/>
              <w:bottom w:val="single" w:sz="4" w:space="0" w:color="auto"/>
              <w:right w:val="single" w:sz="4" w:space="0" w:color="auto"/>
            </w:tcBorders>
            <w:vAlign w:val="center"/>
          </w:tcPr>
          <w:p w:rsidR="0076391C" w:rsidRPr="000170DA" w:rsidRDefault="0076391C" w:rsidP="0021638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6391C" w:rsidRDefault="0076391C" w:rsidP="00216380">
            <w:pPr>
              <w:rPr>
                <w:rFonts w:ascii="Garamond" w:hAnsi="Garamond"/>
                <w:lang w:val="en-AU"/>
              </w:rPr>
            </w:pPr>
            <w:r>
              <w:rPr>
                <w:rFonts w:ascii="Garamond" w:hAnsi="Garamond"/>
                <w:lang w:val="en-AU"/>
              </w:rPr>
              <w:t xml:space="preserve">Emergency departments (EDs) can be by their very nature intense and complex places. The variety and intensity of activity can contribute to safety and quality issues. These two pieces both identify how the ED setting can see a higher incidence of lapses, in these instances in </w:t>
            </w:r>
            <w:r w:rsidR="00BE2C04">
              <w:rPr>
                <w:rFonts w:ascii="Garamond" w:hAnsi="Garamond"/>
                <w:lang w:val="en-AU"/>
              </w:rPr>
              <w:t xml:space="preserve">blood handling </w:t>
            </w:r>
            <w:r>
              <w:rPr>
                <w:rFonts w:ascii="Garamond" w:hAnsi="Garamond"/>
                <w:lang w:val="en-AU"/>
              </w:rPr>
              <w:t>and medications.</w:t>
            </w:r>
          </w:p>
          <w:p w:rsidR="00BE2C04" w:rsidRPr="00BE2C04" w:rsidRDefault="00BE2C04" w:rsidP="00216380">
            <w:pPr>
              <w:rPr>
                <w:rFonts w:ascii="Garamond" w:hAnsi="Garamond"/>
                <w:lang w:val="en-AU"/>
              </w:rPr>
            </w:pPr>
            <w:r w:rsidRPr="00BE2C04">
              <w:rPr>
                <w:rFonts w:ascii="Garamond" w:hAnsi="Garamond"/>
                <w:lang w:val="en-AU"/>
              </w:rPr>
              <w:t xml:space="preserve">Dunbar et al </w:t>
            </w:r>
            <w:r>
              <w:rPr>
                <w:rFonts w:ascii="Garamond" w:hAnsi="Garamond"/>
                <w:lang w:val="en-AU"/>
              </w:rPr>
              <w:t xml:space="preserve">observe that what are termed WBIT (wrong blood in tube) errors can lead to mistransfusions. Using data on </w:t>
            </w:r>
            <w:r w:rsidRPr="00BE2C04">
              <w:rPr>
                <w:rFonts w:ascii="Garamond" w:hAnsi="Garamond"/>
                <w:lang w:val="en-AU"/>
              </w:rPr>
              <w:t xml:space="preserve">pretransfusion samples </w:t>
            </w:r>
            <w:r>
              <w:rPr>
                <w:rFonts w:ascii="Garamond" w:hAnsi="Garamond"/>
                <w:lang w:val="en-AU"/>
              </w:rPr>
              <w:t xml:space="preserve">collected </w:t>
            </w:r>
            <w:r w:rsidRPr="00BE2C04">
              <w:rPr>
                <w:rFonts w:ascii="Garamond" w:hAnsi="Garamond"/>
                <w:lang w:val="en-AU"/>
              </w:rPr>
              <w:t>retrospectively by 39 transfusion services in nine countries</w:t>
            </w:r>
            <w:r>
              <w:rPr>
                <w:rFonts w:ascii="Garamond" w:hAnsi="Garamond"/>
                <w:lang w:val="en-AU"/>
              </w:rPr>
              <w:t xml:space="preserve"> in 2019, this study </w:t>
            </w:r>
            <w:r w:rsidRPr="00BE2C04">
              <w:rPr>
                <w:rFonts w:ascii="Garamond" w:hAnsi="Garamond"/>
                <w:lang w:val="en-AU"/>
              </w:rPr>
              <w:t>compared the proportion of WBIT errors made in emergency departments (EDs), inpatient wards, and outpatient clinics.</w:t>
            </w:r>
            <w:r w:rsidR="005F4609">
              <w:rPr>
                <w:rFonts w:ascii="Garamond" w:hAnsi="Garamond"/>
                <w:lang w:val="en-AU"/>
              </w:rPr>
              <w:t xml:space="preserve"> From 1,394,862 samples, 143 WBIT errors were detected for </w:t>
            </w:r>
            <w:r w:rsidR="005F4609" w:rsidRPr="005F4609">
              <w:rPr>
                <w:rFonts w:ascii="Garamond" w:hAnsi="Garamond"/>
                <w:lang w:val="en-AU"/>
              </w:rPr>
              <w:t>an unadjusted aggregate WBIT proportion of 1.03/10,000 samples</w:t>
            </w:r>
            <w:r w:rsidR="005F4609">
              <w:rPr>
                <w:rFonts w:ascii="Garamond" w:hAnsi="Garamond"/>
                <w:lang w:val="en-AU"/>
              </w:rPr>
              <w:t>. However, the authors report that ‘</w:t>
            </w:r>
            <w:r w:rsidR="005F4609" w:rsidRPr="005F4609">
              <w:rPr>
                <w:rFonts w:ascii="Garamond" w:hAnsi="Garamond"/>
                <w:lang w:val="en-AU"/>
              </w:rPr>
              <w:t>the WBIT proportion in EDs was 1.7 times higher than inpatient wards and 5.1 times higher than outpatient clinics.</w:t>
            </w:r>
            <w:r w:rsidR="005F4609">
              <w:rPr>
                <w:rFonts w:ascii="Garamond" w:hAnsi="Garamond"/>
                <w:lang w:val="en-AU"/>
              </w:rPr>
              <w:t>’ They observed that ‘</w:t>
            </w:r>
            <w:r w:rsidR="005F4609" w:rsidRPr="005F4609">
              <w:rPr>
                <w:rFonts w:ascii="Garamond" w:hAnsi="Garamond"/>
                <w:lang w:val="en-AU"/>
              </w:rPr>
              <w:t>use of electronic positive patient identification (ePPID) systems was associated with a significantly lower WBIT proportion in the ED</w:t>
            </w:r>
            <w:r w:rsidR="005F4609">
              <w:rPr>
                <w:rFonts w:ascii="Garamond" w:hAnsi="Garamond"/>
                <w:lang w:val="en-AU"/>
              </w:rPr>
              <w:t>’.</w:t>
            </w:r>
          </w:p>
          <w:p w:rsidR="00BE2C04" w:rsidRPr="003A2A81" w:rsidRDefault="00BE2C04" w:rsidP="009B0F5B">
            <w:pPr>
              <w:rPr>
                <w:rFonts w:ascii="Garamond" w:hAnsi="Garamond"/>
                <w:lang w:val="en-AU"/>
              </w:rPr>
            </w:pPr>
            <w:r>
              <w:rPr>
                <w:rFonts w:ascii="Garamond" w:hAnsi="Garamond"/>
                <w:lang w:val="en-AU"/>
              </w:rPr>
              <w:t>Gregory et al</w:t>
            </w:r>
            <w:r w:rsidR="00C16ECC">
              <w:rPr>
                <w:rFonts w:ascii="Garamond" w:hAnsi="Garamond"/>
                <w:lang w:val="en-AU"/>
              </w:rPr>
              <w:t xml:space="preserve"> </w:t>
            </w:r>
            <w:r w:rsidR="009B0F5B">
              <w:rPr>
                <w:rFonts w:ascii="Garamond" w:hAnsi="Garamond"/>
                <w:lang w:val="en-AU"/>
              </w:rPr>
              <w:t xml:space="preserve">sought to </w:t>
            </w:r>
            <w:r w:rsidR="009B0F5B" w:rsidRPr="009B0F5B">
              <w:rPr>
                <w:rFonts w:ascii="Garamond" w:hAnsi="Garamond"/>
                <w:lang w:val="en-AU"/>
              </w:rPr>
              <w:t>quantify and characterize the medication errors that occur in patients discharged from the ED.</w:t>
            </w:r>
            <w:r w:rsidR="009B0F5B">
              <w:rPr>
                <w:rFonts w:ascii="Garamond" w:hAnsi="Garamond"/>
                <w:lang w:val="en-AU"/>
              </w:rPr>
              <w:t xml:space="preserve"> Recognising that EDs have characteristics, such as </w:t>
            </w:r>
            <w:r w:rsidR="009B0F5B" w:rsidRPr="009B0F5B">
              <w:rPr>
                <w:rFonts w:ascii="Garamond" w:hAnsi="Garamond"/>
                <w:lang w:val="en-AU"/>
              </w:rPr>
              <w:t>s unfamiliar patients, lack of continuity of care, increasing patient volumes, reliance on verbal orders, and fewer safety mechanisms</w:t>
            </w:r>
            <w:r w:rsidR="009B0F5B">
              <w:rPr>
                <w:rFonts w:ascii="Garamond" w:hAnsi="Garamond"/>
                <w:lang w:val="en-AU"/>
              </w:rPr>
              <w:t xml:space="preserve">, that may lend them to higher rates of errors. The study reviewed 115,933 prescriptions </w:t>
            </w:r>
            <w:r w:rsidR="009B0F5B" w:rsidRPr="009B0F5B">
              <w:rPr>
                <w:rFonts w:ascii="Garamond" w:hAnsi="Garamond"/>
                <w:lang w:val="en-AU"/>
              </w:rPr>
              <w:t xml:space="preserve">for patients discharged from the adult ED at </w:t>
            </w:r>
            <w:r w:rsidR="009B0F5B">
              <w:rPr>
                <w:rFonts w:ascii="Garamond" w:hAnsi="Garamond"/>
                <w:lang w:val="en-AU"/>
              </w:rPr>
              <w:t xml:space="preserve">US </w:t>
            </w:r>
            <w:r w:rsidR="009B0F5B" w:rsidRPr="009B0F5B">
              <w:rPr>
                <w:rFonts w:ascii="Garamond" w:hAnsi="Garamond"/>
                <w:lang w:val="en-AU"/>
              </w:rPr>
              <w:t xml:space="preserve">academic </w:t>
            </w:r>
            <w:r w:rsidR="009B0F5B">
              <w:rPr>
                <w:rFonts w:ascii="Garamond" w:hAnsi="Garamond"/>
                <w:lang w:val="en-AU"/>
              </w:rPr>
              <w:t xml:space="preserve">hospital </w:t>
            </w:r>
            <w:r w:rsidR="00A542CD">
              <w:rPr>
                <w:rFonts w:ascii="Garamond" w:hAnsi="Garamond"/>
                <w:lang w:val="en-AU"/>
              </w:rPr>
              <w:t xml:space="preserve">from 2015 to 2018 and found </w:t>
            </w:r>
            <w:r w:rsidR="00A542CD" w:rsidRPr="00A542CD">
              <w:rPr>
                <w:rFonts w:ascii="Garamond" w:hAnsi="Garamond"/>
                <w:lang w:val="en-AU"/>
              </w:rPr>
              <w:t>a total of 20,498 errors were identified within 19,126 prescriptions</w:t>
            </w:r>
            <w:r w:rsidR="00A542CD">
              <w:rPr>
                <w:rFonts w:ascii="Garamond" w:hAnsi="Garamond"/>
                <w:lang w:val="en-AU"/>
              </w:rPr>
              <w:t xml:space="preserve"> </w:t>
            </w:r>
            <w:r w:rsidR="009B0F5B">
              <w:rPr>
                <w:rFonts w:ascii="Garamond" w:hAnsi="Garamond"/>
                <w:lang w:val="en-AU"/>
              </w:rPr>
              <w:t xml:space="preserve"> </w:t>
            </w:r>
          </w:p>
        </w:tc>
      </w:tr>
    </w:tbl>
    <w:p w:rsidR="0076391C" w:rsidRDefault="0076391C" w:rsidP="0076391C">
      <w:pPr>
        <w:keepNext/>
        <w:keepLines/>
        <w:tabs>
          <w:tab w:val="left" w:pos="2114"/>
        </w:tabs>
        <w:autoSpaceDE w:val="0"/>
        <w:autoSpaceDN w:val="0"/>
        <w:adjustRightInd w:val="0"/>
        <w:rPr>
          <w:rFonts w:ascii="Garamond" w:hAnsi="Garamond"/>
          <w:lang w:val="en-AU"/>
        </w:rPr>
      </w:pPr>
    </w:p>
    <w:p w:rsidR="0076391C" w:rsidRDefault="0076391C" w:rsidP="0076391C">
      <w:pPr>
        <w:keepNext/>
        <w:keepLines/>
        <w:tabs>
          <w:tab w:val="left" w:pos="2114"/>
        </w:tabs>
        <w:autoSpaceDE w:val="0"/>
        <w:autoSpaceDN w:val="0"/>
        <w:adjustRightInd w:val="0"/>
        <w:rPr>
          <w:rFonts w:ascii="Garamond" w:hAnsi="Garamond"/>
          <w:lang w:val="en-AU"/>
        </w:rPr>
      </w:pPr>
      <w:r w:rsidRPr="00D93C43">
        <w:rPr>
          <w:rFonts w:ascii="Garamond" w:hAnsi="Garamond"/>
          <w:lang w:val="en-AU"/>
        </w:rPr>
        <w:t xml:space="preserve">For information on the Commission’s </w:t>
      </w:r>
      <w:r>
        <w:rPr>
          <w:rFonts w:ascii="Garamond" w:hAnsi="Garamond"/>
          <w:lang w:val="en-AU"/>
        </w:rPr>
        <w:t xml:space="preserve">work on medication safety, see </w:t>
      </w:r>
      <w:hyperlink r:id="rId26" w:history="1">
        <w:r w:rsidRPr="003D2E0B">
          <w:rPr>
            <w:rStyle w:val="Hyperlink"/>
            <w:rFonts w:ascii="Garamond" w:hAnsi="Garamond"/>
            <w:lang w:val="en-AU"/>
          </w:rPr>
          <w:t>https://www.safetyandquality.gov.au/our-work/medication-safety</w:t>
        </w:r>
      </w:hyperlink>
    </w:p>
    <w:p w:rsidR="0076391C" w:rsidRDefault="0076391C" w:rsidP="00A542CD">
      <w:pPr>
        <w:tabs>
          <w:tab w:val="left" w:pos="2114"/>
        </w:tabs>
        <w:autoSpaceDE w:val="0"/>
        <w:autoSpaceDN w:val="0"/>
        <w:adjustRightInd w:val="0"/>
        <w:rPr>
          <w:rFonts w:ascii="Garamond" w:hAnsi="Garamond"/>
          <w:lang w:val="en-AU"/>
        </w:rPr>
      </w:pPr>
    </w:p>
    <w:p w:rsidR="007F6099" w:rsidRPr="007F6099" w:rsidRDefault="00647FC2" w:rsidP="007F6099">
      <w:pPr>
        <w:keepNext/>
        <w:rPr>
          <w:rFonts w:ascii="Garamond" w:hAnsi="Garamond"/>
          <w:i/>
          <w:lang w:val="en-AU"/>
        </w:rPr>
      </w:pPr>
      <w:r>
        <w:rPr>
          <w:rFonts w:ascii="Garamond" w:hAnsi="Garamond"/>
          <w:i/>
          <w:lang w:val="en-AU"/>
        </w:rPr>
        <w:lastRenderedPageBreak/>
        <w:t>Nursing Leadership</w:t>
      </w:r>
    </w:p>
    <w:p w:rsidR="00124B04" w:rsidRPr="007F6099" w:rsidRDefault="007F6099" w:rsidP="00124B04">
      <w:pPr>
        <w:keepNext/>
        <w:rPr>
          <w:rFonts w:ascii="Garamond" w:hAnsi="Garamond"/>
          <w:lang w:val="en-AU"/>
        </w:rPr>
      </w:pPr>
      <w:r w:rsidRPr="007F6099">
        <w:rPr>
          <w:rFonts w:ascii="Garamond" w:hAnsi="Garamond"/>
          <w:lang w:val="en-AU"/>
        </w:rPr>
        <w:t>Vol</w:t>
      </w:r>
      <w:r w:rsidR="00647FC2">
        <w:rPr>
          <w:rFonts w:ascii="Garamond" w:hAnsi="Garamond"/>
          <w:lang w:val="en-AU"/>
        </w:rPr>
        <w:t>ume 34</w:t>
      </w:r>
      <w:r w:rsidRPr="007F6099">
        <w:rPr>
          <w:rFonts w:ascii="Garamond" w:hAnsi="Garamond"/>
          <w:lang w:val="en-AU"/>
        </w:rPr>
        <w:t>, N</w:t>
      </w:r>
      <w:r w:rsidR="00647FC2">
        <w:rPr>
          <w:rFonts w:ascii="Garamond" w:hAnsi="Garamond"/>
          <w:lang w:val="en-AU"/>
        </w:rPr>
        <w:t>umber 3</w:t>
      </w:r>
      <w:r w:rsidRPr="007F6099">
        <w:rPr>
          <w:rFonts w:ascii="Garamond" w:hAnsi="Garamond"/>
          <w:lang w:val="en-AU"/>
        </w:rPr>
        <w:t xml:space="preserve">, </w:t>
      </w:r>
      <w:r w:rsidR="00647FC2">
        <w:rPr>
          <w:rFonts w:ascii="Garamond" w:hAnsi="Garamond"/>
          <w:lang w:val="en-AU"/>
        </w:rPr>
        <w:t xml:space="preserve">September </w:t>
      </w:r>
      <w:r w:rsidRPr="007F6099">
        <w:rPr>
          <w:rFonts w:ascii="Garamond" w:hAnsi="Garamond"/>
          <w:lang w:val="en-AU"/>
        </w:rPr>
        <w:t>2021</w:t>
      </w:r>
    </w:p>
    <w:tbl>
      <w:tblPr>
        <w:tblStyle w:val="TableGrid"/>
        <w:tblW w:w="9360" w:type="dxa"/>
        <w:tblInd w:w="288" w:type="dxa"/>
        <w:tblLayout w:type="fixed"/>
        <w:tblLook w:val="01E0" w:firstRow="1" w:lastRow="1" w:firstColumn="1" w:lastColumn="1" w:noHBand="0" w:noVBand="0"/>
      </w:tblPr>
      <w:tblGrid>
        <w:gridCol w:w="1080"/>
        <w:gridCol w:w="8280"/>
      </w:tblGrid>
      <w:tr w:rsidR="00124B04" w:rsidRPr="000170DA" w:rsidTr="006203F9">
        <w:tc>
          <w:tcPr>
            <w:tcW w:w="1080" w:type="dxa"/>
            <w:tcBorders>
              <w:top w:val="single" w:sz="4" w:space="0" w:color="auto"/>
              <w:left w:val="single" w:sz="4" w:space="0" w:color="auto"/>
              <w:bottom w:val="single" w:sz="4" w:space="0" w:color="auto"/>
              <w:right w:val="single" w:sz="4" w:space="0" w:color="auto"/>
            </w:tcBorders>
            <w:vAlign w:val="center"/>
          </w:tcPr>
          <w:p w:rsidR="00124B04" w:rsidRPr="000170DA" w:rsidRDefault="00124B04" w:rsidP="006203F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24B04" w:rsidRPr="000170DA" w:rsidRDefault="00902FA9" w:rsidP="00124B04">
            <w:pPr>
              <w:keepNext/>
              <w:rPr>
                <w:rStyle w:val="Hyperlink"/>
                <w:rFonts w:ascii="Garamond" w:hAnsi="Garamond"/>
                <w:color w:val="auto"/>
                <w:u w:val="none"/>
                <w:lang w:val="en-AU"/>
              </w:rPr>
            </w:pPr>
            <w:hyperlink r:id="rId27" w:history="1">
              <w:r w:rsidR="00647FC2" w:rsidRPr="007E0609">
                <w:rPr>
                  <w:rStyle w:val="Hyperlink"/>
                  <w:rFonts w:ascii="Garamond" w:hAnsi="Garamond"/>
                  <w:lang w:val="en-AU"/>
                </w:rPr>
                <w:t>https://www.longwoods.com/publications/nursing-leadership/26526/1/vol.-34-no.-3-2021</w:t>
              </w:r>
            </w:hyperlink>
          </w:p>
        </w:tc>
      </w:tr>
      <w:tr w:rsidR="00124B04" w:rsidRPr="000170DA" w:rsidTr="006203F9">
        <w:tc>
          <w:tcPr>
            <w:tcW w:w="1080" w:type="dxa"/>
            <w:tcBorders>
              <w:top w:val="single" w:sz="4" w:space="0" w:color="auto"/>
              <w:left w:val="single" w:sz="4" w:space="0" w:color="auto"/>
              <w:bottom w:val="single" w:sz="4" w:space="0" w:color="auto"/>
              <w:right w:val="single" w:sz="4" w:space="0" w:color="auto"/>
            </w:tcBorders>
            <w:vAlign w:val="center"/>
          </w:tcPr>
          <w:p w:rsidR="00124B04" w:rsidRPr="000170DA" w:rsidRDefault="00124B04" w:rsidP="006203F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24B04" w:rsidRPr="007C3778" w:rsidRDefault="00124B04" w:rsidP="006203F9">
            <w:pPr>
              <w:rPr>
                <w:rFonts w:ascii="Garamond" w:hAnsi="Garamond"/>
                <w:lang w:val="en-AU"/>
              </w:rPr>
            </w:pPr>
            <w:r w:rsidRPr="00B440ED">
              <w:rPr>
                <w:rFonts w:ascii="Garamond" w:hAnsi="Garamond"/>
                <w:lang w:val="en-AU"/>
              </w:rPr>
              <w:t xml:space="preserve">A new issue of </w:t>
            </w:r>
            <w:r w:rsidR="00647FC2" w:rsidRPr="00647FC2">
              <w:rPr>
                <w:rFonts w:ascii="Garamond" w:hAnsi="Garamond"/>
                <w:i/>
                <w:lang w:val="en-AU"/>
              </w:rPr>
              <w:t>Nursing Leadership</w:t>
            </w:r>
            <w:r w:rsidR="007F6099" w:rsidRPr="00B440ED">
              <w:rPr>
                <w:rFonts w:ascii="Garamond" w:hAnsi="Garamond"/>
                <w:lang w:val="en-AU"/>
              </w:rPr>
              <w:t xml:space="preserve"> </w:t>
            </w:r>
            <w:r w:rsidRPr="00B440ED">
              <w:rPr>
                <w:rFonts w:ascii="Garamond" w:hAnsi="Garamond"/>
                <w:lang w:val="en-AU"/>
              </w:rPr>
              <w:t>has been published</w:t>
            </w:r>
            <w:r w:rsidRPr="0066531C">
              <w:rPr>
                <w:rFonts w:ascii="Garamond" w:hAnsi="Garamond"/>
                <w:lang w:val="en-AU"/>
              </w:rPr>
              <w:t xml:space="preserve">. </w:t>
            </w:r>
            <w:r w:rsidRPr="00B440ED">
              <w:rPr>
                <w:rFonts w:ascii="Garamond" w:hAnsi="Garamond"/>
                <w:lang w:val="en-AU"/>
              </w:rPr>
              <w:t xml:space="preserve">Articles in this issue of </w:t>
            </w:r>
            <w:r w:rsidR="00647FC2" w:rsidRPr="00647FC2">
              <w:rPr>
                <w:rFonts w:ascii="Garamond" w:hAnsi="Garamond"/>
                <w:i/>
                <w:lang w:val="en-AU"/>
              </w:rPr>
              <w:t>Nursing Leadership</w:t>
            </w:r>
            <w:r w:rsidR="00647FC2" w:rsidRPr="00B440ED">
              <w:rPr>
                <w:rFonts w:ascii="Garamond" w:hAnsi="Garamond"/>
                <w:lang w:val="en-AU"/>
              </w:rPr>
              <w:t xml:space="preserve"> </w:t>
            </w:r>
            <w:r w:rsidRPr="00B440ED">
              <w:rPr>
                <w:rFonts w:ascii="Garamond" w:hAnsi="Garamond"/>
                <w:lang w:val="en-AU"/>
              </w:rPr>
              <w:t>include:</w:t>
            </w:r>
          </w:p>
          <w:p w:rsidR="00647FC2" w:rsidRPr="00647FC2" w:rsidRDefault="00647FC2" w:rsidP="00275E38">
            <w:pPr>
              <w:pStyle w:val="ListParagraph"/>
              <w:numPr>
                <w:ilvl w:val="0"/>
                <w:numId w:val="15"/>
              </w:numPr>
              <w:rPr>
                <w:rFonts w:ascii="Garamond" w:hAnsi="Garamond"/>
                <w:lang w:val="en-AU"/>
              </w:rPr>
            </w:pPr>
            <w:r w:rsidRPr="00647FC2">
              <w:rPr>
                <w:rFonts w:ascii="Garamond" w:hAnsi="Garamond"/>
                <w:lang w:val="en-AU"/>
              </w:rPr>
              <w:t xml:space="preserve">Editorial: </w:t>
            </w:r>
            <w:r w:rsidRPr="00647FC2">
              <w:rPr>
                <w:rFonts w:ascii="Garamond" w:hAnsi="Garamond"/>
                <w:b/>
                <w:lang w:val="en-AU"/>
              </w:rPr>
              <w:t>We Need Not Wait to See What Others Do</w:t>
            </w:r>
            <w:r w:rsidRPr="00647FC2">
              <w:rPr>
                <w:rFonts w:ascii="Garamond" w:hAnsi="Garamond"/>
                <w:lang w:val="en-AU"/>
              </w:rPr>
              <w:t xml:space="preserve"> (Lynn M. Nagle</w:t>
            </w:r>
            <w:r>
              <w:rPr>
                <w:rFonts w:ascii="Garamond" w:hAnsi="Garamond"/>
                <w:lang w:val="en-AU"/>
              </w:rPr>
              <w:t>)</w:t>
            </w:r>
          </w:p>
          <w:p w:rsidR="00647FC2" w:rsidRPr="00647FC2" w:rsidRDefault="00647FC2" w:rsidP="003F7C3E">
            <w:pPr>
              <w:pStyle w:val="ListParagraph"/>
              <w:numPr>
                <w:ilvl w:val="0"/>
                <w:numId w:val="15"/>
              </w:numPr>
              <w:rPr>
                <w:rFonts w:ascii="Garamond" w:hAnsi="Garamond"/>
                <w:lang w:val="en-AU"/>
              </w:rPr>
            </w:pPr>
            <w:r w:rsidRPr="00647FC2">
              <w:rPr>
                <w:rFonts w:ascii="Garamond" w:hAnsi="Garamond"/>
                <w:lang w:val="en-AU"/>
              </w:rPr>
              <w:t xml:space="preserve">The </w:t>
            </w:r>
            <w:r w:rsidRPr="00647FC2">
              <w:rPr>
                <w:rFonts w:ascii="Garamond" w:hAnsi="Garamond"/>
                <w:b/>
                <w:lang w:val="en-AU"/>
              </w:rPr>
              <w:t>Canadian Academy of Nursing</w:t>
            </w:r>
            <w:r w:rsidRPr="00647FC2">
              <w:rPr>
                <w:rFonts w:ascii="Garamond" w:hAnsi="Garamond"/>
                <w:lang w:val="en-AU"/>
              </w:rPr>
              <w:t>: Why It Matters (Michael J Villeneuve</w:t>
            </w:r>
            <w:r>
              <w:rPr>
                <w:rFonts w:ascii="Garamond" w:hAnsi="Garamond"/>
                <w:lang w:val="en-AU"/>
              </w:rPr>
              <w:t>)</w:t>
            </w:r>
          </w:p>
          <w:p w:rsidR="00647FC2" w:rsidRPr="00647FC2" w:rsidRDefault="00647FC2" w:rsidP="00CC0E47">
            <w:pPr>
              <w:pStyle w:val="ListParagraph"/>
              <w:numPr>
                <w:ilvl w:val="0"/>
                <w:numId w:val="15"/>
              </w:numPr>
              <w:rPr>
                <w:rFonts w:ascii="Garamond" w:hAnsi="Garamond"/>
                <w:lang w:val="en-AU"/>
              </w:rPr>
            </w:pPr>
            <w:r w:rsidRPr="00647FC2">
              <w:rPr>
                <w:rFonts w:ascii="Garamond" w:hAnsi="Garamond"/>
                <w:lang w:val="en-AU"/>
              </w:rPr>
              <w:t xml:space="preserve">Organizational Support for </w:t>
            </w:r>
            <w:r w:rsidRPr="00647FC2">
              <w:rPr>
                <w:rFonts w:ascii="Garamond" w:hAnsi="Garamond"/>
                <w:b/>
                <w:lang w:val="en-AU"/>
              </w:rPr>
              <w:t>Social Justice in Public Health Nursing Practice</w:t>
            </w:r>
            <w:r w:rsidRPr="00647FC2">
              <w:rPr>
                <w:rFonts w:ascii="Garamond" w:hAnsi="Garamond"/>
                <w:lang w:val="en-AU"/>
              </w:rPr>
              <w:t>: A Conceptual Framework (Angela L Matwick, Donna E Martin and Lynn S Scruby</w:t>
            </w:r>
            <w:r>
              <w:rPr>
                <w:rFonts w:ascii="Garamond" w:hAnsi="Garamond"/>
                <w:lang w:val="en-AU"/>
              </w:rPr>
              <w:t>)</w:t>
            </w:r>
          </w:p>
          <w:p w:rsidR="00647FC2" w:rsidRPr="00647FC2" w:rsidRDefault="00647FC2" w:rsidP="00E74208">
            <w:pPr>
              <w:pStyle w:val="ListParagraph"/>
              <w:numPr>
                <w:ilvl w:val="0"/>
                <w:numId w:val="15"/>
              </w:numPr>
              <w:rPr>
                <w:rFonts w:ascii="Garamond" w:hAnsi="Garamond"/>
                <w:lang w:val="en-AU"/>
              </w:rPr>
            </w:pPr>
            <w:r w:rsidRPr="00647FC2">
              <w:rPr>
                <w:rFonts w:ascii="Garamond" w:hAnsi="Garamond"/>
                <w:b/>
                <w:lang w:val="en-AU"/>
              </w:rPr>
              <w:t>Trauma-Informed Nursing Leadership</w:t>
            </w:r>
            <w:r w:rsidRPr="00647FC2">
              <w:rPr>
                <w:rFonts w:ascii="Garamond" w:hAnsi="Garamond"/>
                <w:lang w:val="en-AU"/>
              </w:rPr>
              <w:t>: Definitions, Considerations and Practices in the Context of the 21st Century (Angela Wignall</w:t>
            </w:r>
            <w:r>
              <w:rPr>
                <w:rFonts w:ascii="Garamond" w:hAnsi="Garamond"/>
                <w:lang w:val="en-AU"/>
              </w:rPr>
              <w:t>)</w:t>
            </w:r>
          </w:p>
          <w:p w:rsidR="00647FC2" w:rsidRPr="00647FC2" w:rsidRDefault="00647FC2" w:rsidP="007617DA">
            <w:pPr>
              <w:pStyle w:val="ListParagraph"/>
              <w:numPr>
                <w:ilvl w:val="0"/>
                <w:numId w:val="15"/>
              </w:numPr>
              <w:rPr>
                <w:rFonts w:ascii="Garamond" w:hAnsi="Garamond"/>
                <w:lang w:val="en-AU"/>
              </w:rPr>
            </w:pPr>
            <w:r w:rsidRPr="00647FC2">
              <w:rPr>
                <w:rFonts w:ascii="Garamond" w:hAnsi="Garamond"/>
                <w:lang w:val="en-AU"/>
              </w:rPr>
              <w:t xml:space="preserve">Commentary: Exploring the Intersections between </w:t>
            </w:r>
            <w:r w:rsidRPr="00647FC2">
              <w:rPr>
                <w:rFonts w:ascii="Garamond" w:hAnsi="Garamond"/>
                <w:b/>
                <w:lang w:val="en-AU"/>
              </w:rPr>
              <w:t>Bullying and Racism in Nursing</w:t>
            </w:r>
            <w:r w:rsidRPr="00647FC2">
              <w:rPr>
                <w:rFonts w:ascii="Garamond" w:hAnsi="Garamond"/>
                <w:lang w:val="en-AU"/>
              </w:rPr>
              <w:t xml:space="preserve"> (Kathy O’Flynn-Magee, Ranjit K Dhari, Patricia (Paddy) Rodney and Lynne Esson</w:t>
            </w:r>
            <w:r>
              <w:rPr>
                <w:rFonts w:ascii="Garamond" w:hAnsi="Garamond"/>
                <w:lang w:val="en-AU"/>
              </w:rPr>
              <w:t>)</w:t>
            </w:r>
          </w:p>
          <w:p w:rsidR="00647FC2" w:rsidRPr="00647FC2" w:rsidRDefault="00647FC2" w:rsidP="00CC70AF">
            <w:pPr>
              <w:pStyle w:val="ListParagraph"/>
              <w:numPr>
                <w:ilvl w:val="0"/>
                <w:numId w:val="15"/>
              </w:numPr>
              <w:rPr>
                <w:rFonts w:ascii="Garamond" w:hAnsi="Garamond"/>
                <w:lang w:val="en-AU"/>
              </w:rPr>
            </w:pPr>
            <w:r w:rsidRPr="00647FC2">
              <w:rPr>
                <w:rFonts w:ascii="Garamond" w:hAnsi="Garamond"/>
                <w:lang w:val="en-AU"/>
              </w:rPr>
              <w:t xml:space="preserve">Coastal Mental Health and Substance Use Services’ </w:t>
            </w:r>
            <w:r w:rsidRPr="00647FC2">
              <w:rPr>
                <w:rFonts w:ascii="Garamond" w:hAnsi="Garamond"/>
                <w:b/>
                <w:lang w:val="en-AU"/>
              </w:rPr>
              <w:t>COVID-19 Response</w:t>
            </w:r>
            <w:r w:rsidRPr="00647FC2">
              <w:rPr>
                <w:rFonts w:ascii="Garamond" w:hAnsi="Garamond"/>
                <w:lang w:val="en-AU"/>
              </w:rPr>
              <w:t>: A Quality Improvement Initiative (Courtney Devane, Luc Saulnier and Linda Latham</w:t>
            </w:r>
            <w:r>
              <w:rPr>
                <w:rFonts w:ascii="Garamond" w:hAnsi="Garamond"/>
                <w:lang w:val="en-AU"/>
              </w:rPr>
              <w:t>)</w:t>
            </w:r>
          </w:p>
          <w:p w:rsidR="00647FC2" w:rsidRPr="00647FC2" w:rsidRDefault="00647FC2" w:rsidP="00647FC2">
            <w:pPr>
              <w:pStyle w:val="ListParagraph"/>
              <w:numPr>
                <w:ilvl w:val="0"/>
                <w:numId w:val="15"/>
              </w:numPr>
              <w:rPr>
                <w:rFonts w:ascii="Garamond" w:hAnsi="Garamond"/>
                <w:lang w:val="en-AU"/>
              </w:rPr>
            </w:pPr>
            <w:r w:rsidRPr="00647FC2">
              <w:rPr>
                <w:rFonts w:ascii="Garamond" w:hAnsi="Garamond"/>
                <w:lang w:val="en-AU"/>
              </w:rPr>
              <w:t xml:space="preserve">Multiorganizational Partnerships: A Mechanism for Increasing the </w:t>
            </w:r>
            <w:r w:rsidRPr="00647FC2">
              <w:rPr>
                <w:rFonts w:ascii="Garamond" w:hAnsi="Garamond"/>
                <w:b/>
                <w:lang w:val="en-AU"/>
              </w:rPr>
              <w:t>Employment of Internationally Educated Nurses</w:t>
            </w:r>
            <w:r w:rsidRPr="00647FC2">
              <w:rPr>
                <w:rFonts w:ascii="Garamond" w:hAnsi="Garamond"/>
                <w:lang w:val="en-AU"/>
              </w:rPr>
              <w:t xml:space="preserve"> (Ruth Lee, Daniela Beckford, Livia Jakabne, Lesley Hirst, Charissa Cordo</w:t>
            </w:r>
            <w:r>
              <w:rPr>
                <w:rFonts w:ascii="Garamond" w:hAnsi="Garamond"/>
                <w:lang w:val="en-AU"/>
              </w:rPr>
              <w:t>n, Sarah Quan, Janice Collins</w:t>
            </w:r>
            <w:r>
              <w:t xml:space="preserve"> </w:t>
            </w:r>
            <w:r w:rsidRPr="00647FC2">
              <w:rPr>
                <w:rFonts w:ascii="Garamond" w:hAnsi="Garamond"/>
                <w:lang w:val="en-AU"/>
              </w:rPr>
              <w:t>, Andrea Baumann and Jennifer Blythe</w:t>
            </w:r>
            <w:r>
              <w:rPr>
                <w:rFonts w:ascii="Garamond" w:hAnsi="Garamond"/>
                <w:lang w:val="en-AU"/>
              </w:rPr>
              <w:t>)</w:t>
            </w:r>
          </w:p>
          <w:p w:rsidR="00124B04" w:rsidRPr="00292B57" w:rsidRDefault="00647FC2" w:rsidP="00647FC2">
            <w:pPr>
              <w:pStyle w:val="ListParagraph"/>
              <w:numPr>
                <w:ilvl w:val="0"/>
                <w:numId w:val="15"/>
              </w:numPr>
              <w:rPr>
                <w:rFonts w:ascii="Garamond" w:hAnsi="Garamond"/>
                <w:lang w:val="en-AU"/>
              </w:rPr>
            </w:pPr>
            <w:r w:rsidRPr="00647FC2">
              <w:rPr>
                <w:rFonts w:ascii="Garamond" w:hAnsi="Garamond"/>
                <w:b/>
                <w:lang w:val="en-AU"/>
              </w:rPr>
              <w:t>Practice Patterns of Nurse Practitioners</w:t>
            </w:r>
            <w:r w:rsidRPr="00647FC2">
              <w:rPr>
                <w:rFonts w:ascii="Garamond" w:hAnsi="Garamond"/>
                <w:lang w:val="en-AU"/>
              </w:rPr>
              <w:t xml:space="preserve"> in a Multi-Site Academic Healthcare Setting </w:t>
            </w:r>
            <w:r>
              <w:rPr>
                <w:rFonts w:ascii="Garamond" w:hAnsi="Garamond"/>
                <w:lang w:val="en-AU"/>
              </w:rPr>
              <w:t>(</w:t>
            </w:r>
            <w:r w:rsidRPr="00647FC2">
              <w:rPr>
                <w:rFonts w:ascii="Garamond" w:hAnsi="Garamond"/>
                <w:lang w:val="en-AU"/>
              </w:rPr>
              <w:t>Barbara Bailey, Faith Donald, Marijana Zubrinic, Kelly McNabb and Helen Kelly</w:t>
            </w:r>
            <w:r>
              <w:rPr>
                <w:rFonts w:ascii="Garamond" w:hAnsi="Garamond"/>
                <w:lang w:val="en-AU"/>
              </w:rPr>
              <w:t>)</w:t>
            </w:r>
          </w:p>
        </w:tc>
      </w:tr>
    </w:tbl>
    <w:p w:rsidR="00124B04" w:rsidRDefault="00124B04" w:rsidP="00D06E05">
      <w:pPr>
        <w:keepNext/>
        <w:keepLines/>
        <w:tabs>
          <w:tab w:val="left" w:pos="2114"/>
        </w:tabs>
        <w:autoSpaceDE w:val="0"/>
        <w:autoSpaceDN w:val="0"/>
        <w:adjustRightInd w:val="0"/>
        <w:rPr>
          <w:rFonts w:ascii="Garamond" w:hAnsi="Garamond"/>
          <w:lang w:val="en-AU"/>
        </w:rPr>
      </w:pPr>
    </w:p>
    <w:p w:rsidR="00647FC2" w:rsidRPr="007F6099" w:rsidRDefault="00B419AC" w:rsidP="00647FC2">
      <w:pPr>
        <w:keepNext/>
        <w:rPr>
          <w:rFonts w:ascii="Garamond" w:hAnsi="Garamond"/>
          <w:i/>
          <w:lang w:val="en-AU"/>
        </w:rPr>
      </w:pPr>
      <w:r>
        <w:rPr>
          <w:rFonts w:ascii="Garamond" w:hAnsi="Garamond"/>
          <w:i/>
          <w:lang w:val="en-AU"/>
        </w:rPr>
        <w:t>BMJ Leader</w:t>
      </w:r>
    </w:p>
    <w:p w:rsidR="00647FC2" w:rsidRPr="007F6099" w:rsidRDefault="00101F56" w:rsidP="00647FC2">
      <w:pPr>
        <w:keepNext/>
        <w:rPr>
          <w:rFonts w:ascii="Garamond" w:hAnsi="Garamond"/>
          <w:lang w:val="en-AU"/>
        </w:rPr>
      </w:pPr>
      <w:r>
        <w:rPr>
          <w:rFonts w:ascii="Garamond" w:hAnsi="Garamond"/>
          <w:lang w:val="en-AU"/>
        </w:rPr>
        <w:t>Vol. 5 No. 3 September 2021</w:t>
      </w:r>
    </w:p>
    <w:tbl>
      <w:tblPr>
        <w:tblStyle w:val="TableGrid"/>
        <w:tblW w:w="9360" w:type="dxa"/>
        <w:tblInd w:w="288" w:type="dxa"/>
        <w:tblLayout w:type="fixed"/>
        <w:tblLook w:val="01E0" w:firstRow="1" w:lastRow="1" w:firstColumn="1" w:lastColumn="1" w:noHBand="0" w:noVBand="0"/>
      </w:tblPr>
      <w:tblGrid>
        <w:gridCol w:w="1080"/>
        <w:gridCol w:w="8280"/>
      </w:tblGrid>
      <w:tr w:rsidR="00647FC2" w:rsidRPr="000170DA" w:rsidTr="00144A69">
        <w:tc>
          <w:tcPr>
            <w:tcW w:w="1080" w:type="dxa"/>
            <w:tcBorders>
              <w:top w:val="single" w:sz="4" w:space="0" w:color="auto"/>
              <w:left w:val="single" w:sz="4" w:space="0" w:color="auto"/>
              <w:bottom w:val="single" w:sz="4" w:space="0" w:color="auto"/>
              <w:right w:val="single" w:sz="4" w:space="0" w:color="auto"/>
            </w:tcBorders>
            <w:vAlign w:val="center"/>
          </w:tcPr>
          <w:p w:rsidR="00647FC2" w:rsidRPr="000170DA" w:rsidRDefault="00647FC2" w:rsidP="00144A6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47FC2" w:rsidRPr="000170DA" w:rsidRDefault="00902FA9" w:rsidP="00144A69">
            <w:pPr>
              <w:keepNext/>
              <w:rPr>
                <w:rStyle w:val="Hyperlink"/>
                <w:rFonts w:ascii="Garamond" w:hAnsi="Garamond"/>
                <w:color w:val="auto"/>
                <w:u w:val="none"/>
                <w:lang w:val="en-AU"/>
              </w:rPr>
            </w:pPr>
            <w:hyperlink r:id="rId28" w:history="1">
              <w:r w:rsidR="00B419AC" w:rsidRPr="007E0609">
                <w:rPr>
                  <w:rStyle w:val="Hyperlink"/>
                  <w:rFonts w:ascii="Garamond" w:hAnsi="Garamond"/>
                  <w:lang w:val="en-AU"/>
                </w:rPr>
                <w:t>https://bmjleader.bmj.com/content/5/3</w:t>
              </w:r>
            </w:hyperlink>
          </w:p>
        </w:tc>
      </w:tr>
      <w:tr w:rsidR="00647FC2" w:rsidRPr="000170DA" w:rsidTr="00144A69">
        <w:tc>
          <w:tcPr>
            <w:tcW w:w="1080" w:type="dxa"/>
            <w:tcBorders>
              <w:top w:val="single" w:sz="4" w:space="0" w:color="auto"/>
              <w:left w:val="single" w:sz="4" w:space="0" w:color="auto"/>
              <w:bottom w:val="single" w:sz="4" w:space="0" w:color="auto"/>
              <w:right w:val="single" w:sz="4" w:space="0" w:color="auto"/>
            </w:tcBorders>
            <w:vAlign w:val="center"/>
          </w:tcPr>
          <w:p w:rsidR="00647FC2" w:rsidRPr="000170DA" w:rsidRDefault="00647FC2" w:rsidP="00144A6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47FC2" w:rsidRPr="007C3778" w:rsidRDefault="00647FC2" w:rsidP="00144A69">
            <w:pPr>
              <w:rPr>
                <w:rFonts w:ascii="Garamond" w:hAnsi="Garamond"/>
                <w:lang w:val="en-AU"/>
              </w:rPr>
            </w:pPr>
            <w:r w:rsidRPr="00B440ED">
              <w:rPr>
                <w:rFonts w:ascii="Garamond" w:hAnsi="Garamond"/>
                <w:lang w:val="en-AU"/>
              </w:rPr>
              <w:t xml:space="preserve">A new issue of </w:t>
            </w:r>
            <w:r w:rsidR="00B419AC">
              <w:rPr>
                <w:rFonts w:ascii="Garamond" w:hAnsi="Garamond"/>
                <w:i/>
                <w:lang w:val="en-AU"/>
              </w:rPr>
              <w:t>BMJ Leader</w:t>
            </w:r>
            <w:r w:rsidR="00B419AC" w:rsidRPr="00B440ED">
              <w:rPr>
                <w:rFonts w:ascii="Garamond" w:hAnsi="Garamond"/>
                <w:lang w:val="en-AU"/>
              </w:rPr>
              <w:t xml:space="preserve"> </w:t>
            </w:r>
            <w:r w:rsidRPr="00B440ED">
              <w:rPr>
                <w:rFonts w:ascii="Garamond" w:hAnsi="Garamond"/>
                <w:lang w:val="en-AU"/>
              </w:rPr>
              <w:t>has been published</w:t>
            </w:r>
            <w:r w:rsidRPr="0066531C">
              <w:rPr>
                <w:rFonts w:ascii="Garamond" w:hAnsi="Garamond"/>
                <w:lang w:val="en-AU"/>
              </w:rPr>
              <w:t xml:space="preserve">. </w:t>
            </w:r>
            <w:r w:rsidRPr="00B440ED">
              <w:rPr>
                <w:rFonts w:ascii="Garamond" w:hAnsi="Garamond"/>
                <w:lang w:val="en-AU"/>
              </w:rPr>
              <w:t xml:space="preserve">Articles in this issue of </w:t>
            </w:r>
            <w:r w:rsidR="00B419AC">
              <w:rPr>
                <w:rFonts w:ascii="Garamond" w:hAnsi="Garamond"/>
                <w:i/>
                <w:lang w:val="en-AU"/>
              </w:rPr>
              <w:t>BMJ Leader</w:t>
            </w:r>
            <w:r w:rsidR="00B419AC" w:rsidRPr="00B440ED">
              <w:rPr>
                <w:rFonts w:ascii="Garamond" w:hAnsi="Garamond"/>
                <w:lang w:val="en-AU"/>
              </w:rPr>
              <w:t xml:space="preserve"> </w:t>
            </w:r>
            <w:r w:rsidRPr="00B440ED">
              <w:rPr>
                <w:rFonts w:ascii="Garamond" w:hAnsi="Garamond"/>
                <w:lang w:val="en-AU"/>
              </w:rPr>
              <w:t>include:</w:t>
            </w:r>
          </w:p>
          <w:p w:rsidR="00101F56" w:rsidRPr="00101F56" w:rsidRDefault="00101F56" w:rsidP="005C15AD">
            <w:pPr>
              <w:pStyle w:val="ListParagraph"/>
              <w:numPr>
                <w:ilvl w:val="0"/>
                <w:numId w:val="15"/>
              </w:numPr>
              <w:rPr>
                <w:rFonts w:ascii="Garamond" w:hAnsi="Garamond"/>
                <w:lang w:val="en-AU"/>
              </w:rPr>
            </w:pPr>
            <w:r w:rsidRPr="00101F56">
              <w:rPr>
                <w:rFonts w:ascii="Garamond" w:hAnsi="Garamond"/>
                <w:lang w:val="en-AU"/>
              </w:rPr>
              <w:t xml:space="preserve">Leading the </w:t>
            </w:r>
            <w:r w:rsidRPr="00101F56">
              <w:rPr>
                <w:rFonts w:ascii="Garamond" w:hAnsi="Garamond"/>
                <w:b/>
                <w:lang w:val="en-AU"/>
              </w:rPr>
              <w:t>spread and adoption of innovation at scale</w:t>
            </w:r>
            <w:r w:rsidRPr="00101F56">
              <w:rPr>
                <w:rFonts w:ascii="Garamond" w:hAnsi="Garamond"/>
                <w:lang w:val="en-AU"/>
              </w:rPr>
              <w:t>: an Academic Health Science Network’s perspective (Andrew Walker, Catherine Dale, Natasha Curran, Annette Boaz, Michael V Hurley</w:t>
            </w:r>
            <w:r>
              <w:rPr>
                <w:rFonts w:ascii="Garamond" w:hAnsi="Garamond"/>
                <w:lang w:val="en-AU"/>
              </w:rPr>
              <w:t>)</w:t>
            </w:r>
          </w:p>
          <w:p w:rsidR="00101F56" w:rsidRPr="00101F56" w:rsidRDefault="00101F56" w:rsidP="00C13CCB">
            <w:pPr>
              <w:pStyle w:val="ListParagraph"/>
              <w:numPr>
                <w:ilvl w:val="0"/>
                <w:numId w:val="15"/>
              </w:numPr>
              <w:rPr>
                <w:rFonts w:ascii="Garamond" w:hAnsi="Garamond"/>
                <w:lang w:val="en-AU"/>
              </w:rPr>
            </w:pPr>
            <w:r w:rsidRPr="00101F56">
              <w:rPr>
                <w:rFonts w:ascii="Garamond" w:hAnsi="Garamond"/>
                <w:lang w:val="en-AU"/>
              </w:rPr>
              <w:t xml:space="preserve">View from the faculty: the importance of membership and fellowship of the </w:t>
            </w:r>
            <w:r w:rsidRPr="00101F56">
              <w:rPr>
                <w:rFonts w:ascii="Garamond" w:hAnsi="Garamond"/>
                <w:b/>
                <w:lang w:val="en-AU"/>
              </w:rPr>
              <w:t>Faculty of Medical Leadership and Management</w:t>
            </w:r>
            <w:r w:rsidRPr="00101F56">
              <w:rPr>
                <w:rFonts w:ascii="Garamond" w:hAnsi="Garamond"/>
                <w:lang w:val="en-AU"/>
              </w:rPr>
              <w:t xml:space="preserve"> (Paul Evans</w:t>
            </w:r>
            <w:r>
              <w:rPr>
                <w:rFonts w:ascii="Garamond" w:hAnsi="Garamond"/>
                <w:lang w:val="en-AU"/>
              </w:rPr>
              <w:t>)</w:t>
            </w:r>
          </w:p>
          <w:p w:rsidR="00101F56" w:rsidRPr="00101F56" w:rsidRDefault="00101F56" w:rsidP="002C730F">
            <w:pPr>
              <w:pStyle w:val="ListParagraph"/>
              <w:numPr>
                <w:ilvl w:val="0"/>
                <w:numId w:val="15"/>
              </w:numPr>
              <w:rPr>
                <w:rFonts w:ascii="Garamond" w:hAnsi="Garamond"/>
                <w:lang w:val="en-AU"/>
              </w:rPr>
            </w:pPr>
            <w:r w:rsidRPr="00101F56">
              <w:rPr>
                <w:rFonts w:ascii="Garamond" w:hAnsi="Garamond"/>
                <w:b/>
                <w:lang w:val="en-AU"/>
              </w:rPr>
              <w:t>Do expert clinicians make the best managers?</w:t>
            </w:r>
            <w:r w:rsidRPr="00101F56">
              <w:rPr>
                <w:rFonts w:ascii="Garamond" w:hAnsi="Garamond"/>
                <w:lang w:val="en-AU"/>
              </w:rPr>
              <w:t xml:space="preserve"> Evidence from hospitals in Denmark, Australia and Switzerland (Agnes Bäker, Amanda H Goodall</w:t>
            </w:r>
            <w:r>
              <w:rPr>
                <w:rFonts w:ascii="Garamond" w:hAnsi="Garamond"/>
                <w:lang w:val="en-AU"/>
              </w:rPr>
              <w:t>)</w:t>
            </w:r>
          </w:p>
          <w:p w:rsidR="00101F56" w:rsidRPr="00101F56" w:rsidRDefault="00101F56" w:rsidP="00FC3C8B">
            <w:pPr>
              <w:pStyle w:val="ListParagraph"/>
              <w:numPr>
                <w:ilvl w:val="0"/>
                <w:numId w:val="15"/>
              </w:numPr>
              <w:rPr>
                <w:rFonts w:ascii="Garamond" w:hAnsi="Garamond"/>
                <w:lang w:val="en-AU"/>
              </w:rPr>
            </w:pPr>
            <w:r w:rsidRPr="00101F56">
              <w:rPr>
                <w:rFonts w:ascii="Garamond" w:hAnsi="Garamond"/>
                <w:lang w:val="en-AU"/>
              </w:rPr>
              <w:t xml:space="preserve">Realist analysis of </w:t>
            </w:r>
            <w:r w:rsidRPr="00101F56">
              <w:rPr>
                <w:rFonts w:ascii="Garamond" w:hAnsi="Garamond"/>
                <w:b/>
                <w:lang w:val="en-AU"/>
              </w:rPr>
              <w:t>streaming interventions in emergency departments</w:t>
            </w:r>
            <w:r w:rsidRPr="00101F56">
              <w:rPr>
                <w:rFonts w:ascii="Garamond" w:hAnsi="Garamond"/>
                <w:lang w:val="en-AU"/>
              </w:rPr>
              <w:t xml:space="preserve"> (Mohammed Rashidul Anwar, Brian H Rowe, Colleen Metge, Noah D Star, Zaid Aboud, Sara Adi Kreindler</w:t>
            </w:r>
            <w:r w:rsidR="003161AD">
              <w:rPr>
                <w:rFonts w:ascii="Garamond" w:hAnsi="Garamond"/>
                <w:lang w:val="en-AU"/>
              </w:rPr>
              <w:t>)</w:t>
            </w:r>
          </w:p>
          <w:p w:rsidR="00101F56" w:rsidRPr="003161AD" w:rsidRDefault="00101F56" w:rsidP="00A32057">
            <w:pPr>
              <w:pStyle w:val="ListParagraph"/>
              <w:numPr>
                <w:ilvl w:val="0"/>
                <w:numId w:val="15"/>
              </w:numPr>
              <w:rPr>
                <w:rFonts w:ascii="Garamond" w:hAnsi="Garamond"/>
                <w:lang w:val="en-AU"/>
              </w:rPr>
            </w:pPr>
            <w:r w:rsidRPr="003161AD">
              <w:rPr>
                <w:rFonts w:ascii="Garamond" w:hAnsi="Garamond"/>
                <w:b/>
                <w:lang w:val="en-AU"/>
              </w:rPr>
              <w:t>Optimising undergraduate medico-legal and professionalism teaching</w:t>
            </w:r>
            <w:r w:rsidRPr="003161AD">
              <w:rPr>
                <w:rFonts w:ascii="Garamond" w:hAnsi="Garamond"/>
                <w:lang w:val="en-AU"/>
              </w:rPr>
              <w:t xml:space="preserve"> through a student-selected component (Tej Pandya, Ferhan Muneeb, Jonathan Gibb, Neil H Metcalfe</w:t>
            </w:r>
            <w:r w:rsidR="003161AD">
              <w:rPr>
                <w:rFonts w:ascii="Garamond" w:hAnsi="Garamond"/>
                <w:lang w:val="en-AU"/>
              </w:rPr>
              <w:t>)</w:t>
            </w:r>
          </w:p>
          <w:p w:rsidR="00101F56" w:rsidRPr="003161AD" w:rsidRDefault="00101F56" w:rsidP="00CA1233">
            <w:pPr>
              <w:pStyle w:val="ListParagraph"/>
              <w:numPr>
                <w:ilvl w:val="0"/>
                <w:numId w:val="15"/>
              </w:numPr>
              <w:rPr>
                <w:rFonts w:ascii="Garamond" w:hAnsi="Garamond"/>
                <w:lang w:val="en-AU"/>
              </w:rPr>
            </w:pPr>
            <w:r w:rsidRPr="003161AD">
              <w:rPr>
                <w:rFonts w:ascii="Garamond" w:hAnsi="Garamond"/>
                <w:lang w:val="en-AU"/>
              </w:rPr>
              <w:t xml:space="preserve">New ways of working: </w:t>
            </w:r>
            <w:r w:rsidRPr="003161AD">
              <w:rPr>
                <w:rFonts w:ascii="Garamond" w:hAnsi="Garamond"/>
                <w:b/>
                <w:lang w:val="en-AU"/>
              </w:rPr>
              <w:t>COVID-19 as a catalyst for change in acute mental health services</w:t>
            </w:r>
            <w:r w:rsidRPr="003161AD">
              <w:rPr>
                <w:rFonts w:ascii="Garamond" w:hAnsi="Garamond"/>
                <w:lang w:val="en-AU"/>
              </w:rPr>
              <w:t xml:space="preserve"> (Kezanne Tong, Genevieve Crudden, Wen Xi Tang, David McGuinness, Margaret O'Grady, Anne M Doherty</w:t>
            </w:r>
            <w:r w:rsidR="003161AD">
              <w:rPr>
                <w:rFonts w:ascii="Garamond" w:hAnsi="Garamond"/>
                <w:lang w:val="en-AU"/>
              </w:rPr>
              <w:t>)</w:t>
            </w:r>
          </w:p>
          <w:p w:rsidR="00101F56" w:rsidRPr="003161AD" w:rsidRDefault="00101F56" w:rsidP="00266A7F">
            <w:pPr>
              <w:pStyle w:val="ListParagraph"/>
              <w:numPr>
                <w:ilvl w:val="0"/>
                <w:numId w:val="15"/>
              </w:numPr>
              <w:rPr>
                <w:rFonts w:ascii="Garamond" w:hAnsi="Garamond"/>
                <w:lang w:val="en-AU"/>
              </w:rPr>
            </w:pPr>
            <w:r w:rsidRPr="003161AD">
              <w:rPr>
                <w:rFonts w:ascii="Garamond" w:hAnsi="Garamond"/>
                <w:lang w:val="en-AU"/>
              </w:rPr>
              <w:t xml:space="preserve">Principles of </w:t>
            </w:r>
            <w:r w:rsidRPr="003161AD">
              <w:rPr>
                <w:rFonts w:ascii="Garamond" w:hAnsi="Garamond"/>
                <w:b/>
                <w:lang w:val="en-AU"/>
              </w:rPr>
              <w:t>effective altruism and ethical implications for physicians</w:t>
            </w:r>
            <w:r w:rsidRPr="003161AD">
              <w:rPr>
                <w:rFonts w:ascii="Garamond" w:hAnsi="Garamond"/>
                <w:lang w:val="en-AU"/>
              </w:rPr>
              <w:t xml:space="preserve"> (Ellery Altshuler</w:t>
            </w:r>
            <w:r w:rsidR="003161AD">
              <w:rPr>
                <w:rFonts w:ascii="Garamond" w:hAnsi="Garamond"/>
                <w:lang w:val="en-AU"/>
              </w:rPr>
              <w:t>)</w:t>
            </w:r>
          </w:p>
          <w:p w:rsidR="00101F56" w:rsidRPr="003161AD" w:rsidRDefault="00101F56" w:rsidP="00600799">
            <w:pPr>
              <w:pStyle w:val="ListParagraph"/>
              <w:numPr>
                <w:ilvl w:val="0"/>
                <w:numId w:val="15"/>
              </w:numPr>
              <w:rPr>
                <w:rFonts w:ascii="Garamond" w:hAnsi="Garamond"/>
                <w:lang w:val="en-AU"/>
              </w:rPr>
            </w:pPr>
            <w:r w:rsidRPr="003161AD">
              <w:rPr>
                <w:rFonts w:ascii="Garamond" w:hAnsi="Garamond"/>
                <w:b/>
                <w:lang w:val="en-AU"/>
              </w:rPr>
              <w:lastRenderedPageBreak/>
              <w:t>Leadership reflections a year on from the rapid roll-out of virtual clinics</w:t>
            </w:r>
            <w:r w:rsidRPr="003161AD">
              <w:rPr>
                <w:rFonts w:ascii="Garamond" w:hAnsi="Garamond"/>
                <w:lang w:val="en-AU"/>
              </w:rPr>
              <w:t xml:space="preserve"> due to COVID-19: a commentary (Anthony W Gilbert, Lucy Davies, John Doyle, Saroj Patel, Luke Martin, Deepak Jagpal, Joe C T Billany, John Bateson</w:t>
            </w:r>
            <w:r w:rsidR="003161AD">
              <w:rPr>
                <w:rFonts w:ascii="Garamond" w:hAnsi="Garamond"/>
                <w:lang w:val="en-AU"/>
              </w:rPr>
              <w:t>)</w:t>
            </w:r>
          </w:p>
          <w:p w:rsidR="00101F56" w:rsidRPr="003161AD" w:rsidRDefault="00101F56" w:rsidP="00586962">
            <w:pPr>
              <w:pStyle w:val="ListParagraph"/>
              <w:numPr>
                <w:ilvl w:val="0"/>
                <w:numId w:val="15"/>
              </w:numPr>
              <w:rPr>
                <w:rFonts w:ascii="Garamond" w:hAnsi="Garamond"/>
                <w:lang w:val="en-AU"/>
              </w:rPr>
            </w:pPr>
            <w:r w:rsidRPr="003161AD">
              <w:rPr>
                <w:rFonts w:ascii="Garamond" w:hAnsi="Garamond"/>
                <w:lang w:val="en-AU"/>
              </w:rPr>
              <w:t xml:space="preserve">On the power of spontaneous collisions: </w:t>
            </w:r>
            <w:r w:rsidRPr="003161AD">
              <w:rPr>
                <w:rFonts w:ascii="Garamond" w:hAnsi="Garamond"/>
                <w:b/>
                <w:lang w:val="en-AU"/>
              </w:rPr>
              <w:t>preserving culture and effectiveness in the pandemic</w:t>
            </w:r>
            <w:r w:rsidRPr="003161AD">
              <w:rPr>
                <w:rFonts w:ascii="Garamond" w:hAnsi="Garamond"/>
                <w:lang w:val="en-AU"/>
              </w:rPr>
              <w:t xml:space="preserve"> (James K Stoller</w:t>
            </w:r>
            <w:r w:rsidR="003161AD">
              <w:rPr>
                <w:rFonts w:ascii="Garamond" w:hAnsi="Garamond"/>
                <w:lang w:val="en-AU"/>
              </w:rPr>
              <w:t>)</w:t>
            </w:r>
          </w:p>
          <w:p w:rsidR="00101F56" w:rsidRPr="003161AD" w:rsidRDefault="00101F56" w:rsidP="00F24F11">
            <w:pPr>
              <w:pStyle w:val="ListParagraph"/>
              <w:numPr>
                <w:ilvl w:val="0"/>
                <w:numId w:val="15"/>
              </w:numPr>
              <w:rPr>
                <w:rFonts w:ascii="Garamond" w:hAnsi="Garamond"/>
                <w:lang w:val="en-AU"/>
              </w:rPr>
            </w:pPr>
            <w:r w:rsidRPr="003161AD">
              <w:rPr>
                <w:rFonts w:ascii="Garamond" w:hAnsi="Garamond"/>
                <w:lang w:val="en-AU"/>
              </w:rPr>
              <w:t xml:space="preserve">In-programme </w:t>
            </w:r>
            <w:r w:rsidRPr="003161AD">
              <w:rPr>
                <w:rFonts w:ascii="Garamond" w:hAnsi="Garamond"/>
                <w:b/>
                <w:lang w:val="en-AU"/>
              </w:rPr>
              <w:t>leadership development for psychiatric higher trainees</w:t>
            </w:r>
            <w:r w:rsidRPr="003161AD">
              <w:rPr>
                <w:rFonts w:ascii="Garamond" w:hAnsi="Garamond"/>
                <w:lang w:val="en-AU"/>
              </w:rPr>
              <w:t>: The Royal College of Psychiatrists’ Leadership and Management Fellow Scheme (Deepa Bagepalli-Krishnan, Russell Gibson, Satnam Goyal, Ba Min (Adam) Ko, Alex Till, Helen Crimlisk</w:t>
            </w:r>
            <w:r w:rsidR="003161AD">
              <w:rPr>
                <w:rFonts w:ascii="Garamond" w:hAnsi="Garamond"/>
                <w:lang w:val="en-AU"/>
              </w:rPr>
              <w:t>)</w:t>
            </w:r>
          </w:p>
          <w:p w:rsidR="00101F56" w:rsidRPr="003161AD" w:rsidRDefault="00101F56" w:rsidP="00A55304">
            <w:pPr>
              <w:pStyle w:val="ListParagraph"/>
              <w:numPr>
                <w:ilvl w:val="0"/>
                <w:numId w:val="15"/>
              </w:numPr>
              <w:rPr>
                <w:rFonts w:ascii="Garamond" w:hAnsi="Garamond"/>
                <w:lang w:val="en-AU"/>
              </w:rPr>
            </w:pPr>
            <w:r w:rsidRPr="003161AD">
              <w:rPr>
                <w:rFonts w:ascii="Garamond" w:hAnsi="Garamond"/>
                <w:b/>
                <w:lang w:val="en-AU"/>
              </w:rPr>
              <w:t>Compassionate leadership during COVID-19</w:t>
            </w:r>
            <w:r w:rsidRPr="003161AD">
              <w:rPr>
                <w:rFonts w:ascii="Garamond" w:hAnsi="Garamond"/>
                <w:lang w:val="en-AU"/>
              </w:rPr>
              <w:t>: an ABC approach to the introduction of new medical graduates as Foundation interim Year 1s (FiY1s) (Claire Dougan, Sally-Anne Philips, Denise Hughes, Keith Gardiner</w:t>
            </w:r>
            <w:r w:rsidR="003161AD">
              <w:rPr>
                <w:rFonts w:ascii="Garamond" w:hAnsi="Garamond"/>
                <w:lang w:val="en-AU"/>
              </w:rPr>
              <w:t>)</w:t>
            </w:r>
          </w:p>
          <w:p w:rsidR="00101F56" w:rsidRPr="003161AD" w:rsidRDefault="00101F56" w:rsidP="00DB2B3F">
            <w:pPr>
              <w:pStyle w:val="ListParagraph"/>
              <w:numPr>
                <w:ilvl w:val="0"/>
                <w:numId w:val="15"/>
              </w:numPr>
              <w:rPr>
                <w:rFonts w:ascii="Garamond" w:hAnsi="Garamond"/>
                <w:lang w:val="en-AU"/>
              </w:rPr>
            </w:pPr>
            <w:r w:rsidRPr="003161AD">
              <w:rPr>
                <w:rFonts w:ascii="Garamond" w:hAnsi="Garamond"/>
                <w:b/>
                <w:lang w:val="en-AU"/>
              </w:rPr>
              <w:t>Leadership: an effective human factor during COVID-19</w:t>
            </w:r>
            <w:r w:rsidRPr="003161AD">
              <w:rPr>
                <w:rFonts w:ascii="Garamond" w:hAnsi="Garamond"/>
                <w:lang w:val="en-AU"/>
              </w:rPr>
              <w:t xml:space="preserve"> (Adeel Abbas Dhahri, Jonathan Refson</w:t>
            </w:r>
            <w:r w:rsidR="003161AD">
              <w:rPr>
                <w:rFonts w:ascii="Garamond" w:hAnsi="Garamond"/>
                <w:lang w:val="en-AU"/>
              </w:rPr>
              <w:t>)</w:t>
            </w:r>
          </w:p>
          <w:p w:rsidR="00101F56" w:rsidRPr="003161AD" w:rsidRDefault="00101F56" w:rsidP="00CC0D83">
            <w:pPr>
              <w:pStyle w:val="ListParagraph"/>
              <w:numPr>
                <w:ilvl w:val="0"/>
                <w:numId w:val="15"/>
              </w:numPr>
              <w:rPr>
                <w:rFonts w:ascii="Garamond" w:hAnsi="Garamond"/>
                <w:lang w:val="en-AU"/>
              </w:rPr>
            </w:pPr>
            <w:r w:rsidRPr="003161AD">
              <w:rPr>
                <w:rFonts w:ascii="Garamond" w:hAnsi="Garamond"/>
                <w:b/>
                <w:lang w:val="en-AU"/>
              </w:rPr>
              <w:t>Evidence-based medical leadership development</w:t>
            </w:r>
            <w:r w:rsidRPr="003161AD">
              <w:rPr>
                <w:rFonts w:ascii="Garamond" w:hAnsi="Garamond"/>
                <w:lang w:val="en-AU"/>
              </w:rPr>
              <w:t>: a systematic review (Oscar Lyons, Robynne George, Joao R Galante, Alexander Mafi, Thomas Fordwoh, Jan Frich, Jaason Matthew Geerts</w:t>
            </w:r>
            <w:r w:rsidR="003161AD">
              <w:rPr>
                <w:rFonts w:ascii="Garamond" w:hAnsi="Garamond"/>
                <w:lang w:val="en-AU"/>
              </w:rPr>
              <w:t>)</w:t>
            </w:r>
          </w:p>
          <w:p w:rsidR="00101F56" w:rsidRPr="003161AD" w:rsidRDefault="00101F56" w:rsidP="007753AE">
            <w:pPr>
              <w:pStyle w:val="ListParagraph"/>
              <w:numPr>
                <w:ilvl w:val="0"/>
                <w:numId w:val="15"/>
              </w:numPr>
              <w:rPr>
                <w:rFonts w:ascii="Garamond" w:hAnsi="Garamond"/>
                <w:lang w:val="en-AU"/>
              </w:rPr>
            </w:pPr>
            <w:r w:rsidRPr="003161AD">
              <w:rPr>
                <w:rFonts w:ascii="Garamond" w:hAnsi="Garamond"/>
                <w:b/>
                <w:lang w:val="en-AU"/>
              </w:rPr>
              <w:t>Insights from behavioural economics for effective leadership</w:t>
            </w:r>
            <w:r w:rsidRPr="003161AD">
              <w:rPr>
                <w:rFonts w:ascii="Garamond" w:hAnsi="Garamond"/>
                <w:lang w:val="en-AU"/>
              </w:rPr>
              <w:t xml:space="preserve"> during the pandemic (Janet Schwartz, Aline Holzwarth</w:t>
            </w:r>
            <w:r w:rsidR="003161AD">
              <w:rPr>
                <w:rFonts w:ascii="Garamond" w:hAnsi="Garamond"/>
                <w:lang w:val="en-AU"/>
              </w:rPr>
              <w:t>)</w:t>
            </w:r>
          </w:p>
          <w:p w:rsidR="00101F56" w:rsidRPr="003161AD" w:rsidRDefault="00101F56" w:rsidP="00457F24">
            <w:pPr>
              <w:pStyle w:val="ListParagraph"/>
              <w:numPr>
                <w:ilvl w:val="0"/>
                <w:numId w:val="15"/>
              </w:numPr>
              <w:rPr>
                <w:rFonts w:ascii="Garamond" w:hAnsi="Garamond"/>
                <w:lang w:val="en-AU"/>
              </w:rPr>
            </w:pPr>
            <w:r w:rsidRPr="003161AD">
              <w:rPr>
                <w:rFonts w:ascii="Garamond" w:hAnsi="Garamond"/>
                <w:lang w:val="en-AU"/>
              </w:rPr>
              <w:t xml:space="preserve">10 minutes with </w:t>
            </w:r>
            <w:r w:rsidRPr="003161AD">
              <w:rPr>
                <w:rFonts w:ascii="Garamond" w:hAnsi="Garamond"/>
                <w:b/>
                <w:lang w:val="en-AU"/>
              </w:rPr>
              <w:t>Dr. Brian Anderson, Chief Digital Health Physician at the MITRE Corporation</w:t>
            </w:r>
            <w:r w:rsidRPr="003161AD">
              <w:rPr>
                <w:rFonts w:ascii="Garamond" w:hAnsi="Garamond"/>
                <w:lang w:val="en-AU"/>
              </w:rPr>
              <w:t>, Massachusetts, USA (Tuna Hayirli, Brian Anderson</w:t>
            </w:r>
            <w:r w:rsidR="003161AD">
              <w:rPr>
                <w:rFonts w:ascii="Garamond" w:hAnsi="Garamond"/>
                <w:lang w:val="en-AU"/>
              </w:rPr>
              <w:t>)</w:t>
            </w:r>
          </w:p>
          <w:p w:rsidR="00647FC2" w:rsidRPr="00292B57" w:rsidRDefault="00101F56" w:rsidP="003161AD">
            <w:pPr>
              <w:pStyle w:val="ListParagraph"/>
              <w:numPr>
                <w:ilvl w:val="0"/>
                <w:numId w:val="15"/>
              </w:numPr>
              <w:rPr>
                <w:rFonts w:ascii="Garamond" w:hAnsi="Garamond"/>
                <w:lang w:val="en-AU"/>
              </w:rPr>
            </w:pPr>
            <w:r w:rsidRPr="00101F56">
              <w:rPr>
                <w:rFonts w:ascii="Garamond" w:hAnsi="Garamond"/>
                <w:lang w:val="en-AU"/>
              </w:rPr>
              <w:t xml:space="preserve">Ten minutes with </w:t>
            </w:r>
            <w:r w:rsidRPr="003161AD">
              <w:rPr>
                <w:rFonts w:ascii="Garamond" w:hAnsi="Garamond"/>
                <w:b/>
                <w:lang w:val="en-AU"/>
              </w:rPr>
              <w:t>Professor Erwin Loh, Chief Medical Officer and Group General Manager of Clinical Governance, St Vincent’s Health</w:t>
            </w:r>
            <w:r w:rsidRPr="00101F56">
              <w:rPr>
                <w:rFonts w:ascii="Garamond" w:hAnsi="Garamond"/>
                <w:lang w:val="en-AU"/>
              </w:rPr>
              <w:t xml:space="preserve"> Australia, Melbourne, Australia (Erwin Loh, Natasha Roya Matthews, Shona Mackinnon</w:t>
            </w:r>
            <w:r w:rsidR="003161AD">
              <w:rPr>
                <w:rFonts w:ascii="Garamond" w:hAnsi="Garamond"/>
                <w:lang w:val="en-AU"/>
              </w:rPr>
              <w:t>)</w:t>
            </w:r>
          </w:p>
        </w:tc>
      </w:tr>
    </w:tbl>
    <w:p w:rsidR="00647FC2" w:rsidRDefault="00647FC2" w:rsidP="00647FC2">
      <w:pPr>
        <w:keepNext/>
        <w:keepLines/>
        <w:tabs>
          <w:tab w:val="left" w:pos="2114"/>
        </w:tabs>
        <w:autoSpaceDE w:val="0"/>
        <w:autoSpaceDN w:val="0"/>
        <w:adjustRightInd w:val="0"/>
        <w:rPr>
          <w:rFonts w:ascii="Garamond" w:hAnsi="Garamond"/>
          <w:lang w:val="en-AU"/>
        </w:rPr>
      </w:pPr>
    </w:p>
    <w:p w:rsidR="00495B24" w:rsidRPr="00467B47" w:rsidRDefault="00495B24" w:rsidP="00495B24">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95B24" w:rsidRPr="00467B47" w:rsidTr="00EF253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95B24" w:rsidRPr="00467B47" w:rsidRDefault="00495B24" w:rsidP="00EF253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95B24" w:rsidRPr="00467B47" w:rsidRDefault="00902FA9" w:rsidP="00EF253F">
            <w:pPr>
              <w:keepNext/>
              <w:rPr>
                <w:rFonts w:ascii="Garamond" w:hAnsi="Garamond"/>
                <w:lang w:val="en-AU"/>
              </w:rPr>
            </w:pPr>
            <w:hyperlink r:id="rId29" w:history="1">
              <w:r w:rsidR="00495B24" w:rsidRPr="00467B47">
                <w:rPr>
                  <w:rStyle w:val="Hyperlink"/>
                  <w:rFonts w:ascii="Garamond" w:hAnsi="Garamond"/>
                  <w:lang w:val="en-AU"/>
                </w:rPr>
                <w:t>https://qualitysafety.bmj.com/content/early/recent</w:t>
              </w:r>
            </w:hyperlink>
          </w:p>
        </w:tc>
      </w:tr>
      <w:tr w:rsidR="00495B24" w:rsidRPr="00467B47" w:rsidTr="00EF253F">
        <w:tc>
          <w:tcPr>
            <w:tcW w:w="1080" w:type="dxa"/>
            <w:tcBorders>
              <w:top w:val="single" w:sz="4" w:space="0" w:color="auto"/>
              <w:left w:val="single" w:sz="4" w:space="0" w:color="auto"/>
              <w:bottom w:val="single" w:sz="4" w:space="0" w:color="auto"/>
              <w:right w:val="single" w:sz="4" w:space="0" w:color="auto"/>
            </w:tcBorders>
            <w:vAlign w:val="center"/>
          </w:tcPr>
          <w:p w:rsidR="00495B24" w:rsidRPr="00467B47" w:rsidRDefault="00495B24" w:rsidP="00EF253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495B24" w:rsidRPr="00D84575" w:rsidRDefault="00495B24" w:rsidP="00EF253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401E1F" w:rsidRPr="00543B3B" w:rsidRDefault="00A63D6B" w:rsidP="00A63D6B">
            <w:pPr>
              <w:pStyle w:val="ListParagraph"/>
              <w:numPr>
                <w:ilvl w:val="0"/>
                <w:numId w:val="14"/>
              </w:numPr>
              <w:rPr>
                <w:rFonts w:ascii="Garamond" w:hAnsi="Garamond"/>
                <w:lang w:val="en-AU"/>
              </w:rPr>
            </w:pPr>
            <w:r w:rsidRPr="00A63D6B">
              <w:rPr>
                <w:rFonts w:ascii="Garamond" w:hAnsi="Garamond"/>
                <w:lang w:val="en-AU"/>
              </w:rPr>
              <w:t xml:space="preserve">Examining </w:t>
            </w:r>
            <w:r w:rsidRPr="00A63D6B">
              <w:rPr>
                <w:rFonts w:ascii="Garamond" w:hAnsi="Garamond"/>
                <w:b/>
                <w:lang w:val="en-AU"/>
              </w:rPr>
              <w:t>organisational responses to performance-based financial incentive systems</w:t>
            </w:r>
            <w:r w:rsidRPr="00A63D6B">
              <w:rPr>
                <w:rFonts w:ascii="Garamond" w:hAnsi="Garamond"/>
                <w:lang w:val="en-AU"/>
              </w:rPr>
              <w:t xml:space="preserve">: a case study using NHS staff influenza vaccination rates from 2012/2013 to 2019/2020 </w:t>
            </w:r>
            <w:r>
              <w:rPr>
                <w:rFonts w:ascii="Garamond" w:hAnsi="Garamond"/>
                <w:lang w:val="en-AU"/>
              </w:rPr>
              <w:t>(</w:t>
            </w:r>
            <w:r w:rsidRPr="00A63D6B">
              <w:rPr>
                <w:rFonts w:ascii="Garamond" w:hAnsi="Garamond"/>
                <w:lang w:val="en-AU"/>
              </w:rPr>
              <w:t>Adiba Liaqat, Suzy Gallier, Katharine Reeves, Hannah Crothers, Felicity Evison, Kelly Schmidtke, Paul Bird, Samuel I Watson, Kamlesh Khunti, Richard Lilford</w:t>
            </w:r>
            <w:r>
              <w:rPr>
                <w:rFonts w:ascii="Garamond" w:hAnsi="Garamond"/>
                <w:lang w:val="en-AU"/>
              </w:rPr>
              <w:t>)</w:t>
            </w:r>
          </w:p>
        </w:tc>
      </w:tr>
    </w:tbl>
    <w:p w:rsidR="00495B24" w:rsidRDefault="00495B24" w:rsidP="00495B24">
      <w:pPr>
        <w:rPr>
          <w:rFonts w:ascii="Garamond" w:hAnsi="Garamond"/>
          <w:i/>
          <w:lang w:val="en-AU"/>
        </w:rPr>
      </w:pPr>
    </w:p>
    <w:p w:rsidR="00702C73" w:rsidRDefault="00702C73" w:rsidP="00CE24F8">
      <w:pPr>
        <w:keepNext/>
        <w:rPr>
          <w:rFonts w:ascii="Garamond" w:hAnsi="Garamond"/>
          <w:i/>
          <w:lang w:val="en-AU"/>
        </w:rPr>
      </w:pPr>
    </w:p>
    <w:p w:rsidR="00702C73" w:rsidRDefault="00702C73" w:rsidP="00CE24F8">
      <w:pPr>
        <w:keepNext/>
        <w:rPr>
          <w:rFonts w:ascii="Garamond" w:hAnsi="Garamond"/>
          <w:i/>
          <w:lang w:val="en-AU"/>
        </w:rPr>
      </w:pPr>
    </w:p>
    <w:p w:rsidR="00D71C54" w:rsidRDefault="009F6F9B" w:rsidP="00CE24F8">
      <w:pPr>
        <w:keepNext/>
        <w:rPr>
          <w:rFonts w:ascii="Garamond" w:hAnsi="Garamond"/>
          <w:b/>
          <w:lang w:val="en-AU"/>
        </w:rPr>
      </w:pPr>
      <w:r>
        <w:rPr>
          <w:rFonts w:ascii="Garamond" w:hAnsi="Garamond"/>
          <w:b/>
          <w:lang w:val="en-AU"/>
        </w:rPr>
        <w:t>Online resources</w:t>
      </w:r>
    </w:p>
    <w:p w:rsidR="000F25DD" w:rsidRDefault="000F25DD" w:rsidP="000F25DD">
      <w:pPr>
        <w:keepNext/>
        <w:keepLines/>
        <w:rPr>
          <w:rFonts w:ascii="Garamond" w:hAnsi="Garamond"/>
          <w:i/>
          <w:lang w:val="en-AU"/>
        </w:rPr>
      </w:pPr>
    </w:p>
    <w:p w:rsidR="000105AE" w:rsidRDefault="000105AE" w:rsidP="000105AE">
      <w:pPr>
        <w:keepNext/>
        <w:rPr>
          <w:rFonts w:ascii="Garamond" w:hAnsi="Garamond"/>
          <w:i/>
          <w:lang w:val="en-AU"/>
        </w:rPr>
      </w:pPr>
      <w:r w:rsidRPr="00F57CAB">
        <w:rPr>
          <w:rFonts w:ascii="Garamond" w:hAnsi="Garamond"/>
          <w:i/>
          <w:lang w:val="en-AU"/>
        </w:rPr>
        <w:t>Clinical Communiqué</w:t>
      </w:r>
    </w:p>
    <w:p w:rsidR="000105AE" w:rsidRPr="000105AE" w:rsidRDefault="00902FA9" w:rsidP="000105AE">
      <w:pPr>
        <w:keepNext/>
        <w:rPr>
          <w:rFonts w:ascii="Garamond" w:hAnsi="Garamond"/>
        </w:rPr>
      </w:pPr>
      <w:hyperlink r:id="rId30" w:history="1">
        <w:r w:rsidR="000105AE" w:rsidRPr="000105AE">
          <w:rPr>
            <w:rStyle w:val="Hyperlink"/>
            <w:rFonts w:ascii="Garamond" w:hAnsi="Garamond"/>
          </w:rPr>
          <w:t>https://www.thecommuniques.com/post/clinical-communiqu%C3%A9-volume-8-issue-3-september-2021</w:t>
        </w:r>
      </w:hyperlink>
    </w:p>
    <w:p w:rsidR="000105AE" w:rsidRPr="00F57CAB" w:rsidRDefault="000105AE" w:rsidP="000105AE">
      <w:pPr>
        <w:keepNext/>
        <w:rPr>
          <w:rFonts w:ascii="Garamond" w:hAnsi="Garamond"/>
          <w:lang w:val="en-AU"/>
        </w:rPr>
      </w:pPr>
      <w:r w:rsidRPr="00F57CAB">
        <w:rPr>
          <w:rFonts w:ascii="Garamond" w:hAnsi="Garamond"/>
          <w:lang w:val="en-AU"/>
        </w:rPr>
        <w:t xml:space="preserve">Volume 8 Issue </w:t>
      </w:r>
      <w:r>
        <w:rPr>
          <w:rFonts w:ascii="Garamond" w:hAnsi="Garamond"/>
          <w:lang w:val="en-AU"/>
        </w:rPr>
        <w:t>3</w:t>
      </w:r>
      <w:r w:rsidRPr="00F57CAB">
        <w:rPr>
          <w:rFonts w:ascii="Garamond" w:hAnsi="Garamond"/>
          <w:lang w:val="en-AU"/>
        </w:rPr>
        <w:t xml:space="preserve">, </w:t>
      </w:r>
      <w:r>
        <w:rPr>
          <w:rFonts w:ascii="Garamond" w:hAnsi="Garamond"/>
          <w:lang w:val="en-AU"/>
        </w:rPr>
        <w:t xml:space="preserve">September </w:t>
      </w:r>
      <w:r w:rsidRPr="00F57CAB">
        <w:rPr>
          <w:rFonts w:ascii="Garamond" w:hAnsi="Garamond"/>
          <w:lang w:val="en-AU"/>
        </w:rPr>
        <w:t>2020</w:t>
      </w:r>
    </w:p>
    <w:p w:rsidR="00A63D6B" w:rsidRDefault="000105AE" w:rsidP="00A63D6B">
      <w:pPr>
        <w:keepNext/>
        <w:rPr>
          <w:rFonts w:ascii="Garamond" w:hAnsi="Garamond"/>
          <w:lang w:val="en-AU"/>
        </w:rPr>
      </w:pPr>
      <w:r w:rsidRPr="00F57CAB">
        <w:rPr>
          <w:rFonts w:ascii="Garamond" w:hAnsi="Garamond"/>
          <w:lang w:val="en-AU"/>
        </w:rPr>
        <w:t xml:space="preserve">This issue of </w:t>
      </w:r>
      <w:r w:rsidRPr="00F57CAB">
        <w:rPr>
          <w:rFonts w:ascii="Garamond" w:hAnsi="Garamond"/>
          <w:i/>
          <w:lang w:val="en-AU"/>
        </w:rPr>
        <w:t>Clinical Communiqué</w:t>
      </w:r>
      <w:r w:rsidRPr="00F57CAB">
        <w:rPr>
          <w:rFonts w:ascii="Garamond" w:hAnsi="Garamond"/>
          <w:lang w:val="en-AU"/>
        </w:rPr>
        <w:t xml:space="preserve"> examines </w:t>
      </w:r>
      <w:r>
        <w:rPr>
          <w:rFonts w:ascii="Garamond" w:hAnsi="Garamond"/>
          <w:lang w:val="en-AU"/>
        </w:rPr>
        <w:t xml:space="preserve">the issue of </w:t>
      </w:r>
      <w:r w:rsidRPr="000105AE">
        <w:rPr>
          <w:rFonts w:ascii="Garamond" w:hAnsi="Garamond"/>
          <w:b/>
          <w:lang w:val="en-AU"/>
        </w:rPr>
        <w:t>paediatric appendicitis</w:t>
      </w:r>
      <w:r w:rsidRPr="000105AE">
        <w:rPr>
          <w:rFonts w:ascii="Garamond" w:hAnsi="Garamond"/>
          <w:lang w:val="en-AU"/>
        </w:rPr>
        <w:t xml:space="preserve"> </w:t>
      </w:r>
      <w:r>
        <w:rPr>
          <w:rFonts w:ascii="Garamond" w:hAnsi="Garamond"/>
          <w:lang w:val="en-AU"/>
        </w:rPr>
        <w:t>–</w:t>
      </w:r>
      <w:r w:rsidRPr="000105AE">
        <w:rPr>
          <w:rFonts w:ascii="Garamond" w:hAnsi="Garamond"/>
          <w:lang w:val="en-AU"/>
        </w:rPr>
        <w:t xml:space="preserve"> the most common cause of acute abdomen in children</w:t>
      </w:r>
      <w:r>
        <w:rPr>
          <w:rFonts w:ascii="Garamond" w:hAnsi="Garamond"/>
          <w:lang w:val="en-AU"/>
        </w:rPr>
        <w:t>.</w:t>
      </w:r>
      <w:r w:rsidR="00A63D6B">
        <w:rPr>
          <w:rFonts w:ascii="Garamond" w:hAnsi="Garamond"/>
          <w:lang w:val="en-AU"/>
        </w:rPr>
        <w:t xml:space="preserve"> This issue includes a couple of case studies </w:t>
      </w:r>
      <w:r w:rsidR="00A63D6B" w:rsidRPr="00A63D6B">
        <w:rPr>
          <w:rFonts w:ascii="Garamond" w:hAnsi="Garamond"/>
          <w:lang w:val="en-AU"/>
        </w:rPr>
        <w:t>where delays in diagnosis and treatment tragically resulted in death. The expert commentary offers a pragmatic and insightful approach to the assessment of children with abdominal pain, with key points that help to raise awareness of the most reliable red flags in diagnosing appendicitis.</w:t>
      </w:r>
    </w:p>
    <w:p w:rsidR="000105AE" w:rsidRDefault="000105AE" w:rsidP="00702C73">
      <w:pPr>
        <w:rPr>
          <w:rFonts w:ascii="Garamond" w:hAnsi="Garamond"/>
          <w:i/>
          <w:lang w:val="en-AU"/>
        </w:rPr>
      </w:pPr>
    </w:p>
    <w:p w:rsidR="00EA1696" w:rsidRDefault="00EA1696" w:rsidP="000105AE">
      <w:pPr>
        <w:keepNext/>
        <w:rPr>
          <w:rFonts w:ascii="Garamond" w:hAnsi="Garamond"/>
          <w:i/>
          <w:lang w:val="en-AU"/>
        </w:rPr>
      </w:pPr>
      <w:r w:rsidRPr="00EA1696">
        <w:rPr>
          <w:rFonts w:ascii="Garamond" w:hAnsi="Garamond"/>
          <w:i/>
          <w:lang w:val="en-AU"/>
        </w:rPr>
        <w:lastRenderedPageBreak/>
        <w:t>Pharmacists’ and Nurses’ Role in Antimicrobial Stewardship, Antimicrobial Resistance, and Sepsis Care</w:t>
      </w:r>
    </w:p>
    <w:p w:rsidR="00EA1696" w:rsidRDefault="00902FA9" w:rsidP="000105AE">
      <w:pPr>
        <w:keepNext/>
        <w:rPr>
          <w:rFonts w:ascii="Garamond" w:hAnsi="Garamond"/>
          <w:lang w:val="en-AU"/>
        </w:rPr>
      </w:pPr>
      <w:hyperlink r:id="rId31" w:history="1">
        <w:r w:rsidR="00EA1696" w:rsidRPr="0052137D">
          <w:rPr>
            <w:rStyle w:val="Hyperlink"/>
            <w:rFonts w:ascii="Garamond" w:hAnsi="Garamond"/>
            <w:lang w:val="en-AU"/>
          </w:rPr>
          <w:t>https://www.ismp.org/resources/pharmacists-and-nurses-role-antimicrobial-stewardship-antimicrobial-resistance-and-sepsis</w:t>
        </w:r>
      </w:hyperlink>
    </w:p>
    <w:p w:rsidR="00EA1696" w:rsidRDefault="00EA1696" w:rsidP="000105AE">
      <w:pPr>
        <w:keepNext/>
        <w:rPr>
          <w:rFonts w:ascii="Garamond" w:hAnsi="Garamond"/>
          <w:lang w:val="en-AU"/>
        </w:rPr>
      </w:pPr>
      <w:r w:rsidRPr="00EA1696">
        <w:rPr>
          <w:rFonts w:ascii="Garamond" w:hAnsi="Garamond"/>
          <w:lang w:val="en-AU"/>
        </w:rPr>
        <w:t>Th</w:t>
      </w:r>
      <w:r>
        <w:rPr>
          <w:rFonts w:ascii="Garamond" w:hAnsi="Garamond"/>
          <w:lang w:val="en-AU"/>
        </w:rPr>
        <w:t>is short item from th</w:t>
      </w:r>
      <w:r w:rsidRPr="00EA1696">
        <w:rPr>
          <w:rFonts w:ascii="Garamond" w:hAnsi="Garamond"/>
          <w:lang w:val="en-AU"/>
        </w:rPr>
        <w:t xml:space="preserve">e Institute for Safe Medication Practices </w:t>
      </w:r>
      <w:r>
        <w:rPr>
          <w:rFonts w:ascii="Garamond" w:hAnsi="Garamond"/>
          <w:lang w:val="en-AU"/>
        </w:rPr>
        <w:t xml:space="preserve">(ISMP) </w:t>
      </w:r>
      <w:r w:rsidRPr="00EA1696">
        <w:rPr>
          <w:rFonts w:ascii="Garamond" w:hAnsi="Garamond"/>
          <w:lang w:val="en-AU"/>
        </w:rPr>
        <w:t>outlines roles for nurses and pharmacists in antimicrobial stewardship and sepsis care</w:t>
      </w:r>
      <w:r>
        <w:rPr>
          <w:rFonts w:ascii="Garamond" w:hAnsi="Garamond"/>
          <w:lang w:val="en-AU"/>
        </w:rPr>
        <w:t>.</w:t>
      </w:r>
    </w:p>
    <w:p w:rsidR="00EA1696" w:rsidRDefault="00EA1696" w:rsidP="00702C73">
      <w:pPr>
        <w:rPr>
          <w:rFonts w:ascii="Garamond" w:hAnsi="Garamond"/>
          <w:i/>
          <w:lang w:val="en-AU"/>
        </w:rPr>
      </w:pPr>
    </w:p>
    <w:p w:rsidR="00EA1696" w:rsidRDefault="00EA1696" w:rsidP="000105AE">
      <w:pPr>
        <w:keepNext/>
        <w:rPr>
          <w:rFonts w:ascii="Garamond" w:hAnsi="Garamond"/>
          <w:i/>
          <w:lang w:val="en-AU"/>
        </w:rPr>
      </w:pPr>
      <w:r w:rsidRPr="00EA1696">
        <w:rPr>
          <w:rFonts w:ascii="Garamond" w:hAnsi="Garamond"/>
          <w:i/>
          <w:lang w:val="en-AU"/>
        </w:rPr>
        <w:t>GIN Public Toolkit: Patient and Public Involvement in Guidelines</w:t>
      </w:r>
    </w:p>
    <w:p w:rsidR="00EA1696" w:rsidRDefault="00902FA9" w:rsidP="000105AE">
      <w:pPr>
        <w:keepNext/>
        <w:rPr>
          <w:rFonts w:ascii="Garamond" w:hAnsi="Garamond"/>
          <w:lang w:val="en-AU"/>
        </w:rPr>
      </w:pPr>
      <w:hyperlink r:id="rId32" w:history="1">
        <w:r w:rsidR="00EA1696" w:rsidRPr="0052137D">
          <w:rPr>
            <w:rStyle w:val="Hyperlink"/>
            <w:rFonts w:ascii="Garamond" w:hAnsi="Garamond"/>
            <w:lang w:val="en-AU"/>
          </w:rPr>
          <w:t>https://g-i-n.net/toolkit/</w:t>
        </w:r>
      </w:hyperlink>
    </w:p>
    <w:p w:rsidR="00EA1696" w:rsidRPr="00EA1696" w:rsidRDefault="00EA1696" w:rsidP="000105AE">
      <w:pPr>
        <w:keepNext/>
        <w:rPr>
          <w:rFonts w:ascii="Garamond" w:hAnsi="Garamond"/>
          <w:lang w:val="en-AU"/>
        </w:rPr>
      </w:pPr>
      <w:r>
        <w:rPr>
          <w:rFonts w:ascii="Garamond" w:hAnsi="Garamond"/>
          <w:lang w:val="en-AU"/>
        </w:rPr>
        <w:t xml:space="preserve">The Guidelines International Network (GIN) have launched their updated </w:t>
      </w:r>
      <w:r w:rsidRPr="00EA1696">
        <w:rPr>
          <w:rFonts w:ascii="Garamond" w:hAnsi="Garamond"/>
          <w:i/>
          <w:lang w:val="en-AU"/>
        </w:rPr>
        <w:t>GIN Public Toolkit: Patient and Public Involvement in Guidelines</w:t>
      </w:r>
      <w:r>
        <w:rPr>
          <w:rFonts w:ascii="Garamond" w:hAnsi="Garamond"/>
          <w:lang w:val="en-AU"/>
        </w:rPr>
        <w:t xml:space="preserve">. </w:t>
      </w:r>
      <w:r w:rsidRPr="00EA1696">
        <w:rPr>
          <w:rFonts w:ascii="Garamond" w:hAnsi="Garamond"/>
          <w:lang w:val="en-AU"/>
        </w:rPr>
        <w:t>The Toolkit assembles international experiences and best practice examples of successful patient involvement and aims at supporting guideline developers who consider involving patients and public in guideline development or dissemination.</w:t>
      </w:r>
    </w:p>
    <w:p w:rsidR="00EA1696" w:rsidRDefault="00EA1696" w:rsidP="00702C73">
      <w:pPr>
        <w:rPr>
          <w:rFonts w:ascii="Garamond" w:hAnsi="Garamond"/>
          <w:i/>
          <w:lang w:val="en-AU"/>
        </w:rPr>
      </w:pPr>
    </w:p>
    <w:p w:rsidR="00841C67" w:rsidRDefault="00841C67" w:rsidP="00841C67">
      <w:pPr>
        <w:keepNext/>
        <w:rPr>
          <w:rFonts w:ascii="Garamond" w:hAnsi="Garamond"/>
          <w:i/>
          <w:lang w:val="en-AU"/>
        </w:rPr>
      </w:pPr>
      <w:r>
        <w:rPr>
          <w:rFonts w:ascii="Garamond" w:hAnsi="Garamond"/>
          <w:i/>
          <w:lang w:val="en-AU"/>
        </w:rPr>
        <w:t>[UK] NIHR Evidence alerts</w:t>
      </w:r>
    </w:p>
    <w:p w:rsidR="00841C67" w:rsidRPr="00EA3D86" w:rsidRDefault="00902FA9" w:rsidP="00841C67">
      <w:pPr>
        <w:keepNext/>
        <w:rPr>
          <w:rFonts w:ascii="Garamond" w:hAnsi="Garamond"/>
          <w:lang w:val="en-AU"/>
        </w:rPr>
      </w:pPr>
      <w:hyperlink r:id="rId33" w:history="1">
        <w:r w:rsidR="00841C67" w:rsidRPr="00EA3D86">
          <w:rPr>
            <w:rStyle w:val="Hyperlink"/>
            <w:rFonts w:ascii="Garamond" w:hAnsi="Garamond"/>
            <w:lang w:val="en-AU"/>
          </w:rPr>
          <w:t>https://evidence.nihr.ac.uk/</w:t>
        </w:r>
      </w:hyperlink>
      <w:r w:rsidR="00841C67" w:rsidRPr="00EA3D86">
        <w:rPr>
          <w:rStyle w:val="Hyperlink"/>
          <w:rFonts w:ascii="Garamond" w:hAnsi="Garamond"/>
          <w:lang w:val="en-AU"/>
        </w:rPr>
        <w:t>alerts/</w:t>
      </w:r>
    </w:p>
    <w:p w:rsidR="00841C67" w:rsidRDefault="00841C67" w:rsidP="00841C67">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rsidR="00841C67" w:rsidRPr="00841C67" w:rsidRDefault="00841C67" w:rsidP="00841C67">
      <w:pPr>
        <w:pStyle w:val="ListParagraph"/>
        <w:numPr>
          <w:ilvl w:val="0"/>
          <w:numId w:val="34"/>
        </w:numPr>
        <w:rPr>
          <w:rFonts w:ascii="Garamond" w:hAnsi="Garamond"/>
          <w:lang w:val="en-AU"/>
        </w:rPr>
      </w:pPr>
      <w:r w:rsidRPr="00841C67">
        <w:rPr>
          <w:rFonts w:ascii="Garamond" w:hAnsi="Garamond"/>
          <w:b/>
          <w:lang w:val="en-AU"/>
        </w:rPr>
        <w:t>Carers of people with dementia</w:t>
      </w:r>
      <w:r w:rsidRPr="00841C67">
        <w:rPr>
          <w:rFonts w:ascii="Garamond" w:hAnsi="Garamond"/>
          <w:lang w:val="en-AU"/>
        </w:rPr>
        <w:t xml:space="preserve"> benefit from online help for anxiety and depression</w:t>
      </w:r>
    </w:p>
    <w:p w:rsidR="00841C67" w:rsidRPr="00841C67" w:rsidRDefault="00841C67" w:rsidP="00841C67">
      <w:pPr>
        <w:pStyle w:val="ListParagraph"/>
        <w:numPr>
          <w:ilvl w:val="0"/>
          <w:numId w:val="34"/>
        </w:numPr>
        <w:rPr>
          <w:rFonts w:ascii="Garamond" w:hAnsi="Garamond"/>
          <w:lang w:val="en-AU"/>
        </w:rPr>
      </w:pPr>
      <w:r w:rsidRPr="00841C67">
        <w:rPr>
          <w:rFonts w:ascii="Garamond" w:hAnsi="Garamond"/>
          <w:lang w:val="en-AU"/>
        </w:rPr>
        <w:t xml:space="preserve">Biofeedback offers no additional benefit to </w:t>
      </w:r>
      <w:r w:rsidRPr="00841C67">
        <w:rPr>
          <w:rFonts w:ascii="Garamond" w:hAnsi="Garamond"/>
          <w:b/>
          <w:lang w:val="en-AU"/>
        </w:rPr>
        <w:t>pelvic floor muscle training</w:t>
      </w:r>
    </w:p>
    <w:p w:rsidR="00841C67" w:rsidRPr="00841C67" w:rsidRDefault="00841C67" w:rsidP="00841C67">
      <w:pPr>
        <w:pStyle w:val="ListParagraph"/>
        <w:numPr>
          <w:ilvl w:val="0"/>
          <w:numId w:val="34"/>
        </w:numPr>
        <w:rPr>
          <w:rFonts w:ascii="Garamond" w:hAnsi="Garamond"/>
          <w:lang w:val="en-AU"/>
        </w:rPr>
      </w:pPr>
      <w:r w:rsidRPr="00841C67">
        <w:rPr>
          <w:rFonts w:ascii="Garamond" w:hAnsi="Garamond"/>
          <w:lang w:val="en-AU"/>
        </w:rPr>
        <w:t xml:space="preserve">People with </w:t>
      </w:r>
      <w:r w:rsidRPr="00841C67">
        <w:rPr>
          <w:rFonts w:ascii="Garamond" w:hAnsi="Garamond"/>
          <w:b/>
          <w:lang w:val="en-AU"/>
        </w:rPr>
        <w:t>cognitive impairment</w:t>
      </w:r>
      <w:r w:rsidRPr="00841C67">
        <w:rPr>
          <w:rFonts w:ascii="Garamond" w:hAnsi="Garamond"/>
          <w:lang w:val="en-AU"/>
        </w:rPr>
        <w:t xml:space="preserve"> are missing out on sight and dental checks</w:t>
      </w:r>
    </w:p>
    <w:p w:rsidR="00841C67" w:rsidRPr="00841C67" w:rsidRDefault="00841C67" w:rsidP="00841C67">
      <w:pPr>
        <w:pStyle w:val="ListParagraph"/>
        <w:numPr>
          <w:ilvl w:val="0"/>
          <w:numId w:val="34"/>
        </w:numPr>
        <w:rPr>
          <w:rFonts w:ascii="Garamond" w:hAnsi="Garamond"/>
          <w:lang w:val="en-AU"/>
        </w:rPr>
      </w:pPr>
      <w:r w:rsidRPr="00841C67">
        <w:rPr>
          <w:rFonts w:ascii="Garamond" w:hAnsi="Garamond"/>
          <w:lang w:val="en-AU"/>
        </w:rPr>
        <w:t xml:space="preserve">People with </w:t>
      </w:r>
      <w:r w:rsidRPr="00841C67">
        <w:rPr>
          <w:rFonts w:ascii="Garamond" w:hAnsi="Garamond"/>
          <w:b/>
          <w:lang w:val="en-AU"/>
        </w:rPr>
        <w:t>dementia</w:t>
      </w:r>
      <w:r w:rsidRPr="00841C67">
        <w:rPr>
          <w:rFonts w:ascii="Garamond" w:hAnsi="Garamond"/>
          <w:lang w:val="en-AU"/>
        </w:rPr>
        <w:t xml:space="preserve"> need more involvement in decisions about their long-term care</w:t>
      </w:r>
    </w:p>
    <w:p w:rsidR="00841C67" w:rsidRPr="00841C67" w:rsidRDefault="00841C67" w:rsidP="00841C67">
      <w:pPr>
        <w:pStyle w:val="ListParagraph"/>
        <w:numPr>
          <w:ilvl w:val="0"/>
          <w:numId w:val="34"/>
        </w:numPr>
        <w:rPr>
          <w:rFonts w:ascii="Garamond" w:hAnsi="Garamond"/>
          <w:lang w:val="en-AU"/>
        </w:rPr>
      </w:pPr>
      <w:r w:rsidRPr="00841C67">
        <w:rPr>
          <w:rFonts w:ascii="Garamond" w:hAnsi="Garamond"/>
          <w:lang w:val="en-AU"/>
        </w:rPr>
        <w:t xml:space="preserve">Home-based rehabilitation after a </w:t>
      </w:r>
      <w:r w:rsidRPr="00841C67">
        <w:rPr>
          <w:rFonts w:ascii="Garamond" w:hAnsi="Garamond"/>
          <w:b/>
          <w:lang w:val="en-AU"/>
        </w:rPr>
        <w:t>knee replacement</w:t>
      </w:r>
      <w:r w:rsidRPr="00841C67">
        <w:rPr>
          <w:rFonts w:ascii="Garamond" w:hAnsi="Garamond"/>
          <w:lang w:val="en-AU"/>
        </w:rPr>
        <w:t xml:space="preserve"> is as effective as physiotherapy</w:t>
      </w:r>
    </w:p>
    <w:p w:rsidR="00841C67" w:rsidRPr="00841C67" w:rsidRDefault="00841C67" w:rsidP="00841C67">
      <w:pPr>
        <w:pStyle w:val="ListParagraph"/>
        <w:numPr>
          <w:ilvl w:val="0"/>
          <w:numId w:val="34"/>
        </w:numPr>
        <w:rPr>
          <w:rFonts w:ascii="Garamond" w:hAnsi="Garamond"/>
          <w:lang w:val="en-AU"/>
        </w:rPr>
      </w:pPr>
      <w:r w:rsidRPr="00841C67">
        <w:rPr>
          <w:rFonts w:ascii="Garamond" w:hAnsi="Garamond"/>
          <w:lang w:val="en-AU"/>
        </w:rPr>
        <w:t xml:space="preserve">Extra emphasis on </w:t>
      </w:r>
      <w:r w:rsidRPr="00841C67">
        <w:rPr>
          <w:rFonts w:ascii="Garamond" w:hAnsi="Garamond"/>
          <w:b/>
          <w:lang w:val="en-AU"/>
        </w:rPr>
        <w:t>care after cancer surgery</w:t>
      </w:r>
      <w:r w:rsidRPr="00841C67">
        <w:rPr>
          <w:rFonts w:ascii="Garamond" w:hAnsi="Garamond"/>
          <w:lang w:val="en-AU"/>
        </w:rPr>
        <w:t xml:space="preserve"> could increase survival worldwide</w:t>
      </w:r>
    </w:p>
    <w:p w:rsidR="00841C67" w:rsidRPr="00841C67" w:rsidRDefault="00841C67" w:rsidP="00841C67">
      <w:pPr>
        <w:pStyle w:val="ListParagraph"/>
        <w:numPr>
          <w:ilvl w:val="0"/>
          <w:numId w:val="34"/>
        </w:numPr>
        <w:rPr>
          <w:rFonts w:ascii="Garamond" w:hAnsi="Garamond"/>
          <w:lang w:val="en-AU"/>
        </w:rPr>
      </w:pPr>
      <w:r w:rsidRPr="00841C67">
        <w:rPr>
          <w:rFonts w:ascii="Garamond" w:hAnsi="Garamond"/>
          <w:b/>
          <w:lang w:val="en-AU"/>
        </w:rPr>
        <w:t>Schoolchildren who switch to walking or cycling</w:t>
      </w:r>
      <w:r w:rsidRPr="00841C67">
        <w:rPr>
          <w:rFonts w:ascii="Garamond" w:hAnsi="Garamond"/>
          <w:lang w:val="en-AU"/>
        </w:rPr>
        <w:t xml:space="preserve"> may have a healthier body weight</w:t>
      </w:r>
    </w:p>
    <w:p w:rsidR="00841C67" w:rsidRPr="00841C67" w:rsidRDefault="00841C67" w:rsidP="00841C67">
      <w:pPr>
        <w:pStyle w:val="ListParagraph"/>
        <w:numPr>
          <w:ilvl w:val="0"/>
          <w:numId w:val="34"/>
        </w:numPr>
        <w:rPr>
          <w:rFonts w:ascii="Garamond" w:hAnsi="Garamond"/>
          <w:lang w:val="en-AU"/>
        </w:rPr>
      </w:pPr>
      <w:r w:rsidRPr="00841C67">
        <w:rPr>
          <w:rFonts w:ascii="Garamond" w:hAnsi="Garamond"/>
          <w:b/>
          <w:lang w:val="en-AU"/>
        </w:rPr>
        <w:t>Stroke care</w:t>
      </w:r>
      <w:r w:rsidRPr="00841C67">
        <w:rPr>
          <w:rFonts w:ascii="Garamond" w:hAnsi="Garamond"/>
          <w:lang w:val="en-AU"/>
        </w:rPr>
        <w:t xml:space="preserve"> could be improved when patients, staff and researchers work together</w:t>
      </w:r>
    </w:p>
    <w:p w:rsidR="00841C67" w:rsidRPr="00841C67" w:rsidRDefault="00841C67" w:rsidP="00841C67">
      <w:pPr>
        <w:pStyle w:val="ListParagraph"/>
        <w:numPr>
          <w:ilvl w:val="0"/>
          <w:numId w:val="34"/>
        </w:numPr>
        <w:rPr>
          <w:rFonts w:ascii="Garamond" w:hAnsi="Garamond"/>
          <w:lang w:val="en-AU"/>
        </w:rPr>
      </w:pPr>
      <w:r w:rsidRPr="00841C67">
        <w:rPr>
          <w:rFonts w:ascii="Garamond" w:hAnsi="Garamond"/>
          <w:lang w:val="en-AU"/>
        </w:rPr>
        <w:t xml:space="preserve">Working in partnership with a British South Asian community could improve control of </w:t>
      </w:r>
      <w:r w:rsidRPr="00841C67">
        <w:rPr>
          <w:rFonts w:ascii="Garamond" w:hAnsi="Garamond"/>
          <w:b/>
          <w:lang w:val="en-AU"/>
        </w:rPr>
        <w:t>children’s asthma</w:t>
      </w:r>
    </w:p>
    <w:p w:rsidR="00841C67" w:rsidRPr="00841C67" w:rsidRDefault="00841C67" w:rsidP="00841C67">
      <w:pPr>
        <w:pStyle w:val="ListParagraph"/>
        <w:numPr>
          <w:ilvl w:val="0"/>
          <w:numId w:val="34"/>
        </w:numPr>
        <w:rPr>
          <w:rFonts w:ascii="Garamond" w:hAnsi="Garamond"/>
          <w:lang w:val="en-AU"/>
        </w:rPr>
      </w:pPr>
      <w:r w:rsidRPr="00841C67">
        <w:rPr>
          <w:rFonts w:ascii="Garamond" w:hAnsi="Garamond"/>
          <w:lang w:val="en-AU"/>
        </w:rPr>
        <w:t xml:space="preserve">Providers of the </w:t>
      </w:r>
      <w:r w:rsidRPr="00841C67">
        <w:rPr>
          <w:rFonts w:ascii="Garamond" w:hAnsi="Garamond"/>
          <w:b/>
          <w:lang w:val="en-AU"/>
        </w:rPr>
        <w:t>Diabetes Prevention Programme</w:t>
      </w:r>
      <w:r w:rsidRPr="00841C67">
        <w:rPr>
          <w:rFonts w:ascii="Garamond" w:hAnsi="Garamond"/>
          <w:lang w:val="en-AU"/>
        </w:rPr>
        <w:t xml:space="preserve"> need to be more consistent, and offer flexibility and equality of access</w:t>
      </w:r>
    </w:p>
    <w:p w:rsidR="00841C67" w:rsidRPr="00841C67" w:rsidRDefault="00841C67" w:rsidP="00841C67">
      <w:pPr>
        <w:pStyle w:val="ListParagraph"/>
        <w:numPr>
          <w:ilvl w:val="0"/>
          <w:numId w:val="34"/>
        </w:numPr>
        <w:rPr>
          <w:rFonts w:ascii="Garamond" w:hAnsi="Garamond"/>
          <w:lang w:val="en-AU"/>
        </w:rPr>
      </w:pPr>
      <w:r w:rsidRPr="00841C67">
        <w:rPr>
          <w:rFonts w:ascii="Garamond" w:hAnsi="Garamond"/>
          <w:lang w:val="en-AU"/>
        </w:rPr>
        <w:t xml:space="preserve">New screening pathways could improve NHS England’s </w:t>
      </w:r>
      <w:r w:rsidRPr="00841C67">
        <w:rPr>
          <w:rFonts w:ascii="Garamond" w:hAnsi="Garamond"/>
          <w:b/>
          <w:lang w:val="en-AU"/>
        </w:rPr>
        <w:t>bowel cancer</w:t>
      </w:r>
      <w:r w:rsidRPr="00841C67">
        <w:rPr>
          <w:rFonts w:ascii="Garamond" w:hAnsi="Garamond"/>
          <w:lang w:val="en-AU"/>
        </w:rPr>
        <w:t xml:space="preserve"> programme</w:t>
      </w:r>
    </w:p>
    <w:p w:rsidR="00841C67" w:rsidRPr="00841C67" w:rsidRDefault="00841C67" w:rsidP="00841C67">
      <w:pPr>
        <w:pStyle w:val="ListParagraph"/>
        <w:numPr>
          <w:ilvl w:val="0"/>
          <w:numId w:val="34"/>
        </w:numPr>
        <w:rPr>
          <w:rFonts w:ascii="Garamond" w:hAnsi="Garamond"/>
          <w:lang w:val="en-AU"/>
        </w:rPr>
      </w:pPr>
      <w:r w:rsidRPr="00841C67">
        <w:rPr>
          <w:rFonts w:ascii="Garamond" w:hAnsi="Garamond"/>
          <w:lang w:val="en-AU"/>
        </w:rPr>
        <w:t xml:space="preserve">Even low doses of steroids increase the risk of cardiovascular disease in people with </w:t>
      </w:r>
      <w:r w:rsidRPr="00841C67">
        <w:rPr>
          <w:rFonts w:ascii="Garamond" w:hAnsi="Garamond"/>
          <w:b/>
          <w:lang w:val="en-AU"/>
        </w:rPr>
        <w:t>inflammatory diseases</w:t>
      </w:r>
    </w:p>
    <w:p w:rsidR="00841C67" w:rsidRPr="00841C67" w:rsidRDefault="00841C67" w:rsidP="00841C67">
      <w:pPr>
        <w:pStyle w:val="ListParagraph"/>
        <w:numPr>
          <w:ilvl w:val="0"/>
          <w:numId w:val="34"/>
        </w:numPr>
        <w:rPr>
          <w:rFonts w:ascii="Garamond" w:hAnsi="Garamond"/>
          <w:lang w:val="en-AU"/>
        </w:rPr>
      </w:pPr>
      <w:r w:rsidRPr="00841C67">
        <w:rPr>
          <w:rFonts w:ascii="Garamond" w:hAnsi="Garamond"/>
          <w:lang w:val="en-AU"/>
        </w:rPr>
        <w:t xml:space="preserve">A standing frame allows people with </w:t>
      </w:r>
      <w:r w:rsidRPr="00841C67">
        <w:rPr>
          <w:rFonts w:ascii="Garamond" w:hAnsi="Garamond"/>
          <w:b/>
          <w:lang w:val="en-AU"/>
        </w:rPr>
        <w:t>severe multiple sclerosis</w:t>
      </w:r>
      <w:r w:rsidRPr="00841C67">
        <w:rPr>
          <w:rFonts w:ascii="Garamond" w:hAnsi="Garamond"/>
          <w:lang w:val="en-AU"/>
        </w:rPr>
        <w:t xml:space="preserve"> to enjoy a sense of normality</w:t>
      </w:r>
    </w:p>
    <w:p w:rsidR="00841C67" w:rsidRPr="00841C67" w:rsidRDefault="00841C67" w:rsidP="00841C67">
      <w:pPr>
        <w:pStyle w:val="ListParagraph"/>
        <w:numPr>
          <w:ilvl w:val="0"/>
          <w:numId w:val="34"/>
        </w:numPr>
        <w:rPr>
          <w:rFonts w:ascii="Garamond" w:hAnsi="Garamond"/>
          <w:lang w:val="en-AU"/>
        </w:rPr>
      </w:pPr>
      <w:r w:rsidRPr="00841C67">
        <w:rPr>
          <w:rFonts w:ascii="Garamond" w:hAnsi="Garamond"/>
          <w:lang w:val="en-AU"/>
        </w:rPr>
        <w:t xml:space="preserve">Artificial intelligence tool rules out </w:t>
      </w:r>
      <w:r w:rsidRPr="00841C67">
        <w:rPr>
          <w:rFonts w:ascii="Garamond" w:hAnsi="Garamond"/>
          <w:b/>
          <w:lang w:val="en-AU"/>
        </w:rPr>
        <w:t>COVID-19</w:t>
      </w:r>
      <w:r w:rsidRPr="00841C67">
        <w:rPr>
          <w:rFonts w:ascii="Garamond" w:hAnsi="Garamond"/>
          <w:lang w:val="en-AU"/>
        </w:rPr>
        <w:t xml:space="preserve"> within an hour in emergency departments</w:t>
      </w:r>
    </w:p>
    <w:p w:rsidR="00841C67" w:rsidRPr="00841C67" w:rsidRDefault="00841C67" w:rsidP="00841C67">
      <w:pPr>
        <w:pStyle w:val="ListParagraph"/>
        <w:numPr>
          <w:ilvl w:val="0"/>
          <w:numId w:val="34"/>
        </w:numPr>
        <w:rPr>
          <w:rFonts w:ascii="Garamond" w:hAnsi="Garamond"/>
          <w:lang w:val="en-AU"/>
        </w:rPr>
      </w:pPr>
      <w:r w:rsidRPr="00841C67">
        <w:rPr>
          <w:rFonts w:ascii="Garamond" w:hAnsi="Garamond"/>
          <w:b/>
          <w:lang w:val="en-AU"/>
        </w:rPr>
        <w:t>Self-testing for</w:t>
      </w:r>
      <w:r w:rsidRPr="00841C67">
        <w:rPr>
          <w:rFonts w:ascii="Garamond" w:hAnsi="Garamond"/>
          <w:lang w:val="en-AU"/>
        </w:rPr>
        <w:t xml:space="preserve"> </w:t>
      </w:r>
      <w:r w:rsidRPr="00841C67">
        <w:rPr>
          <w:rFonts w:ascii="Garamond" w:hAnsi="Garamond"/>
          <w:b/>
          <w:lang w:val="en-AU"/>
        </w:rPr>
        <w:t>HIV</w:t>
      </w:r>
      <w:r w:rsidRPr="00841C67">
        <w:rPr>
          <w:rFonts w:ascii="Garamond" w:hAnsi="Garamond"/>
          <w:lang w:val="en-AU"/>
        </w:rPr>
        <w:t xml:space="preserve"> could increase diagnoses in the trans community</w:t>
      </w:r>
    </w:p>
    <w:p w:rsidR="00841C67" w:rsidRPr="00841C67" w:rsidRDefault="00841C67" w:rsidP="00841C67">
      <w:pPr>
        <w:pStyle w:val="ListParagraph"/>
        <w:numPr>
          <w:ilvl w:val="0"/>
          <w:numId w:val="34"/>
        </w:numPr>
        <w:rPr>
          <w:rFonts w:ascii="Garamond" w:hAnsi="Garamond"/>
          <w:lang w:val="en-AU"/>
        </w:rPr>
      </w:pPr>
      <w:r w:rsidRPr="00841C67">
        <w:rPr>
          <w:rFonts w:ascii="Garamond" w:hAnsi="Garamond"/>
          <w:lang w:val="en-AU"/>
        </w:rPr>
        <w:t xml:space="preserve">What support do young people affected by </w:t>
      </w:r>
      <w:r w:rsidRPr="00841C67">
        <w:rPr>
          <w:rFonts w:ascii="Garamond" w:hAnsi="Garamond"/>
          <w:b/>
          <w:lang w:val="en-AU"/>
        </w:rPr>
        <w:t>adverse childhood experiences</w:t>
      </w:r>
      <w:r w:rsidRPr="00841C67">
        <w:rPr>
          <w:rFonts w:ascii="Garamond" w:hAnsi="Garamond"/>
          <w:lang w:val="en-AU"/>
        </w:rPr>
        <w:t xml:space="preserve"> need?</w:t>
      </w:r>
    </w:p>
    <w:p w:rsidR="00841C67" w:rsidRDefault="00841C67" w:rsidP="000F25DD">
      <w:pPr>
        <w:keepNext/>
        <w:keepLines/>
        <w:rPr>
          <w:rFonts w:ascii="Garamond" w:hAnsi="Garamond"/>
          <w:i/>
          <w:lang w:val="en-AU"/>
        </w:rPr>
      </w:pPr>
    </w:p>
    <w:p w:rsidR="00AB4AF0" w:rsidRDefault="00AB4AF0" w:rsidP="00B54C6E">
      <w:pPr>
        <w:keepLines/>
        <w:pBdr>
          <w:bottom w:val="single" w:sz="6" w:space="1" w:color="auto"/>
        </w:pBdr>
        <w:rPr>
          <w:rFonts w:ascii="Garamond" w:hAnsi="Garamond"/>
          <w:i/>
          <w:lang w:val="en-AU"/>
        </w:rPr>
      </w:pPr>
    </w:p>
    <w:p w:rsidR="00AB4AF0" w:rsidRDefault="00AB4AF0" w:rsidP="00B54C6E">
      <w:pPr>
        <w:keepLines/>
        <w:pBdr>
          <w:bottom w:val="single" w:sz="6" w:space="1" w:color="auto"/>
        </w:pBdr>
        <w:rPr>
          <w:rFonts w:ascii="Garamond" w:hAnsi="Garamond"/>
          <w:i/>
          <w:lang w:val="en-AU"/>
        </w:rPr>
      </w:pPr>
    </w:p>
    <w:p w:rsidR="00D574D3" w:rsidRDefault="00D574D3" w:rsidP="00D574D3">
      <w:pPr>
        <w:keepNext/>
        <w:tabs>
          <w:tab w:val="left" w:pos="0"/>
        </w:tabs>
        <w:rPr>
          <w:rFonts w:ascii="Garamond" w:hAnsi="Garamond"/>
          <w:b/>
          <w:lang w:val="en-AU"/>
        </w:rPr>
      </w:pPr>
      <w:r>
        <w:rPr>
          <w:rFonts w:ascii="Garamond" w:hAnsi="Garamond"/>
          <w:b/>
          <w:lang w:val="en-AU"/>
        </w:rPr>
        <w:t>COVID-19 resources</w:t>
      </w:r>
    </w:p>
    <w:p w:rsidR="00B419AC" w:rsidRDefault="00B419AC" w:rsidP="00D574D3">
      <w:pPr>
        <w:keepNext/>
        <w:tabs>
          <w:tab w:val="left" w:pos="0"/>
        </w:tabs>
        <w:rPr>
          <w:rFonts w:ascii="Garamond" w:hAnsi="Garamond"/>
          <w:b/>
          <w:lang w:val="en-AU"/>
        </w:rPr>
      </w:pPr>
    </w:p>
    <w:p w:rsidR="00B419AC" w:rsidRPr="00B419AC" w:rsidRDefault="00B419AC" w:rsidP="00B419AC">
      <w:pPr>
        <w:keepNext/>
        <w:tabs>
          <w:tab w:val="left" w:pos="0"/>
        </w:tabs>
        <w:rPr>
          <w:rFonts w:ascii="Garamond" w:hAnsi="Garamond"/>
          <w:b/>
          <w:lang w:val="en-AU"/>
        </w:rPr>
      </w:pPr>
      <w:r w:rsidRPr="00B419AC">
        <w:rPr>
          <w:rFonts w:ascii="Garamond" w:hAnsi="Garamond"/>
          <w:b/>
          <w:lang w:val="en-AU"/>
        </w:rPr>
        <w:t>COVID-19 – supporting the health system</w:t>
      </w:r>
    </w:p>
    <w:p w:rsidR="00B419AC" w:rsidRDefault="00B419AC" w:rsidP="00B419AC">
      <w:pPr>
        <w:keepNext/>
        <w:tabs>
          <w:tab w:val="left" w:pos="0"/>
        </w:tabs>
        <w:rPr>
          <w:rFonts w:ascii="Garamond" w:hAnsi="Garamond"/>
          <w:lang w:val="en-AU"/>
        </w:rPr>
      </w:pPr>
      <w:r w:rsidRPr="00B419AC">
        <w:rPr>
          <w:rFonts w:ascii="Garamond" w:hAnsi="Garamond"/>
          <w:lang w:val="en-AU"/>
        </w:rPr>
        <w:t xml:space="preserve">The Commission has updated guidance as part of its ongoing work to support health service organisations in assessing risks related to COVID-19 and developing a comprehensive </w:t>
      </w:r>
      <w:r w:rsidRPr="00B419AC">
        <w:rPr>
          <w:rFonts w:ascii="Garamond" w:hAnsi="Garamond"/>
          <w:b/>
          <w:i/>
          <w:lang w:val="en-AU"/>
        </w:rPr>
        <w:t>Risk Management Plan</w:t>
      </w:r>
      <w:r>
        <w:rPr>
          <w:rFonts w:ascii="Garamond" w:hAnsi="Garamond"/>
          <w:lang w:val="en-AU"/>
        </w:rPr>
        <w:t xml:space="preserve">  available at </w:t>
      </w:r>
      <w:hyperlink r:id="rId34" w:history="1">
        <w:r w:rsidRPr="007E0609">
          <w:rPr>
            <w:rStyle w:val="Hyperlink"/>
            <w:rFonts w:ascii="Garamond" w:hAnsi="Garamond"/>
            <w:lang w:val="en-AU"/>
          </w:rPr>
          <w:t>https://www.safetyandquality.gov.au/publications-and-resources/resource-library/covid-19-infection-prevention-and-control-risk-management-guidance</w:t>
        </w:r>
      </w:hyperlink>
    </w:p>
    <w:p w:rsidR="00B419AC" w:rsidRDefault="00B419AC" w:rsidP="00702C73">
      <w:pPr>
        <w:tabs>
          <w:tab w:val="left" w:pos="0"/>
        </w:tabs>
        <w:rPr>
          <w:rFonts w:ascii="Garamond" w:hAnsi="Garamond"/>
          <w:lang w:val="en-AU"/>
        </w:rPr>
      </w:pPr>
      <w:r w:rsidRPr="00B419AC">
        <w:rPr>
          <w:rFonts w:ascii="Garamond" w:hAnsi="Garamond"/>
          <w:lang w:val="en-AU"/>
        </w:rPr>
        <w:t xml:space="preserve"> The revised guidance reflects the most recent national advice regarding use of the hierarchy of controls and infection prevention and control systems to identify hazards and develop risk mitigation strategies. </w:t>
      </w:r>
      <w:r w:rsidRPr="00B419AC">
        <w:rPr>
          <w:rFonts w:ascii="Garamond" w:hAnsi="Garamond"/>
          <w:lang w:val="en-AU"/>
        </w:rPr>
        <w:lastRenderedPageBreak/>
        <w:t>The updated guidance is on the Commission’s COVID-19 web page along with all of our other resources and links to state, territory and Australian Government web sites.</w:t>
      </w:r>
    </w:p>
    <w:p w:rsidR="00B419AC" w:rsidRPr="00B419AC" w:rsidRDefault="00B419AC" w:rsidP="00B419AC">
      <w:pPr>
        <w:keepNext/>
        <w:tabs>
          <w:tab w:val="left" w:pos="0"/>
        </w:tabs>
        <w:rPr>
          <w:rFonts w:ascii="Garamond" w:hAnsi="Garamond"/>
          <w:lang w:val="en-AU"/>
        </w:rPr>
      </w:pPr>
    </w:p>
    <w:p w:rsidR="00B419AC" w:rsidRDefault="00B419AC" w:rsidP="00B419AC">
      <w:pPr>
        <w:keepNext/>
        <w:tabs>
          <w:tab w:val="left" w:pos="0"/>
        </w:tabs>
        <w:rPr>
          <w:rFonts w:ascii="Garamond" w:hAnsi="Garamond"/>
          <w:b/>
          <w:lang w:val="en-AU"/>
        </w:rPr>
      </w:pPr>
      <w:r>
        <w:rPr>
          <w:rFonts w:ascii="Garamond" w:hAnsi="Garamond"/>
          <w:b/>
          <w:lang w:val="en-AU"/>
        </w:rPr>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5"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4D36E0" w:rsidRPr="004D36E0" w:rsidRDefault="008612B9" w:rsidP="008612B9">
      <w:pPr>
        <w:pStyle w:val="ListParagraph"/>
        <w:numPr>
          <w:ilvl w:val="0"/>
          <w:numId w:val="16"/>
        </w:numPr>
        <w:autoSpaceDE w:val="0"/>
        <w:autoSpaceDN w:val="0"/>
        <w:adjustRightInd w:val="0"/>
        <w:rPr>
          <w:rStyle w:val="Hyperlink"/>
          <w:rFonts w:ascii="Garamond" w:hAnsi="Garamond"/>
          <w:color w:val="auto"/>
          <w:u w:val="none"/>
          <w:lang w:val="en-AU"/>
        </w:rPr>
      </w:pPr>
      <w:r w:rsidRPr="008612B9">
        <w:rPr>
          <w:rFonts w:ascii="Garamond" w:hAnsi="Garamond"/>
          <w:b/>
          <w:i/>
          <w:lang w:val="en-AU"/>
        </w:rPr>
        <w:t>Poster - PPE use for aged care staff caring for residents with COVID-19</w:t>
      </w:r>
      <w:r w:rsidR="00D574D3" w:rsidRPr="001B3E7F">
        <w:rPr>
          <w:rFonts w:ascii="Garamond" w:hAnsi="Garamond"/>
          <w:b/>
          <w:i/>
          <w:lang w:val="en-AU"/>
        </w:rPr>
        <w:t xml:space="preserve"> </w:t>
      </w:r>
      <w:hyperlink r:id="rId36" w:history="1">
        <w:r w:rsidR="004D36E0" w:rsidRPr="005C214B">
          <w:rPr>
            <w:rStyle w:val="Hyperlink"/>
            <w:rFonts w:ascii="Garamond" w:hAnsi="Garamond"/>
            <w:lang w:val="en-AU"/>
          </w:rPr>
          <w:t>https://www.safetyandquality.gov.au/publications-and-resources/resource-library/poster-ppe-use-aged-care-staff-caring-residents-covid-19</w:t>
        </w:r>
      </w:hyperlink>
    </w:p>
    <w:p w:rsidR="00D574D3" w:rsidRPr="001B3E7F" w:rsidRDefault="008612B9" w:rsidP="004D36E0">
      <w:pPr>
        <w:pStyle w:val="ListParagraph"/>
        <w:autoSpaceDE w:val="0"/>
        <w:autoSpaceDN w:val="0"/>
        <w:adjustRightInd w:val="0"/>
        <w:rPr>
          <w:rFonts w:ascii="Garamond" w:hAnsi="Garamond"/>
          <w:lang w:val="en-AU"/>
        </w:rPr>
      </w:pPr>
      <w:r>
        <w:rPr>
          <w:rFonts w:ascii="Garamond" w:hAnsi="Garamond"/>
          <w:noProof/>
          <w:lang w:val="en-AU" w:eastAsia="en-AU"/>
        </w:rPr>
        <w:drawing>
          <wp:inline distT="0" distB="0" distL="0" distR="0">
            <wp:extent cx="4863548" cy="6866039"/>
            <wp:effectExtent l="0" t="0" r="0" b="0"/>
            <wp:docPr id="5" name="Picture 5" descr="Poster - PPE use for aged care staff caring for residents with COVID-19 " title="Poster - PPE use for aged care staff caring for residents with COVID-19 ">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55293" cy="6995559"/>
                    </a:xfrm>
                    <a:prstGeom prst="rect">
                      <a:avLst/>
                    </a:prstGeom>
                    <a:noFill/>
                    <a:ln>
                      <a:noFill/>
                    </a:ln>
                  </pic:spPr>
                </pic:pic>
              </a:graphicData>
            </a:graphic>
          </wp:inline>
        </w:drawing>
      </w:r>
    </w:p>
    <w:p w:rsidR="008612B9" w:rsidRDefault="008612B9" w:rsidP="008612B9">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contact and droplet precautions </w:t>
      </w:r>
      <w:hyperlink r:id="rId38" w:history="1">
        <w:r w:rsidRPr="000728A2">
          <w:rPr>
            <w:rStyle w:val="Hyperlink"/>
            <w:rFonts w:ascii="Garamond" w:hAnsi="Garamond"/>
            <w:lang w:val="en-AU"/>
          </w:rPr>
          <w:t>https://www.safetyandquality.gov.au/publications-and-resources/resource-library/poster-combined-contact-and-droplet-precautions</w:t>
        </w:r>
      </w:hyperlink>
      <w:r>
        <w:rPr>
          <w:rFonts w:ascii="Garamond" w:hAnsi="Garamond"/>
          <w:lang w:val="en-AU"/>
        </w:rPr>
        <w:br/>
      </w:r>
      <w:r>
        <w:rPr>
          <w:rFonts w:ascii="Garamond" w:hAnsi="Garamond"/>
          <w:noProof/>
          <w:lang w:val="en-AU" w:eastAsia="en-AU"/>
        </w:rPr>
        <w:drawing>
          <wp:inline distT="0" distB="0" distL="0" distR="0">
            <wp:extent cx="5713200" cy="8132400"/>
            <wp:effectExtent l="0" t="0" r="1905" b="2540"/>
            <wp:docPr id="6" name="Picture 6" descr="Poster – Combined contact and droplet precautions " title="Poster – Combined contact and droplet precautions ">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Pictures\contact droplet.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3200" cy="8132400"/>
                    </a:xfrm>
                    <a:prstGeom prst="rect">
                      <a:avLst/>
                    </a:prstGeom>
                    <a:noFill/>
                    <a:ln>
                      <a:noFill/>
                    </a:ln>
                  </pic:spPr>
                </pic:pic>
              </a:graphicData>
            </a:graphic>
          </wp:inline>
        </w:drawing>
      </w:r>
    </w:p>
    <w:p w:rsidR="008612B9" w:rsidRPr="008612B9" w:rsidRDefault="008612B9" w:rsidP="00E715E6">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0"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extent cx="5711825" cy="8114796"/>
            <wp:effectExtent l="0" t="0" r="3175" b="635"/>
            <wp:docPr id="7" name="Picture 7" descr="Poster – Combined airborne and contact precautions " title="Poster – Combined airborne and contact precautions ">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health\DfsUserEnv\Users\User_07\JOHNNI\Pictures\Airborne contact.PNG"/>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2"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43"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4"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5" w:history="1">
        <w:r w:rsidRPr="00603C16">
          <w:rPr>
            <w:rStyle w:val="Hyperlink"/>
            <w:rFonts w:ascii="Garamond" w:hAnsi="Garamond"/>
            <w:lang w:val="en-AU"/>
          </w:rPr>
          <w:t>https://www.safetyandquality.gov.au/our-work/cognitive-impairment/cognitive-impairment-and-covid-19</w:t>
        </w:r>
      </w:hyperlink>
    </w:p>
    <w:p w:rsidR="00D574D3" w:rsidRPr="00504597" w:rsidRDefault="00A56354" w:rsidP="00D574D3">
      <w:pPr>
        <w:pStyle w:val="ListParagraph"/>
        <w:numPr>
          <w:ilvl w:val="0"/>
          <w:numId w:val="16"/>
        </w:numPr>
        <w:tabs>
          <w:tab w:val="left" w:pos="0"/>
        </w:tabs>
        <w:ind w:left="714" w:hanging="357"/>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hyperlink r:id="rId46" w:history="1">
        <w:r w:rsidR="00D574D3" w:rsidRPr="00504597">
          <w:rPr>
            <w:rStyle w:val="Hyperlink"/>
            <w:rFonts w:ascii="Garamond" w:hAnsi="Garamond"/>
            <w:lang w:val="en-AU"/>
          </w:rPr>
          <w:t>https://www.safetyandquality.gov.au/publications-and-resources/resource-library/break-chain-poster-a3</w:t>
        </w:r>
      </w:hyperlink>
      <w:r w:rsidR="00716904">
        <w:rPr>
          <w:rStyle w:val="Hyperlink"/>
          <w:rFonts w:ascii="Garamond" w:hAnsi="Garamond"/>
          <w:lang w:val="en-AU"/>
        </w:rPr>
        <w:br/>
      </w:r>
      <w:r w:rsidR="00D574D3">
        <w:rPr>
          <w:rFonts w:ascii="Garamond" w:hAnsi="Garamond"/>
          <w:b/>
          <w:noProof/>
          <w:lang w:val="en-AU" w:eastAsia="en-AU"/>
        </w:rPr>
        <w:drawing>
          <wp:inline distT="0" distB="0" distL="0" distR="0" wp14:anchorId="36B84247" wp14:editId="55D36220">
            <wp:extent cx="4426226" cy="6259922"/>
            <wp:effectExtent l="19050" t="19050" r="12700" b="26670"/>
            <wp:docPr id="1" name="Picture 1" descr="Stop COVID-19: Break the chain of infection poster" title="Stop COVID-19: Break the chain of infection poster">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4538631" cy="6418894"/>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9"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50"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5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52"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53"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r w:rsidR="000C03A5">
        <w:rPr>
          <w:rStyle w:val="Hyperlink"/>
          <w:rFonts w:ascii="Garamond" w:hAnsi="Garamond"/>
          <w:color w:val="auto"/>
          <w:u w:val="none"/>
          <w:lang w:val="en-AU"/>
        </w:rPr>
        <w:br/>
      </w:r>
    </w:p>
    <w:p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96858A4" wp14:editId="231D5E73">
            <wp:extent cx="4240696" cy="6245767"/>
            <wp:effectExtent l="19050" t="19050" r="26670" b="22225"/>
            <wp:docPr id="2" name="Picture 2" descr="COVID-19 and face masks information for consumers poster image" title="COVID-19 and face masks information for consumers poster imag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34243" cy="6530826"/>
                    </a:xfrm>
                    <a:prstGeom prst="rect">
                      <a:avLst/>
                    </a:prstGeom>
                    <a:noFill/>
                    <a:ln>
                      <a:solidFill>
                        <a:schemeClr val="accent1"/>
                      </a:solidFill>
                    </a:ln>
                  </pic:spPr>
                </pic:pic>
              </a:graphicData>
            </a:graphic>
          </wp:inline>
        </w:drawing>
      </w:r>
    </w:p>
    <w:p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rsidR="00D574D3" w:rsidRPr="007F0962" w:rsidRDefault="00902FA9" w:rsidP="00D574D3">
      <w:pPr>
        <w:keepNext/>
        <w:keepLines/>
        <w:rPr>
          <w:rFonts w:ascii="Garamond" w:hAnsi="Garamond"/>
          <w:lang w:val="en-AU"/>
        </w:rPr>
      </w:pPr>
      <w:hyperlink r:id="rId56"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xml:space="preserve">. The guidelines address questions that are specific to managing COVID-19 and cover the full disease course across mild, moderate, severe and critical illness. </w:t>
      </w:r>
      <w:bookmarkStart w:id="1" w:name="_GoBack"/>
      <w:bookmarkEnd w:id="1"/>
      <w:r w:rsidRPr="007F0962">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902FA9" w:rsidP="00D574D3">
      <w:pPr>
        <w:keepNext/>
        <w:keepLines/>
        <w:rPr>
          <w:rFonts w:ascii="Garamond" w:hAnsi="Garamond"/>
          <w:lang w:val="en-AU"/>
        </w:rPr>
      </w:pPr>
      <w:hyperlink r:id="rId57" w:history="1">
        <w:r w:rsidR="00D574D3" w:rsidRPr="007F0962">
          <w:rPr>
            <w:rStyle w:val="Hyperlink"/>
            <w:rFonts w:ascii="Garamond" w:hAnsi="Garamond"/>
            <w:lang w:val="en-AU"/>
          </w:rPr>
          <w:t>https://www.aci.health.nsw.gov.au/covid-19/critical-intelligence-unit</w:t>
        </w:r>
      </w:hyperlink>
    </w:p>
    <w:p w:rsidR="006E509D" w:rsidRPr="00F343DD" w:rsidRDefault="00D574D3" w:rsidP="00D610CE">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Pr="00F343DD">
        <w:rPr>
          <w:rFonts w:ascii="Garamond" w:hAnsi="Garamond"/>
          <w:lang w:val="en-AU"/>
        </w:rPr>
        <w:t>.</w:t>
      </w:r>
      <w:r w:rsidR="00DB4AE7" w:rsidRPr="00F343DD">
        <w:rPr>
          <w:rFonts w:ascii="Garamond" w:hAnsi="Garamond"/>
          <w:lang w:val="en-AU"/>
        </w:rPr>
        <w:t xml:space="preserve"> The most recent updates include:</w:t>
      </w:r>
    </w:p>
    <w:p w:rsidR="001F6C3B" w:rsidRPr="001F6C3B" w:rsidRDefault="001F6C3B" w:rsidP="00FD2C28">
      <w:pPr>
        <w:pStyle w:val="ListParagraph"/>
        <w:numPr>
          <w:ilvl w:val="0"/>
          <w:numId w:val="35"/>
        </w:numPr>
        <w:rPr>
          <w:rFonts w:ascii="Garamond" w:hAnsi="Garamond"/>
          <w:b/>
          <w:i/>
          <w:lang w:val="en-AU"/>
        </w:rPr>
      </w:pPr>
      <w:r w:rsidRPr="001F6C3B">
        <w:rPr>
          <w:rFonts w:ascii="Garamond" w:hAnsi="Garamond"/>
          <w:b/>
          <w:i/>
          <w:lang w:val="en-AU"/>
        </w:rPr>
        <w:t>Initiation of remdesivir treatment for COVID-19</w:t>
      </w:r>
      <w:r w:rsidRPr="001F6C3B">
        <w:rPr>
          <w:rFonts w:ascii="Garamond" w:hAnsi="Garamond"/>
          <w:i/>
          <w:lang w:val="en-AU"/>
        </w:rPr>
        <w:t xml:space="preserve"> </w:t>
      </w:r>
      <w:r w:rsidRPr="001F6C3B">
        <w:rPr>
          <w:rFonts w:ascii="Garamond" w:hAnsi="Garamond"/>
          <w:lang w:val="en-AU"/>
        </w:rPr>
        <w:t>– What is the evidence on timing of initiation of remdesivir treatment for COVID-19?</w:t>
      </w:r>
    </w:p>
    <w:p w:rsidR="001F6C3B" w:rsidRPr="001F6C3B" w:rsidRDefault="001F6C3B" w:rsidP="00A836C8">
      <w:pPr>
        <w:pStyle w:val="ListParagraph"/>
        <w:numPr>
          <w:ilvl w:val="0"/>
          <w:numId w:val="35"/>
        </w:numPr>
        <w:rPr>
          <w:rFonts w:ascii="Garamond" w:hAnsi="Garamond"/>
          <w:lang w:val="en-AU"/>
        </w:rPr>
      </w:pPr>
      <w:r w:rsidRPr="001F6C3B">
        <w:rPr>
          <w:rFonts w:ascii="Garamond" w:hAnsi="Garamond"/>
          <w:b/>
          <w:i/>
          <w:lang w:val="en-AU"/>
        </w:rPr>
        <w:t>Public health measures and COVID 19 vaccine rollout</w:t>
      </w:r>
      <w:r w:rsidRPr="001F6C3B">
        <w:rPr>
          <w:rFonts w:ascii="Garamond" w:hAnsi="Garamond"/>
          <w:lang w:val="en-AU"/>
        </w:rPr>
        <w:t xml:space="preserve"> – Evidence in brief on public health measures and COVID-19 vaccine rollout</w:t>
      </w:r>
    </w:p>
    <w:p w:rsidR="001F6C3B" w:rsidRPr="001F6C3B" w:rsidRDefault="001F6C3B" w:rsidP="00856FC9">
      <w:pPr>
        <w:pStyle w:val="ListParagraph"/>
        <w:numPr>
          <w:ilvl w:val="0"/>
          <w:numId w:val="35"/>
        </w:numPr>
        <w:rPr>
          <w:rFonts w:ascii="Garamond" w:hAnsi="Garamond"/>
          <w:lang w:val="en-AU"/>
        </w:rPr>
      </w:pPr>
      <w:r w:rsidRPr="001F6C3B">
        <w:rPr>
          <w:rFonts w:ascii="Garamond" w:hAnsi="Garamond"/>
          <w:b/>
          <w:i/>
          <w:lang w:val="en-AU"/>
        </w:rPr>
        <w:t xml:space="preserve">Post acute and subacute COVID-19 care </w:t>
      </w:r>
      <w:r w:rsidRPr="001F6C3B">
        <w:rPr>
          <w:rFonts w:ascii="Garamond" w:hAnsi="Garamond"/>
          <w:lang w:val="en-AU"/>
        </w:rPr>
        <w:t>– What published advice and models of care are available regarding post-acute and subacute care for COVID-19 patients?</w:t>
      </w:r>
    </w:p>
    <w:p w:rsidR="001F6C3B" w:rsidRPr="001F6C3B" w:rsidRDefault="001F6C3B" w:rsidP="002219FF">
      <w:pPr>
        <w:pStyle w:val="ListParagraph"/>
        <w:numPr>
          <w:ilvl w:val="0"/>
          <w:numId w:val="35"/>
        </w:numPr>
        <w:rPr>
          <w:rFonts w:ascii="Garamond" w:hAnsi="Garamond"/>
          <w:lang w:val="en-AU"/>
        </w:rPr>
      </w:pPr>
      <w:r w:rsidRPr="001F6C3B">
        <w:rPr>
          <w:rFonts w:ascii="Garamond" w:hAnsi="Garamond"/>
          <w:b/>
          <w:i/>
          <w:lang w:val="en-AU"/>
        </w:rPr>
        <w:t>Therapeutic sessions and personal protective equipment –</w:t>
      </w:r>
      <w:r>
        <w:rPr>
          <w:rFonts w:ascii="Garamond" w:hAnsi="Garamond"/>
          <w:b/>
          <w:i/>
          <w:lang w:val="en-AU"/>
        </w:rPr>
        <w:t xml:space="preserve"> </w:t>
      </w:r>
      <w:r w:rsidRPr="001F6C3B">
        <w:rPr>
          <w:rFonts w:ascii="Garamond" w:hAnsi="Garamond"/>
          <w:lang w:val="en-AU"/>
        </w:rPr>
        <w:t>How does the wearing of personal protective equipment (PPE) impact on therapeutic sessions with adults and children who have experienced domestic or family violence, sexual assault, abuse or neglect?</w:t>
      </w:r>
    </w:p>
    <w:p w:rsidR="00935D44" w:rsidRPr="001F6C3B" w:rsidRDefault="00935D44" w:rsidP="00C60708">
      <w:pPr>
        <w:pStyle w:val="ListParagraph"/>
        <w:numPr>
          <w:ilvl w:val="0"/>
          <w:numId w:val="35"/>
        </w:numPr>
        <w:rPr>
          <w:rFonts w:ascii="Garamond" w:hAnsi="Garamond"/>
          <w:b/>
          <w:lang w:val="en-AU"/>
        </w:rPr>
      </w:pPr>
      <w:r w:rsidRPr="00935D44">
        <w:rPr>
          <w:rFonts w:ascii="Garamond" w:hAnsi="Garamond"/>
          <w:b/>
          <w:i/>
          <w:lang w:val="en-AU"/>
        </w:rPr>
        <w:t>COVID-19 vaccines in Australia - AstraZeneca and Pfizer</w:t>
      </w:r>
      <w:r w:rsidR="00C60708">
        <w:rPr>
          <w:rFonts w:ascii="Garamond" w:hAnsi="Garamond"/>
          <w:b/>
          <w:i/>
          <w:lang w:val="en-AU"/>
        </w:rPr>
        <w:t xml:space="preserve"> </w:t>
      </w:r>
      <w:r w:rsidR="00C60708" w:rsidRPr="001F6C3B">
        <w:rPr>
          <w:rFonts w:ascii="Garamond" w:hAnsi="Garamond"/>
          <w:lang w:val="en-AU"/>
        </w:rPr>
        <w:t>– Evidence in brief on COVID-19 vaccines in Australia</w:t>
      </w:r>
    </w:p>
    <w:p w:rsidR="00C60708" w:rsidRPr="00C60708" w:rsidRDefault="00C60708" w:rsidP="00CB61C4">
      <w:pPr>
        <w:pStyle w:val="ListParagraph"/>
        <w:numPr>
          <w:ilvl w:val="0"/>
          <w:numId w:val="35"/>
        </w:numPr>
        <w:rPr>
          <w:rFonts w:ascii="Garamond" w:hAnsi="Garamond"/>
          <w:lang w:val="en-AU"/>
        </w:rPr>
      </w:pPr>
      <w:r w:rsidRPr="00C60708">
        <w:rPr>
          <w:rFonts w:ascii="Garamond" w:hAnsi="Garamond"/>
          <w:b/>
          <w:i/>
          <w:lang w:val="en-AU"/>
        </w:rPr>
        <w:t>Oxygen saturation monitors/pulse oximeters for COVID-19</w:t>
      </w:r>
      <w:r w:rsidRPr="00C60708">
        <w:rPr>
          <w:rFonts w:ascii="Garamond" w:hAnsi="Garamond"/>
          <w:lang w:val="en-AU"/>
        </w:rPr>
        <w:t xml:space="preserve"> – Evidence on oxygen saturation monitors/pulse oximeters for COVID-19</w:t>
      </w:r>
    </w:p>
    <w:p w:rsidR="00C60708" w:rsidRPr="00C60708" w:rsidRDefault="00C60708" w:rsidP="00E025E2">
      <w:pPr>
        <w:pStyle w:val="ListParagraph"/>
        <w:numPr>
          <w:ilvl w:val="0"/>
          <w:numId w:val="35"/>
        </w:numPr>
        <w:rPr>
          <w:rFonts w:ascii="Garamond" w:hAnsi="Garamond"/>
          <w:lang w:val="en-AU"/>
        </w:rPr>
      </w:pPr>
      <w:r w:rsidRPr="00C60708">
        <w:rPr>
          <w:rFonts w:ascii="Garamond" w:hAnsi="Garamond"/>
          <w:b/>
          <w:i/>
          <w:lang w:val="en-AU"/>
        </w:rPr>
        <w:t>Treatment for COVID-19 in pregnant people</w:t>
      </w:r>
      <w:r w:rsidRPr="00C60708">
        <w:rPr>
          <w:rFonts w:ascii="Garamond" w:hAnsi="Garamond"/>
          <w:lang w:val="en-AU"/>
        </w:rPr>
        <w:t xml:space="preserve"> – Evidence check on treatment for COVID-19 in pregnant people</w:t>
      </w:r>
    </w:p>
    <w:p w:rsidR="00C60708" w:rsidRPr="00C60708" w:rsidRDefault="00C60708" w:rsidP="00EE75BB">
      <w:pPr>
        <w:pStyle w:val="ListParagraph"/>
        <w:numPr>
          <w:ilvl w:val="0"/>
          <w:numId w:val="35"/>
        </w:numPr>
        <w:rPr>
          <w:rFonts w:ascii="Garamond" w:hAnsi="Garamond"/>
          <w:lang w:val="en-AU"/>
        </w:rPr>
      </w:pPr>
      <w:r w:rsidRPr="00C60708">
        <w:rPr>
          <w:rFonts w:ascii="Garamond" w:hAnsi="Garamond"/>
          <w:b/>
          <w:i/>
          <w:lang w:val="en-AU"/>
        </w:rPr>
        <w:t>Period of isolation relevant to vaccination status</w:t>
      </w:r>
      <w:r w:rsidRPr="00C60708">
        <w:rPr>
          <w:rFonts w:ascii="Garamond" w:hAnsi="Garamond"/>
          <w:lang w:val="en-AU"/>
        </w:rPr>
        <w:t xml:space="preserve"> – Evidence check on period of isolation relevant to vaccination status</w:t>
      </w:r>
    </w:p>
    <w:p w:rsidR="00C60708" w:rsidRPr="00C60708" w:rsidRDefault="00C60708" w:rsidP="009653D3">
      <w:pPr>
        <w:pStyle w:val="ListParagraph"/>
        <w:numPr>
          <w:ilvl w:val="0"/>
          <w:numId w:val="35"/>
        </w:numPr>
        <w:rPr>
          <w:rFonts w:ascii="Garamond" w:hAnsi="Garamond"/>
          <w:lang w:val="en-AU"/>
        </w:rPr>
      </w:pPr>
      <w:r w:rsidRPr="00C60708">
        <w:rPr>
          <w:rFonts w:ascii="Garamond" w:hAnsi="Garamond"/>
          <w:b/>
          <w:i/>
          <w:lang w:val="en-AU"/>
        </w:rPr>
        <w:t>Children and COVID-19 outcomes</w:t>
      </w:r>
      <w:r w:rsidRPr="00C60708">
        <w:rPr>
          <w:rFonts w:ascii="Garamond" w:hAnsi="Garamond"/>
          <w:lang w:val="en-AU"/>
        </w:rPr>
        <w:t xml:space="preserve"> – Evidence in brief on children and COVID-19 outcomes</w:t>
      </w:r>
    </w:p>
    <w:p w:rsidR="00C60708" w:rsidRPr="00C60708" w:rsidRDefault="00C60708" w:rsidP="00D12802">
      <w:pPr>
        <w:pStyle w:val="ListParagraph"/>
        <w:numPr>
          <w:ilvl w:val="0"/>
          <w:numId w:val="35"/>
        </w:numPr>
        <w:rPr>
          <w:rFonts w:ascii="Garamond" w:hAnsi="Garamond"/>
          <w:lang w:val="en-AU"/>
        </w:rPr>
      </w:pPr>
      <w:r w:rsidRPr="00C60708">
        <w:rPr>
          <w:rFonts w:ascii="Garamond" w:hAnsi="Garamond"/>
          <w:b/>
          <w:i/>
          <w:lang w:val="en-AU"/>
        </w:rPr>
        <w:t>Workforce reconfiguration evidence check</w:t>
      </w:r>
      <w:r w:rsidRPr="00C60708">
        <w:rPr>
          <w:rFonts w:ascii="Garamond" w:hAnsi="Garamond"/>
          <w:lang w:val="en-AU"/>
        </w:rPr>
        <w:t xml:space="preserve"> – What is the evidence regarding temporary workforce reconfigurations such as splitting of teams and establishing social distancing protocols within teams to minimise staff exposure to COVID-19?</w:t>
      </w:r>
    </w:p>
    <w:p w:rsidR="00AB4AF0" w:rsidRDefault="00AB4AF0" w:rsidP="00DB4AE7">
      <w:pPr>
        <w:rPr>
          <w:rFonts w:ascii="Garamond" w:hAnsi="Garamond"/>
          <w:lang w:val="en-AU"/>
        </w:rPr>
      </w:pPr>
    </w:p>
    <w:p w:rsidR="002911E0" w:rsidRDefault="002911E0" w:rsidP="00DB4AE7">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8"/>
      <w:footerReference w:type="default" r:id="rId5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686" w:rsidRDefault="00686686">
      <w:r>
        <w:separator/>
      </w:r>
    </w:p>
  </w:endnote>
  <w:endnote w:type="continuationSeparator" w:id="0">
    <w:p w:rsidR="00686686" w:rsidRDefault="0068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6" w:rsidRDefault="0068668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02FA9">
      <w:rPr>
        <w:rStyle w:val="PageNumber"/>
        <w:noProof/>
      </w:rPr>
      <w:t>12</w:t>
    </w:r>
    <w:r>
      <w:rPr>
        <w:rStyle w:val="PageNumber"/>
      </w:rPr>
      <w:fldChar w:fldCharType="end"/>
    </w:r>
  </w:p>
  <w:p w:rsidR="00686686" w:rsidRPr="001E78F0" w:rsidRDefault="0068668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712DD0">
      <w:rPr>
        <w:rFonts w:ascii="Garamond" w:hAnsi="Garamond"/>
      </w:rPr>
      <w:t xml:space="preserve"> Issue 531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6" w:rsidRPr="001E78F0" w:rsidRDefault="0068668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902FA9">
      <w:rPr>
        <w:rStyle w:val="PageNumber"/>
        <w:rFonts w:ascii="Garamond" w:hAnsi="Garamond"/>
        <w:noProof/>
      </w:rPr>
      <w:t>13</w:t>
    </w:r>
    <w:r w:rsidRPr="001E78F0">
      <w:rPr>
        <w:rStyle w:val="PageNumber"/>
        <w:rFonts w:ascii="Garamond" w:hAnsi="Garamond"/>
      </w:rPr>
      <w:fldChar w:fldCharType="end"/>
    </w:r>
  </w:p>
  <w:p w:rsidR="00686686" w:rsidRPr="001E78F0" w:rsidRDefault="00686686"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sidR="00712DD0">
      <w:rPr>
        <w:rFonts w:ascii="Garamond" w:hAnsi="Garamond"/>
      </w:rPr>
      <w:t xml:space="preserve"> Issue 531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686" w:rsidRDefault="00686686">
      <w:r>
        <w:separator/>
      </w:r>
    </w:p>
  </w:footnote>
  <w:footnote w:type="continuationSeparator" w:id="0">
    <w:p w:rsidR="00686686" w:rsidRDefault="00686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E4626"/>
    <w:multiLevelType w:val="hybridMultilevel"/>
    <w:tmpl w:val="E946E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595C26"/>
    <w:multiLevelType w:val="hybridMultilevel"/>
    <w:tmpl w:val="BF5A7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E40229"/>
    <w:multiLevelType w:val="hybridMultilevel"/>
    <w:tmpl w:val="3CB66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7A17AC"/>
    <w:multiLevelType w:val="hybridMultilevel"/>
    <w:tmpl w:val="F78C55F8"/>
    <w:lvl w:ilvl="0" w:tplc="E5466A72">
      <w:start w:val="1"/>
      <w:numFmt w:val="decimal"/>
      <w:lvlText w:val="%1."/>
      <w:lvlJc w:val="left"/>
      <w:pPr>
        <w:ind w:left="2475" w:hanging="21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A52032"/>
    <w:multiLevelType w:val="hybridMultilevel"/>
    <w:tmpl w:val="C3287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5E06BE"/>
    <w:multiLevelType w:val="hybridMultilevel"/>
    <w:tmpl w:val="D44E6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DA46BC"/>
    <w:multiLevelType w:val="hybridMultilevel"/>
    <w:tmpl w:val="BD46C7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627F75"/>
    <w:multiLevelType w:val="hybridMultilevel"/>
    <w:tmpl w:val="22601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602744C"/>
    <w:multiLevelType w:val="hybridMultilevel"/>
    <w:tmpl w:val="A77A6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B70E72"/>
    <w:multiLevelType w:val="hybridMultilevel"/>
    <w:tmpl w:val="9DEE3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A13A78"/>
    <w:multiLevelType w:val="hybridMultilevel"/>
    <w:tmpl w:val="8F24F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93165D"/>
    <w:multiLevelType w:val="hybridMultilevel"/>
    <w:tmpl w:val="48CC5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873605"/>
    <w:multiLevelType w:val="hybridMultilevel"/>
    <w:tmpl w:val="7DA0DD7E"/>
    <w:lvl w:ilvl="0" w:tplc="EFBA7706">
      <w:start w:val="1"/>
      <w:numFmt w:val="decimal"/>
      <w:lvlText w:val="%1."/>
      <w:lvlJc w:val="left"/>
      <w:pPr>
        <w:ind w:left="2475" w:hanging="21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B545F0"/>
    <w:multiLevelType w:val="hybridMultilevel"/>
    <w:tmpl w:val="A524071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517ECA"/>
    <w:multiLevelType w:val="hybridMultilevel"/>
    <w:tmpl w:val="BD8AE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BF63F5"/>
    <w:multiLevelType w:val="hybridMultilevel"/>
    <w:tmpl w:val="D602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BD4A50"/>
    <w:multiLevelType w:val="hybridMultilevel"/>
    <w:tmpl w:val="6584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7E4E97"/>
    <w:multiLevelType w:val="hybridMultilevel"/>
    <w:tmpl w:val="954E62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D53628"/>
    <w:multiLevelType w:val="hybridMultilevel"/>
    <w:tmpl w:val="B77A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0046EF"/>
    <w:multiLevelType w:val="hybridMultilevel"/>
    <w:tmpl w:val="F8FEA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596110"/>
    <w:multiLevelType w:val="hybridMultilevel"/>
    <w:tmpl w:val="E4B80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9675B5"/>
    <w:multiLevelType w:val="hybridMultilevel"/>
    <w:tmpl w:val="D4322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F30684"/>
    <w:multiLevelType w:val="hybridMultilevel"/>
    <w:tmpl w:val="37226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84DF9"/>
    <w:multiLevelType w:val="hybridMultilevel"/>
    <w:tmpl w:val="FD58DF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930295"/>
    <w:multiLevelType w:val="hybridMultilevel"/>
    <w:tmpl w:val="563801A6"/>
    <w:lvl w:ilvl="0" w:tplc="07C44F4A">
      <w:start w:val="1"/>
      <w:numFmt w:val="decimal"/>
      <w:lvlText w:val="%1."/>
      <w:lvlJc w:val="left"/>
      <w:pPr>
        <w:ind w:left="2475" w:hanging="21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FB2618"/>
    <w:multiLevelType w:val="hybridMultilevel"/>
    <w:tmpl w:val="25C09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181A18"/>
    <w:multiLevelType w:val="hybridMultilevel"/>
    <w:tmpl w:val="68329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7B5915"/>
    <w:multiLevelType w:val="hybridMultilevel"/>
    <w:tmpl w:val="76181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EF4E65"/>
    <w:multiLevelType w:val="hybridMultilevel"/>
    <w:tmpl w:val="97F05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084AD5"/>
    <w:multiLevelType w:val="hybridMultilevel"/>
    <w:tmpl w:val="19869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4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28"/>
  </w:num>
  <w:num w:numId="15">
    <w:abstractNumId w:val="21"/>
  </w:num>
  <w:num w:numId="16">
    <w:abstractNumId w:val="32"/>
  </w:num>
  <w:num w:numId="17">
    <w:abstractNumId w:val="45"/>
  </w:num>
  <w:num w:numId="18">
    <w:abstractNumId w:val="14"/>
  </w:num>
  <w:num w:numId="19">
    <w:abstractNumId w:val="35"/>
  </w:num>
  <w:num w:numId="20">
    <w:abstractNumId w:val="40"/>
  </w:num>
  <w:num w:numId="21">
    <w:abstractNumId w:val="18"/>
  </w:num>
  <w:num w:numId="22">
    <w:abstractNumId w:val="38"/>
  </w:num>
  <w:num w:numId="23">
    <w:abstractNumId w:val="34"/>
  </w:num>
  <w:num w:numId="24">
    <w:abstractNumId w:val="31"/>
  </w:num>
  <w:num w:numId="25">
    <w:abstractNumId w:val="15"/>
  </w:num>
  <w:num w:numId="26">
    <w:abstractNumId w:val="29"/>
  </w:num>
  <w:num w:numId="27">
    <w:abstractNumId w:val="43"/>
  </w:num>
  <w:num w:numId="28">
    <w:abstractNumId w:val="36"/>
  </w:num>
  <w:num w:numId="29">
    <w:abstractNumId w:val="26"/>
  </w:num>
  <w:num w:numId="30">
    <w:abstractNumId w:val="11"/>
  </w:num>
  <w:num w:numId="31">
    <w:abstractNumId w:val="30"/>
  </w:num>
  <w:num w:numId="32">
    <w:abstractNumId w:val="25"/>
  </w:num>
  <w:num w:numId="33">
    <w:abstractNumId w:val="10"/>
  </w:num>
  <w:num w:numId="34">
    <w:abstractNumId w:val="17"/>
  </w:num>
  <w:num w:numId="35">
    <w:abstractNumId w:val="20"/>
  </w:num>
  <w:num w:numId="36">
    <w:abstractNumId w:val="42"/>
  </w:num>
  <w:num w:numId="37">
    <w:abstractNumId w:val="13"/>
  </w:num>
  <w:num w:numId="38">
    <w:abstractNumId w:val="22"/>
  </w:num>
  <w:num w:numId="39">
    <w:abstractNumId w:val="16"/>
  </w:num>
  <w:num w:numId="40">
    <w:abstractNumId w:val="23"/>
  </w:num>
  <w:num w:numId="41">
    <w:abstractNumId w:val="19"/>
  </w:num>
  <w:num w:numId="42">
    <w:abstractNumId w:val="37"/>
  </w:num>
  <w:num w:numId="43">
    <w:abstractNumId w:val="44"/>
  </w:num>
  <w:num w:numId="44">
    <w:abstractNumId w:val="39"/>
  </w:num>
  <w:num w:numId="45">
    <w:abstractNumId w:val="12"/>
  </w:num>
  <w:num w:numId="4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7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369"/>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6E7E"/>
    <w:rsid w:val="00027059"/>
    <w:rsid w:val="00027062"/>
    <w:rsid w:val="00027144"/>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5BB"/>
    <w:rsid w:val="000418C2"/>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A4B"/>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15D"/>
    <w:rsid w:val="00057ABB"/>
    <w:rsid w:val="00057DD4"/>
    <w:rsid w:val="000602C8"/>
    <w:rsid w:val="000606EF"/>
    <w:rsid w:val="0006079C"/>
    <w:rsid w:val="00060926"/>
    <w:rsid w:val="00060AFD"/>
    <w:rsid w:val="00060F3C"/>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C69"/>
    <w:rsid w:val="0006703F"/>
    <w:rsid w:val="000670CA"/>
    <w:rsid w:val="0006746E"/>
    <w:rsid w:val="000675DD"/>
    <w:rsid w:val="000678E5"/>
    <w:rsid w:val="000678FD"/>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4CF"/>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4A4"/>
    <w:rsid w:val="00120572"/>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BE8"/>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53"/>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A4"/>
    <w:rsid w:val="001C0BE7"/>
    <w:rsid w:val="001C0CF1"/>
    <w:rsid w:val="001C0D25"/>
    <w:rsid w:val="001C0D5E"/>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76E"/>
    <w:rsid w:val="001F69E6"/>
    <w:rsid w:val="001F69FE"/>
    <w:rsid w:val="001F6A24"/>
    <w:rsid w:val="001F6C3B"/>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567"/>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3E1"/>
    <w:rsid w:val="002C1519"/>
    <w:rsid w:val="002C1559"/>
    <w:rsid w:val="002C1817"/>
    <w:rsid w:val="002C1931"/>
    <w:rsid w:val="002C1B81"/>
    <w:rsid w:val="002C1D81"/>
    <w:rsid w:val="002C1DCB"/>
    <w:rsid w:val="002C1FFE"/>
    <w:rsid w:val="002C251A"/>
    <w:rsid w:val="002C252E"/>
    <w:rsid w:val="002C275B"/>
    <w:rsid w:val="002C2A03"/>
    <w:rsid w:val="002C32D0"/>
    <w:rsid w:val="002C32DD"/>
    <w:rsid w:val="002C3503"/>
    <w:rsid w:val="002C381D"/>
    <w:rsid w:val="002C385A"/>
    <w:rsid w:val="002C38F5"/>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D0F"/>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1F7"/>
    <w:rsid w:val="002E7227"/>
    <w:rsid w:val="002E7697"/>
    <w:rsid w:val="002E797D"/>
    <w:rsid w:val="002E7C3E"/>
    <w:rsid w:val="002E7C93"/>
    <w:rsid w:val="002E7E57"/>
    <w:rsid w:val="002F0197"/>
    <w:rsid w:val="002F04E5"/>
    <w:rsid w:val="002F0823"/>
    <w:rsid w:val="002F0C13"/>
    <w:rsid w:val="002F0DC8"/>
    <w:rsid w:val="002F0DE5"/>
    <w:rsid w:val="002F0F7A"/>
    <w:rsid w:val="002F0F9D"/>
    <w:rsid w:val="002F11CA"/>
    <w:rsid w:val="002F1530"/>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8A"/>
    <w:rsid w:val="0034576F"/>
    <w:rsid w:val="003458E9"/>
    <w:rsid w:val="003459B2"/>
    <w:rsid w:val="00345AA1"/>
    <w:rsid w:val="00345E3E"/>
    <w:rsid w:val="00345EE5"/>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6DC7"/>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404"/>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1555"/>
    <w:rsid w:val="0040185B"/>
    <w:rsid w:val="00401E1F"/>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95F"/>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E3"/>
    <w:rsid w:val="004C75E6"/>
    <w:rsid w:val="004C78C9"/>
    <w:rsid w:val="004C78CF"/>
    <w:rsid w:val="004C7A99"/>
    <w:rsid w:val="004C7C67"/>
    <w:rsid w:val="004C7F9A"/>
    <w:rsid w:val="004D0158"/>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8C8"/>
    <w:rsid w:val="00517A0E"/>
    <w:rsid w:val="00520061"/>
    <w:rsid w:val="00520243"/>
    <w:rsid w:val="0052038D"/>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A4"/>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460"/>
    <w:rsid w:val="00586619"/>
    <w:rsid w:val="00586661"/>
    <w:rsid w:val="00586771"/>
    <w:rsid w:val="0058688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8EE"/>
    <w:rsid w:val="005F6C62"/>
    <w:rsid w:val="005F6E21"/>
    <w:rsid w:val="005F6F8E"/>
    <w:rsid w:val="005F7107"/>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1D2"/>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59"/>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E1"/>
    <w:rsid w:val="006734C4"/>
    <w:rsid w:val="00673657"/>
    <w:rsid w:val="006737B3"/>
    <w:rsid w:val="00673D49"/>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B0B"/>
    <w:rsid w:val="00681B20"/>
    <w:rsid w:val="00681BDD"/>
    <w:rsid w:val="00681E07"/>
    <w:rsid w:val="00681FF4"/>
    <w:rsid w:val="0068209F"/>
    <w:rsid w:val="00682182"/>
    <w:rsid w:val="006824BC"/>
    <w:rsid w:val="006825BC"/>
    <w:rsid w:val="006829C8"/>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C7FA9"/>
    <w:rsid w:val="006D0366"/>
    <w:rsid w:val="006D0A1B"/>
    <w:rsid w:val="006D0A2E"/>
    <w:rsid w:val="006D0A3B"/>
    <w:rsid w:val="006D0BEC"/>
    <w:rsid w:val="006D0E64"/>
    <w:rsid w:val="006D0EF6"/>
    <w:rsid w:val="006D10F2"/>
    <w:rsid w:val="006D1488"/>
    <w:rsid w:val="006D1626"/>
    <w:rsid w:val="006D1908"/>
    <w:rsid w:val="006D1951"/>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09D"/>
    <w:rsid w:val="006E518F"/>
    <w:rsid w:val="006E5352"/>
    <w:rsid w:val="006E5B63"/>
    <w:rsid w:val="006E5F4A"/>
    <w:rsid w:val="006E5FF1"/>
    <w:rsid w:val="006E6048"/>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63"/>
    <w:rsid w:val="00745644"/>
    <w:rsid w:val="00745A58"/>
    <w:rsid w:val="00745B39"/>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05"/>
    <w:rsid w:val="00782F25"/>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1E"/>
    <w:rsid w:val="007A6DC2"/>
    <w:rsid w:val="007A75CC"/>
    <w:rsid w:val="007A795F"/>
    <w:rsid w:val="007A7AE1"/>
    <w:rsid w:val="007A7B94"/>
    <w:rsid w:val="007A7CD9"/>
    <w:rsid w:val="007B00E7"/>
    <w:rsid w:val="007B0270"/>
    <w:rsid w:val="007B05B7"/>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AF2"/>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74B"/>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8E9"/>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6C42"/>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96"/>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67CE3"/>
    <w:rsid w:val="00870031"/>
    <w:rsid w:val="00870094"/>
    <w:rsid w:val="0087014D"/>
    <w:rsid w:val="00870AFA"/>
    <w:rsid w:val="00870B01"/>
    <w:rsid w:val="00871272"/>
    <w:rsid w:val="008712C3"/>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D6A"/>
    <w:rsid w:val="008A3E31"/>
    <w:rsid w:val="008A3F86"/>
    <w:rsid w:val="008A41E8"/>
    <w:rsid w:val="008A435B"/>
    <w:rsid w:val="008A44E1"/>
    <w:rsid w:val="008A4615"/>
    <w:rsid w:val="008A47D4"/>
    <w:rsid w:val="008A47D6"/>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2FA9"/>
    <w:rsid w:val="009030FD"/>
    <w:rsid w:val="009031CB"/>
    <w:rsid w:val="00903488"/>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5FC8"/>
    <w:rsid w:val="009562AD"/>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39"/>
    <w:rsid w:val="009875A8"/>
    <w:rsid w:val="00987746"/>
    <w:rsid w:val="009877EB"/>
    <w:rsid w:val="0098795D"/>
    <w:rsid w:val="00987DD8"/>
    <w:rsid w:val="00987DF9"/>
    <w:rsid w:val="009901B5"/>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5B"/>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E18"/>
    <w:rsid w:val="00AE601D"/>
    <w:rsid w:val="00AE6095"/>
    <w:rsid w:val="00AE60EB"/>
    <w:rsid w:val="00AE626B"/>
    <w:rsid w:val="00AE65A4"/>
    <w:rsid w:val="00AE6A2F"/>
    <w:rsid w:val="00AE6B6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8F8"/>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9AC"/>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9C"/>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3E79"/>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816"/>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272"/>
    <w:rsid w:val="00C022E3"/>
    <w:rsid w:val="00C025D0"/>
    <w:rsid w:val="00C02785"/>
    <w:rsid w:val="00C02C36"/>
    <w:rsid w:val="00C03046"/>
    <w:rsid w:val="00C0321C"/>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830"/>
    <w:rsid w:val="00C4390D"/>
    <w:rsid w:val="00C43EA3"/>
    <w:rsid w:val="00C4408E"/>
    <w:rsid w:val="00C4428F"/>
    <w:rsid w:val="00C44541"/>
    <w:rsid w:val="00C445EC"/>
    <w:rsid w:val="00C44664"/>
    <w:rsid w:val="00C44CDF"/>
    <w:rsid w:val="00C44F99"/>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38"/>
    <w:rsid w:val="00C933FD"/>
    <w:rsid w:val="00C93829"/>
    <w:rsid w:val="00C938EC"/>
    <w:rsid w:val="00C93945"/>
    <w:rsid w:val="00C939B5"/>
    <w:rsid w:val="00C93A68"/>
    <w:rsid w:val="00C93EEC"/>
    <w:rsid w:val="00C94240"/>
    <w:rsid w:val="00C9441B"/>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699"/>
    <w:rsid w:val="00CD6B18"/>
    <w:rsid w:val="00CD6C71"/>
    <w:rsid w:val="00CD7211"/>
    <w:rsid w:val="00CD74AE"/>
    <w:rsid w:val="00CD76C9"/>
    <w:rsid w:val="00CD785A"/>
    <w:rsid w:val="00CD7AA4"/>
    <w:rsid w:val="00CD7E8F"/>
    <w:rsid w:val="00CE003C"/>
    <w:rsid w:val="00CE0099"/>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6E05"/>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9E4"/>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F05"/>
    <w:rsid w:val="00D5230A"/>
    <w:rsid w:val="00D52375"/>
    <w:rsid w:val="00D528E9"/>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BF5"/>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1DA"/>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70"/>
    <w:rsid w:val="00DC3A4A"/>
    <w:rsid w:val="00DC3DC5"/>
    <w:rsid w:val="00DC4325"/>
    <w:rsid w:val="00DC4B7B"/>
    <w:rsid w:val="00DC4C3C"/>
    <w:rsid w:val="00DC4E4E"/>
    <w:rsid w:val="00DC51C4"/>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32C"/>
    <w:rsid w:val="00E6560D"/>
    <w:rsid w:val="00E656DD"/>
    <w:rsid w:val="00E659AD"/>
    <w:rsid w:val="00E65ABF"/>
    <w:rsid w:val="00E65C2A"/>
    <w:rsid w:val="00E65D28"/>
    <w:rsid w:val="00E660B4"/>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53B"/>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3DD"/>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8CC"/>
    <w:rsid w:val="00F54B01"/>
    <w:rsid w:val="00F553EA"/>
    <w:rsid w:val="00F55616"/>
    <w:rsid w:val="00F559BE"/>
    <w:rsid w:val="00F55D9E"/>
    <w:rsid w:val="00F56120"/>
    <w:rsid w:val="00F5645E"/>
    <w:rsid w:val="00F567A6"/>
    <w:rsid w:val="00F56EBD"/>
    <w:rsid w:val="00F56FEB"/>
    <w:rsid w:val="00F570FB"/>
    <w:rsid w:val="00F57104"/>
    <w:rsid w:val="00F57157"/>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F2"/>
    <w:rsid w:val="00F6308E"/>
    <w:rsid w:val="00F630DF"/>
    <w:rsid w:val="00F63222"/>
    <w:rsid w:val="00F6322B"/>
    <w:rsid w:val="00F63671"/>
    <w:rsid w:val="00F63992"/>
    <w:rsid w:val="00F63D30"/>
    <w:rsid w:val="00F63DE7"/>
    <w:rsid w:val="00F63DFB"/>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4DA"/>
    <w:rsid w:val="00FA7DD7"/>
    <w:rsid w:val="00FB008B"/>
    <w:rsid w:val="00FB00B4"/>
    <w:rsid w:val="00FB00D9"/>
    <w:rsid w:val="00FB0156"/>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BD5"/>
    <w:rsid w:val="00FB1E1E"/>
    <w:rsid w:val="00FB1F77"/>
    <w:rsid w:val="00FB2090"/>
    <w:rsid w:val="00FB2222"/>
    <w:rsid w:val="00FB2311"/>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183"/>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6865"/>
    <o:shapelayout v:ext="edit">
      <o:idmap v:ext="edit" data="1"/>
    </o:shapelayout>
  </w:shapeDefaults>
  <w:decimalSymbol w:val="."/>
  <w:listSeparator w:val=","/>
  <w14:docId w14:val="15EC414F"/>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177/10398562211042361" TargetMode="External"/><Relationship Id="rId26" Type="http://schemas.openxmlformats.org/officeDocument/2006/relationships/hyperlink" Target="https://www.safetyandquality.gov.au/our-work/medication-safety" TargetMode="External"/><Relationship Id="rId39" Type="http://schemas.openxmlformats.org/officeDocument/2006/relationships/image" Target="media/image3.png"/><Relationship Id="rId21" Type="http://schemas.openxmlformats.org/officeDocument/2006/relationships/hyperlink" Target="http://doi.org/10.1097/pts.0000000000000889" TargetMode="External"/><Relationship Id="rId34" Type="http://schemas.openxmlformats.org/officeDocument/2006/relationships/hyperlink" Target="https://www.safetyandquality.gov.au/publications-and-resources/resource-library/covid-19-infection-prevention-and-control-risk-management-guidance" TargetMode="External"/><Relationship Id="rId42" Type="http://schemas.openxmlformats.org/officeDocument/2006/relationships/hyperlink" Target="http://www.safetyandquality.gov.au/environmental-cleaning" TargetMode="External"/><Relationship Id="rId47"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0" Type="http://schemas.openxmlformats.org/officeDocument/2006/relationships/hyperlink" Target="https://www.safetyandquality.gov.au/node/5725" TargetMode="External"/><Relationship Id="rId55" Type="http://schemas.openxmlformats.org/officeDocument/2006/relationships/image" Target="media/image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andquality.gov.au/our-work/medication-safety" TargetMode="External"/><Relationship Id="rId20" Type="http://schemas.openxmlformats.org/officeDocument/2006/relationships/hyperlink" Target="http://doi.org/10.1001/jamanetworkopen.2021.19346" TargetMode="External"/><Relationship Id="rId29" Type="http://schemas.openxmlformats.org/officeDocument/2006/relationships/hyperlink" Target="https://qualitysafety.bmj.com/content/early/recent" TargetMode="External"/><Relationship Id="rId41" Type="http://schemas.openxmlformats.org/officeDocument/2006/relationships/image" Target="media/image4.PNG"/><Relationship Id="rId54" Type="http://schemas.openxmlformats.org/officeDocument/2006/relationships/hyperlink" Target="https://www.safetyandquality.gov.au/sites/default/files/2020-07/covid-19_and_face_masks_-_information_for_consum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doi.org/10.1111/trf.16588" TargetMode="External"/><Relationship Id="rId32" Type="http://schemas.openxmlformats.org/officeDocument/2006/relationships/hyperlink" Target="https://g-i-n.net/toolkit/" TargetMode="External"/><Relationship Id="rId37" Type="http://schemas.openxmlformats.org/officeDocument/2006/relationships/image" Target="media/image2.png"/><Relationship Id="rId40" Type="http://schemas.openxmlformats.org/officeDocument/2006/relationships/hyperlink" Target="https://www.safetyandquality.gov.au/publications-and-resources/resource-library/poster-combined-airborne-and-contact-precautions" TargetMode="External"/><Relationship Id="rId45" Type="http://schemas.openxmlformats.org/officeDocument/2006/relationships/hyperlink" Target="https://www.safetyandquality.gov.au/our-work/cognitive-impairment/cognitive-impairment-and-covid-19" TargetMode="External"/><Relationship Id="rId53" Type="http://schemas.openxmlformats.org/officeDocument/2006/relationships/hyperlink" Target="https://www.safetyandquality.gov.au/wearing-face-masks-community"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national-overprescribing-review-report" TargetMode="External"/><Relationship Id="rId23" Type="http://schemas.openxmlformats.org/officeDocument/2006/relationships/hyperlink" Target="https://www.safetyandquality.gov.au/our-work/partnering-consumers/shared-decision-making" TargetMode="External"/><Relationship Id="rId28" Type="http://schemas.openxmlformats.org/officeDocument/2006/relationships/hyperlink" Target="https://bmjleader.bmj.com/content/5/3" TargetMode="External"/><Relationship Id="rId36" Type="http://schemas.openxmlformats.org/officeDocument/2006/relationships/hyperlink" Target="https://www.safetyandquality.gov.au/publications-and-resources/resource-library/poster-ppe-use-aged-care-staff-caring-residents-covid-19" TargetMode="External"/><Relationship Id="rId49" Type="http://schemas.openxmlformats.org/officeDocument/2006/relationships/hyperlink" Target="https://www.safetyandquality.gov.au/node/5724" TargetMode="External"/><Relationship Id="rId57" Type="http://schemas.openxmlformats.org/officeDocument/2006/relationships/hyperlink" Target="https://www.aci.health.nsw.gov.au/covid-19/critical-intelligence-unit" TargetMode="External"/><Relationship Id="rId61" Type="http://schemas.openxmlformats.org/officeDocument/2006/relationships/theme" Target="theme/theme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DMHS" TargetMode="External"/><Relationship Id="rId31" Type="http://schemas.openxmlformats.org/officeDocument/2006/relationships/hyperlink" Target="https://www.ismp.org/resources/pharmacists-and-nurses-role-antimicrobial-stewardship-antimicrobial-resistance-and-sepsis" TargetMode="External"/><Relationship Id="rId44" Type="http://schemas.openxmlformats.org/officeDocument/2006/relationships/hyperlink" Target="https://www.safetyandquality.gov.au/publications-and-resources/resource-library/covid-19-infection-prevention-and-control-risk-management-guidance" TargetMode="External"/><Relationship Id="rId52" Type="http://schemas.openxmlformats.org/officeDocument/2006/relationships/hyperlink" Target="https://www.safetyandquality.gov.au/publications-and-resources/resource-library/covid-19-and-face-masks-information-consumer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186/s13012-021-01142-y" TargetMode="External"/><Relationship Id="rId27" Type="http://schemas.openxmlformats.org/officeDocument/2006/relationships/hyperlink" Target="https://www.longwoods.com/publications/nursing-leadership/26526/1/vol.-34-no.-3-2021" TargetMode="External"/><Relationship Id="rId30" Type="http://schemas.openxmlformats.org/officeDocument/2006/relationships/hyperlink" Target="https://www.thecommuniques.com/post/clinical-communiqu%C3%A9-volume-8-issue-3-september-2021" TargetMode="External"/><Relationship Id="rId35" Type="http://schemas.openxmlformats.org/officeDocument/2006/relationships/hyperlink" Target="https://www.safetyandquality.gov.au/covid-19" TargetMode="External"/><Relationship Id="rId43" Type="http://schemas.openxmlformats.org/officeDocument/2006/relationships/hyperlink" Target="https://www.safetyandquality.gov.au/publications-and-resources/resource-library/infection-prevention-and-control-covid-19-personal-protective-equipment" TargetMode="External"/><Relationship Id="rId48" Type="http://schemas.openxmlformats.org/officeDocument/2006/relationships/image" Target="media/image5.png"/><Relationship Id="rId56" Type="http://schemas.openxmlformats.org/officeDocument/2006/relationships/hyperlink" Target="https://covid19evidence.net.au/" TargetMode="External"/><Relationship Id="rId8" Type="http://schemas.openxmlformats.org/officeDocument/2006/relationships/image" Target="media/image1.jpg"/><Relationship Id="rId51" Type="http://schemas.openxmlformats.org/officeDocument/2006/relationships/hyperlink" Target="https://www.safetyandquality.gov.au/faqs-community-use-face-masks"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doi.org/10.1108/JHOM-10-2020-0398" TargetMode="External"/><Relationship Id="rId25" Type="http://schemas.openxmlformats.org/officeDocument/2006/relationships/hyperlink" Target="https://doi.org/10.1016/j.ajem.2020.07.061" TargetMode="External"/><Relationship Id="rId33" Type="http://schemas.openxmlformats.org/officeDocument/2006/relationships/hyperlink" Target="https://evidence.nihr.ac.uk/" TargetMode="External"/><Relationship Id="rId38" Type="http://schemas.openxmlformats.org/officeDocument/2006/relationships/hyperlink" Target="https://www.safetyandquality.gov.au/publications-and-resources/resource-library/poster-combined-contact-and-droplet-precautions" TargetMode="External"/><Relationship Id="rId46" Type="http://schemas.openxmlformats.org/officeDocument/2006/relationships/hyperlink" Target="https://www.safetyandquality.gov.au/publications-and-resources/resource-library/break-chain-poster-a3"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3C537-7F99-44AA-BC0C-F4FBF5A9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13</Pages>
  <Words>4572</Words>
  <Characters>26062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On the Radar Issue 531</vt:lpstr>
    </vt:vector>
  </TitlesOfParts>
  <Company>ACSQHC</Company>
  <LinksUpToDate>false</LinksUpToDate>
  <CharactersWithSpaces>30573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531</dc:title>
  <dc:subject/>
  <dc:creator>Dr Niall Johnson</dc:creator>
  <cp:keywords>On the Radar</cp:keywords>
  <dc:description/>
  <cp:lastModifiedBy>Johnson, Niall</cp:lastModifiedBy>
  <cp:revision>23</cp:revision>
  <cp:lastPrinted>2018-03-02T02:34:00Z</cp:lastPrinted>
  <dcterms:created xsi:type="dcterms:W3CDTF">2021-09-26T22:26:00Z</dcterms:created>
  <dcterms:modified xsi:type="dcterms:W3CDTF">2021-10-01T02:21:00Z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