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672D68">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073384">
        <w:rPr>
          <w:rFonts w:ascii="Garamond" w:hAnsi="Garamond"/>
          <w:color w:val="000000" w:themeColor="text1"/>
          <w:lang w:val="en-AU"/>
        </w:rPr>
        <w:t>35</w:t>
      </w:r>
    </w:p>
    <w:p w:rsidR="00755242" w:rsidRDefault="00073384" w:rsidP="00F738B5">
      <w:pPr>
        <w:rPr>
          <w:rFonts w:ascii="Garamond" w:hAnsi="Garamond"/>
          <w:lang w:val="en-AU"/>
        </w:rPr>
      </w:pPr>
      <w:r>
        <w:rPr>
          <w:rFonts w:ascii="Garamond" w:hAnsi="Garamond"/>
          <w:lang w:val="en-AU"/>
        </w:rPr>
        <w:t>1 Novem</w:t>
      </w:r>
      <w:r w:rsidR="00AF54F8">
        <w:rPr>
          <w:rFonts w:ascii="Garamond" w:hAnsi="Garamond"/>
          <w:lang w:val="en-AU"/>
        </w:rPr>
        <w:t xml:space="preserve">ber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073384" w:rsidRDefault="00073384" w:rsidP="00E34A10">
      <w:pPr>
        <w:keepNext/>
        <w:keepLines/>
        <w:autoSpaceDE w:val="0"/>
        <w:autoSpaceDN w:val="0"/>
        <w:adjustRightInd w:val="0"/>
        <w:rPr>
          <w:rFonts w:ascii="Garamond" w:hAnsi="Garamond"/>
          <w:b/>
          <w:lang w:val="en-AU"/>
        </w:rPr>
      </w:pPr>
    </w:p>
    <w:p w:rsidR="006062DB" w:rsidRDefault="006062DB" w:rsidP="00E34A10">
      <w:pPr>
        <w:keepNext/>
        <w:keepLines/>
        <w:autoSpaceDE w:val="0"/>
        <w:autoSpaceDN w:val="0"/>
        <w:adjustRightInd w:val="0"/>
        <w:rPr>
          <w:rFonts w:ascii="Garamond" w:hAnsi="Garamond"/>
          <w:b/>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6062DB" w:rsidRPr="00B72D3E" w:rsidRDefault="006062DB" w:rsidP="006062DB">
      <w:pPr>
        <w:keepNext/>
        <w:keepLines/>
        <w:tabs>
          <w:tab w:val="left" w:pos="2114"/>
        </w:tabs>
        <w:autoSpaceDE w:val="0"/>
        <w:autoSpaceDN w:val="0"/>
        <w:adjustRightInd w:val="0"/>
        <w:rPr>
          <w:rFonts w:ascii="Garamond" w:hAnsi="Garamond"/>
          <w:i/>
          <w:lang w:val="en-AU"/>
        </w:rPr>
      </w:pPr>
      <w:r w:rsidRPr="00B72D3E">
        <w:rPr>
          <w:rFonts w:ascii="Garamond" w:hAnsi="Garamond"/>
          <w:i/>
          <w:lang w:val="en-AU"/>
        </w:rPr>
        <w:t>Systematic review: Nurses' safety attitudes and their impact on patient outcomes in acute-care hospitals</w:t>
      </w:r>
    </w:p>
    <w:p w:rsidR="006062DB" w:rsidRDefault="006062DB" w:rsidP="006062DB">
      <w:pPr>
        <w:keepNext/>
        <w:keepLines/>
        <w:tabs>
          <w:tab w:val="left" w:pos="2114"/>
        </w:tabs>
        <w:autoSpaceDE w:val="0"/>
        <w:autoSpaceDN w:val="0"/>
        <w:adjustRightInd w:val="0"/>
        <w:rPr>
          <w:rFonts w:ascii="Garamond" w:hAnsi="Garamond"/>
          <w:lang w:val="en-AU"/>
        </w:rPr>
      </w:pPr>
      <w:r w:rsidRPr="00B72D3E">
        <w:rPr>
          <w:rFonts w:ascii="Garamond" w:hAnsi="Garamond"/>
          <w:lang w:val="en-AU"/>
        </w:rPr>
        <w:t>Alanazi FK, Sim J, Lapkin S</w:t>
      </w:r>
    </w:p>
    <w:p w:rsidR="006062DB" w:rsidRDefault="006062DB" w:rsidP="006062DB">
      <w:pPr>
        <w:keepNext/>
        <w:keepLines/>
        <w:tabs>
          <w:tab w:val="left" w:pos="2114"/>
        </w:tabs>
        <w:autoSpaceDE w:val="0"/>
        <w:autoSpaceDN w:val="0"/>
        <w:adjustRightInd w:val="0"/>
        <w:rPr>
          <w:rFonts w:ascii="Garamond" w:hAnsi="Garamond"/>
          <w:lang w:val="en-AU"/>
        </w:rPr>
      </w:pPr>
      <w:r w:rsidRPr="00B72D3E">
        <w:rPr>
          <w:rFonts w:ascii="Garamond" w:hAnsi="Garamond"/>
          <w:lang w:val="en-AU"/>
        </w:rPr>
        <w:t>Nursing Open. 2021</w:t>
      </w:r>
      <w:r>
        <w:rPr>
          <w:rFonts w:ascii="Garamond" w:hAnsi="Garamond"/>
          <w:lang w:val="en-AU"/>
        </w:rPr>
        <w:t xml:space="preserve"> [epub]</w:t>
      </w:r>
      <w:r w:rsidRPr="00B72D3E">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Pr="000170DA" w:rsidRDefault="00354C54" w:rsidP="001F7810">
            <w:pPr>
              <w:rPr>
                <w:rStyle w:val="Hyperlink"/>
                <w:rFonts w:ascii="Garamond" w:hAnsi="Garamond"/>
                <w:color w:val="auto"/>
                <w:u w:val="none"/>
                <w:lang w:val="en-AU"/>
              </w:rPr>
            </w:pPr>
            <w:hyperlink r:id="rId15" w:history="1">
              <w:r w:rsidR="006062DB" w:rsidRPr="00071119">
                <w:rPr>
                  <w:rStyle w:val="Hyperlink"/>
                  <w:rFonts w:ascii="Garamond" w:hAnsi="Garamond"/>
                  <w:lang w:val="en-AU"/>
                </w:rPr>
                <w:t>https://doi.org/10.1002/nop2.1063</w:t>
              </w:r>
            </w:hyperlink>
          </w:p>
        </w:tc>
      </w:tr>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Pr="003A2A81" w:rsidRDefault="006062DB" w:rsidP="001F7810">
            <w:pPr>
              <w:rPr>
                <w:rFonts w:ascii="Garamond" w:hAnsi="Garamond"/>
                <w:lang w:val="en-AU"/>
              </w:rPr>
            </w:pPr>
            <w:r>
              <w:rPr>
                <w:rFonts w:ascii="Garamond" w:hAnsi="Garamond"/>
                <w:lang w:val="en-AU"/>
              </w:rPr>
              <w:t>Paper reporting on a systematic review that sought to ‘</w:t>
            </w:r>
            <w:r w:rsidRPr="00B72D3E">
              <w:rPr>
                <w:rFonts w:ascii="Garamond" w:hAnsi="Garamond"/>
                <w:lang w:val="en-AU"/>
              </w:rPr>
              <w:t>synthesize the best available evidence on the impact of nurses' safety attitudes on patient outcomes in acute-care hospitals.</w:t>
            </w:r>
            <w:r>
              <w:rPr>
                <w:rFonts w:ascii="Garamond" w:hAnsi="Garamond"/>
                <w:lang w:val="en-AU"/>
              </w:rPr>
              <w:t>’ Based on 9 studies, the authors report that ‘</w:t>
            </w:r>
            <w:r w:rsidRPr="00B72D3E">
              <w:rPr>
                <w:rFonts w:ascii="Garamond" w:hAnsi="Garamond"/>
                <w:lang w:val="en-AU"/>
              </w:rPr>
              <w:t>Nurses with positive safety attitudes reported fewer patient falls, medication errors, pressure injuries, healthcare-associated infections, mortality, physical restraints, vascular access device reactions and higher patient satisfaction.</w:t>
            </w:r>
            <w:r>
              <w:rPr>
                <w:rFonts w:ascii="Garamond" w:hAnsi="Garamond"/>
                <w:lang w:val="en-AU"/>
              </w:rPr>
              <w:t>’ It’s recognised that culture and attitudes matter and the authors suggest that ‘</w:t>
            </w:r>
            <w:r w:rsidRPr="00B72D3E">
              <w:rPr>
                <w:rFonts w:ascii="Garamond" w:hAnsi="Garamond"/>
                <w:lang w:val="en-AU"/>
              </w:rPr>
              <w:t>Nurse managers can improve nurses' safety attitudes by promoting a non-punitive response to error reporting and promoting effective teamwork and good communication.</w:t>
            </w:r>
            <w:r>
              <w:rPr>
                <w:rFonts w:ascii="Garamond" w:hAnsi="Garamond"/>
                <w:lang w:val="en-AU"/>
              </w:rPr>
              <w:t>’</w:t>
            </w:r>
          </w:p>
        </w:tc>
      </w:tr>
    </w:tbl>
    <w:p w:rsidR="00BC01D0" w:rsidRPr="00BC01D0" w:rsidRDefault="00BC01D0" w:rsidP="00BC01D0">
      <w:pPr>
        <w:keepNext/>
        <w:keepLines/>
        <w:tabs>
          <w:tab w:val="left" w:pos="2114"/>
        </w:tabs>
        <w:autoSpaceDE w:val="0"/>
        <w:autoSpaceDN w:val="0"/>
        <w:adjustRightInd w:val="0"/>
        <w:rPr>
          <w:rFonts w:ascii="Garamond" w:hAnsi="Garamond"/>
          <w:i/>
          <w:lang w:val="en-AU"/>
        </w:rPr>
      </w:pPr>
      <w:r w:rsidRPr="00BC01D0">
        <w:rPr>
          <w:rFonts w:ascii="Garamond" w:hAnsi="Garamond"/>
          <w:i/>
          <w:lang w:val="en-AU"/>
        </w:rPr>
        <w:lastRenderedPageBreak/>
        <w:t>Digital technologies: a new determinant of health</w:t>
      </w:r>
    </w:p>
    <w:p w:rsidR="00BC01D0" w:rsidRDefault="00BC01D0" w:rsidP="00F37FAF">
      <w:pPr>
        <w:keepNext/>
        <w:keepLines/>
        <w:tabs>
          <w:tab w:val="left" w:pos="2114"/>
        </w:tabs>
        <w:autoSpaceDE w:val="0"/>
        <w:autoSpaceDN w:val="0"/>
        <w:adjustRightInd w:val="0"/>
        <w:rPr>
          <w:rFonts w:ascii="Garamond" w:hAnsi="Garamond"/>
          <w:lang w:val="en-AU"/>
        </w:rPr>
      </w:pPr>
      <w:r w:rsidRPr="00BC01D0">
        <w:rPr>
          <w:rFonts w:ascii="Garamond" w:hAnsi="Garamond"/>
          <w:lang w:val="en-AU"/>
        </w:rPr>
        <w:t>The Lancet Digital Health</w:t>
      </w:r>
    </w:p>
    <w:p w:rsidR="003A4C1E" w:rsidRDefault="00BC01D0" w:rsidP="00F37FAF">
      <w:pPr>
        <w:keepNext/>
        <w:keepLines/>
        <w:tabs>
          <w:tab w:val="left" w:pos="2114"/>
        </w:tabs>
        <w:autoSpaceDE w:val="0"/>
        <w:autoSpaceDN w:val="0"/>
        <w:adjustRightInd w:val="0"/>
        <w:rPr>
          <w:rFonts w:ascii="Garamond" w:hAnsi="Garamond"/>
          <w:lang w:val="en-AU"/>
        </w:rPr>
      </w:pPr>
      <w:r w:rsidRPr="00BC01D0">
        <w:rPr>
          <w:rFonts w:ascii="Garamond" w:hAnsi="Garamond"/>
          <w:lang w:val="en-AU"/>
        </w:rPr>
        <w:t>The Lancet Digital Health. 2021;3(11):e684.</w:t>
      </w:r>
    </w:p>
    <w:p w:rsidR="00956178" w:rsidRDefault="00956178" w:rsidP="00F37FAF">
      <w:pPr>
        <w:keepNext/>
        <w:keepLines/>
        <w:tabs>
          <w:tab w:val="left" w:pos="2114"/>
        </w:tabs>
        <w:autoSpaceDE w:val="0"/>
        <w:autoSpaceDN w:val="0"/>
        <w:adjustRightInd w:val="0"/>
        <w:rPr>
          <w:rFonts w:ascii="Garamond" w:hAnsi="Garamond"/>
          <w:lang w:val="en-AU"/>
        </w:rPr>
      </w:pPr>
    </w:p>
    <w:p w:rsidR="00956178" w:rsidRPr="00AA2397" w:rsidRDefault="00956178" w:rsidP="00956178">
      <w:pPr>
        <w:keepNext/>
        <w:keepLines/>
        <w:tabs>
          <w:tab w:val="left" w:pos="2114"/>
        </w:tabs>
        <w:autoSpaceDE w:val="0"/>
        <w:autoSpaceDN w:val="0"/>
        <w:adjustRightInd w:val="0"/>
        <w:rPr>
          <w:rFonts w:ascii="Garamond" w:hAnsi="Garamond"/>
          <w:i/>
          <w:lang w:val="en-AU"/>
        </w:rPr>
      </w:pPr>
      <w:r w:rsidRPr="00AA2397">
        <w:rPr>
          <w:rFonts w:ascii="Garamond" w:hAnsi="Garamond"/>
          <w:i/>
          <w:lang w:val="en-AU"/>
        </w:rPr>
        <w:t xml:space="preserve">The </w:t>
      </w:r>
      <w:r w:rsidRPr="00AA2397">
        <w:rPr>
          <w:rFonts w:ascii="Garamond" w:hAnsi="Garamond"/>
          <w:lang w:val="en-AU"/>
        </w:rPr>
        <w:t>Lancet</w:t>
      </w:r>
      <w:r w:rsidRPr="00AA2397">
        <w:rPr>
          <w:rFonts w:ascii="Garamond" w:hAnsi="Garamond"/>
          <w:i/>
          <w:lang w:val="en-AU"/>
        </w:rPr>
        <w:t xml:space="preserve"> and </w:t>
      </w:r>
      <w:r w:rsidRPr="00AA2397">
        <w:rPr>
          <w:rFonts w:ascii="Garamond" w:hAnsi="Garamond"/>
          <w:lang w:val="en-AU"/>
        </w:rPr>
        <w:t>Financial Times</w:t>
      </w:r>
      <w:r w:rsidRPr="00AA2397">
        <w:rPr>
          <w:rFonts w:ascii="Garamond" w:hAnsi="Garamond"/>
          <w:i/>
          <w:lang w:val="en-AU"/>
        </w:rPr>
        <w:t xml:space="preserve"> Commission on governing health futures 2030: growing up in a digital world</w:t>
      </w:r>
    </w:p>
    <w:p w:rsidR="00956178" w:rsidRDefault="00956178" w:rsidP="00F37FAF">
      <w:pPr>
        <w:keepNext/>
        <w:keepLines/>
        <w:tabs>
          <w:tab w:val="left" w:pos="2114"/>
        </w:tabs>
        <w:autoSpaceDE w:val="0"/>
        <w:autoSpaceDN w:val="0"/>
        <w:adjustRightInd w:val="0"/>
        <w:rPr>
          <w:rFonts w:ascii="Garamond" w:hAnsi="Garamond"/>
          <w:lang w:val="en-AU"/>
        </w:rPr>
      </w:pPr>
      <w:r w:rsidRPr="00956178">
        <w:rPr>
          <w:rFonts w:ascii="Garamond" w:hAnsi="Garamond"/>
          <w:lang w:val="en-AU"/>
        </w:rPr>
        <w:t xml:space="preserve">Kickbusch I, Piselli D, Agrawal A, Balicer R, Banner O, Adelhardt M, et al. </w:t>
      </w:r>
    </w:p>
    <w:p w:rsidR="00956178" w:rsidRDefault="00956178" w:rsidP="00F37FAF">
      <w:pPr>
        <w:keepNext/>
        <w:keepLines/>
        <w:tabs>
          <w:tab w:val="left" w:pos="2114"/>
        </w:tabs>
        <w:autoSpaceDE w:val="0"/>
        <w:autoSpaceDN w:val="0"/>
        <w:adjustRightInd w:val="0"/>
        <w:rPr>
          <w:rFonts w:ascii="Garamond" w:hAnsi="Garamond"/>
          <w:lang w:val="en-AU"/>
        </w:rPr>
      </w:pPr>
      <w:r w:rsidRPr="00956178">
        <w:rPr>
          <w:rFonts w:ascii="Garamond" w:hAnsi="Garamond"/>
          <w:lang w:val="en-AU"/>
        </w:rPr>
        <w:t>The Lancet. 2021</w:t>
      </w:r>
      <w:r>
        <w:rPr>
          <w:rFonts w:ascii="Garamond" w:hAnsi="Garamond"/>
          <w:lang w:val="en-AU"/>
        </w:rPr>
        <w:t xml:space="preserve"> [epub]</w:t>
      </w:r>
      <w:r w:rsidRPr="0095617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F37FAF" w:rsidRPr="000170DA" w:rsidTr="00DD043E">
        <w:tc>
          <w:tcPr>
            <w:tcW w:w="1080" w:type="dxa"/>
            <w:tcBorders>
              <w:top w:val="single" w:sz="4" w:space="0" w:color="auto"/>
              <w:left w:val="single" w:sz="4" w:space="0" w:color="auto"/>
              <w:bottom w:val="single" w:sz="4" w:space="0" w:color="auto"/>
              <w:right w:val="single" w:sz="4" w:space="0" w:color="auto"/>
            </w:tcBorders>
            <w:vAlign w:val="center"/>
          </w:tcPr>
          <w:p w:rsidR="00F37FAF" w:rsidRPr="000170DA" w:rsidRDefault="00F37FAF" w:rsidP="00DD043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56178" w:rsidRDefault="00956178" w:rsidP="00DD043E">
            <w:pPr>
              <w:rPr>
                <w:rFonts w:ascii="Garamond" w:hAnsi="Garamond"/>
                <w:lang w:val="en-AU"/>
              </w:rPr>
            </w:pPr>
            <w:r w:rsidRPr="00BC01D0">
              <w:rPr>
                <w:rFonts w:ascii="Garamond" w:hAnsi="Garamond"/>
                <w:i/>
                <w:lang w:val="en-AU"/>
              </w:rPr>
              <w:t>The Lancet Digital Health</w:t>
            </w:r>
            <w:r>
              <w:rPr>
                <w:rFonts w:ascii="Garamond" w:hAnsi="Garamond"/>
                <w:lang w:val="en-AU"/>
              </w:rPr>
              <w:t xml:space="preserve">  </w:t>
            </w:r>
            <w:hyperlink r:id="rId16" w:history="1">
              <w:r w:rsidR="00BC01D0" w:rsidRPr="00E05423">
                <w:rPr>
                  <w:rStyle w:val="Hyperlink"/>
                  <w:rFonts w:ascii="Garamond" w:hAnsi="Garamond"/>
                  <w:lang w:val="en-AU"/>
                </w:rPr>
                <w:t>https://doi.org/10.1016/S2589-7500(21)00238-7</w:t>
              </w:r>
            </w:hyperlink>
            <w:r w:rsidRPr="00956178">
              <w:rPr>
                <w:rFonts w:ascii="Garamond" w:hAnsi="Garamond"/>
                <w:lang w:val="en-AU"/>
              </w:rPr>
              <w:t xml:space="preserve"> </w:t>
            </w:r>
          </w:p>
          <w:p w:rsidR="00F37FAF" w:rsidRPr="000170DA" w:rsidRDefault="00956178" w:rsidP="00DD043E">
            <w:pPr>
              <w:rPr>
                <w:rStyle w:val="Hyperlink"/>
                <w:rFonts w:ascii="Garamond" w:hAnsi="Garamond"/>
                <w:color w:val="auto"/>
                <w:u w:val="none"/>
                <w:lang w:val="en-AU"/>
              </w:rPr>
            </w:pPr>
            <w:r w:rsidRPr="00956178">
              <w:rPr>
                <w:rFonts w:ascii="Garamond" w:hAnsi="Garamond"/>
                <w:lang w:val="en-AU"/>
              </w:rPr>
              <w:t>Kickbusch</w:t>
            </w:r>
            <w:r>
              <w:rPr>
                <w:rFonts w:ascii="Garamond" w:hAnsi="Garamond"/>
                <w:lang w:val="en-AU"/>
              </w:rPr>
              <w:t xml:space="preserve"> et al </w:t>
            </w:r>
            <w:hyperlink r:id="rId17" w:history="1">
              <w:r w:rsidRPr="00264585">
                <w:rPr>
                  <w:rStyle w:val="Hyperlink"/>
                  <w:rFonts w:ascii="Garamond" w:hAnsi="Garamond"/>
                  <w:lang w:val="en-AU"/>
                </w:rPr>
                <w:t>https://doi.org/10.1016/S0140-6736(21)01824-9</w:t>
              </w:r>
            </w:hyperlink>
            <w:r>
              <w:rPr>
                <w:rFonts w:ascii="Garamond" w:hAnsi="Garamond"/>
                <w:lang w:val="en-AU"/>
              </w:rPr>
              <w:t xml:space="preserve"> </w:t>
            </w:r>
          </w:p>
        </w:tc>
      </w:tr>
      <w:tr w:rsidR="00F37FAF" w:rsidRPr="000170DA" w:rsidTr="00DD043E">
        <w:tc>
          <w:tcPr>
            <w:tcW w:w="1080" w:type="dxa"/>
            <w:tcBorders>
              <w:top w:val="single" w:sz="4" w:space="0" w:color="auto"/>
              <w:left w:val="single" w:sz="4" w:space="0" w:color="auto"/>
              <w:bottom w:val="single" w:sz="4" w:space="0" w:color="auto"/>
              <w:right w:val="single" w:sz="4" w:space="0" w:color="auto"/>
            </w:tcBorders>
            <w:vAlign w:val="center"/>
          </w:tcPr>
          <w:p w:rsidR="00F37FAF" w:rsidRPr="000170DA" w:rsidRDefault="00F37FAF" w:rsidP="00DD043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3C38" w:rsidRPr="003A2A81" w:rsidRDefault="00BC01D0" w:rsidP="00C80109">
            <w:pPr>
              <w:rPr>
                <w:rFonts w:ascii="Garamond" w:hAnsi="Garamond"/>
                <w:lang w:val="en-AU"/>
              </w:rPr>
            </w:pPr>
            <w:r>
              <w:rPr>
                <w:rFonts w:ascii="Garamond" w:hAnsi="Garamond"/>
                <w:lang w:val="en-AU"/>
              </w:rPr>
              <w:t xml:space="preserve">Editorial in </w:t>
            </w:r>
            <w:r w:rsidRPr="00BC01D0">
              <w:rPr>
                <w:rFonts w:ascii="Garamond" w:hAnsi="Garamond"/>
                <w:i/>
                <w:lang w:val="en-AU"/>
              </w:rPr>
              <w:t>The Lancet Digital Health</w:t>
            </w:r>
            <w:r>
              <w:rPr>
                <w:rFonts w:ascii="Garamond" w:hAnsi="Garamond"/>
                <w:lang w:val="en-AU"/>
              </w:rPr>
              <w:t xml:space="preserve"> that </w:t>
            </w:r>
            <w:r w:rsidR="00B72D3E">
              <w:rPr>
                <w:rFonts w:ascii="Garamond" w:hAnsi="Garamond"/>
                <w:lang w:val="en-AU"/>
              </w:rPr>
              <w:t>re</w:t>
            </w:r>
            <w:r w:rsidR="00C80109">
              <w:rPr>
                <w:rFonts w:ascii="Garamond" w:hAnsi="Garamond"/>
                <w:lang w:val="en-AU"/>
              </w:rPr>
              <w:t>flects</w:t>
            </w:r>
            <w:r w:rsidR="00B72D3E">
              <w:rPr>
                <w:rFonts w:ascii="Garamond" w:hAnsi="Garamond"/>
                <w:lang w:val="en-AU"/>
              </w:rPr>
              <w:t xml:space="preserve"> on </w:t>
            </w:r>
            <w:r w:rsidR="00B72D3E" w:rsidRPr="00AA2397">
              <w:rPr>
                <w:rFonts w:ascii="Garamond" w:hAnsi="Garamond"/>
                <w:i/>
                <w:lang w:val="en-AU"/>
              </w:rPr>
              <w:t>The Lancet</w:t>
            </w:r>
            <w:r w:rsidR="00B72D3E">
              <w:rPr>
                <w:rFonts w:ascii="Garamond" w:hAnsi="Garamond"/>
                <w:lang w:val="en-AU"/>
              </w:rPr>
              <w:t xml:space="preserve"> and </w:t>
            </w:r>
            <w:r w:rsidR="00B72D3E" w:rsidRPr="00AA2397">
              <w:rPr>
                <w:rFonts w:ascii="Garamond" w:hAnsi="Garamond"/>
                <w:i/>
                <w:lang w:val="en-AU"/>
              </w:rPr>
              <w:t>Financial Times</w:t>
            </w:r>
            <w:r w:rsidR="00B72D3E">
              <w:rPr>
                <w:rFonts w:ascii="Garamond" w:hAnsi="Garamond"/>
                <w:lang w:val="en-AU"/>
              </w:rPr>
              <w:t xml:space="preserve"> Commission</w:t>
            </w:r>
            <w:r w:rsidR="00C80109">
              <w:rPr>
                <w:rFonts w:ascii="Garamond" w:hAnsi="Garamond"/>
                <w:lang w:val="en-AU"/>
              </w:rPr>
              <w:t xml:space="preserve"> (</w:t>
            </w:r>
            <w:hyperlink r:id="rId18" w:history="1">
              <w:r w:rsidR="00C80109" w:rsidRPr="00264585">
                <w:rPr>
                  <w:rStyle w:val="Hyperlink"/>
                  <w:rFonts w:ascii="Garamond" w:hAnsi="Garamond"/>
                  <w:lang w:val="en-AU"/>
                </w:rPr>
                <w:t>https://doi.org/10.1016/S0140-6736(21)01824-9</w:t>
              </w:r>
            </w:hyperlink>
            <w:r w:rsidR="00C80109">
              <w:rPr>
                <w:rFonts w:ascii="Garamond" w:hAnsi="Garamond"/>
                <w:lang w:val="en-AU"/>
              </w:rPr>
              <w:t>)</w:t>
            </w:r>
            <w:r w:rsidR="00B72D3E">
              <w:rPr>
                <w:rFonts w:ascii="Garamond" w:hAnsi="Garamond"/>
                <w:lang w:val="en-AU"/>
              </w:rPr>
              <w:t xml:space="preserve"> on governing health futures</w:t>
            </w:r>
            <w:r w:rsidR="00C80109">
              <w:rPr>
                <w:rFonts w:ascii="Garamond" w:hAnsi="Garamond"/>
                <w:lang w:val="en-AU"/>
              </w:rPr>
              <w:t>, that includes ‘</w:t>
            </w:r>
            <w:r w:rsidR="00C80109" w:rsidRPr="00C80109">
              <w:rPr>
                <w:rFonts w:ascii="Garamond" w:hAnsi="Garamond"/>
                <w:lang w:val="en-AU"/>
              </w:rPr>
              <w:t>recommendations for successful</w:t>
            </w:r>
            <w:r w:rsidR="00C80109">
              <w:rPr>
                <w:rFonts w:ascii="Garamond" w:hAnsi="Garamond"/>
                <w:lang w:val="en-AU"/>
              </w:rPr>
              <w:t xml:space="preserve"> </w:t>
            </w:r>
            <w:r w:rsidR="00C80109" w:rsidRPr="00C80109">
              <w:rPr>
                <w:rFonts w:ascii="Garamond" w:hAnsi="Garamond"/>
                <w:lang w:val="en-AU"/>
              </w:rPr>
              <w:t>integration of digital technologies in health</w:t>
            </w:r>
            <w:r w:rsidR="00C80109">
              <w:rPr>
                <w:rFonts w:ascii="Garamond" w:hAnsi="Garamond"/>
                <w:lang w:val="en-AU"/>
              </w:rPr>
              <w:t>’</w:t>
            </w:r>
            <w:r w:rsidR="00C80109" w:rsidRPr="00C80109">
              <w:rPr>
                <w:rFonts w:ascii="Garamond" w:hAnsi="Garamond"/>
                <w:lang w:val="en-AU"/>
              </w:rPr>
              <w:t>. The</w:t>
            </w:r>
            <w:r w:rsidR="00C80109">
              <w:rPr>
                <w:rFonts w:ascii="Garamond" w:hAnsi="Garamond"/>
                <w:lang w:val="en-AU"/>
              </w:rPr>
              <w:t xml:space="preserve"> editorial observes that ‘The </w:t>
            </w:r>
            <w:r w:rsidR="00C80109" w:rsidRPr="00C80109">
              <w:rPr>
                <w:rFonts w:ascii="Garamond" w:hAnsi="Garamond"/>
                <w:lang w:val="en-AU"/>
              </w:rPr>
              <w:t xml:space="preserve">bottom line of the Commission is that </w:t>
            </w:r>
            <w:r w:rsidR="00C80109" w:rsidRPr="00C80109">
              <w:rPr>
                <w:rFonts w:ascii="Garamond" w:hAnsi="Garamond"/>
                <w:b/>
                <w:lang w:val="en-AU"/>
              </w:rPr>
              <w:t>weak governance of digital technologies is causing health inequities and compromising human rights</w:t>
            </w:r>
            <w:r w:rsidR="00C80109" w:rsidRPr="00C80109">
              <w:rPr>
                <w:rFonts w:ascii="Garamond" w:hAnsi="Garamond"/>
                <w:lang w:val="en-AU"/>
              </w:rPr>
              <w:t>.</w:t>
            </w:r>
            <w:r w:rsidR="00C80109">
              <w:rPr>
                <w:rFonts w:ascii="Garamond" w:hAnsi="Garamond"/>
                <w:lang w:val="en-AU"/>
              </w:rPr>
              <w:t xml:space="preserve">’ Digital technologies, e-health, digital health offer potentials for improving the care we receive. However, there is a risk </w:t>
            </w:r>
            <w:r w:rsidR="006C79C2">
              <w:rPr>
                <w:rFonts w:ascii="Garamond" w:hAnsi="Garamond"/>
                <w:lang w:val="en-AU"/>
              </w:rPr>
              <w:t>that the “digital divide</w:t>
            </w:r>
            <w:r w:rsidR="00C80109">
              <w:rPr>
                <w:rFonts w:ascii="Garamond" w:hAnsi="Garamond"/>
                <w:lang w:val="en-AU"/>
              </w:rPr>
              <w:t>” exacerbates health inequities. The editorial also touches on the face that the Commission focus many of their recommendations on the health future of children and many of these young people are offline and that there is a digital gender divide. Access and equity are considered by many as safety and quality issues and the editorial concludes by asserting that ‘</w:t>
            </w:r>
            <w:r w:rsidR="00C80109" w:rsidRPr="00C80109">
              <w:rPr>
                <w:rFonts w:ascii="Garamond" w:hAnsi="Garamond"/>
                <w:lang w:val="en-AU"/>
              </w:rPr>
              <w:t>Governments must</w:t>
            </w:r>
            <w:r w:rsidR="00C80109">
              <w:rPr>
                <w:rFonts w:ascii="Garamond" w:hAnsi="Garamond"/>
                <w:lang w:val="en-AU"/>
              </w:rPr>
              <w:t xml:space="preserve"> </w:t>
            </w:r>
            <w:r w:rsidR="00C80109" w:rsidRPr="00C80109">
              <w:rPr>
                <w:rFonts w:ascii="Garamond" w:hAnsi="Garamond"/>
                <w:lang w:val="en-AU"/>
              </w:rPr>
              <w:t>provide comprehensive governance and leadership</w:t>
            </w:r>
            <w:r w:rsidR="00C80109">
              <w:rPr>
                <w:rFonts w:ascii="Garamond" w:hAnsi="Garamond"/>
                <w:lang w:val="en-AU"/>
              </w:rPr>
              <w:t xml:space="preserve"> </w:t>
            </w:r>
            <w:r w:rsidR="00C80109" w:rsidRPr="00C80109">
              <w:rPr>
                <w:rFonts w:ascii="Garamond" w:hAnsi="Garamond"/>
                <w:lang w:val="en-AU"/>
              </w:rPr>
              <w:t>to define globally agreed rules on the sharing of</w:t>
            </w:r>
            <w:r w:rsidR="00C80109">
              <w:rPr>
                <w:rFonts w:ascii="Garamond" w:hAnsi="Garamond"/>
                <w:lang w:val="en-AU"/>
              </w:rPr>
              <w:t xml:space="preserve"> </w:t>
            </w:r>
            <w:r w:rsidR="00C80109" w:rsidRPr="00C80109">
              <w:rPr>
                <w:rFonts w:ascii="Garamond" w:hAnsi="Garamond"/>
                <w:lang w:val="en-AU"/>
              </w:rPr>
              <w:t>health data for the future of equitable health care</w:t>
            </w:r>
            <w:r w:rsidR="00C80109">
              <w:rPr>
                <w:rFonts w:ascii="Garamond" w:hAnsi="Garamond"/>
                <w:lang w:val="en-AU"/>
              </w:rPr>
              <w:t>.’</w:t>
            </w:r>
          </w:p>
        </w:tc>
      </w:tr>
    </w:tbl>
    <w:p w:rsidR="00C30938" w:rsidRDefault="00C30938" w:rsidP="00EB3690">
      <w:pPr>
        <w:keepNext/>
        <w:keepLines/>
        <w:tabs>
          <w:tab w:val="left" w:pos="2114"/>
        </w:tabs>
        <w:autoSpaceDE w:val="0"/>
        <w:autoSpaceDN w:val="0"/>
        <w:adjustRightInd w:val="0"/>
        <w:rPr>
          <w:rFonts w:ascii="Garamond" w:hAnsi="Garamond"/>
          <w:i/>
          <w:lang w:val="en-AU"/>
        </w:rPr>
      </w:pPr>
    </w:p>
    <w:p w:rsidR="00B72D3E" w:rsidRDefault="00B72D3E" w:rsidP="00073384">
      <w:pPr>
        <w:keepNext/>
        <w:keepLines/>
        <w:tabs>
          <w:tab w:val="left" w:pos="2114"/>
        </w:tabs>
        <w:autoSpaceDE w:val="0"/>
        <w:autoSpaceDN w:val="0"/>
        <w:adjustRightInd w:val="0"/>
        <w:rPr>
          <w:rFonts w:ascii="Garamond" w:hAnsi="Garamond"/>
          <w:i/>
          <w:lang w:val="en-AU"/>
        </w:rPr>
      </w:pPr>
      <w:r w:rsidRPr="00066F78">
        <w:rPr>
          <w:rFonts w:ascii="Garamond" w:hAnsi="Garamond"/>
          <w:i/>
          <w:lang w:val="en-AU"/>
        </w:rPr>
        <w:t xml:space="preserve">Building patient trust in hospitals: a combination of hospital-related factors and </w:t>
      </w:r>
      <w:r w:rsidR="00066F78">
        <w:rPr>
          <w:rFonts w:ascii="Garamond" w:hAnsi="Garamond"/>
          <w:i/>
          <w:lang w:val="en-AU"/>
        </w:rPr>
        <w:t>health care clinician behaviors</w:t>
      </w:r>
    </w:p>
    <w:p w:rsidR="00F83A64" w:rsidRDefault="00F83A64" w:rsidP="00073384">
      <w:pPr>
        <w:keepNext/>
        <w:keepLines/>
        <w:tabs>
          <w:tab w:val="left" w:pos="2114"/>
        </w:tabs>
        <w:autoSpaceDE w:val="0"/>
        <w:autoSpaceDN w:val="0"/>
        <w:adjustRightInd w:val="0"/>
        <w:rPr>
          <w:rFonts w:ascii="Garamond" w:hAnsi="Garamond"/>
          <w:lang w:val="en-AU"/>
        </w:rPr>
      </w:pPr>
      <w:r w:rsidRPr="00F83A64">
        <w:rPr>
          <w:rFonts w:ascii="Garamond" w:hAnsi="Garamond"/>
          <w:lang w:val="en-AU"/>
        </w:rPr>
        <w:t>Greene J, Samuel-Jakubos H</w:t>
      </w:r>
    </w:p>
    <w:p w:rsidR="00066F78" w:rsidRPr="00066F78" w:rsidRDefault="00F83A64" w:rsidP="00073384">
      <w:pPr>
        <w:keepNext/>
        <w:keepLines/>
        <w:tabs>
          <w:tab w:val="left" w:pos="2114"/>
        </w:tabs>
        <w:autoSpaceDE w:val="0"/>
        <w:autoSpaceDN w:val="0"/>
        <w:adjustRightInd w:val="0"/>
        <w:rPr>
          <w:rFonts w:ascii="Garamond" w:hAnsi="Garamond"/>
          <w:lang w:val="en-AU"/>
        </w:rPr>
      </w:pPr>
      <w:r w:rsidRPr="00F83A64">
        <w:rPr>
          <w:rFonts w:ascii="Garamond" w:hAnsi="Garamond"/>
          <w:lang w:val="en-AU"/>
        </w:rPr>
        <w:t>The Joint Commission Journal on Quality and Patient Safety. 2021 2021/09/12/.</w:t>
      </w:r>
    </w:p>
    <w:tbl>
      <w:tblPr>
        <w:tblStyle w:val="TableGrid"/>
        <w:tblW w:w="9360" w:type="dxa"/>
        <w:tblInd w:w="288" w:type="dxa"/>
        <w:tblLayout w:type="fixed"/>
        <w:tblLook w:val="01E0" w:firstRow="1" w:lastRow="1" w:firstColumn="1" w:lastColumn="1" w:noHBand="0" w:noVBand="0"/>
      </w:tblPr>
      <w:tblGrid>
        <w:gridCol w:w="1080"/>
        <w:gridCol w:w="8280"/>
      </w:tblGrid>
      <w:tr w:rsidR="00073384" w:rsidRPr="000170DA" w:rsidTr="003B3BBC">
        <w:tc>
          <w:tcPr>
            <w:tcW w:w="1080" w:type="dxa"/>
            <w:tcBorders>
              <w:top w:val="single" w:sz="4" w:space="0" w:color="auto"/>
              <w:left w:val="single" w:sz="4" w:space="0" w:color="auto"/>
              <w:bottom w:val="single" w:sz="4" w:space="0" w:color="auto"/>
              <w:right w:val="single" w:sz="4" w:space="0" w:color="auto"/>
            </w:tcBorders>
            <w:vAlign w:val="center"/>
          </w:tcPr>
          <w:p w:rsidR="00073384" w:rsidRPr="000170DA" w:rsidRDefault="00073384" w:rsidP="003B3BB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3384" w:rsidRPr="000170DA" w:rsidRDefault="00354C54" w:rsidP="003B3BBC">
            <w:pPr>
              <w:rPr>
                <w:rStyle w:val="Hyperlink"/>
                <w:rFonts w:ascii="Garamond" w:hAnsi="Garamond"/>
                <w:color w:val="auto"/>
                <w:u w:val="none"/>
                <w:lang w:val="en-AU"/>
              </w:rPr>
            </w:pPr>
            <w:hyperlink r:id="rId19" w:history="1">
              <w:r w:rsidR="00066F78" w:rsidRPr="00071119">
                <w:rPr>
                  <w:rStyle w:val="Hyperlink"/>
                  <w:rFonts w:ascii="Garamond" w:hAnsi="Garamond"/>
                  <w:lang w:val="en-AU"/>
                </w:rPr>
                <w:t>https://doi.org/10.1016/j.jcjq.2021.09.003</w:t>
              </w:r>
            </w:hyperlink>
          </w:p>
        </w:tc>
      </w:tr>
      <w:tr w:rsidR="00073384" w:rsidRPr="000170DA" w:rsidTr="003B3BBC">
        <w:tc>
          <w:tcPr>
            <w:tcW w:w="1080" w:type="dxa"/>
            <w:tcBorders>
              <w:top w:val="single" w:sz="4" w:space="0" w:color="auto"/>
              <w:left w:val="single" w:sz="4" w:space="0" w:color="auto"/>
              <w:bottom w:val="single" w:sz="4" w:space="0" w:color="auto"/>
              <w:right w:val="single" w:sz="4" w:space="0" w:color="auto"/>
            </w:tcBorders>
            <w:vAlign w:val="center"/>
          </w:tcPr>
          <w:p w:rsidR="00073384" w:rsidRPr="000170DA" w:rsidRDefault="00073384" w:rsidP="003B3BB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3384" w:rsidRDefault="00066F78" w:rsidP="003B3BBC">
            <w:pPr>
              <w:rPr>
                <w:rFonts w:ascii="Garamond" w:hAnsi="Garamond"/>
                <w:lang w:val="en-AU"/>
              </w:rPr>
            </w:pPr>
            <w:r>
              <w:rPr>
                <w:rFonts w:ascii="Garamond" w:hAnsi="Garamond"/>
                <w:lang w:val="en-AU"/>
              </w:rPr>
              <w:t xml:space="preserve">We apparently live in a world in which trust is diminished and there is an apparent need to rebuild trust. This paper reports on a qualitative study that examined </w:t>
            </w:r>
            <w:r w:rsidRPr="00066F78">
              <w:rPr>
                <w:rFonts w:ascii="Garamond" w:hAnsi="Garamond"/>
                <w:lang w:val="en-AU"/>
              </w:rPr>
              <w:t xml:space="preserve">patients’ perspectives on trust in hospitals and health care systems. </w:t>
            </w:r>
            <w:r>
              <w:rPr>
                <w:rFonts w:ascii="Garamond" w:hAnsi="Garamond"/>
                <w:lang w:val="en-AU"/>
              </w:rPr>
              <w:t xml:space="preserve">The study is based on </w:t>
            </w:r>
            <w:r w:rsidRPr="00066F78">
              <w:rPr>
                <w:rFonts w:ascii="Garamond" w:hAnsi="Garamond"/>
                <w:lang w:val="en-AU"/>
              </w:rPr>
              <w:t>38 semi-</w:t>
            </w:r>
            <w:r>
              <w:rPr>
                <w:rFonts w:ascii="Garamond" w:hAnsi="Garamond"/>
                <w:lang w:val="en-AU"/>
              </w:rPr>
              <w:t>structured telephone interviews conducted in early 2020 with participants across the United States. The p</w:t>
            </w:r>
            <w:r w:rsidRPr="00066F78">
              <w:rPr>
                <w:rFonts w:ascii="Garamond" w:hAnsi="Garamond"/>
                <w:lang w:val="en-AU"/>
              </w:rPr>
              <w:t xml:space="preserve">atients </w:t>
            </w:r>
            <w:r>
              <w:rPr>
                <w:rFonts w:ascii="Garamond" w:hAnsi="Garamond"/>
                <w:lang w:val="en-AU"/>
              </w:rPr>
              <w:t xml:space="preserve">who participated </w:t>
            </w:r>
            <w:r w:rsidRPr="00066F78">
              <w:rPr>
                <w:rFonts w:ascii="Garamond" w:hAnsi="Garamond"/>
                <w:lang w:val="en-AU"/>
              </w:rPr>
              <w:t>identified three factors that impact their trust in hospitals: competence, caring, and communication.</w:t>
            </w:r>
            <w:r>
              <w:rPr>
                <w:rFonts w:ascii="Garamond" w:hAnsi="Garamond"/>
                <w:lang w:val="en-AU"/>
              </w:rPr>
              <w:t xml:space="preserve"> The authors conclude that ‘</w:t>
            </w:r>
            <w:r w:rsidRPr="00066F78">
              <w:rPr>
                <w:rFonts w:ascii="Garamond" w:hAnsi="Garamond"/>
                <w:lang w:val="en-AU"/>
              </w:rPr>
              <w:t>The findings underscore the importance of perceived quality of care and hospital safety/hygiene, as well as having an organizational culture that emphasizes caring and effective communication, for building patient trust.</w:t>
            </w:r>
            <w:r>
              <w:rPr>
                <w:rFonts w:ascii="Garamond" w:hAnsi="Garamond"/>
                <w:lang w:val="en-AU"/>
              </w:rPr>
              <w:t>’</w:t>
            </w:r>
          </w:p>
          <w:p w:rsidR="00B72D3E" w:rsidRPr="003A2A81" w:rsidRDefault="00066F78" w:rsidP="00987582">
            <w:pPr>
              <w:rPr>
                <w:rFonts w:ascii="Garamond" w:hAnsi="Garamond"/>
                <w:lang w:val="en-AU"/>
              </w:rPr>
            </w:pPr>
            <w:r>
              <w:rPr>
                <w:rFonts w:ascii="Garamond" w:hAnsi="Garamond"/>
                <w:lang w:val="en-AU"/>
              </w:rPr>
              <w:t xml:space="preserve">Onora O’Neill suggests that we worry </w:t>
            </w:r>
            <w:r w:rsidR="00B72D3E">
              <w:rPr>
                <w:rFonts w:ascii="Garamond" w:hAnsi="Garamond"/>
                <w:lang w:val="en-AU"/>
              </w:rPr>
              <w:t xml:space="preserve">not such much about trust, as trustworthiness. </w:t>
            </w:r>
            <w:r>
              <w:rPr>
                <w:rFonts w:ascii="Garamond" w:hAnsi="Garamond"/>
                <w:lang w:val="en-AU"/>
              </w:rPr>
              <w:t xml:space="preserve">If we are considered trustworthy, then trust follows. It then becomes the demonstration of trustworthiness that is significant. </w:t>
            </w:r>
            <w:r w:rsidR="00987582">
              <w:rPr>
                <w:rFonts w:ascii="Garamond" w:hAnsi="Garamond"/>
                <w:lang w:val="en-AU"/>
              </w:rPr>
              <w:t>O’Neill concluded ‘</w:t>
            </w:r>
            <w:r w:rsidR="00987582" w:rsidRPr="00987582">
              <w:rPr>
                <w:rFonts w:ascii="Garamond" w:hAnsi="Garamond"/>
                <w:lang w:val="en-AU"/>
              </w:rPr>
              <w:t>Trust requires an intelligent judgement of trustworthiness. So those who want others’ trust have to do two things. First, they have to be trustworthy, which requires competence, honesty and reliability. Second, they have to provide intelligible evidence that they are trustworthy, enabling others to judge intelligently where they should place or refuse their trust.</w:t>
            </w:r>
            <w:r w:rsidR="00987582">
              <w:rPr>
                <w:rFonts w:ascii="Garamond" w:hAnsi="Garamond"/>
                <w:lang w:val="en-AU"/>
              </w:rPr>
              <w:t>’ (</w:t>
            </w:r>
            <w:hyperlink r:id="rId20" w:history="1">
              <w:r w:rsidR="00987582" w:rsidRPr="00071119">
                <w:rPr>
                  <w:rStyle w:val="Hyperlink"/>
                  <w:rFonts w:ascii="Garamond" w:hAnsi="Garamond"/>
                  <w:lang w:val="en-AU"/>
                </w:rPr>
                <w:t>https://blog.ted.com/how-to-trust-intelligently/</w:t>
              </w:r>
            </w:hyperlink>
            <w:r w:rsidR="00987582">
              <w:rPr>
                <w:rFonts w:ascii="Garamond" w:hAnsi="Garamond"/>
                <w:lang w:val="en-AU"/>
              </w:rPr>
              <w:t>)</w:t>
            </w:r>
          </w:p>
        </w:tc>
      </w:tr>
    </w:tbl>
    <w:p w:rsidR="00073384" w:rsidRDefault="00073384" w:rsidP="00073384">
      <w:pPr>
        <w:keepNext/>
        <w:keepLines/>
        <w:tabs>
          <w:tab w:val="left" w:pos="2114"/>
        </w:tabs>
        <w:autoSpaceDE w:val="0"/>
        <w:autoSpaceDN w:val="0"/>
        <w:adjustRightInd w:val="0"/>
        <w:rPr>
          <w:rFonts w:ascii="Garamond" w:hAnsi="Garamond"/>
          <w:i/>
          <w:lang w:val="en-AU"/>
        </w:rPr>
      </w:pPr>
    </w:p>
    <w:p w:rsidR="006062DB" w:rsidRDefault="006062DB">
      <w:pPr>
        <w:rPr>
          <w:rFonts w:ascii="Garamond" w:hAnsi="Garamond"/>
          <w:i/>
          <w:lang w:val="en-AU"/>
        </w:rPr>
      </w:pPr>
      <w:r>
        <w:rPr>
          <w:rFonts w:ascii="Garamond" w:hAnsi="Garamond"/>
          <w:i/>
          <w:lang w:val="en-AU"/>
        </w:rPr>
        <w:br w:type="page"/>
      </w:r>
    </w:p>
    <w:p w:rsidR="006062DB" w:rsidRPr="00B72D3E" w:rsidRDefault="006062DB" w:rsidP="006062DB">
      <w:pPr>
        <w:keepNext/>
        <w:keepLines/>
        <w:tabs>
          <w:tab w:val="left" w:pos="2114"/>
        </w:tabs>
        <w:autoSpaceDE w:val="0"/>
        <w:autoSpaceDN w:val="0"/>
        <w:adjustRightInd w:val="0"/>
        <w:rPr>
          <w:rFonts w:ascii="Garamond" w:hAnsi="Garamond"/>
          <w:i/>
          <w:lang w:val="en-AU"/>
        </w:rPr>
      </w:pPr>
      <w:r w:rsidRPr="00B72D3E">
        <w:rPr>
          <w:rFonts w:ascii="Garamond" w:hAnsi="Garamond"/>
          <w:i/>
          <w:lang w:val="en-AU"/>
        </w:rPr>
        <w:lastRenderedPageBreak/>
        <w:t>EMS non-conveyance: a safe practice to decrease ED crowding or a threat to patient safety?</w:t>
      </w:r>
    </w:p>
    <w:p w:rsidR="006062DB" w:rsidRDefault="006062DB" w:rsidP="006062DB">
      <w:pPr>
        <w:keepNext/>
        <w:keepLines/>
        <w:tabs>
          <w:tab w:val="left" w:pos="2114"/>
        </w:tabs>
        <w:autoSpaceDE w:val="0"/>
        <w:autoSpaceDN w:val="0"/>
        <w:adjustRightInd w:val="0"/>
        <w:rPr>
          <w:rFonts w:ascii="Garamond" w:hAnsi="Garamond"/>
          <w:lang w:val="en-AU"/>
        </w:rPr>
      </w:pPr>
      <w:r w:rsidRPr="00BA4BA3">
        <w:rPr>
          <w:rFonts w:ascii="Garamond" w:hAnsi="Garamond"/>
          <w:lang w:val="en-AU"/>
        </w:rPr>
        <w:t>Paulin J, Kurola J, Koivisto M, Iirola T</w:t>
      </w:r>
    </w:p>
    <w:p w:rsidR="006062DB" w:rsidRPr="00BA4BA3" w:rsidRDefault="006062DB" w:rsidP="006062DB">
      <w:pPr>
        <w:keepNext/>
        <w:keepLines/>
        <w:tabs>
          <w:tab w:val="left" w:pos="2114"/>
        </w:tabs>
        <w:autoSpaceDE w:val="0"/>
        <w:autoSpaceDN w:val="0"/>
        <w:adjustRightInd w:val="0"/>
        <w:rPr>
          <w:rFonts w:ascii="Garamond" w:hAnsi="Garamond"/>
          <w:lang w:val="en-AU"/>
        </w:rPr>
      </w:pPr>
      <w:r w:rsidRPr="00BA4BA3">
        <w:rPr>
          <w:rFonts w:ascii="Garamond" w:hAnsi="Garamond"/>
          <w:lang w:val="en-AU"/>
        </w:rPr>
        <w:t>BMC Emergency Medicine. 2021;21(1):115</w:t>
      </w:r>
    </w:p>
    <w:tbl>
      <w:tblPr>
        <w:tblStyle w:val="TableGrid"/>
        <w:tblW w:w="9360" w:type="dxa"/>
        <w:tblInd w:w="288" w:type="dxa"/>
        <w:tblLayout w:type="fixed"/>
        <w:tblLook w:val="01E0" w:firstRow="1" w:lastRow="1" w:firstColumn="1" w:lastColumn="1" w:noHBand="0" w:noVBand="0"/>
      </w:tblPr>
      <w:tblGrid>
        <w:gridCol w:w="1080"/>
        <w:gridCol w:w="8280"/>
      </w:tblGrid>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Pr="000170DA" w:rsidRDefault="00354C54" w:rsidP="001F7810">
            <w:pPr>
              <w:rPr>
                <w:rStyle w:val="Hyperlink"/>
                <w:rFonts w:ascii="Garamond" w:hAnsi="Garamond"/>
                <w:color w:val="auto"/>
                <w:u w:val="none"/>
                <w:lang w:val="en-AU"/>
              </w:rPr>
            </w:pPr>
            <w:hyperlink r:id="rId21" w:history="1">
              <w:r w:rsidR="006062DB" w:rsidRPr="00071119">
                <w:rPr>
                  <w:rStyle w:val="Hyperlink"/>
                  <w:rFonts w:ascii="Garamond" w:hAnsi="Garamond"/>
                  <w:lang w:val="en-AU"/>
                </w:rPr>
                <w:t>https://doi.org/10.1186/s12873-021-00508-1</w:t>
              </w:r>
            </w:hyperlink>
          </w:p>
        </w:tc>
      </w:tr>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Pr="003A2A81" w:rsidRDefault="006062DB" w:rsidP="001F7810">
            <w:pPr>
              <w:rPr>
                <w:rFonts w:ascii="Garamond" w:hAnsi="Garamond"/>
                <w:lang w:val="en-AU"/>
              </w:rPr>
            </w:pPr>
            <w:r>
              <w:rPr>
                <w:rFonts w:ascii="Garamond" w:hAnsi="Garamond"/>
                <w:lang w:val="en-AU"/>
              </w:rPr>
              <w:t xml:space="preserve">This Finnish study into the decision of emergency medical services (EMS) to not convey patients used </w:t>
            </w:r>
            <w:r w:rsidRPr="00BA4BA3">
              <w:rPr>
                <w:rFonts w:ascii="Garamond" w:hAnsi="Garamond"/>
                <w:lang w:val="en-AU"/>
              </w:rPr>
              <w:t>EMS re-contacts, primary health care or emergency department (ED) visits, and hospitalization within 48</w:t>
            </w:r>
            <w:r w:rsidRPr="00BA4BA3">
              <w:rPr>
                <w:lang w:val="en-AU"/>
              </w:rPr>
              <w:t> </w:t>
            </w:r>
            <w:r w:rsidRPr="00BA4BA3">
              <w:rPr>
                <w:rFonts w:ascii="Garamond" w:hAnsi="Garamond"/>
                <w:lang w:val="en-AU"/>
              </w:rPr>
              <w:t>h</w:t>
            </w:r>
            <w:r>
              <w:rPr>
                <w:rFonts w:ascii="Garamond" w:hAnsi="Garamond"/>
                <w:lang w:val="en-AU"/>
              </w:rPr>
              <w:t>ours to evaluate the decision</w:t>
            </w:r>
            <w:r w:rsidRPr="00BA4BA3">
              <w:rPr>
                <w:rFonts w:ascii="Garamond" w:hAnsi="Garamond"/>
                <w:lang w:val="en-AU"/>
              </w:rPr>
              <w:t>.</w:t>
            </w:r>
            <w:r>
              <w:rPr>
                <w:rFonts w:ascii="Garamond" w:hAnsi="Garamond"/>
                <w:lang w:val="en-AU"/>
              </w:rPr>
              <w:t xml:space="preserve"> This was a cohort study that </w:t>
            </w:r>
            <w:r w:rsidRPr="00BA4BA3">
              <w:rPr>
                <w:rFonts w:ascii="Garamond" w:hAnsi="Garamond"/>
                <w:lang w:val="en-AU"/>
              </w:rPr>
              <w:t xml:space="preserve">prospectively collected data on </w:t>
            </w:r>
            <w:r>
              <w:rPr>
                <w:rFonts w:ascii="Garamond" w:hAnsi="Garamond"/>
                <w:lang w:val="en-AU"/>
              </w:rPr>
              <w:t xml:space="preserve">11,861 </w:t>
            </w:r>
            <w:r w:rsidRPr="00BA4BA3">
              <w:rPr>
                <w:rFonts w:ascii="Garamond" w:hAnsi="Garamond"/>
                <w:lang w:val="en-AU"/>
              </w:rPr>
              <w:t>non-conveyed EMS patients from three different regions in Finland between</w:t>
            </w:r>
            <w:r>
              <w:rPr>
                <w:rFonts w:ascii="Garamond" w:hAnsi="Garamond"/>
                <w:lang w:val="en-AU"/>
              </w:rPr>
              <w:t xml:space="preserve"> 1</w:t>
            </w:r>
            <w:r w:rsidRPr="00BA4BA3">
              <w:rPr>
                <w:rFonts w:ascii="Garamond" w:hAnsi="Garamond"/>
                <w:lang w:val="en-AU"/>
              </w:rPr>
              <w:t xml:space="preserve"> June and </w:t>
            </w:r>
            <w:r>
              <w:rPr>
                <w:rFonts w:ascii="Garamond" w:hAnsi="Garamond"/>
                <w:lang w:val="en-AU"/>
              </w:rPr>
              <w:t xml:space="preserve">30 </w:t>
            </w:r>
            <w:r w:rsidRPr="00BA4BA3">
              <w:rPr>
                <w:rFonts w:ascii="Garamond" w:hAnsi="Garamond"/>
                <w:lang w:val="en-AU"/>
              </w:rPr>
              <w:t>November 2018.</w:t>
            </w:r>
            <w:r>
              <w:rPr>
                <w:rFonts w:ascii="Garamond" w:hAnsi="Garamond"/>
                <w:lang w:val="en-AU"/>
              </w:rPr>
              <w:t xml:space="preserve"> The authors report that ‘</w:t>
            </w:r>
            <w:r w:rsidRPr="00BA4BA3">
              <w:rPr>
                <w:rFonts w:ascii="Garamond" w:hAnsi="Garamond"/>
                <w:lang w:val="en-AU"/>
              </w:rPr>
              <w:t>Of the non-conveyed EMS patients (n =</w:t>
            </w:r>
            <w:r w:rsidRPr="00BA4BA3">
              <w:rPr>
                <w:lang w:val="en-AU"/>
              </w:rPr>
              <w:t> </w:t>
            </w:r>
            <w:r w:rsidRPr="00BA4BA3">
              <w:rPr>
                <w:rFonts w:ascii="Garamond" w:hAnsi="Garamond"/>
                <w:lang w:val="en-AU"/>
              </w:rPr>
              <w:t>11,861), 6.3% re-contacted the EMS, 8.3% attended a primary health care facility, 4.2% went to the ED, 1.6% were hospitalized, and 0.1% died 0</w:t>
            </w:r>
            <w:r w:rsidRPr="00BA4BA3">
              <w:rPr>
                <w:rFonts w:ascii="Garamond" w:hAnsi="Garamond" w:cs="Garamond"/>
                <w:lang w:val="en-AU"/>
              </w:rPr>
              <w:t>–</w:t>
            </w:r>
            <w:r w:rsidRPr="00BA4BA3">
              <w:rPr>
                <w:rFonts w:ascii="Garamond" w:hAnsi="Garamond"/>
                <w:lang w:val="en-AU"/>
              </w:rPr>
              <w:t>24</w:t>
            </w:r>
            <w:r w:rsidRPr="00BA4BA3">
              <w:rPr>
                <w:lang w:val="en-AU"/>
              </w:rPr>
              <w:t> </w:t>
            </w:r>
            <w:r w:rsidRPr="00BA4BA3">
              <w:rPr>
                <w:rFonts w:ascii="Garamond" w:hAnsi="Garamond"/>
                <w:lang w:val="en-AU"/>
              </w:rPr>
              <w:t>h after the EMS mission</w:t>
            </w:r>
            <w:r>
              <w:rPr>
                <w:rFonts w:ascii="Garamond" w:hAnsi="Garamond"/>
                <w:lang w:val="en-AU"/>
              </w:rPr>
              <w:t>’. They noted that ‘</w:t>
            </w:r>
            <w:r w:rsidRPr="00BA4BA3">
              <w:rPr>
                <w:rFonts w:ascii="Garamond" w:hAnsi="Garamond"/>
                <w:lang w:val="en-AU"/>
              </w:rPr>
              <w:t>Four in five non-conveyed patients did not have any re-contact in follow-up period</w:t>
            </w:r>
            <w:r>
              <w:rPr>
                <w:rFonts w:ascii="Garamond" w:hAnsi="Garamond"/>
                <w:lang w:val="en-AU"/>
              </w:rPr>
              <w:t>’ and suggest that ‘</w:t>
            </w:r>
            <w:r w:rsidRPr="00BA4BA3">
              <w:rPr>
                <w:rFonts w:ascii="Garamond" w:hAnsi="Garamond"/>
                <w:lang w:val="en-AU"/>
              </w:rPr>
              <w:t>EMS non-conveyance seems to be a relatively safe method of focusing ED resources and avoiding ED crowding.</w:t>
            </w:r>
            <w:r>
              <w:rPr>
                <w:rFonts w:ascii="Garamond" w:hAnsi="Garamond"/>
                <w:lang w:val="en-AU"/>
              </w:rPr>
              <w:t>’</w:t>
            </w:r>
          </w:p>
        </w:tc>
      </w:tr>
    </w:tbl>
    <w:p w:rsidR="006062DB" w:rsidRDefault="006062DB" w:rsidP="006062DB">
      <w:pPr>
        <w:keepNext/>
        <w:keepLines/>
        <w:tabs>
          <w:tab w:val="left" w:pos="2114"/>
        </w:tabs>
        <w:autoSpaceDE w:val="0"/>
        <w:autoSpaceDN w:val="0"/>
        <w:adjustRightInd w:val="0"/>
        <w:rPr>
          <w:rFonts w:ascii="Garamond" w:hAnsi="Garamond"/>
          <w:i/>
          <w:lang w:val="en-AU"/>
        </w:rPr>
      </w:pPr>
    </w:p>
    <w:p w:rsidR="00167FF2" w:rsidRDefault="00167FF2" w:rsidP="00167FF2">
      <w:pPr>
        <w:keepNext/>
        <w:rPr>
          <w:rFonts w:ascii="Garamond" w:hAnsi="Garamond"/>
          <w:i/>
          <w:lang w:val="en-AU"/>
        </w:rPr>
      </w:pPr>
      <w:r w:rsidRPr="003C513E">
        <w:rPr>
          <w:rFonts w:ascii="Garamond" w:hAnsi="Garamond"/>
          <w:i/>
          <w:lang w:val="en-AU"/>
        </w:rPr>
        <w:t>Australian Journal of Primary Health</w:t>
      </w:r>
    </w:p>
    <w:p w:rsidR="00167FF2" w:rsidRPr="00D65371" w:rsidRDefault="00167FF2" w:rsidP="00167FF2">
      <w:pPr>
        <w:keepNext/>
        <w:rPr>
          <w:rFonts w:ascii="Garamond" w:hAnsi="Garamond"/>
          <w:lang w:val="en-AU"/>
        </w:rPr>
      </w:pPr>
      <w:r w:rsidRPr="003C513E">
        <w:rPr>
          <w:rFonts w:ascii="Garamond" w:hAnsi="Garamond"/>
          <w:lang w:val="en-AU"/>
        </w:rPr>
        <w:t xml:space="preserve">Volume 27 Number 5 </w:t>
      </w:r>
      <w:r>
        <w:rPr>
          <w:rFonts w:ascii="Garamond" w:hAnsi="Garamond"/>
          <w:lang w:val="en-AU"/>
        </w:rPr>
        <w:t xml:space="preserve">October </w:t>
      </w:r>
      <w:r w:rsidRPr="003C513E">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167FF2" w:rsidRPr="000170DA" w:rsidTr="00E20587">
        <w:tc>
          <w:tcPr>
            <w:tcW w:w="1080" w:type="dxa"/>
            <w:tcBorders>
              <w:top w:val="single" w:sz="4" w:space="0" w:color="auto"/>
              <w:left w:val="single" w:sz="4" w:space="0" w:color="auto"/>
              <w:bottom w:val="single" w:sz="4" w:space="0" w:color="auto"/>
              <w:right w:val="single" w:sz="4" w:space="0" w:color="auto"/>
            </w:tcBorders>
            <w:vAlign w:val="center"/>
          </w:tcPr>
          <w:p w:rsidR="00167FF2" w:rsidRPr="000170DA" w:rsidRDefault="00167FF2" w:rsidP="00E2058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67FF2" w:rsidRPr="000170DA" w:rsidRDefault="00354C54" w:rsidP="00E20587">
            <w:pPr>
              <w:keepNext/>
              <w:rPr>
                <w:rStyle w:val="Hyperlink"/>
                <w:rFonts w:ascii="Garamond" w:hAnsi="Garamond"/>
                <w:color w:val="auto"/>
                <w:u w:val="none"/>
                <w:lang w:val="en-AU"/>
              </w:rPr>
            </w:pPr>
            <w:hyperlink r:id="rId22" w:history="1">
              <w:r w:rsidR="00167FF2" w:rsidRPr="00071119">
                <w:rPr>
                  <w:rStyle w:val="Hyperlink"/>
                  <w:rFonts w:ascii="Garamond" w:hAnsi="Garamond"/>
                  <w:lang w:val="en-AU"/>
                </w:rPr>
                <w:t>https://www.publish.csiro.au/py/issue/10189</w:t>
              </w:r>
            </w:hyperlink>
          </w:p>
        </w:tc>
      </w:tr>
      <w:tr w:rsidR="00167FF2" w:rsidRPr="000170DA" w:rsidTr="00E20587">
        <w:tc>
          <w:tcPr>
            <w:tcW w:w="1080" w:type="dxa"/>
            <w:tcBorders>
              <w:top w:val="single" w:sz="4" w:space="0" w:color="auto"/>
              <w:left w:val="single" w:sz="4" w:space="0" w:color="auto"/>
              <w:bottom w:val="single" w:sz="4" w:space="0" w:color="auto"/>
              <w:right w:val="single" w:sz="4" w:space="0" w:color="auto"/>
            </w:tcBorders>
            <w:vAlign w:val="center"/>
          </w:tcPr>
          <w:p w:rsidR="00167FF2" w:rsidRPr="000170DA" w:rsidRDefault="00167FF2" w:rsidP="00E20587">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rsidR="00167FF2" w:rsidRPr="007C3778" w:rsidRDefault="00167FF2" w:rsidP="00E20587">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3C513E">
              <w:rPr>
                <w:rFonts w:ascii="Garamond" w:hAnsi="Garamond"/>
                <w:i/>
                <w:lang w:val="en-AU"/>
              </w:rPr>
              <w:t>Australian Journal of Primary Health</w:t>
            </w:r>
            <w:r w:rsidRPr="00B440ED">
              <w:rPr>
                <w:rFonts w:ascii="Garamond" w:hAnsi="Garamond"/>
                <w:lang w:val="en-AU"/>
              </w:rPr>
              <w:t xml:space="preserve"> has been published. Articles in this issue of </w:t>
            </w:r>
            <w:r>
              <w:rPr>
                <w:rFonts w:ascii="Garamond" w:hAnsi="Garamond"/>
                <w:lang w:val="en-AU"/>
              </w:rPr>
              <w:t xml:space="preserve">the </w:t>
            </w:r>
            <w:r w:rsidRPr="003C513E">
              <w:rPr>
                <w:rFonts w:ascii="Garamond" w:hAnsi="Garamond"/>
                <w:i/>
                <w:lang w:val="en-AU"/>
              </w:rPr>
              <w:t>Australian Journal of Primary Health</w:t>
            </w:r>
            <w:r w:rsidRPr="00C57211">
              <w:rPr>
                <w:rFonts w:ascii="Garamond" w:hAnsi="Garamond"/>
                <w:i/>
                <w:lang w:val="en-AU"/>
              </w:rPr>
              <w:t xml:space="preserve"> </w:t>
            </w:r>
            <w:r w:rsidRPr="00B440ED">
              <w:rPr>
                <w:rFonts w:ascii="Garamond" w:hAnsi="Garamond"/>
                <w:lang w:val="en-AU"/>
              </w:rPr>
              <w:t>include:</w:t>
            </w:r>
          </w:p>
          <w:p w:rsidR="00167FF2" w:rsidRPr="003C513E" w:rsidRDefault="00167FF2" w:rsidP="00E20587">
            <w:pPr>
              <w:pStyle w:val="ListParagraph"/>
              <w:numPr>
                <w:ilvl w:val="0"/>
                <w:numId w:val="15"/>
              </w:numPr>
              <w:rPr>
                <w:rFonts w:ascii="Garamond" w:hAnsi="Garamond"/>
                <w:lang w:val="en-AU"/>
              </w:rPr>
            </w:pPr>
            <w:r w:rsidRPr="003C513E">
              <w:rPr>
                <w:rFonts w:ascii="Garamond" w:hAnsi="Garamond"/>
                <w:lang w:val="en-AU"/>
              </w:rPr>
              <w:t xml:space="preserve">Scoping review of </w:t>
            </w:r>
            <w:r w:rsidRPr="003C513E">
              <w:rPr>
                <w:rFonts w:ascii="Garamond" w:hAnsi="Garamond"/>
                <w:b/>
                <w:lang w:val="en-AU"/>
              </w:rPr>
              <w:t>health outcomes for people with disabilities in user-led organisations</w:t>
            </w:r>
            <w:r w:rsidRPr="003C513E">
              <w:rPr>
                <w:rFonts w:ascii="Garamond" w:hAnsi="Garamond"/>
                <w:lang w:val="en-AU"/>
              </w:rPr>
              <w:t xml:space="preserve"> (Michael Crowe and Lorraine Sheppard</w:t>
            </w:r>
            <w:r>
              <w:rPr>
                <w:rFonts w:ascii="Garamond" w:hAnsi="Garamond"/>
                <w:lang w:val="en-AU"/>
              </w:rPr>
              <w:t>)</w:t>
            </w:r>
          </w:p>
          <w:p w:rsidR="00167FF2" w:rsidRPr="003C513E" w:rsidRDefault="00167FF2" w:rsidP="00E20587">
            <w:pPr>
              <w:pStyle w:val="ListParagraph"/>
              <w:numPr>
                <w:ilvl w:val="0"/>
                <w:numId w:val="15"/>
              </w:numPr>
              <w:rPr>
                <w:rFonts w:ascii="Garamond" w:hAnsi="Garamond"/>
                <w:lang w:val="en-AU"/>
              </w:rPr>
            </w:pPr>
            <w:r w:rsidRPr="003C513E">
              <w:rPr>
                <w:rFonts w:ascii="Garamond" w:hAnsi="Garamond"/>
                <w:b/>
                <w:lang w:val="en-AU"/>
              </w:rPr>
              <w:t>Moral distress in community health nursing practice</w:t>
            </w:r>
            <w:r w:rsidRPr="003C513E">
              <w:rPr>
                <w:rFonts w:ascii="Garamond" w:hAnsi="Garamond"/>
                <w:lang w:val="en-AU"/>
              </w:rPr>
              <w:t xml:space="preserve"> (Diana Guzys, Kathleen Tori and Carey Mather</w:t>
            </w:r>
            <w:r>
              <w:rPr>
                <w:rFonts w:ascii="Garamond" w:hAnsi="Garamond"/>
                <w:lang w:val="en-AU"/>
              </w:rPr>
              <w:t>)</w:t>
            </w:r>
          </w:p>
          <w:p w:rsidR="00167FF2" w:rsidRPr="003C513E" w:rsidRDefault="00167FF2" w:rsidP="00E20587">
            <w:pPr>
              <w:pStyle w:val="ListParagraph"/>
              <w:numPr>
                <w:ilvl w:val="0"/>
                <w:numId w:val="15"/>
              </w:numPr>
              <w:rPr>
                <w:rFonts w:ascii="Garamond" w:hAnsi="Garamond"/>
                <w:lang w:val="en-AU"/>
              </w:rPr>
            </w:pPr>
            <w:r w:rsidRPr="003C513E">
              <w:rPr>
                <w:rFonts w:ascii="Garamond" w:hAnsi="Garamond"/>
                <w:lang w:val="en-AU"/>
              </w:rPr>
              <w:t xml:space="preserve">Evaluation of Australian </w:t>
            </w:r>
            <w:r w:rsidRPr="003C513E">
              <w:rPr>
                <w:rFonts w:ascii="Garamond" w:hAnsi="Garamond"/>
                <w:b/>
                <w:lang w:val="en-AU"/>
              </w:rPr>
              <w:t>prescription drug monitoring programs</w:t>
            </w:r>
            <w:r w:rsidRPr="003C513E">
              <w:rPr>
                <w:rFonts w:ascii="Garamond" w:hAnsi="Garamond"/>
                <w:lang w:val="en-AU"/>
              </w:rPr>
              <w:t xml:space="preserve"> need a holistic approach (Sarah Haines and Pallavi Prathivadi</w:t>
            </w:r>
            <w:r>
              <w:rPr>
                <w:rFonts w:ascii="Garamond" w:hAnsi="Garamond"/>
                <w:lang w:val="en-AU"/>
              </w:rPr>
              <w:t>)</w:t>
            </w:r>
          </w:p>
          <w:p w:rsidR="00167FF2" w:rsidRPr="003C513E" w:rsidRDefault="00167FF2" w:rsidP="00E20587">
            <w:pPr>
              <w:pStyle w:val="ListParagraph"/>
              <w:numPr>
                <w:ilvl w:val="0"/>
                <w:numId w:val="15"/>
              </w:numPr>
              <w:rPr>
                <w:rFonts w:ascii="Garamond" w:hAnsi="Garamond"/>
                <w:lang w:val="en-AU"/>
              </w:rPr>
            </w:pPr>
            <w:r w:rsidRPr="003C513E">
              <w:rPr>
                <w:rFonts w:ascii="Garamond" w:hAnsi="Garamond"/>
                <w:b/>
                <w:lang w:val="en-AU"/>
              </w:rPr>
              <w:t>COVID-19 challenges faced by general practitioners</w:t>
            </w:r>
            <w:r w:rsidRPr="003C513E">
              <w:rPr>
                <w:rFonts w:ascii="Garamond" w:hAnsi="Garamond"/>
                <w:lang w:val="en-AU"/>
              </w:rPr>
              <w:t xml:space="preserve"> in Australia: a survey study conducted in March 2021 (Tessa Copp, Jennifer M J Isautier, Brooke Nickel, Kristen Pickles, Marguerite Tracy, Jenny Doust, Carissa Bonner, Rachael H Dodd, Julie Ayre, Erin Cvejic, Lyndal Trevena, Ramesh Manocha and Kirsten J McCaffery</w:t>
            </w:r>
            <w:r>
              <w:rPr>
                <w:rFonts w:ascii="Garamond" w:hAnsi="Garamond"/>
                <w:lang w:val="en-AU"/>
              </w:rPr>
              <w:t>)</w:t>
            </w:r>
          </w:p>
          <w:p w:rsidR="00167FF2" w:rsidRPr="003C513E" w:rsidRDefault="00167FF2" w:rsidP="00E20587">
            <w:pPr>
              <w:pStyle w:val="ListParagraph"/>
              <w:numPr>
                <w:ilvl w:val="0"/>
                <w:numId w:val="15"/>
              </w:numPr>
              <w:rPr>
                <w:rFonts w:ascii="Garamond" w:hAnsi="Garamond"/>
                <w:lang w:val="en-AU"/>
              </w:rPr>
            </w:pPr>
            <w:r w:rsidRPr="003C513E">
              <w:rPr>
                <w:rFonts w:ascii="Garamond" w:hAnsi="Garamond"/>
                <w:lang w:val="en-AU"/>
              </w:rPr>
              <w:t xml:space="preserve">Understanding the general practice of </w:t>
            </w:r>
            <w:r w:rsidRPr="003C513E">
              <w:rPr>
                <w:rFonts w:ascii="Garamond" w:hAnsi="Garamond"/>
                <w:b/>
                <w:lang w:val="en-AU"/>
              </w:rPr>
              <w:t>telemonitoring integrated care</w:t>
            </w:r>
            <w:r w:rsidRPr="003C513E">
              <w:rPr>
                <w:rFonts w:ascii="Garamond" w:hAnsi="Garamond"/>
                <w:lang w:val="en-AU"/>
              </w:rPr>
              <w:t>: a qualitative perspective (Josephine S F Chow, Andrew Knight, Anna Disney, Friedbert Kohler, Justin Duggan, Nutan Ma</w:t>
            </w:r>
            <w:r>
              <w:rPr>
                <w:rFonts w:ascii="Garamond" w:hAnsi="Garamond"/>
                <w:lang w:val="en-AU"/>
              </w:rPr>
              <w:t>urya and Veronica Gonzalez-Arce)</w:t>
            </w:r>
          </w:p>
          <w:p w:rsidR="00167FF2" w:rsidRDefault="00167FF2" w:rsidP="00E20587">
            <w:pPr>
              <w:pStyle w:val="ListParagraph"/>
              <w:numPr>
                <w:ilvl w:val="0"/>
                <w:numId w:val="15"/>
              </w:numPr>
              <w:rPr>
                <w:rFonts w:ascii="Garamond" w:hAnsi="Garamond"/>
                <w:lang w:val="en-AU"/>
              </w:rPr>
            </w:pPr>
            <w:r w:rsidRPr="003C513E">
              <w:rPr>
                <w:rFonts w:ascii="Garamond" w:hAnsi="Garamond"/>
                <w:lang w:val="en-AU"/>
              </w:rPr>
              <w:t xml:space="preserve">Mixed-methods evaluation of </w:t>
            </w:r>
            <w:r w:rsidRPr="003C513E">
              <w:rPr>
                <w:rFonts w:ascii="Garamond" w:hAnsi="Garamond"/>
                <w:b/>
                <w:lang w:val="en-AU"/>
              </w:rPr>
              <w:t>screening for hearing loss</w:t>
            </w:r>
            <w:r w:rsidRPr="003C513E">
              <w:rPr>
                <w:rFonts w:ascii="Garamond" w:hAnsi="Garamond"/>
                <w:lang w:val="en-AU"/>
              </w:rPr>
              <w:t xml:space="preserve"> using the hearScreen™ mobile health application in Aboriginal and Torres Strait Islander children presenting to an urban primary healthcare service (Geoffrey K Spurling, Claudette ‘Sissy' Tyson, Deborah Askew and Jennifer Reath</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3C513E">
              <w:rPr>
                <w:rFonts w:ascii="Garamond" w:hAnsi="Garamond"/>
                <w:b/>
                <w:lang w:val="en-AU"/>
              </w:rPr>
              <w:t xml:space="preserve">Quality of condition suggestions and urgency advice provided by the Ada symptom assessment app </w:t>
            </w:r>
            <w:r w:rsidRPr="003C513E">
              <w:rPr>
                <w:rFonts w:ascii="Garamond" w:hAnsi="Garamond"/>
                <w:lang w:val="en-AU"/>
              </w:rPr>
              <w:t>evaluated with vignettes optimised for Australia (Stephen Gilbert, Matthew Fenech, Shubhanan Upadhyay, Paul Wicks and Claire Novorol</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1677BC">
              <w:rPr>
                <w:rFonts w:ascii="Garamond" w:hAnsi="Garamond"/>
                <w:b/>
                <w:lang w:val="en-AU"/>
              </w:rPr>
              <w:t>Refugee healthcare perceptions in regional northern Australia</w:t>
            </w:r>
            <w:r w:rsidRPr="001677BC">
              <w:rPr>
                <w:rFonts w:ascii="Garamond" w:hAnsi="Garamond"/>
                <w:lang w:val="en-AU"/>
              </w:rPr>
              <w:t>: transition through engagement, access, trust, privacy, the old, and the new (Michael Au, Robyn Preston, Robin A Ray and Meg Davis</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1677BC">
              <w:rPr>
                <w:rFonts w:ascii="Garamond" w:hAnsi="Garamond"/>
                <w:lang w:val="en-AU"/>
              </w:rPr>
              <w:t xml:space="preserve">Qualitative </w:t>
            </w:r>
            <w:r w:rsidRPr="001677BC">
              <w:rPr>
                <w:rFonts w:ascii="Garamond" w:hAnsi="Garamond"/>
                <w:b/>
                <w:lang w:val="en-AU"/>
              </w:rPr>
              <w:t>experiences of primary health care and social care professionals with refugee-like migrants and former quota refugees</w:t>
            </w:r>
            <w:r w:rsidRPr="001677BC">
              <w:rPr>
                <w:rFonts w:ascii="Garamond" w:hAnsi="Garamond"/>
                <w:lang w:val="en-AU"/>
              </w:rPr>
              <w:t xml:space="preserve"> in New Zealand (Jonathan Kennedy, Helen Kim, Serena Moran and Eileen McKinlay</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1677BC">
              <w:rPr>
                <w:rFonts w:ascii="Garamond" w:hAnsi="Garamond"/>
                <w:lang w:val="en-AU"/>
              </w:rPr>
              <w:lastRenderedPageBreak/>
              <w:t xml:space="preserve">Understanding the </w:t>
            </w:r>
            <w:r w:rsidRPr="001677BC">
              <w:rPr>
                <w:rFonts w:ascii="Garamond" w:hAnsi="Garamond"/>
                <w:b/>
                <w:lang w:val="en-AU"/>
              </w:rPr>
              <w:t>research capacity and culture of a regional allied health workforce</w:t>
            </w:r>
            <w:r w:rsidRPr="001677BC">
              <w:rPr>
                <w:rFonts w:ascii="Garamond" w:hAnsi="Garamond"/>
                <w:lang w:val="en-AU"/>
              </w:rPr>
              <w:t xml:space="preserve"> (Angela Crombie, Donna Borkowski, Marcus Gardner, Kevin Masman and Owen Howlett</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1677BC">
              <w:rPr>
                <w:rFonts w:ascii="Garamond" w:hAnsi="Garamond"/>
                <w:lang w:val="en-AU"/>
              </w:rPr>
              <w:t xml:space="preserve">Implications for clients </w:t>
            </w:r>
            <w:r w:rsidRPr="001677BC">
              <w:rPr>
                <w:rFonts w:ascii="Garamond" w:hAnsi="Garamond"/>
                <w:b/>
                <w:lang w:val="en-AU"/>
              </w:rPr>
              <w:t>when nurses view weight as main cause of Type 2 diabetes</w:t>
            </w:r>
            <w:r w:rsidRPr="001677BC">
              <w:rPr>
                <w:rFonts w:ascii="Garamond" w:hAnsi="Garamond"/>
                <w:lang w:val="en-AU"/>
              </w:rPr>
              <w:t xml:space="preserve"> in primary care (Cynthia J Smith, Darlene A McNaughton and Samantha B Meyer</w:t>
            </w:r>
            <w:r>
              <w:rPr>
                <w:rFonts w:ascii="Garamond" w:hAnsi="Garamond"/>
                <w:lang w:val="en-AU"/>
              </w:rPr>
              <w:t>)</w:t>
            </w:r>
          </w:p>
          <w:p w:rsidR="00167FF2" w:rsidRDefault="00167FF2" w:rsidP="00E20587">
            <w:pPr>
              <w:pStyle w:val="ListParagraph"/>
              <w:numPr>
                <w:ilvl w:val="0"/>
                <w:numId w:val="15"/>
              </w:numPr>
              <w:rPr>
                <w:rFonts w:ascii="Garamond" w:hAnsi="Garamond"/>
                <w:lang w:val="en-AU"/>
              </w:rPr>
            </w:pPr>
            <w:r w:rsidRPr="001677BC">
              <w:rPr>
                <w:rFonts w:ascii="Garamond" w:hAnsi="Garamond"/>
                <w:lang w:val="en-AU"/>
              </w:rPr>
              <w:t xml:space="preserve">Perspectives of Australian GPs on </w:t>
            </w:r>
            <w:r w:rsidRPr="001677BC">
              <w:rPr>
                <w:rFonts w:ascii="Garamond" w:hAnsi="Garamond"/>
                <w:b/>
                <w:lang w:val="en-AU"/>
              </w:rPr>
              <w:t>tailoring fall risk management</w:t>
            </w:r>
            <w:r w:rsidRPr="001677BC">
              <w:rPr>
                <w:rFonts w:ascii="Garamond" w:hAnsi="Garamond"/>
                <w:lang w:val="en-AU"/>
              </w:rPr>
              <w:t>: a qualitative study (Lynette Mackenzie, Jeannine Liddle, Lindy M Clemson, Amy C W Tan, Meryl Lovarini, Sabrina W Pit, Roslyn G Poulos, Chris Roberts, Constance D Pond and Karen Willis</w:t>
            </w:r>
            <w:r>
              <w:rPr>
                <w:rFonts w:ascii="Garamond" w:hAnsi="Garamond"/>
                <w:lang w:val="en-AU"/>
              </w:rPr>
              <w:t>)</w:t>
            </w:r>
          </w:p>
          <w:p w:rsidR="00167FF2" w:rsidRPr="00292B57" w:rsidRDefault="00167FF2" w:rsidP="00E20587">
            <w:pPr>
              <w:pStyle w:val="ListParagraph"/>
              <w:numPr>
                <w:ilvl w:val="0"/>
                <w:numId w:val="15"/>
              </w:numPr>
              <w:rPr>
                <w:rFonts w:ascii="Garamond" w:hAnsi="Garamond"/>
                <w:lang w:val="en-AU"/>
              </w:rPr>
            </w:pPr>
            <w:r w:rsidRPr="003C513E">
              <w:rPr>
                <w:rFonts w:ascii="Garamond" w:hAnsi="Garamond"/>
                <w:lang w:val="en-AU"/>
              </w:rPr>
              <w:t xml:space="preserve">Patterns of </w:t>
            </w:r>
            <w:r w:rsidRPr="001677BC">
              <w:rPr>
                <w:rFonts w:ascii="Garamond" w:hAnsi="Garamond"/>
                <w:b/>
                <w:lang w:val="en-AU"/>
              </w:rPr>
              <w:t xml:space="preserve">real-world opioid prescribing </w:t>
            </w:r>
            <w:r w:rsidRPr="003C513E">
              <w:rPr>
                <w:rFonts w:ascii="Garamond" w:hAnsi="Garamond"/>
                <w:lang w:val="en-AU"/>
              </w:rPr>
              <w:t>in Australian general practice (2013–18)</w:t>
            </w:r>
            <w:r>
              <w:rPr>
                <w:rFonts w:ascii="Garamond" w:hAnsi="Garamond"/>
                <w:lang w:val="en-AU"/>
              </w:rPr>
              <w:t xml:space="preserve"> (</w:t>
            </w:r>
            <w:r w:rsidRPr="003C513E">
              <w:rPr>
                <w:rFonts w:ascii="Garamond" w:hAnsi="Garamond"/>
                <w:lang w:val="en-AU"/>
              </w:rPr>
              <w:t>Doreen Busingye, Benjamin Daniels, Jonathan Brett, Allan Pollack, Josephine Belcher, Kendal Chidwick and Suzanne Blogg</w:t>
            </w:r>
            <w:r>
              <w:rPr>
                <w:rFonts w:ascii="Garamond" w:hAnsi="Garamond"/>
                <w:lang w:val="en-AU"/>
              </w:rPr>
              <w:t>)</w:t>
            </w:r>
          </w:p>
        </w:tc>
      </w:tr>
    </w:tbl>
    <w:p w:rsidR="00F62504" w:rsidRPr="00F62504" w:rsidRDefault="00F62504" w:rsidP="00F62504">
      <w:pPr>
        <w:keepNext/>
        <w:rPr>
          <w:rFonts w:ascii="Garamond" w:hAnsi="Garamond"/>
          <w:i/>
          <w:lang w:val="en-AU"/>
        </w:rPr>
      </w:pPr>
    </w:p>
    <w:p w:rsidR="00F62504" w:rsidRDefault="00F62504" w:rsidP="00F62504">
      <w:pPr>
        <w:keepNext/>
        <w:rPr>
          <w:rFonts w:ascii="Garamond" w:hAnsi="Garamond"/>
          <w:i/>
          <w:lang w:val="en-AU"/>
        </w:rPr>
      </w:pPr>
      <w:r>
        <w:rPr>
          <w:rFonts w:ascii="Garamond" w:hAnsi="Garamond"/>
          <w:i/>
          <w:lang w:val="en-AU"/>
        </w:rPr>
        <w:t>Healthcare Quarterly</w:t>
      </w:r>
    </w:p>
    <w:p w:rsidR="00A620C2" w:rsidRPr="00D65371" w:rsidRDefault="00F62504" w:rsidP="00A620C2">
      <w:pPr>
        <w:keepNext/>
        <w:rPr>
          <w:rFonts w:ascii="Garamond" w:hAnsi="Garamond"/>
          <w:lang w:val="en-AU"/>
        </w:rPr>
      </w:pPr>
      <w:r w:rsidRPr="00F62504">
        <w:rPr>
          <w:rFonts w:ascii="Garamond" w:hAnsi="Garamond"/>
          <w:lang w:val="en-AU"/>
        </w:rPr>
        <w:t xml:space="preserve">Volume 24, Number 3, </w:t>
      </w:r>
      <w:r>
        <w:rPr>
          <w:rFonts w:ascii="Garamond" w:hAnsi="Garamond"/>
          <w:lang w:val="en-AU"/>
        </w:rPr>
        <w:t xml:space="preserve">October </w:t>
      </w:r>
      <w:r w:rsidRPr="00F62504">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A620C2" w:rsidRPr="000170DA" w:rsidTr="002E312C">
        <w:tc>
          <w:tcPr>
            <w:tcW w:w="1080" w:type="dxa"/>
            <w:tcBorders>
              <w:top w:val="single" w:sz="4" w:space="0" w:color="auto"/>
              <w:left w:val="single" w:sz="4" w:space="0" w:color="auto"/>
              <w:bottom w:val="single" w:sz="4" w:space="0" w:color="auto"/>
              <w:right w:val="single" w:sz="4" w:space="0" w:color="auto"/>
            </w:tcBorders>
            <w:vAlign w:val="center"/>
          </w:tcPr>
          <w:p w:rsidR="00A620C2" w:rsidRPr="000170DA" w:rsidRDefault="00A620C2" w:rsidP="002E312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20C2" w:rsidRPr="000170DA" w:rsidRDefault="00354C54" w:rsidP="00A620C2">
            <w:pPr>
              <w:keepNext/>
              <w:rPr>
                <w:rStyle w:val="Hyperlink"/>
                <w:rFonts w:ascii="Garamond" w:hAnsi="Garamond"/>
                <w:color w:val="auto"/>
                <w:u w:val="none"/>
                <w:lang w:val="en-AU"/>
              </w:rPr>
            </w:pPr>
            <w:hyperlink r:id="rId23" w:history="1">
              <w:r w:rsidR="00F62504" w:rsidRPr="00E05423">
                <w:rPr>
                  <w:rStyle w:val="Hyperlink"/>
                  <w:rFonts w:ascii="Garamond" w:hAnsi="Garamond"/>
                  <w:lang w:val="en-AU"/>
                </w:rPr>
                <w:t>https://www.longwoods.com/publications/healthcare-quarterly/26613/1/vol.-24-no.-3-2021</w:t>
              </w:r>
            </w:hyperlink>
          </w:p>
        </w:tc>
      </w:tr>
      <w:tr w:rsidR="00A620C2" w:rsidRPr="000170DA" w:rsidTr="002E312C">
        <w:tc>
          <w:tcPr>
            <w:tcW w:w="1080" w:type="dxa"/>
            <w:tcBorders>
              <w:top w:val="single" w:sz="4" w:space="0" w:color="auto"/>
              <w:left w:val="single" w:sz="4" w:space="0" w:color="auto"/>
              <w:bottom w:val="single" w:sz="4" w:space="0" w:color="auto"/>
              <w:right w:val="single" w:sz="4" w:space="0" w:color="auto"/>
            </w:tcBorders>
            <w:vAlign w:val="center"/>
          </w:tcPr>
          <w:p w:rsidR="00A620C2" w:rsidRPr="000170DA" w:rsidRDefault="00A620C2" w:rsidP="002E31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20C2" w:rsidRPr="007C3778" w:rsidRDefault="00A620C2" w:rsidP="002E312C">
            <w:pPr>
              <w:rPr>
                <w:rFonts w:ascii="Garamond" w:hAnsi="Garamond"/>
                <w:lang w:val="en-AU"/>
              </w:rPr>
            </w:pPr>
            <w:r w:rsidRPr="00B440ED">
              <w:rPr>
                <w:rFonts w:ascii="Garamond" w:hAnsi="Garamond"/>
                <w:lang w:val="en-AU"/>
              </w:rPr>
              <w:t xml:space="preserve">A new issue of </w:t>
            </w:r>
            <w:r w:rsidR="00F62504">
              <w:rPr>
                <w:rFonts w:ascii="Garamond" w:hAnsi="Garamond"/>
                <w:i/>
                <w:lang w:val="en-AU"/>
              </w:rPr>
              <w:t>Healthcare Quarterly</w:t>
            </w:r>
            <w:r w:rsidR="00F62504" w:rsidRPr="00B440ED">
              <w:rPr>
                <w:rFonts w:ascii="Garamond" w:hAnsi="Garamond"/>
                <w:lang w:val="en-AU"/>
              </w:rPr>
              <w:t xml:space="preserve"> </w:t>
            </w:r>
            <w:r w:rsidRPr="00B440ED">
              <w:rPr>
                <w:rFonts w:ascii="Garamond" w:hAnsi="Garamond"/>
                <w:lang w:val="en-AU"/>
              </w:rPr>
              <w:t>has been published</w:t>
            </w:r>
            <w:r w:rsidR="00F62504">
              <w:rPr>
                <w:rFonts w:ascii="Garamond" w:hAnsi="Garamond"/>
                <w:lang w:val="en-AU"/>
              </w:rPr>
              <w:t xml:space="preserve"> with the theme of ‘</w:t>
            </w:r>
            <w:r w:rsidR="00F62504" w:rsidRPr="00F62504">
              <w:rPr>
                <w:rFonts w:ascii="Garamond" w:hAnsi="Garamond"/>
                <w:lang w:val="en-AU"/>
              </w:rPr>
              <w:t>Resetting the Future of Healthcare Leadership</w:t>
            </w:r>
            <w:r w:rsidR="00F62504">
              <w:rPr>
                <w:rFonts w:ascii="Garamond" w:hAnsi="Garamond"/>
                <w:lang w:val="en-AU"/>
              </w:rPr>
              <w:t>’</w:t>
            </w:r>
            <w:r w:rsidRPr="00B440ED">
              <w:rPr>
                <w:rFonts w:ascii="Garamond" w:hAnsi="Garamond"/>
                <w:lang w:val="en-AU"/>
              </w:rPr>
              <w:t xml:space="preserve">. Articles in this issue of </w:t>
            </w:r>
            <w:r w:rsidR="00F62504">
              <w:rPr>
                <w:rFonts w:ascii="Garamond" w:hAnsi="Garamond"/>
                <w:i/>
                <w:lang w:val="en-AU"/>
              </w:rPr>
              <w:t>Healthcare Quarterly</w:t>
            </w:r>
            <w:r w:rsidR="00F62504" w:rsidRPr="00B440ED">
              <w:rPr>
                <w:rFonts w:ascii="Garamond" w:hAnsi="Garamond"/>
                <w:lang w:val="en-AU"/>
              </w:rPr>
              <w:t xml:space="preserve"> </w:t>
            </w:r>
            <w:r w:rsidRPr="00B440ED">
              <w:rPr>
                <w:rFonts w:ascii="Garamond" w:hAnsi="Garamond"/>
                <w:lang w:val="en-AU"/>
              </w:rPr>
              <w:t>include:</w:t>
            </w:r>
          </w:p>
          <w:p w:rsidR="00F62504" w:rsidRPr="00F62504" w:rsidRDefault="00A620C2" w:rsidP="00134DA0">
            <w:pPr>
              <w:pStyle w:val="ListParagraph"/>
              <w:numPr>
                <w:ilvl w:val="0"/>
                <w:numId w:val="15"/>
              </w:numPr>
              <w:rPr>
                <w:rFonts w:ascii="Garamond" w:hAnsi="Garamond"/>
                <w:lang w:val="en-AU"/>
              </w:rPr>
            </w:pPr>
            <w:r w:rsidRPr="00F62504">
              <w:rPr>
                <w:rFonts w:ascii="Garamond" w:hAnsi="Garamond"/>
                <w:lang w:val="en-AU"/>
              </w:rPr>
              <w:t xml:space="preserve">Editorial: </w:t>
            </w:r>
            <w:r w:rsidR="00F62504" w:rsidRPr="00F62504">
              <w:rPr>
                <w:rFonts w:ascii="Garamond" w:hAnsi="Garamond"/>
                <w:lang w:val="en-AU"/>
              </w:rPr>
              <w:t xml:space="preserve">Resetting the </w:t>
            </w:r>
            <w:r w:rsidR="00F62504" w:rsidRPr="00F62504">
              <w:rPr>
                <w:rFonts w:ascii="Garamond" w:hAnsi="Garamond"/>
                <w:b/>
                <w:lang w:val="en-AU"/>
              </w:rPr>
              <w:t>Future of Healthcare Leadership</w:t>
            </w:r>
            <w:r w:rsidR="00F62504" w:rsidRPr="00F62504">
              <w:rPr>
                <w:rFonts w:ascii="Garamond" w:hAnsi="Garamond"/>
                <w:lang w:val="en-AU"/>
              </w:rPr>
              <w:t xml:space="preserve"> (Anne Wojtak and Neil Stuart</w:t>
            </w:r>
            <w:r w:rsidR="00F62504">
              <w:rPr>
                <w:rFonts w:ascii="Garamond" w:hAnsi="Garamond"/>
                <w:lang w:val="en-AU"/>
              </w:rPr>
              <w:t>)</w:t>
            </w:r>
          </w:p>
          <w:p w:rsidR="00F62504" w:rsidRPr="00F62504" w:rsidRDefault="00F62504" w:rsidP="00AB0296">
            <w:pPr>
              <w:pStyle w:val="ListParagraph"/>
              <w:numPr>
                <w:ilvl w:val="0"/>
                <w:numId w:val="15"/>
              </w:numPr>
              <w:rPr>
                <w:rFonts w:ascii="Garamond" w:hAnsi="Garamond"/>
                <w:lang w:val="en-AU"/>
              </w:rPr>
            </w:pPr>
            <w:r w:rsidRPr="00F62504">
              <w:rPr>
                <w:rFonts w:ascii="Garamond" w:hAnsi="Garamond"/>
                <w:lang w:val="en-AU"/>
              </w:rPr>
              <w:t xml:space="preserve">Reviewing the Evidence on Prenatal Opioid Exposure to Inform </w:t>
            </w:r>
            <w:r w:rsidRPr="00F62504">
              <w:rPr>
                <w:rFonts w:ascii="Garamond" w:hAnsi="Garamond"/>
                <w:b/>
                <w:lang w:val="en-AU"/>
              </w:rPr>
              <w:t>Child Development Policy and Practice</w:t>
            </w:r>
            <w:r w:rsidRPr="00F62504">
              <w:rPr>
                <w:rFonts w:ascii="Garamond" w:hAnsi="Garamond"/>
                <w:lang w:val="en-AU"/>
              </w:rPr>
              <w:t xml:space="preserve"> (Andi Camden, Madeleine Harris, Sophia den Otter-Moore, Douglas M Campbell and Astrid Guttmann</w:t>
            </w:r>
            <w:r>
              <w:rPr>
                <w:rFonts w:ascii="Garamond" w:hAnsi="Garamond"/>
                <w:lang w:val="en-AU"/>
              </w:rPr>
              <w:t>)</w:t>
            </w:r>
          </w:p>
          <w:p w:rsidR="00F62504" w:rsidRPr="00F62504" w:rsidRDefault="00F62504" w:rsidP="001F487B">
            <w:pPr>
              <w:pStyle w:val="ListParagraph"/>
              <w:numPr>
                <w:ilvl w:val="0"/>
                <w:numId w:val="15"/>
              </w:numPr>
              <w:rPr>
                <w:rFonts w:ascii="Garamond" w:hAnsi="Garamond"/>
                <w:lang w:val="en-AU"/>
              </w:rPr>
            </w:pPr>
            <w:r w:rsidRPr="00F62504">
              <w:rPr>
                <w:rFonts w:ascii="Garamond" w:hAnsi="Garamond"/>
                <w:lang w:val="en-AU"/>
              </w:rPr>
              <w:t xml:space="preserve">The </w:t>
            </w:r>
            <w:r w:rsidRPr="00F62504">
              <w:rPr>
                <w:rFonts w:ascii="Garamond" w:hAnsi="Garamond"/>
                <w:b/>
                <w:lang w:val="en-AU"/>
              </w:rPr>
              <w:t>Impact of the COVID-19 Pandemic in Long-Term Care</w:t>
            </w:r>
            <w:r w:rsidRPr="00F62504">
              <w:rPr>
                <w:rFonts w:ascii="Garamond" w:hAnsi="Garamond"/>
                <w:lang w:val="en-AU"/>
              </w:rPr>
              <w:t xml:space="preserve"> in Canada (Raquel Betini, Sandra Milicic and Christina Lawand</w:t>
            </w:r>
            <w:r>
              <w:rPr>
                <w:rFonts w:ascii="Garamond" w:hAnsi="Garamond"/>
                <w:lang w:val="en-AU"/>
              </w:rPr>
              <w:t>)</w:t>
            </w:r>
          </w:p>
          <w:p w:rsidR="00F62504" w:rsidRPr="00F62504" w:rsidRDefault="00F62504" w:rsidP="00144687">
            <w:pPr>
              <w:pStyle w:val="ListParagraph"/>
              <w:numPr>
                <w:ilvl w:val="0"/>
                <w:numId w:val="15"/>
              </w:numPr>
              <w:rPr>
                <w:rFonts w:ascii="Garamond" w:hAnsi="Garamond"/>
                <w:lang w:val="en-AU"/>
              </w:rPr>
            </w:pPr>
            <w:r w:rsidRPr="00F62504">
              <w:rPr>
                <w:rFonts w:ascii="Garamond" w:hAnsi="Garamond"/>
                <w:lang w:val="en-AU"/>
              </w:rPr>
              <w:t xml:space="preserve">Commentary: </w:t>
            </w:r>
            <w:r w:rsidRPr="00F62504">
              <w:rPr>
                <w:rFonts w:ascii="Garamond" w:hAnsi="Garamond"/>
                <w:b/>
                <w:lang w:val="en-AU"/>
              </w:rPr>
              <w:t>Moral and Ethical Leadership in the Age of Diversity, Equity, Inclusiveness and Social Accountability</w:t>
            </w:r>
            <w:r w:rsidRPr="00F62504">
              <w:rPr>
                <w:rFonts w:ascii="Garamond" w:hAnsi="Garamond"/>
                <w:lang w:val="en-AU"/>
              </w:rPr>
              <w:t xml:space="preserve"> (Alex Anawati and Sarita Verma</w:t>
            </w:r>
            <w:r>
              <w:rPr>
                <w:rFonts w:ascii="Garamond" w:hAnsi="Garamond"/>
                <w:lang w:val="en-AU"/>
              </w:rPr>
              <w:t>)</w:t>
            </w:r>
          </w:p>
          <w:p w:rsidR="00F62504" w:rsidRPr="00F62504" w:rsidRDefault="00F62504" w:rsidP="008028F0">
            <w:pPr>
              <w:pStyle w:val="ListParagraph"/>
              <w:numPr>
                <w:ilvl w:val="0"/>
                <w:numId w:val="15"/>
              </w:numPr>
              <w:rPr>
                <w:rFonts w:ascii="Garamond" w:hAnsi="Garamond"/>
                <w:lang w:val="en-AU"/>
              </w:rPr>
            </w:pPr>
            <w:r w:rsidRPr="00F62504">
              <w:rPr>
                <w:rFonts w:ascii="Garamond" w:hAnsi="Garamond"/>
                <w:lang w:val="en-AU"/>
              </w:rPr>
              <w:t xml:space="preserve">Commentary: Laying the Groundwork to </w:t>
            </w:r>
            <w:r w:rsidRPr="00F62504">
              <w:rPr>
                <w:rFonts w:ascii="Garamond" w:hAnsi="Garamond"/>
                <w:b/>
                <w:lang w:val="en-AU"/>
              </w:rPr>
              <w:t>Meaningfully Engage Indigenous Leadership</w:t>
            </w:r>
            <w:r w:rsidRPr="00F62504">
              <w:rPr>
                <w:rFonts w:ascii="Garamond" w:hAnsi="Garamond"/>
                <w:lang w:val="en-AU"/>
              </w:rPr>
              <w:t xml:space="preserve"> (Harmony Johnson, s</w:t>
            </w:r>
            <w:r w:rsidRPr="00F62504">
              <w:rPr>
                <w:lang w:val="en-AU"/>
              </w:rPr>
              <w:t>ɛƛ</w:t>
            </w:r>
            <w:r w:rsidRPr="00F62504">
              <w:rPr>
                <w:rFonts w:ascii="Garamond" w:hAnsi="Garamond"/>
                <w:lang w:val="en-AU"/>
              </w:rPr>
              <w:t>ak</w:t>
            </w:r>
            <w:r w:rsidRPr="00F62504">
              <w:rPr>
                <w:lang w:val="en-AU"/>
              </w:rPr>
              <w:t>ə</w:t>
            </w:r>
            <w:r w:rsidRPr="00F62504">
              <w:rPr>
                <w:rFonts w:ascii="Garamond" w:hAnsi="Garamond"/>
                <w:lang w:val="en-AU"/>
              </w:rPr>
              <w:t>s</w:t>
            </w:r>
            <w:r>
              <w:rPr>
                <w:rFonts w:ascii="Garamond" w:hAnsi="Garamond"/>
                <w:lang w:val="en-AU"/>
              </w:rPr>
              <w:t>)</w:t>
            </w:r>
          </w:p>
          <w:p w:rsidR="00F62504" w:rsidRPr="00F62504" w:rsidRDefault="00F62504" w:rsidP="002236DA">
            <w:pPr>
              <w:pStyle w:val="ListParagraph"/>
              <w:numPr>
                <w:ilvl w:val="0"/>
                <w:numId w:val="15"/>
              </w:numPr>
              <w:rPr>
                <w:rFonts w:ascii="Garamond" w:hAnsi="Garamond"/>
                <w:lang w:val="en-AU"/>
              </w:rPr>
            </w:pPr>
            <w:r w:rsidRPr="00F62504">
              <w:rPr>
                <w:rFonts w:ascii="Garamond" w:hAnsi="Garamond"/>
                <w:lang w:val="en-AU"/>
              </w:rPr>
              <w:t xml:space="preserve">Leadership Perspective: </w:t>
            </w:r>
            <w:r w:rsidRPr="00F62504">
              <w:rPr>
                <w:rFonts w:ascii="Garamond" w:hAnsi="Garamond"/>
                <w:b/>
                <w:lang w:val="en-AU"/>
              </w:rPr>
              <w:t>Addressing Canada’s Opioid Crisis</w:t>
            </w:r>
            <w:r w:rsidRPr="00F62504">
              <w:rPr>
                <w:rFonts w:ascii="Garamond" w:hAnsi="Garamond"/>
                <w:lang w:val="en-AU"/>
              </w:rPr>
              <w:t xml:space="preserve"> – Reducing the Harm of Leadership (Anne Wojtak and Neil Stuart</w:t>
            </w:r>
            <w:r>
              <w:rPr>
                <w:rFonts w:ascii="Garamond" w:hAnsi="Garamond"/>
                <w:lang w:val="en-AU"/>
              </w:rPr>
              <w:t>)</w:t>
            </w:r>
          </w:p>
          <w:p w:rsidR="00F62504" w:rsidRPr="00F62504" w:rsidRDefault="00F62504" w:rsidP="00992BA4">
            <w:pPr>
              <w:pStyle w:val="ListParagraph"/>
              <w:numPr>
                <w:ilvl w:val="0"/>
                <w:numId w:val="15"/>
              </w:numPr>
              <w:rPr>
                <w:rFonts w:ascii="Garamond" w:hAnsi="Garamond"/>
                <w:lang w:val="en-AU"/>
              </w:rPr>
            </w:pPr>
            <w:r w:rsidRPr="00F62504">
              <w:rPr>
                <w:rFonts w:ascii="Garamond" w:hAnsi="Garamond"/>
                <w:lang w:val="en-AU"/>
              </w:rPr>
              <w:t xml:space="preserve">Leveraging Innovative Leadership Models within Community and Healthcare Organizations to Support </w:t>
            </w:r>
            <w:r w:rsidRPr="00F62504">
              <w:rPr>
                <w:rFonts w:ascii="Garamond" w:hAnsi="Garamond"/>
                <w:b/>
                <w:lang w:val="en-AU"/>
              </w:rPr>
              <w:t>Safe School Reopening during the COVID-19 Pandemic</w:t>
            </w:r>
            <w:r w:rsidRPr="00F62504">
              <w:rPr>
                <w:rFonts w:ascii="Garamond" w:hAnsi="Garamond"/>
                <w:lang w:val="en-AU"/>
              </w:rPr>
              <w:t xml:space="preserve"> (Catherine Yu, Karen Chu, Janine McCready, Sarah Downey and Thuy-Nga(Tia) Pham</w:t>
            </w:r>
            <w:r>
              <w:rPr>
                <w:rFonts w:ascii="Garamond" w:hAnsi="Garamond"/>
                <w:lang w:val="en-AU"/>
              </w:rPr>
              <w:t>)</w:t>
            </w:r>
          </w:p>
          <w:p w:rsidR="00F62504" w:rsidRPr="00F62504" w:rsidRDefault="00F62504" w:rsidP="0076522C">
            <w:pPr>
              <w:pStyle w:val="ListParagraph"/>
              <w:numPr>
                <w:ilvl w:val="0"/>
                <w:numId w:val="15"/>
              </w:numPr>
              <w:rPr>
                <w:rFonts w:ascii="Garamond" w:hAnsi="Garamond"/>
                <w:lang w:val="en-AU"/>
              </w:rPr>
            </w:pPr>
            <w:r w:rsidRPr="00F62504">
              <w:rPr>
                <w:rFonts w:ascii="Garamond" w:hAnsi="Garamond"/>
                <w:lang w:val="en-AU"/>
              </w:rPr>
              <w:t xml:space="preserve">Impactful Approaches to </w:t>
            </w:r>
            <w:r w:rsidRPr="00F62504">
              <w:rPr>
                <w:rFonts w:ascii="Garamond" w:hAnsi="Garamond"/>
                <w:b/>
                <w:lang w:val="en-AU"/>
              </w:rPr>
              <w:t>Leadership on the Front Lines of the COVID-19 Pandemic</w:t>
            </w:r>
            <w:r w:rsidRPr="00F62504">
              <w:rPr>
                <w:rFonts w:ascii="Garamond" w:hAnsi="Garamond"/>
                <w:lang w:val="en-AU"/>
              </w:rPr>
              <w:t>: Lived Experiences of Canadian Paramedics (Lindsey Boechler, Cheryl Cameron, J Chris Smith, Polly Ford-Jones and Patrick Suthers</w:t>
            </w:r>
            <w:r>
              <w:rPr>
                <w:rFonts w:ascii="Garamond" w:hAnsi="Garamond"/>
                <w:lang w:val="en-AU"/>
              </w:rPr>
              <w:t>)</w:t>
            </w:r>
          </w:p>
          <w:p w:rsidR="00F62504" w:rsidRPr="00F62504" w:rsidRDefault="00F62504" w:rsidP="00CE3851">
            <w:pPr>
              <w:pStyle w:val="ListParagraph"/>
              <w:numPr>
                <w:ilvl w:val="0"/>
                <w:numId w:val="15"/>
              </w:numPr>
              <w:rPr>
                <w:rFonts w:ascii="Garamond" w:hAnsi="Garamond"/>
                <w:lang w:val="en-AU"/>
              </w:rPr>
            </w:pPr>
            <w:r w:rsidRPr="00F62504">
              <w:rPr>
                <w:rFonts w:ascii="Garamond" w:hAnsi="Garamond"/>
                <w:lang w:val="en-AU"/>
              </w:rPr>
              <w:t xml:space="preserve">Leadership during a Crisis: </w:t>
            </w:r>
            <w:r w:rsidRPr="00F62504">
              <w:rPr>
                <w:rFonts w:ascii="Garamond" w:hAnsi="Garamond"/>
                <w:b/>
                <w:lang w:val="en-AU"/>
              </w:rPr>
              <w:t>Observations by Emerging Leaders during the COVID-19 Pandemic</w:t>
            </w:r>
            <w:r w:rsidRPr="00F62504">
              <w:rPr>
                <w:rFonts w:ascii="Garamond" w:hAnsi="Garamond"/>
                <w:lang w:val="en-AU"/>
              </w:rPr>
              <w:t xml:space="preserve"> (Wendy Nelson, Arlinda Ruco and Isser Dubinsky</w:t>
            </w:r>
            <w:r>
              <w:rPr>
                <w:rFonts w:ascii="Garamond" w:hAnsi="Garamond"/>
                <w:lang w:val="en-AU"/>
              </w:rPr>
              <w:t>)</w:t>
            </w:r>
          </w:p>
          <w:p w:rsidR="00F62504" w:rsidRPr="00F62504" w:rsidRDefault="00F62504" w:rsidP="00AC4632">
            <w:pPr>
              <w:pStyle w:val="ListParagraph"/>
              <w:numPr>
                <w:ilvl w:val="0"/>
                <w:numId w:val="15"/>
              </w:numPr>
              <w:rPr>
                <w:rFonts w:ascii="Garamond" w:hAnsi="Garamond"/>
                <w:lang w:val="en-AU"/>
              </w:rPr>
            </w:pPr>
            <w:r w:rsidRPr="00F62504">
              <w:rPr>
                <w:rFonts w:ascii="Garamond" w:hAnsi="Garamond"/>
                <w:lang w:val="en-AU"/>
              </w:rPr>
              <w:t xml:space="preserve">Leading through Crises: </w:t>
            </w:r>
            <w:r w:rsidRPr="00F62504">
              <w:rPr>
                <w:rFonts w:ascii="Garamond" w:hAnsi="Garamond"/>
                <w:b/>
                <w:lang w:val="en-AU"/>
              </w:rPr>
              <w:t>Healthcare Supply Chain Strategies and Lessons Learned</w:t>
            </w:r>
            <w:r w:rsidRPr="00F62504">
              <w:rPr>
                <w:rFonts w:ascii="Garamond" w:hAnsi="Garamond"/>
                <w:lang w:val="en-AU"/>
              </w:rPr>
              <w:t xml:space="preserve"> from the COVID-19 Challenges (Roxanne Patel, Connor Schmidt, Karen Belaire, Tammy Quigley and Rebecca Repa</w:t>
            </w:r>
            <w:r>
              <w:rPr>
                <w:rFonts w:ascii="Garamond" w:hAnsi="Garamond"/>
                <w:lang w:val="en-AU"/>
              </w:rPr>
              <w:t>)</w:t>
            </w:r>
          </w:p>
          <w:p w:rsidR="00F62504" w:rsidRPr="00F62504" w:rsidRDefault="00F62504" w:rsidP="00292EBC">
            <w:pPr>
              <w:pStyle w:val="ListParagraph"/>
              <w:numPr>
                <w:ilvl w:val="0"/>
                <w:numId w:val="15"/>
              </w:numPr>
              <w:rPr>
                <w:rFonts w:ascii="Garamond" w:hAnsi="Garamond"/>
                <w:lang w:val="en-AU"/>
              </w:rPr>
            </w:pPr>
            <w:r w:rsidRPr="00F62504">
              <w:rPr>
                <w:rFonts w:ascii="Garamond" w:hAnsi="Garamond"/>
                <w:lang w:val="en-AU"/>
              </w:rPr>
              <w:t xml:space="preserve">Foundations, Functions and Current State of </w:t>
            </w:r>
            <w:r w:rsidRPr="00F62504">
              <w:rPr>
                <w:rFonts w:ascii="Garamond" w:hAnsi="Garamond"/>
                <w:b/>
                <w:lang w:val="en-AU"/>
              </w:rPr>
              <w:t>Collaborative Leadership</w:t>
            </w:r>
            <w:r w:rsidRPr="00F62504">
              <w:rPr>
                <w:rFonts w:ascii="Garamond" w:hAnsi="Garamond"/>
                <w:lang w:val="en-AU"/>
              </w:rPr>
              <w:t>: A Case of Newly Developing Integrated Care in Ontario (Shannon L Sibbald, Ruth E Hall, Gayathri Embuldeniya, Jennifer Gutberg and Walter P Wodchis</w:t>
            </w:r>
            <w:r>
              <w:rPr>
                <w:rFonts w:ascii="Garamond" w:hAnsi="Garamond"/>
                <w:lang w:val="en-AU"/>
              </w:rPr>
              <w:t>)</w:t>
            </w:r>
          </w:p>
          <w:p w:rsidR="00F62504" w:rsidRPr="00F62504" w:rsidRDefault="00F62504" w:rsidP="00130411">
            <w:pPr>
              <w:pStyle w:val="ListParagraph"/>
              <w:numPr>
                <w:ilvl w:val="0"/>
                <w:numId w:val="15"/>
              </w:numPr>
              <w:rPr>
                <w:rFonts w:ascii="Garamond" w:hAnsi="Garamond"/>
                <w:lang w:val="en-AU"/>
              </w:rPr>
            </w:pPr>
            <w:r w:rsidRPr="00F62504">
              <w:rPr>
                <w:rFonts w:ascii="Garamond" w:hAnsi="Garamond"/>
                <w:lang w:val="en-AU"/>
              </w:rPr>
              <w:lastRenderedPageBreak/>
              <w:t xml:space="preserve">Leadership Perspective: </w:t>
            </w:r>
            <w:r w:rsidRPr="00F62504">
              <w:rPr>
                <w:rFonts w:ascii="Garamond" w:hAnsi="Garamond"/>
                <w:b/>
                <w:lang w:val="en-AU"/>
              </w:rPr>
              <w:t>Partnering with Patients to Co-Design Healthcare Systems</w:t>
            </w:r>
            <w:r w:rsidRPr="00F62504">
              <w:rPr>
                <w:rFonts w:ascii="Garamond" w:hAnsi="Garamond"/>
                <w:lang w:val="en-AU"/>
              </w:rPr>
              <w:t xml:space="preserve"> (Neil Stuart and Anne Wojtak</w:t>
            </w:r>
            <w:r>
              <w:rPr>
                <w:rFonts w:ascii="Garamond" w:hAnsi="Garamond"/>
                <w:lang w:val="en-AU"/>
              </w:rPr>
              <w:t>)</w:t>
            </w:r>
          </w:p>
          <w:p w:rsidR="00F62504" w:rsidRPr="00F62504" w:rsidRDefault="00F62504" w:rsidP="00431B2D">
            <w:pPr>
              <w:pStyle w:val="ListParagraph"/>
              <w:numPr>
                <w:ilvl w:val="0"/>
                <w:numId w:val="15"/>
              </w:numPr>
              <w:rPr>
                <w:rFonts w:ascii="Garamond" w:hAnsi="Garamond"/>
                <w:lang w:val="en-AU"/>
              </w:rPr>
            </w:pPr>
            <w:r w:rsidRPr="00F62504">
              <w:rPr>
                <w:rFonts w:ascii="Garamond" w:hAnsi="Garamond"/>
                <w:lang w:val="en-AU"/>
              </w:rPr>
              <w:t xml:space="preserve">Commentary: The </w:t>
            </w:r>
            <w:r w:rsidRPr="00F62504">
              <w:rPr>
                <w:rFonts w:ascii="Garamond" w:hAnsi="Garamond"/>
                <w:b/>
                <w:lang w:val="en-AU"/>
              </w:rPr>
              <w:t>Future of Aging</w:t>
            </w:r>
            <w:r w:rsidRPr="00F62504">
              <w:rPr>
                <w:rFonts w:ascii="Garamond" w:hAnsi="Garamond"/>
                <w:lang w:val="en-AU"/>
              </w:rPr>
              <w:t xml:space="preserve"> in Canada (Cathy Szabo</w:t>
            </w:r>
            <w:r>
              <w:rPr>
                <w:rFonts w:ascii="Garamond" w:hAnsi="Garamond"/>
                <w:lang w:val="en-AU"/>
              </w:rPr>
              <w:t>)</w:t>
            </w:r>
          </w:p>
          <w:p w:rsidR="00A620C2" w:rsidRPr="00292B57" w:rsidRDefault="00F62504" w:rsidP="00F62504">
            <w:pPr>
              <w:pStyle w:val="ListParagraph"/>
              <w:numPr>
                <w:ilvl w:val="0"/>
                <w:numId w:val="15"/>
              </w:numPr>
              <w:rPr>
                <w:rFonts w:ascii="Garamond" w:hAnsi="Garamond"/>
                <w:lang w:val="en-AU"/>
              </w:rPr>
            </w:pPr>
            <w:r w:rsidRPr="00F62504">
              <w:rPr>
                <w:rFonts w:ascii="Garamond" w:hAnsi="Garamond"/>
                <w:lang w:val="en-AU"/>
              </w:rPr>
              <w:t xml:space="preserve">Building </w:t>
            </w:r>
            <w:r w:rsidRPr="00F62504">
              <w:rPr>
                <w:rFonts w:ascii="Garamond" w:hAnsi="Garamond"/>
                <w:b/>
                <w:lang w:val="en-AU"/>
              </w:rPr>
              <w:t>Environmentally Sustainable Health Systems</w:t>
            </w:r>
            <w:r w:rsidRPr="00F62504">
              <w:rPr>
                <w:rFonts w:ascii="Garamond" w:hAnsi="Garamond"/>
                <w:lang w:val="en-AU"/>
              </w:rPr>
              <w:t xml:space="preserve"> in Canada: The Time Is Now for Emergent and Strategic Leadership </w:t>
            </w:r>
            <w:r>
              <w:rPr>
                <w:rFonts w:ascii="Garamond" w:hAnsi="Garamond"/>
                <w:lang w:val="en-AU"/>
              </w:rPr>
              <w:t>(</w:t>
            </w:r>
            <w:r w:rsidRPr="00F62504">
              <w:rPr>
                <w:rFonts w:ascii="Garamond" w:hAnsi="Garamond"/>
                <w:lang w:val="en-AU"/>
              </w:rPr>
              <w:t>Danielle Toccalino, Anna Cooper Reed, Colin Sue-Chue-Lam, Anson Cheung and V Haldane</w:t>
            </w:r>
            <w:r>
              <w:rPr>
                <w:rFonts w:ascii="Garamond" w:hAnsi="Garamond"/>
                <w:lang w:val="en-AU"/>
              </w:rPr>
              <w:t>)</w:t>
            </w:r>
          </w:p>
        </w:tc>
      </w:tr>
    </w:tbl>
    <w:p w:rsidR="00073384" w:rsidRDefault="00073384" w:rsidP="00495B24">
      <w:pPr>
        <w:keepNext/>
        <w:rPr>
          <w:rFonts w:ascii="Garamond" w:hAnsi="Garamond"/>
          <w:i/>
          <w:lang w:val="en-AU"/>
        </w:rPr>
      </w:pPr>
    </w:p>
    <w:p w:rsidR="00495B24" w:rsidRPr="00467B47" w:rsidRDefault="00495B24" w:rsidP="00495B24">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95B24" w:rsidRPr="00467B47" w:rsidTr="00EF253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95B24" w:rsidRPr="00467B47" w:rsidRDefault="00354C54" w:rsidP="00EF253F">
            <w:pPr>
              <w:keepNext/>
              <w:rPr>
                <w:rFonts w:ascii="Garamond" w:hAnsi="Garamond"/>
                <w:lang w:val="en-AU"/>
              </w:rPr>
            </w:pPr>
            <w:hyperlink r:id="rId24" w:history="1">
              <w:r w:rsidR="00495B24" w:rsidRPr="00467B47">
                <w:rPr>
                  <w:rStyle w:val="Hyperlink"/>
                  <w:rFonts w:ascii="Garamond" w:hAnsi="Garamond"/>
                  <w:lang w:val="en-AU"/>
                </w:rPr>
                <w:t>https://qualitysafety.bmj.com/content/early/recent</w:t>
              </w:r>
            </w:hyperlink>
          </w:p>
        </w:tc>
      </w:tr>
      <w:tr w:rsidR="00495B24" w:rsidRPr="00467B47" w:rsidTr="00EF253F">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95B24" w:rsidRPr="00D84575" w:rsidRDefault="00495B24" w:rsidP="00EF253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56A48" w:rsidRPr="00F56A48" w:rsidRDefault="00F56A48" w:rsidP="004326B6">
            <w:pPr>
              <w:pStyle w:val="ListParagraph"/>
              <w:numPr>
                <w:ilvl w:val="0"/>
                <w:numId w:val="14"/>
              </w:numPr>
              <w:rPr>
                <w:rFonts w:ascii="Garamond" w:hAnsi="Garamond"/>
                <w:lang w:val="en-AU"/>
              </w:rPr>
            </w:pPr>
            <w:r w:rsidRPr="00F56A48">
              <w:rPr>
                <w:rFonts w:ascii="Garamond" w:hAnsi="Garamond"/>
                <w:lang w:val="en-AU"/>
              </w:rPr>
              <w:t xml:space="preserve">Editorial: </w:t>
            </w:r>
            <w:r w:rsidRPr="00F56A48">
              <w:rPr>
                <w:rFonts w:ascii="Garamond" w:hAnsi="Garamond"/>
                <w:b/>
                <w:lang w:val="en-AU"/>
              </w:rPr>
              <w:t>Outsourcing care to the private sector</w:t>
            </w:r>
            <w:r w:rsidRPr="00F56A48">
              <w:rPr>
                <w:rFonts w:ascii="Garamond" w:hAnsi="Garamond"/>
                <w:lang w:val="en-AU"/>
              </w:rPr>
              <w:t>: some reassuring evidence on patient outcomes (Alex Bottle, John Browne</w:t>
            </w:r>
            <w:r>
              <w:rPr>
                <w:rFonts w:ascii="Garamond" w:hAnsi="Garamond"/>
                <w:lang w:val="en-AU"/>
              </w:rPr>
              <w:t>)</w:t>
            </w:r>
          </w:p>
          <w:p w:rsidR="00815510" w:rsidRPr="00543B3B" w:rsidRDefault="00F56A48" w:rsidP="00F56A48">
            <w:pPr>
              <w:pStyle w:val="ListParagraph"/>
              <w:numPr>
                <w:ilvl w:val="0"/>
                <w:numId w:val="14"/>
              </w:numPr>
              <w:rPr>
                <w:rFonts w:ascii="Garamond" w:hAnsi="Garamond"/>
                <w:lang w:val="en-AU"/>
              </w:rPr>
            </w:pPr>
            <w:r w:rsidRPr="00F56A48">
              <w:rPr>
                <w:rFonts w:ascii="Garamond" w:hAnsi="Garamond"/>
                <w:lang w:val="en-AU"/>
              </w:rPr>
              <w:t xml:space="preserve">Editorial: Indirect effects of the </w:t>
            </w:r>
            <w:r w:rsidRPr="00F56A48">
              <w:rPr>
                <w:rFonts w:ascii="Garamond" w:hAnsi="Garamond"/>
                <w:b/>
                <w:lang w:val="en-AU"/>
              </w:rPr>
              <w:t>COVID-19 pandemic on people with type 2 diabetes</w:t>
            </w:r>
            <w:r w:rsidRPr="00F56A48">
              <w:rPr>
                <w:rFonts w:ascii="Garamond" w:hAnsi="Garamond"/>
                <w:lang w:val="en-AU"/>
              </w:rPr>
              <w:t xml:space="preserve">: time to urgently move into a recovery phase </w:t>
            </w:r>
            <w:r>
              <w:rPr>
                <w:rFonts w:ascii="Garamond" w:hAnsi="Garamond"/>
                <w:lang w:val="en-AU"/>
              </w:rPr>
              <w:t>(</w:t>
            </w:r>
            <w:r w:rsidRPr="00F56A48">
              <w:rPr>
                <w:rFonts w:ascii="Garamond" w:hAnsi="Garamond"/>
                <w:lang w:val="en-AU"/>
              </w:rPr>
              <w:t>Eszter P Vamos, Kamlesh Khunti</w:t>
            </w:r>
            <w:r>
              <w:rPr>
                <w:rFonts w:ascii="Garamond" w:hAnsi="Garamond"/>
                <w:lang w:val="en-AU"/>
              </w:rPr>
              <w:t>)</w:t>
            </w:r>
          </w:p>
        </w:tc>
      </w:tr>
    </w:tbl>
    <w:p w:rsidR="00495B24" w:rsidRDefault="00495B24" w:rsidP="00495B24">
      <w:pPr>
        <w:rPr>
          <w:rFonts w:ascii="Garamond" w:hAnsi="Garamond"/>
          <w:i/>
          <w:lang w:val="en-AU"/>
        </w:rPr>
      </w:pPr>
    </w:p>
    <w:p w:rsidR="005F0438" w:rsidRPr="00467B47" w:rsidRDefault="005F0438" w:rsidP="005F043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354C54" w:rsidP="00DD043E">
            <w:pPr>
              <w:keepNext/>
              <w:rPr>
                <w:rFonts w:ascii="Garamond" w:hAnsi="Garamond"/>
                <w:lang w:val="en-AU"/>
              </w:rPr>
            </w:pPr>
            <w:hyperlink r:id="rId25" w:history="1">
              <w:r w:rsidR="005F0438" w:rsidRPr="00D31E10">
                <w:rPr>
                  <w:rStyle w:val="Hyperlink"/>
                  <w:rFonts w:ascii="Garamond" w:hAnsi="Garamond"/>
                  <w:lang w:val="en-AU"/>
                </w:rPr>
                <w:t>https://academic.oup.com/intqhc/advance-articles</w:t>
              </w:r>
            </w:hyperlink>
          </w:p>
        </w:tc>
      </w:tr>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13C38" w:rsidRPr="00F83A64" w:rsidRDefault="00013C38" w:rsidP="00013C38">
            <w:pPr>
              <w:pStyle w:val="ListParagraph"/>
              <w:numPr>
                <w:ilvl w:val="0"/>
                <w:numId w:val="14"/>
              </w:numPr>
              <w:rPr>
                <w:rFonts w:ascii="Garamond" w:hAnsi="Garamond"/>
                <w:lang w:val="en-AU"/>
              </w:rPr>
            </w:pPr>
            <w:r w:rsidRPr="0057299E">
              <w:rPr>
                <w:rFonts w:ascii="Garamond" w:hAnsi="Garamond"/>
                <w:lang w:val="en-AU"/>
              </w:rPr>
              <w:t xml:space="preserve">An </w:t>
            </w:r>
            <w:r w:rsidRPr="00013C38">
              <w:rPr>
                <w:rFonts w:ascii="Garamond" w:hAnsi="Garamond"/>
                <w:b/>
                <w:lang w:val="en-AU"/>
              </w:rPr>
              <w:t xml:space="preserve">Appraisal of </w:t>
            </w:r>
            <w:r w:rsidRPr="0057299E">
              <w:rPr>
                <w:rFonts w:ascii="Garamond" w:hAnsi="Garamond"/>
                <w:b/>
                <w:lang w:val="en-AU"/>
              </w:rPr>
              <w:t>Healthcare Accreditation Agencies and Programs</w:t>
            </w:r>
            <w:r w:rsidRPr="00F83A64">
              <w:rPr>
                <w:rFonts w:ascii="Garamond" w:hAnsi="Garamond"/>
                <w:lang w:val="en-AU"/>
              </w:rPr>
              <w:t>: Similarities, Differences, Challenges and Opportunities (David Greenfield, Usman Iqbal, Elaine O’Connor, Nicola Conlan, Heather Wilson)</w:t>
            </w:r>
          </w:p>
          <w:p w:rsidR="00420099" w:rsidRPr="00013C38" w:rsidRDefault="00013C38" w:rsidP="00013C38">
            <w:pPr>
              <w:pStyle w:val="ListParagraph"/>
              <w:numPr>
                <w:ilvl w:val="0"/>
                <w:numId w:val="14"/>
              </w:numPr>
              <w:rPr>
                <w:rFonts w:ascii="Garamond" w:hAnsi="Garamond"/>
                <w:lang w:val="en-AU"/>
              </w:rPr>
            </w:pPr>
            <w:r w:rsidRPr="0057299E">
              <w:rPr>
                <w:rFonts w:ascii="Garamond" w:hAnsi="Garamond"/>
                <w:b/>
                <w:lang w:val="en-AU"/>
              </w:rPr>
              <w:t>Patients Experience More Support, Information and Involvement After First-Time Hospital Accreditation</w:t>
            </w:r>
            <w:r w:rsidRPr="00013C38">
              <w:rPr>
                <w:rFonts w:ascii="Garamond" w:hAnsi="Garamond"/>
                <w:b/>
                <w:lang w:val="en-AU"/>
              </w:rPr>
              <w:t>:</w:t>
            </w:r>
            <w:r w:rsidRPr="00013C38">
              <w:rPr>
                <w:rFonts w:ascii="Garamond" w:hAnsi="Garamond"/>
                <w:lang w:val="en-AU"/>
              </w:rPr>
              <w:t xml:space="preserve"> A Before and After Study in the Faroe Islands (Maria Daniella Bergholt,</w:t>
            </w:r>
            <w:r w:rsidRPr="0057299E">
              <w:rPr>
                <w:rFonts w:ascii="Garamond" w:hAnsi="Garamond"/>
                <w:lang w:val="en-AU"/>
              </w:rPr>
              <w:t xml:space="preserve"> Anne Mette Falstie-Jensen, Jan Brink Valentin, Peter Hibbert, Jeffrey Braithwaite, Søren Paaske Johnsen, Christian von Plessen)</w:t>
            </w:r>
          </w:p>
        </w:tc>
      </w:tr>
    </w:tbl>
    <w:p w:rsidR="005F0438" w:rsidRDefault="005F0438" w:rsidP="005F0438">
      <w:pPr>
        <w:keepNext/>
        <w:rPr>
          <w:rFonts w:ascii="Garamond" w:hAnsi="Garamond"/>
          <w:b/>
          <w:lang w:val="en-AU"/>
        </w:rPr>
      </w:pPr>
    </w:p>
    <w:p w:rsidR="00702C73" w:rsidRDefault="00702C73" w:rsidP="00CE24F8">
      <w:pPr>
        <w:keepNext/>
        <w:rPr>
          <w:rFonts w:ascii="Garamond" w:hAnsi="Garamond"/>
          <w:i/>
          <w:lang w:val="en-AU"/>
        </w:rPr>
      </w:pPr>
    </w:p>
    <w:p w:rsidR="00702C73" w:rsidRDefault="00702C73" w:rsidP="00CE24F8">
      <w:pPr>
        <w:keepNext/>
        <w:rPr>
          <w:rFonts w:ascii="Garamond" w:hAnsi="Garamond"/>
          <w:i/>
          <w:lang w:val="en-AU"/>
        </w:rPr>
      </w:pPr>
    </w:p>
    <w:p w:rsidR="00D71C54" w:rsidRDefault="009F6F9B" w:rsidP="00CE24F8">
      <w:pPr>
        <w:keepNext/>
        <w:rPr>
          <w:rFonts w:ascii="Garamond" w:hAnsi="Garamond"/>
          <w:b/>
          <w:lang w:val="en-AU"/>
        </w:rPr>
      </w:pPr>
      <w:r>
        <w:rPr>
          <w:rFonts w:ascii="Garamond" w:hAnsi="Garamond"/>
          <w:b/>
          <w:lang w:val="en-AU"/>
        </w:rPr>
        <w:t>Online resources</w:t>
      </w:r>
    </w:p>
    <w:p w:rsidR="000F25DD" w:rsidRDefault="000F25DD" w:rsidP="000F25DD">
      <w:pPr>
        <w:keepNext/>
        <w:keepLines/>
        <w:rPr>
          <w:rFonts w:ascii="Garamond" w:hAnsi="Garamond"/>
          <w:i/>
          <w:lang w:val="en-AU"/>
        </w:rPr>
      </w:pPr>
    </w:p>
    <w:p w:rsidR="00DB7E11" w:rsidRPr="000A54A4" w:rsidRDefault="00DB7E11" w:rsidP="00DB7E11">
      <w:pPr>
        <w:keepNext/>
        <w:rPr>
          <w:rFonts w:ascii="Garamond" w:hAnsi="Garamond"/>
          <w:i/>
          <w:lang w:val="en-AU"/>
        </w:rPr>
      </w:pPr>
      <w:r w:rsidRPr="000A54A4">
        <w:rPr>
          <w:rFonts w:ascii="Garamond" w:hAnsi="Garamond"/>
          <w:i/>
          <w:lang w:val="en-AU"/>
        </w:rPr>
        <w:t>[USA] AH</w:t>
      </w:r>
      <w:r>
        <w:rPr>
          <w:rFonts w:ascii="Garamond" w:hAnsi="Garamond"/>
          <w:i/>
          <w:lang w:val="en-AU"/>
        </w:rPr>
        <w:t>R</w:t>
      </w:r>
      <w:r w:rsidRPr="000A54A4">
        <w:rPr>
          <w:rFonts w:ascii="Garamond" w:hAnsi="Garamond"/>
          <w:i/>
          <w:lang w:val="en-AU"/>
        </w:rPr>
        <w:t>Q Perspectives on Safety</w:t>
      </w:r>
    </w:p>
    <w:p w:rsidR="00DB7E11" w:rsidRDefault="00354C54" w:rsidP="00DB7E11">
      <w:pPr>
        <w:keepNext/>
        <w:rPr>
          <w:rFonts w:ascii="Garamond" w:hAnsi="Garamond"/>
          <w:lang w:val="en-AU"/>
        </w:rPr>
      </w:pPr>
      <w:hyperlink r:id="rId26" w:history="1">
        <w:r w:rsidR="00DB7E11" w:rsidRPr="00A62DDB">
          <w:rPr>
            <w:rStyle w:val="Hyperlink"/>
            <w:rFonts w:ascii="Garamond" w:hAnsi="Garamond"/>
            <w:lang w:val="en-AU"/>
          </w:rPr>
          <w:t>https://psnet.ahrq.gov/psnet-collection/perspectives</w:t>
        </w:r>
      </w:hyperlink>
    </w:p>
    <w:p w:rsidR="00DB7E11" w:rsidRDefault="00DB7E11" w:rsidP="00DB7E11">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rsidR="00DB7E11" w:rsidRPr="00954B84" w:rsidRDefault="00DB7E11" w:rsidP="00DB7E11">
      <w:pPr>
        <w:pStyle w:val="ListParagraph"/>
        <w:numPr>
          <w:ilvl w:val="0"/>
          <w:numId w:val="14"/>
        </w:numPr>
        <w:rPr>
          <w:rFonts w:ascii="Garamond" w:hAnsi="Garamond"/>
          <w:i/>
          <w:lang w:val="en-AU"/>
        </w:rPr>
      </w:pPr>
      <w:r w:rsidRPr="00954B84">
        <w:rPr>
          <w:rFonts w:ascii="Garamond" w:hAnsi="Garamond"/>
          <w:i/>
          <w:lang w:val="en-AU"/>
        </w:rPr>
        <w:t xml:space="preserve">The Role of </w:t>
      </w:r>
      <w:r w:rsidRPr="00954B84">
        <w:rPr>
          <w:rFonts w:ascii="Garamond" w:hAnsi="Garamond"/>
          <w:b/>
          <w:i/>
          <w:lang w:val="en-AU"/>
        </w:rPr>
        <w:t>Community Pharmacists in Patient Safety</w:t>
      </w:r>
      <w:r w:rsidRPr="00954B84">
        <w:rPr>
          <w:rFonts w:ascii="Garamond" w:hAnsi="Garamond"/>
          <w:i/>
          <w:lang w:val="en-AU"/>
        </w:rPr>
        <w:t xml:space="preserve"> </w:t>
      </w:r>
      <w:hyperlink r:id="rId27" w:history="1">
        <w:r w:rsidRPr="00264585">
          <w:rPr>
            <w:rStyle w:val="Hyperlink"/>
            <w:rFonts w:ascii="Garamond" w:hAnsi="Garamond"/>
            <w:lang w:val="en-AU"/>
          </w:rPr>
          <w:t>https://psnet.ahrq.gov/perspective/role-community-pharmacists-patient-safety</w:t>
        </w:r>
      </w:hyperlink>
    </w:p>
    <w:p w:rsidR="00DB7E11" w:rsidRDefault="00DB7E11" w:rsidP="00DB7E11">
      <w:pPr>
        <w:rPr>
          <w:rFonts w:ascii="Garamond" w:hAnsi="Garamond"/>
          <w:i/>
          <w:lang w:val="en-AU"/>
        </w:rPr>
      </w:pPr>
    </w:p>
    <w:p w:rsidR="00EB3690" w:rsidRPr="008F3909" w:rsidRDefault="00EB3690" w:rsidP="00EB3690">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EB3690" w:rsidRPr="008F3909" w:rsidRDefault="00354C54" w:rsidP="00EB3690">
      <w:pPr>
        <w:keepNext/>
        <w:rPr>
          <w:rFonts w:ascii="Garamond" w:hAnsi="Garamond"/>
          <w:lang w:val="en-AU"/>
        </w:rPr>
      </w:pPr>
      <w:hyperlink r:id="rId28" w:history="1">
        <w:r w:rsidR="00EB3690" w:rsidRPr="00B91B4F">
          <w:rPr>
            <w:rStyle w:val="Hyperlink"/>
            <w:rFonts w:ascii="Garamond" w:hAnsi="Garamond"/>
            <w:lang w:val="en-AU"/>
          </w:rPr>
          <w:t>https://www.nice.org.uk/guidance</w:t>
        </w:r>
      </w:hyperlink>
    </w:p>
    <w:p w:rsidR="00EB3690" w:rsidRPr="008F3909" w:rsidRDefault="00EB3690" w:rsidP="00EB3690">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C30938" w:rsidRPr="00C80109" w:rsidRDefault="00EB3690" w:rsidP="00C80109">
      <w:pPr>
        <w:pStyle w:val="ListParagraph"/>
        <w:numPr>
          <w:ilvl w:val="0"/>
          <w:numId w:val="14"/>
        </w:numPr>
        <w:rPr>
          <w:rFonts w:ascii="Garamond" w:hAnsi="Garamond"/>
          <w:i/>
          <w:lang w:val="en-AU"/>
        </w:rPr>
      </w:pPr>
      <w:r w:rsidRPr="00C80109">
        <w:rPr>
          <w:rFonts w:ascii="Garamond" w:hAnsi="Garamond"/>
          <w:lang w:val="en-AU"/>
        </w:rPr>
        <w:t>NICE Guideline NG</w:t>
      </w:r>
      <w:r w:rsidR="00C80109" w:rsidRPr="00C80109">
        <w:rPr>
          <w:rFonts w:ascii="Garamond" w:hAnsi="Garamond"/>
          <w:lang w:val="en-AU"/>
        </w:rPr>
        <w:t>191</w:t>
      </w:r>
      <w:r w:rsidR="00C80109">
        <w:rPr>
          <w:rFonts w:ascii="Garamond" w:hAnsi="Garamond"/>
          <w:lang w:val="en-AU"/>
        </w:rPr>
        <w:t xml:space="preserve"> </w:t>
      </w:r>
      <w:r w:rsidR="00C80109" w:rsidRPr="00C80109">
        <w:rPr>
          <w:rFonts w:ascii="Garamond" w:hAnsi="Garamond"/>
          <w:lang w:val="en-AU"/>
        </w:rPr>
        <w:t>COVID-19 rapid guideline: managing COVID-19</w:t>
      </w:r>
      <w:r w:rsidR="00C80109">
        <w:rPr>
          <w:rFonts w:ascii="Garamond" w:hAnsi="Garamond"/>
          <w:lang w:val="en-AU"/>
        </w:rPr>
        <w:t xml:space="preserve"> </w:t>
      </w:r>
      <w:hyperlink r:id="rId29" w:history="1">
        <w:r w:rsidR="00C80109" w:rsidRPr="00264585">
          <w:rPr>
            <w:rStyle w:val="Hyperlink"/>
            <w:rFonts w:ascii="Garamond" w:hAnsi="Garamond"/>
            <w:lang w:val="en-AU"/>
          </w:rPr>
          <w:t>https://www.nice.org.uk/guidance/ng191</w:t>
        </w:r>
      </w:hyperlink>
    </w:p>
    <w:p w:rsidR="00C80109" w:rsidRPr="00C80109" w:rsidRDefault="00C80109" w:rsidP="00C80109">
      <w:pPr>
        <w:rPr>
          <w:rFonts w:ascii="Garamond" w:hAnsi="Garamond"/>
          <w:i/>
          <w:lang w:val="en-AU"/>
        </w:rPr>
      </w:pPr>
    </w:p>
    <w:p w:rsidR="00651454" w:rsidRDefault="00651454" w:rsidP="00651454">
      <w:pPr>
        <w:keepNext/>
        <w:rPr>
          <w:rFonts w:ascii="Garamond" w:hAnsi="Garamond"/>
          <w:i/>
          <w:lang w:val="en-AU"/>
        </w:rPr>
      </w:pPr>
      <w:r>
        <w:rPr>
          <w:rFonts w:ascii="Garamond" w:hAnsi="Garamond"/>
          <w:i/>
          <w:lang w:val="en-AU"/>
        </w:rPr>
        <w:lastRenderedPageBreak/>
        <w:t>[UK] NIHR Evidence alerts</w:t>
      </w:r>
    </w:p>
    <w:p w:rsidR="00651454" w:rsidRPr="00EA3D86" w:rsidRDefault="00354C54" w:rsidP="00651454">
      <w:pPr>
        <w:keepNext/>
        <w:rPr>
          <w:rFonts w:ascii="Garamond" w:hAnsi="Garamond"/>
          <w:lang w:val="en-AU"/>
        </w:rPr>
      </w:pPr>
      <w:hyperlink r:id="rId30" w:history="1">
        <w:r w:rsidR="00651454" w:rsidRPr="00EA3D86">
          <w:rPr>
            <w:rStyle w:val="Hyperlink"/>
            <w:rFonts w:ascii="Garamond" w:hAnsi="Garamond"/>
            <w:lang w:val="en-AU"/>
          </w:rPr>
          <w:t>https://evidence.nihr.ac.uk/</w:t>
        </w:r>
      </w:hyperlink>
      <w:r w:rsidR="00651454" w:rsidRPr="00EA3D86">
        <w:rPr>
          <w:rStyle w:val="Hyperlink"/>
          <w:rFonts w:ascii="Garamond" w:hAnsi="Garamond"/>
          <w:lang w:val="en-AU"/>
        </w:rPr>
        <w:t>alerts/</w:t>
      </w:r>
    </w:p>
    <w:p w:rsidR="00651454" w:rsidRDefault="00651454" w:rsidP="00651454">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651454" w:rsidRPr="00651454" w:rsidRDefault="00651454" w:rsidP="00651454">
      <w:pPr>
        <w:pStyle w:val="ListParagraph"/>
        <w:numPr>
          <w:ilvl w:val="0"/>
          <w:numId w:val="20"/>
        </w:numPr>
        <w:rPr>
          <w:rFonts w:ascii="Garamond" w:hAnsi="Garamond"/>
          <w:lang w:val="en-AU"/>
        </w:rPr>
      </w:pPr>
      <w:r w:rsidRPr="00651454">
        <w:rPr>
          <w:rFonts w:ascii="Garamond" w:hAnsi="Garamond"/>
          <w:lang w:val="en-AU"/>
        </w:rPr>
        <w:t xml:space="preserve">Why don’t </w:t>
      </w:r>
      <w:r w:rsidRPr="00651454">
        <w:rPr>
          <w:rFonts w:ascii="Garamond" w:hAnsi="Garamond"/>
          <w:b/>
          <w:lang w:val="en-AU"/>
        </w:rPr>
        <w:t>teenagers</w:t>
      </w:r>
      <w:r w:rsidRPr="00651454">
        <w:rPr>
          <w:rFonts w:ascii="Garamond" w:hAnsi="Garamond"/>
          <w:lang w:val="en-AU"/>
        </w:rPr>
        <w:t xml:space="preserve"> seek help for </w:t>
      </w:r>
      <w:r w:rsidRPr="00651454">
        <w:rPr>
          <w:rFonts w:ascii="Garamond" w:hAnsi="Garamond"/>
          <w:b/>
          <w:lang w:val="en-AU"/>
        </w:rPr>
        <w:t>anxiety and depression</w:t>
      </w:r>
      <w:r w:rsidRPr="00651454">
        <w:rPr>
          <w:rFonts w:ascii="Garamond" w:hAnsi="Garamond"/>
          <w:lang w:val="en-AU"/>
        </w:rPr>
        <w:t>?</w:t>
      </w:r>
    </w:p>
    <w:p w:rsidR="00651454" w:rsidRPr="00651454" w:rsidRDefault="00651454" w:rsidP="00651454">
      <w:pPr>
        <w:pStyle w:val="ListParagraph"/>
        <w:numPr>
          <w:ilvl w:val="0"/>
          <w:numId w:val="20"/>
        </w:numPr>
        <w:rPr>
          <w:rFonts w:ascii="Garamond" w:hAnsi="Garamond"/>
          <w:lang w:val="en-AU"/>
        </w:rPr>
      </w:pPr>
      <w:r w:rsidRPr="00651454">
        <w:rPr>
          <w:rFonts w:ascii="Garamond" w:hAnsi="Garamond"/>
          <w:lang w:val="en-AU"/>
        </w:rPr>
        <w:t xml:space="preserve">Advice by mail is as effective as targeted interventions at </w:t>
      </w:r>
      <w:r w:rsidRPr="00651454">
        <w:rPr>
          <w:rFonts w:ascii="Garamond" w:hAnsi="Garamond"/>
          <w:b/>
          <w:lang w:val="en-AU"/>
        </w:rPr>
        <w:t>preventing fall-related injuries in older people</w:t>
      </w:r>
    </w:p>
    <w:p w:rsidR="00651454" w:rsidRPr="00651454" w:rsidRDefault="00651454" w:rsidP="00651454">
      <w:pPr>
        <w:pStyle w:val="ListParagraph"/>
        <w:numPr>
          <w:ilvl w:val="0"/>
          <w:numId w:val="20"/>
        </w:numPr>
        <w:rPr>
          <w:rFonts w:ascii="Garamond" w:hAnsi="Garamond"/>
          <w:lang w:val="en-AU"/>
        </w:rPr>
      </w:pPr>
      <w:r w:rsidRPr="00651454">
        <w:rPr>
          <w:rFonts w:ascii="Garamond" w:hAnsi="Garamond"/>
          <w:b/>
          <w:lang w:val="en-AU"/>
        </w:rPr>
        <w:t>Diabetes checks</w:t>
      </w:r>
      <w:r w:rsidRPr="00651454">
        <w:rPr>
          <w:rFonts w:ascii="Garamond" w:hAnsi="Garamond"/>
          <w:lang w:val="en-AU"/>
        </w:rPr>
        <w:t>: delays in treatment are reduced when support staff assess eye images</w:t>
      </w:r>
    </w:p>
    <w:p w:rsidR="00651454" w:rsidRPr="00651454" w:rsidRDefault="00651454" w:rsidP="00651454">
      <w:pPr>
        <w:pStyle w:val="ListParagraph"/>
        <w:numPr>
          <w:ilvl w:val="0"/>
          <w:numId w:val="20"/>
        </w:numPr>
        <w:rPr>
          <w:rFonts w:ascii="Garamond" w:hAnsi="Garamond"/>
          <w:lang w:val="en-AU"/>
        </w:rPr>
      </w:pPr>
      <w:r w:rsidRPr="00651454">
        <w:rPr>
          <w:rFonts w:ascii="Garamond" w:hAnsi="Garamond"/>
          <w:lang w:val="en-AU"/>
        </w:rPr>
        <w:t xml:space="preserve">How to improve information for people with </w:t>
      </w:r>
      <w:r w:rsidRPr="00651454">
        <w:rPr>
          <w:rFonts w:ascii="Garamond" w:hAnsi="Garamond"/>
          <w:b/>
          <w:lang w:val="en-AU"/>
        </w:rPr>
        <w:t>osteoporosis</w:t>
      </w:r>
    </w:p>
    <w:p w:rsidR="00651454" w:rsidRPr="00651454" w:rsidRDefault="00651454" w:rsidP="00651454">
      <w:pPr>
        <w:pStyle w:val="ListParagraph"/>
        <w:numPr>
          <w:ilvl w:val="0"/>
          <w:numId w:val="20"/>
        </w:numPr>
        <w:rPr>
          <w:rFonts w:ascii="Garamond" w:hAnsi="Garamond"/>
          <w:lang w:val="en-AU"/>
        </w:rPr>
      </w:pPr>
      <w:r w:rsidRPr="00651454">
        <w:rPr>
          <w:rFonts w:ascii="Garamond" w:hAnsi="Garamond"/>
          <w:b/>
          <w:lang w:val="en-AU"/>
        </w:rPr>
        <w:t>Statins</w:t>
      </w:r>
      <w:r w:rsidRPr="00651454">
        <w:rPr>
          <w:rFonts w:ascii="Garamond" w:hAnsi="Garamond"/>
          <w:lang w:val="en-AU"/>
        </w:rPr>
        <w:t xml:space="preserve"> do not commonly cause muscle pain and stiffness</w:t>
      </w:r>
    </w:p>
    <w:p w:rsidR="00651454" w:rsidRPr="00651454" w:rsidRDefault="00651454" w:rsidP="00D04E4D">
      <w:pPr>
        <w:pStyle w:val="ListParagraph"/>
        <w:numPr>
          <w:ilvl w:val="0"/>
          <w:numId w:val="20"/>
        </w:numPr>
        <w:rPr>
          <w:rFonts w:ascii="Garamond" w:hAnsi="Garamond"/>
          <w:lang w:val="en-AU"/>
        </w:rPr>
      </w:pPr>
      <w:r w:rsidRPr="00651454">
        <w:rPr>
          <w:rFonts w:ascii="Garamond" w:hAnsi="Garamond"/>
          <w:lang w:val="en-AU"/>
        </w:rPr>
        <w:t xml:space="preserve">Stressing the personal benefits of the </w:t>
      </w:r>
      <w:r w:rsidRPr="00651454">
        <w:rPr>
          <w:rFonts w:ascii="Garamond" w:hAnsi="Garamond"/>
          <w:b/>
          <w:lang w:val="en-AU"/>
        </w:rPr>
        <w:t>COVID-19 vaccine</w:t>
      </w:r>
      <w:r w:rsidRPr="00651454">
        <w:rPr>
          <w:rFonts w:ascii="Garamond" w:hAnsi="Garamond"/>
          <w:lang w:val="en-AU"/>
        </w:rPr>
        <w:t xml:space="preserve"> could encourage more people to accept</w:t>
      </w:r>
      <w:r>
        <w:rPr>
          <w:rFonts w:ascii="Garamond" w:hAnsi="Garamond"/>
          <w:lang w:val="en-AU"/>
        </w:rPr>
        <w:t>.</w:t>
      </w:r>
    </w:p>
    <w:p w:rsidR="00651454" w:rsidRDefault="00651454">
      <w:pPr>
        <w:rPr>
          <w:rFonts w:ascii="Garamond" w:hAnsi="Garamond"/>
          <w:i/>
          <w:lang w:val="en-AU"/>
        </w:rPr>
      </w:pPr>
    </w:p>
    <w:p w:rsidR="00E35739" w:rsidRPr="000170DA" w:rsidRDefault="00E35739" w:rsidP="00E35739">
      <w:pPr>
        <w:keepNext/>
        <w:keepLines/>
        <w:rPr>
          <w:rFonts w:ascii="Garamond" w:hAnsi="Garamond"/>
          <w:i/>
          <w:lang w:val="en-AU"/>
        </w:rPr>
      </w:pPr>
      <w:r w:rsidRPr="000170DA">
        <w:rPr>
          <w:rFonts w:ascii="Garamond" w:hAnsi="Garamond"/>
          <w:i/>
          <w:lang w:val="en-AU"/>
        </w:rPr>
        <w:t>[USA] Effective Health Care Program reports</w:t>
      </w:r>
    </w:p>
    <w:p w:rsidR="00E35739" w:rsidRPr="000170DA" w:rsidRDefault="00354C54" w:rsidP="00E35739">
      <w:pPr>
        <w:keepNext/>
        <w:keepLines/>
        <w:rPr>
          <w:rFonts w:ascii="Garamond" w:hAnsi="Garamond"/>
          <w:u w:val="single"/>
          <w:lang w:val="en-AU"/>
        </w:rPr>
      </w:pPr>
      <w:hyperlink r:id="rId31" w:history="1">
        <w:r w:rsidR="00E35739" w:rsidRPr="000170DA">
          <w:rPr>
            <w:rStyle w:val="Hyperlink"/>
            <w:rFonts w:ascii="Garamond" w:hAnsi="Garamond"/>
            <w:lang w:val="en-AU"/>
          </w:rPr>
          <w:t>https://effectivehealthcare.ahrq.gov/</w:t>
        </w:r>
      </w:hyperlink>
    </w:p>
    <w:p w:rsidR="00E35739" w:rsidRDefault="00E35739" w:rsidP="00E35739">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AA2397" w:rsidRPr="00AA2397" w:rsidRDefault="00AA2397" w:rsidP="006F30C8">
      <w:pPr>
        <w:pStyle w:val="ListParagraph"/>
        <w:keepNext/>
        <w:numPr>
          <w:ilvl w:val="0"/>
          <w:numId w:val="14"/>
        </w:numPr>
        <w:rPr>
          <w:rFonts w:ascii="Garamond" w:hAnsi="Garamond"/>
          <w:lang w:val="en-AU"/>
        </w:rPr>
      </w:pPr>
      <w:r w:rsidRPr="00AA2397">
        <w:rPr>
          <w:rFonts w:ascii="Garamond" w:hAnsi="Garamond"/>
          <w:i/>
          <w:lang w:val="en-AU"/>
        </w:rPr>
        <w:t xml:space="preserve">Living Systematic Review on </w:t>
      </w:r>
      <w:r w:rsidRPr="00AA2397">
        <w:rPr>
          <w:rFonts w:ascii="Garamond" w:hAnsi="Garamond"/>
          <w:b/>
          <w:i/>
          <w:lang w:val="en-AU"/>
        </w:rPr>
        <w:t>Cannabis and Other Plant-Based Treatments for Chronic Pain</w:t>
      </w:r>
      <w:r w:rsidRPr="00AA2397">
        <w:rPr>
          <w:rFonts w:ascii="Garamond" w:hAnsi="Garamond"/>
          <w:lang w:val="en-AU"/>
        </w:rPr>
        <w:t xml:space="preserve"> </w:t>
      </w:r>
      <w:hyperlink r:id="rId32" w:history="1">
        <w:r w:rsidRPr="00AA2397">
          <w:rPr>
            <w:rStyle w:val="Hyperlink"/>
            <w:rFonts w:ascii="Garamond" w:hAnsi="Garamond"/>
            <w:lang w:val="en-AU"/>
          </w:rPr>
          <w:t>https://effectivehealthcare.ahrq.gov/products/plant-based-chronic-pain-treatment/living-review</w:t>
        </w:r>
      </w:hyperlink>
    </w:p>
    <w:p w:rsidR="00AB4AF0" w:rsidRDefault="00AB4AF0" w:rsidP="00B54C6E">
      <w:pPr>
        <w:keepLines/>
        <w:pBdr>
          <w:bottom w:val="single" w:sz="6" w:space="1" w:color="auto"/>
        </w:pBdr>
        <w:rPr>
          <w:rFonts w:ascii="Garamond" w:hAnsi="Garamond"/>
          <w:i/>
          <w:lang w:val="en-AU"/>
        </w:rPr>
      </w:pPr>
    </w:p>
    <w:p w:rsidR="00DB7E11" w:rsidRDefault="00DB7E11" w:rsidP="00B54C6E">
      <w:pPr>
        <w:keepLines/>
        <w:pBdr>
          <w:bottom w:val="single" w:sz="6" w:space="1" w:color="auto"/>
        </w:pBdr>
        <w:rPr>
          <w:rFonts w:ascii="Garamond" w:hAnsi="Garamond"/>
          <w:i/>
          <w:lang w:val="en-AU"/>
        </w:rPr>
      </w:pPr>
    </w:p>
    <w:p w:rsidR="00DB7E11" w:rsidRDefault="00DB7E11" w:rsidP="00B54C6E">
      <w:pPr>
        <w:keepLines/>
        <w:pBdr>
          <w:bottom w:val="single" w:sz="6" w:space="1" w:color="auto"/>
        </w:pBdr>
        <w:rPr>
          <w:rFonts w:ascii="Garamond" w:hAnsi="Garamond"/>
          <w:i/>
          <w:lang w:val="en-AU"/>
        </w:rPr>
      </w:pPr>
    </w:p>
    <w:p w:rsidR="00DB7E11" w:rsidRDefault="00DB7E11">
      <w:pPr>
        <w:rPr>
          <w:rFonts w:ascii="Garamond" w:hAnsi="Garamond"/>
          <w:b/>
          <w:lang w:val="en-AU"/>
        </w:rPr>
      </w:pPr>
      <w:r>
        <w:rPr>
          <w:rFonts w:ascii="Garamond" w:hAnsi="Garamond"/>
          <w:b/>
          <w:lang w:val="en-AU"/>
        </w:rPr>
        <w:br w:type="page"/>
      </w:r>
    </w:p>
    <w:p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3"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34"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35" w:history="1">
        <w:r w:rsidR="004D36E0" w:rsidRPr="005C214B">
          <w:rPr>
            <w:rStyle w:val="Hyperlink"/>
            <w:rFonts w:ascii="Garamond" w:hAnsi="Garamond"/>
            <w:lang w:val="en-AU"/>
          </w:rPr>
          <w:t>https://www.safetyandquality.gov.au/publications-and-resources/resource-library/poster-ppe-use-aged-care-staff-caring-residents-covid-19</w:t>
        </w:r>
      </w:hyperlink>
      <w:r w:rsidR="00420099">
        <w:rPr>
          <w:rStyle w:val="Hyperlink"/>
          <w:rFonts w:ascii="Garamond" w:hAnsi="Garamond"/>
          <w:lang w:val="en-AU"/>
        </w:rPr>
        <w:tab/>
      </w:r>
    </w:p>
    <w:p w:rsidR="00D574D3" w:rsidRPr="001B3E7F" w:rsidRDefault="008612B9" w:rsidP="004D36E0">
      <w:pPr>
        <w:pStyle w:val="ListParagraph"/>
        <w:autoSpaceDE w:val="0"/>
        <w:autoSpaceDN w:val="0"/>
        <w:adjustRightInd w:val="0"/>
        <w:rPr>
          <w:rFonts w:ascii="Garamond" w:hAnsi="Garamond"/>
          <w:lang w:val="en-AU"/>
        </w:rPr>
      </w:pPr>
      <w:r>
        <w:rPr>
          <w:rFonts w:ascii="Garamond" w:hAnsi="Garamond"/>
          <w:noProof/>
          <w:lang w:val="en-AU" w:eastAsia="en-AU"/>
        </w:rPr>
        <w:drawing>
          <wp:inline distT="0" distB="0" distL="0" distR="0">
            <wp:extent cx="4651514" cy="6568732"/>
            <wp:effectExtent l="0" t="0" r="0" b="3810"/>
            <wp:docPr id="5" name="Picture 5" descr="Poster - PPE use for aged care staff caring for residents with COVID-19 " title="Poster - PPE use for aged care staff caring for residents with COVID-19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61875" cy="6583364"/>
                    </a:xfrm>
                    <a:prstGeom prst="rect">
                      <a:avLst/>
                    </a:prstGeom>
                    <a:noFill/>
                    <a:ln>
                      <a:noFill/>
                    </a:ln>
                  </pic:spPr>
                </pic:pic>
              </a:graphicData>
            </a:graphic>
          </wp:inline>
        </w:drawing>
      </w:r>
    </w:p>
    <w:p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37"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extent cx="5713200" cy="8132400"/>
            <wp:effectExtent l="0" t="0" r="1905" b="2540"/>
            <wp:docPr id="6" name="Picture 6" descr="COVID-19 poster – Combined contact and droplet precautions " title="Poster – Combined contact and droplet precautions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contact drople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extent cx="5711825" cy="8114796"/>
            <wp:effectExtent l="0" t="0" r="3175" b="635"/>
            <wp:docPr id="7" name="Picture 7" descr="COVID-19 poster – Combined airborne and contact precautions " title="Poster – Combined airborne and contact precautions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Airborne contact.P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1" w:history="1">
        <w:r w:rsidRPr="00B0351C">
          <w:rPr>
            <w:rStyle w:val="Hyperlink"/>
            <w:rFonts w:ascii="Garamond" w:hAnsi="Garamond"/>
            <w:lang w:val="en-AU"/>
          </w:rPr>
          <w:t>www.safetyandquality.gov.au/environmental-cleaning</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2"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3"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506883" cy="6418894"/>
            <wp:effectExtent l="19050" t="19050" r="27305" b="20320"/>
            <wp:docPr id="1" name="Picture 1" descr="Stop COVID-19. Break the chain of infection poster" title="Stop COVID-19. Break the chain of infection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506883"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6"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7"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00F56A48">
        <w:rPr>
          <w:rStyle w:val="Hyperlink"/>
          <w:rFonts w:ascii="Garamond" w:hAnsi="Garamond"/>
          <w:color w:val="auto"/>
          <w:u w:val="none"/>
          <w:lang w:val="en-AU"/>
        </w:rPr>
        <w:tab/>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5443696" cy="8017565"/>
            <wp:effectExtent l="19050" t="19050" r="24130" b="21590"/>
            <wp:docPr id="2" name="Picture 2" descr="COVID-19 and face masks information for consumers poster image" title="COVID-19 and face masks information for consumers poster imag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5688" cy="840343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354C54" w:rsidP="00D574D3">
      <w:pPr>
        <w:keepNext/>
        <w:keepLines/>
        <w:rPr>
          <w:rFonts w:ascii="Garamond" w:hAnsi="Garamond"/>
          <w:lang w:val="en-AU"/>
        </w:rPr>
      </w:pPr>
      <w:hyperlink r:id="rId51"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354C54" w:rsidP="00D574D3">
      <w:pPr>
        <w:keepNext/>
        <w:keepLines/>
        <w:rPr>
          <w:rFonts w:ascii="Garamond" w:hAnsi="Garamond"/>
          <w:lang w:val="en-AU"/>
        </w:rPr>
      </w:pPr>
      <w:hyperlink r:id="rId52" w:history="1">
        <w:r w:rsidR="00D574D3" w:rsidRPr="007F0962">
          <w:rPr>
            <w:rStyle w:val="Hyperlink"/>
            <w:rFonts w:ascii="Garamond" w:hAnsi="Garamond"/>
            <w:lang w:val="en-AU"/>
          </w:rPr>
          <w:t>https://www.aci.health.nsw.gov.au/covid-19/critical-intelligence-unit</w:t>
        </w:r>
      </w:hyperlink>
    </w:p>
    <w:p w:rsidR="00F56A48" w:rsidRPr="00F83A64"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rsidR="00F83A64" w:rsidRPr="00F83A64" w:rsidRDefault="00F56A48" w:rsidP="005F79E3">
      <w:pPr>
        <w:pStyle w:val="ListParagraph"/>
        <w:keepNext/>
        <w:keepLines/>
        <w:numPr>
          <w:ilvl w:val="0"/>
          <w:numId w:val="19"/>
        </w:numPr>
        <w:rPr>
          <w:rFonts w:ascii="Garamond" w:hAnsi="Garamond"/>
          <w:lang w:val="en-AU"/>
        </w:rPr>
      </w:pPr>
      <w:r w:rsidRPr="00F83A64">
        <w:rPr>
          <w:rFonts w:ascii="Garamond" w:hAnsi="Garamond"/>
          <w:b/>
          <w:i/>
          <w:lang w:val="en-AU"/>
        </w:rPr>
        <w:t>COVID-19 vaccines in Australia</w:t>
      </w:r>
      <w:r w:rsidRPr="00F83A64">
        <w:rPr>
          <w:rFonts w:ascii="Garamond" w:hAnsi="Garamond"/>
          <w:lang w:val="en-AU"/>
        </w:rPr>
        <w:t xml:space="preserve"> – What is the latest evidence on COVID-19 vaccines in Australia?</w:t>
      </w:r>
    </w:p>
    <w:p w:rsidR="00D20670" w:rsidRDefault="00D20670" w:rsidP="00DB4AE7">
      <w:pPr>
        <w:rPr>
          <w:rFonts w:ascii="Garamond" w:hAnsi="Garamond"/>
          <w:lang w:val="en-AU"/>
        </w:rPr>
      </w:pPr>
    </w:p>
    <w:p w:rsidR="00EB3690" w:rsidRDefault="00EB3690" w:rsidP="00DB4AE7">
      <w:pPr>
        <w:rPr>
          <w:rFonts w:ascii="Garamond" w:hAnsi="Garamond"/>
          <w:lang w:val="en-AU"/>
        </w:rPr>
      </w:pPr>
    </w:p>
    <w:p w:rsidR="00D20670" w:rsidRDefault="00D20670" w:rsidP="00DB4AE7">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3"/>
      <w:footerReference w:type="default" r:id="rId5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3E" w:rsidRDefault="00DD043E">
      <w:r>
        <w:separator/>
      </w:r>
    </w:p>
  </w:endnote>
  <w:endnote w:type="continuationSeparator" w:id="0">
    <w:p w:rsidR="00DD043E" w:rsidRDefault="00DD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3E" w:rsidRDefault="00DD043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4C54">
      <w:rPr>
        <w:rStyle w:val="PageNumber"/>
        <w:noProof/>
      </w:rPr>
      <w:t>12</w:t>
    </w:r>
    <w:r>
      <w:rPr>
        <w:rStyle w:val="PageNumber"/>
      </w:rPr>
      <w:fldChar w:fldCharType="end"/>
    </w:r>
  </w:p>
  <w:p w:rsidR="00DD043E" w:rsidRPr="001E78F0" w:rsidRDefault="00DD043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53</w:t>
    </w:r>
    <w:r w:rsidR="00073384">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3E" w:rsidRPr="001E78F0" w:rsidRDefault="00DD043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54C54">
      <w:rPr>
        <w:rStyle w:val="PageNumber"/>
        <w:rFonts w:ascii="Garamond" w:hAnsi="Garamond"/>
        <w:noProof/>
      </w:rPr>
      <w:t>11</w:t>
    </w:r>
    <w:r w:rsidRPr="001E78F0">
      <w:rPr>
        <w:rStyle w:val="PageNumber"/>
        <w:rFonts w:ascii="Garamond" w:hAnsi="Garamond"/>
      </w:rPr>
      <w:fldChar w:fldCharType="end"/>
    </w:r>
  </w:p>
  <w:p w:rsidR="00DD043E" w:rsidRPr="001E78F0" w:rsidRDefault="00DD043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073384">
      <w:rPr>
        <w:rFonts w:ascii="Garamond" w:hAnsi="Garamond"/>
      </w:rPr>
      <w:t xml:space="preserve"> Issue 535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3E" w:rsidRDefault="00DD043E">
      <w:r>
        <w:separator/>
      </w:r>
    </w:p>
  </w:footnote>
  <w:footnote w:type="continuationSeparator" w:id="0">
    <w:p w:rsidR="00DD043E" w:rsidRDefault="00DD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1"/>
  </w:num>
  <w:num w:numId="16">
    <w:abstractNumId w:val="15"/>
  </w:num>
  <w:num w:numId="17">
    <w:abstractNumId w:val="14"/>
  </w:num>
  <w:num w:numId="18">
    <w:abstractNumId w:val="19"/>
  </w:num>
  <w:num w:numId="19">
    <w:abstractNumId w:val="17"/>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2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74"/>
    <w:rsid w:val="001871DE"/>
    <w:rsid w:val="001873D0"/>
    <w:rsid w:val="00187569"/>
    <w:rsid w:val="00187BCA"/>
    <w:rsid w:val="00187C15"/>
    <w:rsid w:val="00187CCE"/>
    <w:rsid w:val="00187F57"/>
    <w:rsid w:val="00187FFE"/>
    <w:rsid w:val="0019048F"/>
    <w:rsid w:val="001905FE"/>
    <w:rsid w:val="001909DA"/>
    <w:rsid w:val="00190B31"/>
    <w:rsid w:val="00190C75"/>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6DDC"/>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09D"/>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3B"/>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21"/>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74B"/>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6017"/>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16/S0140-6736(21)01824-9" TargetMode="External"/><Relationship Id="rId26" Type="http://schemas.openxmlformats.org/officeDocument/2006/relationships/hyperlink" Target="https://psnet.ahrq.gov/psnet-collection/perspectives" TargetMode="External"/><Relationship Id="rId39" Type="http://schemas.openxmlformats.org/officeDocument/2006/relationships/hyperlink" Target="https://www.safetyandquality.gov.au/publications-and-resources/resource-library/poster-combined-airborne-and-contact-precautions" TargetMode="External"/><Relationship Id="rId21" Type="http://schemas.openxmlformats.org/officeDocument/2006/relationships/hyperlink" Target="https://doi.org/10.1186/s12873-021-00508-1"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safetyandquality.gov.au/publications-and-resources/resource-library/covid-19-infection-prevention-and-control-risk-management-guidance" TargetMode="External"/><Relationship Id="rId47" Type="http://schemas.openxmlformats.org/officeDocument/2006/relationships/hyperlink" Target="https://www.safetyandquality.gov.au/node/5725" TargetMode="External"/><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S0140-6736(21)01824-9"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covid-19" TargetMode="External"/><Relationship Id="rId38" Type="http://schemas.openxmlformats.org/officeDocument/2006/relationships/image" Target="media/image3.png"/><Relationship Id="rId46" Type="http://schemas.openxmlformats.org/officeDocument/2006/relationships/hyperlink" Target="https://www.safetyandquality.gov.au/node/5724" TargetMode="External"/><Relationship Id="rId2" Type="http://schemas.openxmlformats.org/officeDocument/2006/relationships/numbering" Target="numbering.xml"/><Relationship Id="rId16" Type="http://schemas.openxmlformats.org/officeDocument/2006/relationships/hyperlink" Target="https://doi.org/10.1016/S2589-7500(21)00238-7" TargetMode="External"/><Relationship Id="rId20" Type="http://schemas.openxmlformats.org/officeDocument/2006/relationships/hyperlink" Target="https://blog.ted.com/how-to-trust-intelligently/" TargetMode="External"/><Relationship Id="rId29" Type="http://schemas.openxmlformats.org/officeDocument/2006/relationships/hyperlink" Target="https://www.nice.org.uk/guidance/ng191" TargetMode="External"/><Relationship Id="rId41" Type="http://schemas.openxmlformats.org/officeDocument/2006/relationships/hyperlink" Target="http://www.safetyandquality.gov.au/environmental-clean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effectivehealthcare.ahrq.gov/products/plant-based-chronic-pain-treatment/living-review" TargetMode="External"/><Relationship Id="rId37" Type="http://schemas.openxmlformats.org/officeDocument/2006/relationships/hyperlink" Target="https://www.safetyandquality.gov.au/publications-and-resources/resource-library/poster-combined-contact-and-droplet-precautions" TargetMode="External"/><Relationship Id="rId40" Type="http://schemas.openxmlformats.org/officeDocument/2006/relationships/image" Target="media/image4.PNG"/><Relationship Id="rId45" Type="http://schemas.openxmlformats.org/officeDocument/2006/relationships/image" Target="media/image5.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2/nop2.1063" TargetMode="External"/><Relationship Id="rId23" Type="http://schemas.openxmlformats.org/officeDocument/2006/relationships/hyperlink" Target="https://www.longwoods.com/publications/healthcare-quarterly/26613/1/vol.-24-no.-3-2021" TargetMode="External"/><Relationship Id="rId28" Type="http://schemas.openxmlformats.org/officeDocument/2006/relationships/hyperlink" Target="https://www.nice.org.uk/guidance" TargetMode="External"/><Relationship Id="rId36" Type="http://schemas.openxmlformats.org/officeDocument/2006/relationships/image" Target="media/image2.png"/><Relationship Id="rId49" Type="http://schemas.openxmlformats.org/officeDocument/2006/relationships/hyperlink" Target="https://www.safetyandquality.gov.au/sites/default/files/2020-07/covid-19_and_face_masks_-_information_for_consumers.pdf"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16/j.jcjq.2021.09.003" TargetMode="External"/><Relationship Id="rId31" Type="http://schemas.openxmlformats.org/officeDocument/2006/relationships/hyperlink" Target="https://effectivehealthcare.ahrq.gov/"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2"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publish.csiro.au/py/issue/10189" TargetMode="External"/><Relationship Id="rId27" Type="http://schemas.openxmlformats.org/officeDocument/2006/relationships/hyperlink" Target="https://psnet.ahrq.gov/perspective/role-community-pharmacists-patient-safety" TargetMode="External"/><Relationship Id="rId30" Type="http://schemas.openxmlformats.org/officeDocument/2006/relationships/hyperlink" Target="https://evidence.nihr.ac.uk/" TargetMode="External"/><Relationship Id="rId35" Type="http://schemas.openxmlformats.org/officeDocument/2006/relationships/hyperlink" Target="https://www.safetyandquality.gov.au/publications-and-resources/resource-library/poster-ppe-use-aged-care-staff-caring-residents-covid-19" TargetMode="External"/><Relationship Id="rId43" Type="http://schemas.openxmlformats.org/officeDocument/2006/relationships/hyperlink" Target="https://www.safetyandquality.gov.au/our-work/cognitive-impairment/cognitive-impairment-and-covid-19" TargetMode="External"/><Relationship Id="rId48" Type="http://schemas.openxmlformats.org/officeDocument/2006/relationships/hyperlink" Target="https://www.safetyandquality.gov.au/publications-and-resources/resource-library/covid-19-and-face-masks-information-consumers"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covid19evidence.net.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17E7-7409-4BDE-B637-4D1C5778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12</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Draft On the Radar Issue 535</vt:lpstr>
    </vt:vector>
  </TitlesOfParts>
  <Company>ACSQHC</Company>
  <LinksUpToDate>false</LinksUpToDate>
  <CharactersWithSpaces>22498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535</dc:title>
  <dc:subject/>
  <dc:creator>Dr Niall Johnson</dc:creator>
  <cp:keywords>On the Radar</cp:keywords>
  <dc:description/>
  <cp:lastModifiedBy>Johnson, Niall</cp:lastModifiedBy>
  <cp:revision>15</cp:revision>
  <cp:lastPrinted>2018-03-02T02:34:00Z</cp:lastPrinted>
  <dcterms:created xsi:type="dcterms:W3CDTF">2021-10-24T22:22:00Z</dcterms:created>
  <dcterms:modified xsi:type="dcterms:W3CDTF">2021-10-28T23:52:00Z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