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967C81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A496FEC">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CD44C1B"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DB4875">
        <w:rPr>
          <w:rFonts w:ascii="Garamond" w:hAnsi="Garamond"/>
          <w:color w:val="000000" w:themeColor="text1"/>
          <w:lang w:val="en-AU"/>
        </w:rPr>
        <w:t>4</w:t>
      </w:r>
    </w:p>
    <w:p w14:paraId="6D81A6EC" w14:textId="7F54028B" w:rsidR="00755242" w:rsidRDefault="00DB4875" w:rsidP="00F738B5">
      <w:pPr>
        <w:rPr>
          <w:rFonts w:ascii="Garamond" w:hAnsi="Garamond"/>
          <w:lang w:val="en-AU"/>
        </w:rPr>
      </w:pPr>
      <w:r>
        <w:rPr>
          <w:rFonts w:ascii="Garamond" w:hAnsi="Garamond"/>
          <w:lang w:val="en-AU"/>
        </w:rPr>
        <w:t>3</w:t>
      </w:r>
      <w:r w:rsidR="00572F51">
        <w:rPr>
          <w:rFonts w:ascii="Garamond" w:hAnsi="Garamond"/>
          <w:lang w:val="en-AU"/>
        </w:rPr>
        <w:t>1 January 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77777777"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1C8C74FB"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125D9">
        <w:rPr>
          <w:rFonts w:ascii="Garamond" w:hAnsi="Garamond"/>
          <w:bCs/>
          <w:lang w:val="en-AU"/>
        </w:rPr>
        <w:t xml:space="preserve">, </w:t>
      </w:r>
      <w:r w:rsidR="00EE5D5E">
        <w:rPr>
          <w:rFonts w:ascii="Garamond" w:hAnsi="Garamond"/>
          <w:bCs/>
          <w:lang w:val="en-AU"/>
        </w:rPr>
        <w:t>Kim Stewart, Kozue Yamada</w:t>
      </w:r>
    </w:p>
    <w:p w14:paraId="5F4AC94B" w14:textId="25D714AF" w:rsidR="005125D9" w:rsidRDefault="005125D9" w:rsidP="00EE5D5E">
      <w:pPr>
        <w:rPr>
          <w:rFonts w:ascii="Garamond" w:hAnsi="Garamond"/>
          <w:bCs/>
          <w:lang w:val="en-AU"/>
        </w:rPr>
      </w:pPr>
    </w:p>
    <w:p w14:paraId="435FF114" w14:textId="36A44DF4" w:rsidR="00EE5D5E" w:rsidRDefault="00EE5D5E" w:rsidP="00EE5D5E">
      <w:pPr>
        <w:rPr>
          <w:rFonts w:ascii="Garamond" w:hAnsi="Garamond"/>
          <w:b/>
          <w:lang w:val="en-AU"/>
        </w:rPr>
      </w:pPr>
      <w:r w:rsidRPr="00EE5D5E">
        <w:rPr>
          <w:rFonts w:ascii="Garamond" w:hAnsi="Garamond"/>
          <w:b/>
          <w:lang w:val="en-AU"/>
        </w:rPr>
        <w:t>Antimicrobial resistance update</w:t>
      </w:r>
    </w:p>
    <w:p w14:paraId="584F5AC9" w14:textId="04DFFCD8" w:rsidR="00EE5D5E" w:rsidRPr="00EE5D5E" w:rsidRDefault="00207B69" w:rsidP="00EE5D5E">
      <w:pPr>
        <w:rPr>
          <w:rFonts w:ascii="Garamond" w:hAnsi="Garamond"/>
          <w:bCs/>
          <w:lang w:val="en-AU"/>
        </w:rPr>
      </w:pPr>
      <w:hyperlink r:id="rId15" w:history="1">
        <w:r w:rsidR="00EE5D5E" w:rsidRPr="00EE5D5E">
          <w:rPr>
            <w:rStyle w:val="Hyperlink"/>
            <w:rFonts w:ascii="Garamond" w:hAnsi="Garamond"/>
            <w:bCs/>
            <w:lang w:val="en-AU"/>
          </w:rPr>
          <w:t>https://www.safetyandquality.gov.au/publications-and-resources/resource-library/agar-sepsis-outcome-programs-2020-report</w:t>
        </w:r>
      </w:hyperlink>
    </w:p>
    <w:p w14:paraId="4F935281" w14:textId="77777777" w:rsidR="00EE5D5E" w:rsidRPr="00EE5D5E" w:rsidRDefault="00EE5D5E" w:rsidP="00EE5D5E">
      <w:pPr>
        <w:rPr>
          <w:rFonts w:ascii="Garamond" w:hAnsi="Garamond"/>
          <w:b/>
          <w:lang w:val="en-AU"/>
        </w:rPr>
      </w:pPr>
    </w:p>
    <w:p w14:paraId="52B05731" w14:textId="3B86F2DF" w:rsidR="00EE5D5E" w:rsidRPr="00EE5D5E" w:rsidRDefault="00EE5D5E" w:rsidP="00EE5D5E">
      <w:pPr>
        <w:rPr>
          <w:rFonts w:ascii="Garamond" w:hAnsi="Garamond"/>
          <w:bCs/>
          <w:lang w:val="en-AU"/>
        </w:rPr>
      </w:pPr>
      <w:r w:rsidRPr="00EE5D5E">
        <w:rPr>
          <w:rFonts w:ascii="Garamond" w:hAnsi="Garamond"/>
          <w:bCs/>
          <w:lang w:val="en-AU"/>
        </w:rPr>
        <w:t xml:space="preserve">The </w:t>
      </w:r>
      <w:r w:rsidRPr="00EE5D5E">
        <w:rPr>
          <w:rFonts w:ascii="Garamond" w:hAnsi="Garamond"/>
          <w:bCs/>
          <w:i/>
          <w:iCs/>
          <w:lang w:val="en-AU"/>
        </w:rPr>
        <w:t xml:space="preserve">AGAR Sepsis Outcomes Programs 2020 </w:t>
      </w:r>
      <w:proofErr w:type="gramStart"/>
      <w:r w:rsidRPr="00EE5D5E">
        <w:rPr>
          <w:rFonts w:ascii="Garamond" w:hAnsi="Garamond"/>
          <w:bCs/>
          <w:i/>
          <w:iCs/>
          <w:lang w:val="en-AU"/>
        </w:rPr>
        <w:t>Report</w:t>
      </w:r>
      <w:r w:rsidRPr="00EE5D5E">
        <w:rPr>
          <w:rFonts w:ascii="Garamond" w:hAnsi="Garamond"/>
          <w:bCs/>
          <w:lang w:val="en-AU"/>
        </w:rPr>
        <w:t xml:space="preserve"> ,</w:t>
      </w:r>
      <w:proofErr w:type="gramEnd"/>
      <w:r w:rsidRPr="00EE5D5E">
        <w:rPr>
          <w:rFonts w:ascii="Garamond" w:hAnsi="Garamond"/>
          <w:bCs/>
          <w:lang w:val="en-AU"/>
        </w:rPr>
        <w:t xml:space="preserve"> is now available. The report is the sixth in a series of annual reports produced by the Australian Group on Antimicrobial Resistance (AGAR) in collaboration with the </w:t>
      </w:r>
      <w:r>
        <w:rPr>
          <w:rFonts w:ascii="Garamond" w:hAnsi="Garamond"/>
          <w:bCs/>
          <w:lang w:val="en-AU"/>
        </w:rPr>
        <w:t xml:space="preserve">Australian </w:t>
      </w:r>
      <w:r w:rsidRPr="00EE5D5E">
        <w:rPr>
          <w:rFonts w:ascii="Garamond" w:hAnsi="Garamond"/>
          <w:bCs/>
          <w:lang w:val="en-AU"/>
        </w:rPr>
        <w:t>Commission</w:t>
      </w:r>
      <w:r>
        <w:rPr>
          <w:rFonts w:ascii="Garamond" w:hAnsi="Garamond"/>
          <w:bCs/>
          <w:lang w:val="en-AU"/>
        </w:rPr>
        <w:t xml:space="preserve"> on Safety and Quality in Health Care</w:t>
      </w:r>
      <w:r w:rsidRPr="00EE5D5E">
        <w:rPr>
          <w:rFonts w:ascii="Garamond" w:hAnsi="Garamond"/>
          <w:bCs/>
          <w:lang w:val="en-AU"/>
        </w:rPr>
        <w:t xml:space="preserve">. These reports bring together the key findings of three AGAR sepsis outcome programs, as a means of increasing access to antimicrobial resistance surveillance data to inform response strategies and improve the safety of care provided to patients. </w:t>
      </w:r>
    </w:p>
    <w:p w14:paraId="520DE537" w14:textId="77777777" w:rsidR="00EE5D5E" w:rsidRPr="00EE5D5E" w:rsidRDefault="00EE5D5E" w:rsidP="00EE5D5E">
      <w:pPr>
        <w:rPr>
          <w:rFonts w:ascii="Garamond" w:hAnsi="Garamond"/>
          <w:bCs/>
          <w:lang w:val="en-AU"/>
        </w:rPr>
      </w:pPr>
    </w:p>
    <w:p w14:paraId="7A1F56D4" w14:textId="432037C4" w:rsidR="00EE5D5E" w:rsidRDefault="00EE5D5E" w:rsidP="00EE5D5E">
      <w:pPr>
        <w:rPr>
          <w:rFonts w:ascii="Garamond" w:hAnsi="Garamond"/>
          <w:bCs/>
          <w:lang w:val="en-AU"/>
        </w:rPr>
      </w:pPr>
      <w:r w:rsidRPr="00EE5D5E">
        <w:rPr>
          <w:rFonts w:ascii="Garamond" w:hAnsi="Garamond"/>
          <w:bCs/>
          <w:lang w:val="en-AU"/>
        </w:rPr>
        <w:t xml:space="preserve">Data for the analyses were reported by 30 laboratories, servicing 49 public and private institutions across Australia in 2020, which demonstrates the significant commitment of these laboratories, and states and territories and the private sector to antimicrobial resistance surveillance, prevention and control. </w:t>
      </w:r>
    </w:p>
    <w:p w14:paraId="4608437A" w14:textId="46118107" w:rsidR="00EE5D5E" w:rsidRDefault="00EE5D5E" w:rsidP="00EE5D5E">
      <w:pPr>
        <w:rPr>
          <w:rFonts w:ascii="Garamond" w:hAnsi="Garamond"/>
          <w:bCs/>
          <w:lang w:val="en-AU"/>
        </w:rPr>
      </w:pPr>
    </w:p>
    <w:p w14:paraId="288FBDFD" w14:textId="2909C075" w:rsidR="00EE5D5E" w:rsidRPr="00EE5D5E" w:rsidRDefault="00EE5D5E" w:rsidP="00EE5D5E">
      <w:pPr>
        <w:rPr>
          <w:rFonts w:ascii="Garamond" w:hAnsi="Garamond"/>
          <w:bCs/>
          <w:lang w:val="en-AU"/>
        </w:rPr>
      </w:pPr>
      <w:r>
        <w:rPr>
          <w:rFonts w:ascii="Garamond" w:hAnsi="Garamond"/>
          <w:bCs/>
          <w:lang w:val="en-AU"/>
        </w:rPr>
        <w:t>Some key findings from analysis of AGAR 2020 are:</w:t>
      </w:r>
    </w:p>
    <w:p w14:paraId="6F852D7D" w14:textId="1DB67997" w:rsidR="00EE5D5E" w:rsidRPr="00EE5D5E" w:rsidRDefault="00EE5D5E" w:rsidP="00EE5D5E">
      <w:pPr>
        <w:pStyle w:val="ListParagraph"/>
        <w:numPr>
          <w:ilvl w:val="0"/>
          <w:numId w:val="35"/>
        </w:numPr>
        <w:rPr>
          <w:rFonts w:ascii="Garamond" w:hAnsi="Garamond"/>
          <w:bCs/>
          <w:lang w:val="en-AU"/>
        </w:rPr>
      </w:pPr>
      <w:r>
        <w:rPr>
          <w:rFonts w:ascii="Garamond" w:hAnsi="Garamond"/>
          <w:bCs/>
          <w:lang w:val="en-AU"/>
        </w:rPr>
        <w:t>O</w:t>
      </w:r>
      <w:r w:rsidRPr="00EE5D5E">
        <w:rPr>
          <w:rFonts w:ascii="Garamond" w:hAnsi="Garamond"/>
          <w:bCs/>
          <w:lang w:val="en-AU"/>
        </w:rPr>
        <w:t>verwhelmingly the onset of episodes of bacteraemia in Australia was in the community, rather than hospitals</w:t>
      </w:r>
    </w:p>
    <w:p w14:paraId="6471F27A" w14:textId="77777777" w:rsidR="00EE5D5E" w:rsidRDefault="00EE5D5E" w:rsidP="000D3273">
      <w:pPr>
        <w:pStyle w:val="ListParagraph"/>
        <w:numPr>
          <w:ilvl w:val="0"/>
          <w:numId w:val="35"/>
        </w:numPr>
        <w:rPr>
          <w:rFonts w:ascii="Garamond" w:hAnsi="Garamond"/>
          <w:bCs/>
          <w:lang w:val="en-AU"/>
        </w:rPr>
      </w:pPr>
      <w:r w:rsidRPr="00EE5D5E">
        <w:rPr>
          <w:rFonts w:ascii="Garamond" w:hAnsi="Garamond"/>
          <w:bCs/>
          <w:lang w:val="en-AU"/>
        </w:rPr>
        <w:lastRenderedPageBreak/>
        <w:t xml:space="preserve">A </w:t>
      </w:r>
      <w:proofErr w:type="gramStart"/>
      <w:r w:rsidRPr="00EE5D5E">
        <w:rPr>
          <w:rFonts w:ascii="Garamond" w:hAnsi="Garamond"/>
          <w:bCs/>
          <w:lang w:val="en-AU"/>
        </w:rPr>
        <w:t>long term</w:t>
      </w:r>
      <w:proofErr w:type="gramEnd"/>
      <w:r w:rsidRPr="00EE5D5E">
        <w:rPr>
          <w:rFonts w:ascii="Garamond" w:hAnsi="Garamond"/>
          <w:bCs/>
          <w:lang w:val="en-AU"/>
        </w:rPr>
        <w:t xml:space="preserve"> trend of increasing resistance to important antimicrobial agents, such as ceftriaxone and ciprofloxacin, in </w:t>
      </w:r>
      <w:proofErr w:type="spellStart"/>
      <w:r w:rsidRPr="00EE5D5E">
        <w:rPr>
          <w:rFonts w:ascii="Garamond" w:hAnsi="Garamond"/>
          <w:bCs/>
          <w:i/>
          <w:iCs/>
          <w:lang w:val="en-AU"/>
        </w:rPr>
        <w:t>Eschericia</w:t>
      </w:r>
      <w:proofErr w:type="spellEnd"/>
      <w:r w:rsidRPr="00EE5D5E">
        <w:rPr>
          <w:rFonts w:ascii="Garamond" w:hAnsi="Garamond"/>
          <w:bCs/>
          <w:i/>
          <w:iCs/>
          <w:lang w:val="en-AU"/>
        </w:rPr>
        <w:t xml:space="preserve"> coli</w:t>
      </w:r>
      <w:r w:rsidRPr="00EE5D5E">
        <w:rPr>
          <w:rFonts w:ascii="Garamond" w:hAnsi="Garamond"/>
          <w:bCs/>
          <w:lang w:val="en-AU"/>
        </w:rPr>
        <w:t xml:space="preserve"> (a major cause of urinary tract infections)</w:t>
      </w:r>
    </w:p>
    <w:p w14:paraId="28BD3FB6" w14:textId="6071E60D" w:rsidR="00EE5D5E" w:rsidRDefault="00EE5D5E" w:rsidP="009F392F">
      <w:pPr>
        <w:pStyle w:val="ListParagraph"/>
        <w:numPr>
          <w:ilvl w:val="0"/>
          <w:numId w:val="35"/>
        </w:numPr>
        <w:rPr>
          <w:rFonts w:ascii="Garamond" w:hAnsi="Garamond"/>
          <w:bCs/>
          <w:lang w:val="en-AU"/>
        </w:rPr>
      </w:pPr>
      <w:r w:rsidRPr="00EE5D5E">
        <w:rPr>
          <w:rFonts w:ascii="Garamond" w:hAnsi="Garamond"/>
          <w:bCs/>
          <w:lang w:val="en-AU"/>
        </w:rPr>
        <w:t>•</w:t>
      </w:r>
      <w:r w:rsidRPr="00EE5D5E">
        <w:rPr>
          <w:rFonts w:ascii="Garamond" w:hAnsi="Garamond"/>
          <w:bCs/>
          <w:lang w:val="en-AU"/>
        </w:rPr>
        <w:tab/>
        <w:t>A concerning steady rise in resistance to fluoroquinolones in hospital-onset bacteraemia.</w:t>
      </w:r>
    </w:p>
    <w:p w14:paraId="0C936A73" w14:textId="77777777" w:rsidR="00EE5D5E" w:rsidRPr="00FE2058" w:rsidRDefault="00EE5D5E" w:rsidP="00FE2058">
      <w:pPr>
        <w:rPr>
          <w:rFonts w:ascii="Garamond" w:hAnsi="Garamond"/>
          <w:bCs/>
          <w:lang w:val="en-AU"/>
        </w:rPr>
      </w:pPr>
    </w:p>
    <w:p w14:paraId="47413685" w14:textId="54442678" w:rsidR="00EE5D5E" w:rsidRDefault="00EE5D5E" w:rsidP="00EE5D5E">
      <w:pPr>
        <w:pBdr>
          <w:top w:val="single" w:sz="4" w:space="1" w:color="auto"/>
        </w:pBdr>
        <w:rPr>
          <w:rFonts w:ascii="Garamond" w:hAnsi="Garamond"/>
          <w:bCs/>
          <w:lang w:val="en-AU"/>
        </w:rPr>
      </w:pPr>
      <w:r>
        <w:rPr>
          <w:rFonts w:ascii="Garamond" w:hAnsi="Garamond"/>
          <w:bCs/>
          <w:lang w:val="en-AU"/>
        </w:rPr>
        <w:t>F</w:t>
      </w:r>
      <w:r w:rsidRPr="00EE5D5E">
        <w:rPr>
          <w:rFonts w:ascii="Garamond" w:hAnsi="Garamond"/>
          <w:bCs/>
          <w:lang w:val="en-AU"/>
        </w:rPr>
        <w:t xml:space="preserve">or all of the AGAR data and trends, visit the </w:t>
      </w:r>
      <w:hyperlink r:id="rId16" w:history="1">
        <w:r w:rsidRPr="00D02B57">
          <w:rPr>
            <w:rStyle w:val="Hyperlink"/>
            <w:rFonts w:ascii="Garamond" w:hAnsi="Garamond"/>
            <w:bCs/>
            <w:lang w:val="en-AU"/>
          </w:rPr>
          <w:t>https://www.safetyandquality.gov.au/publications-and-resources/resource-library/agar-sepsis-outcome-programs-2020-report</w:t>
        </w:r>
      </w:hyperlink>
    </w:p>
    <w:p w14:paraId="25869239" w14:textId="1F74E8CE" w:rsidR="00EE5D5E" w:rsidRDefault="00EE5D5E" w:rsidP="00D019E7">
      <w:pPr>
        <w:keepNext/>
        <w:keepLines/>
        <w:autoSpaceDE w:val="0"/>
        <w:autoSpaceDN w:val="0"/>
        <w:adjustRightInd w:val="0"/>
        <w:rPr>
          <w:rFonts w:ascii="Garamond" w:hAnsi="Garamond"/>
          <w:b/>
          <w:lang w:val="en-AU"/>
        </w:rPr>
      </w:pPr>
    </w:p>
    <w:p w14:paraId="6313DFDB" w14:textId="0C7FB72B" w:rsidR="00EE5D5E" w:rsidRDefault="00EE5D5E" w:rsidP="00D019E7">
      <w:pPr>
        <w:keepNext/>
        <w:keepLines/>
        <w:autoSpaceDE w:val="0"/>
        <w:autoSpaceDN w:val="0"/>
        <w:adjustRightInd w:val="0"/>
        <w:rPr>
          <w:rFonts w:ascii="Garamond" w:hAnsi="Garamond"/>
          <w:b/>
          <w:lang w:val="en-AU"/>
        </w:rPr>
      </w:pPr>
    </w:p>
    <w:p w14:paraId="1AA2A199" w14:textId="0B5F1C26" w:rsidR="00EE5D5E" w:rsidRDefault="00EE5D5E" w:rsidP="00D019E7">
      <w:pPr>
        <w:keepNext/>
        <w:keepLines/>
        <w:autoSpaceDE w:val="0"/>
        <w:autoSpaceDN w:val="0"/>
        <w:adjustRightInd w:val="0"/>
        <w:rPr>
          <w:rFonts w:ascii="Garamond" w:hAnsi="Garamond"/>
          <w:b/>
          <w:lang w:val="en-AU"/>
        </w:rPr>
      </w:pPr>
      <w:r>
        <w:rPr>
          <w:rFonts w:ascii="Garamond" w:hAnsi="Garamond"/>
          <w:b/>
          <w:lang w:val="en-AU"/>
        </w:rPr>
        <w:t>Open Disclosure</w:t>
      </w:r>
    </w:p>
    <w:p w14:paraId="5AC79B18" w14:textId="218D3F3C" w:rsidR="00E518E5" w:rsidRPr="00E518E5" w:rsidRDefault="00207B69" w:rsidP="00D019E7">
      <w:pPr>
        <w:keepNext/>
        <w:keepLines/>
        <w:autoSpaceDE w:val="0"/>
        <w:autoSpaceDN w:val="0"/>
        <w:adjustRightInd w:val="0"/>
        <w:rPr>
          <w:rFonts w:ascii="Garamond" w:hAnsi="Garamond"/>
          <w:bCs/>
          <w:lang w:val="en-AU"/>
        </w:rPr>
      </w:pPr>
      <w:hyperlink r:id="rId17" w:history="1">
        <w:r w:rsidR="00E518E5" w:rsidRPr="00E518E5">
          <w:rPr>
            <w:rStyle w:val="Hyperlink"/>
            <w:rFonts w:ascii="Garamond" w:hAnsi="Garamond"/>
            <w:bCs/>
            <w:lang w:val="en-AU"/>
          </w:rPr>
          <w:t>https://www.safetyandquality.gov.au/our-work/clinical-governance/open-disclosure</w:t>
        </w:r>
      </w:hyperlink>
    </w:p>
    <w:p w14:paraId="0A129169" w14:textId="77777777" w:rsidR="00E518E5" w:rsidRPr="00E518E5" w:rsidRDefault="00E518E5" w:rsidP="00D019E7">
      <w:pPr>
        <w:keepNext/>
        <w:keepLines/>
        <w:autoSpaceDE w:val="0"/>
        <w:autoSpaceDN w:val="0"/>
        <w:adjustRightInd w:val="0"/>
        <w:rPr>
          <w:rFonts w:ascii="Garamond" w:hAnsi="Garamond"/>
          <w:bCs/>
          <w:lang w:val="en-AU"/>
        </w:rPr>
      </w:pPr>
    </w:p>
    <w:p w14:paraId="2ED52F61" w14:textId="45B5910F" w:rsidR="00E518E5" w:rsidRPr="00E518E5" w:rsidRDefault="00E518E5" w:rsidP="00E518E5">
      <w:pPr>
        <w:keepNext/>
        <w:keepLines/>
        <w:autoSpaceDE w:val="0"/>
        <w:autoSpaceDN w:val="0"/>
        <w:adjustRightInd w:val="0"/>
        <w:rPr>
          <w:rFonts w:ascii="Garamond" w:hAnsi="Garamond"/>
          <w:bCs/>
          <w:lang w:val="en-AU"/>
        </w:rPr>
      </w:pPr>
      <w:r w:rsidRPr="00E518E5">
        <w:rPr>
          <w:rFonts w:ascii="Garamond" w:hAnsi="Garamond"/>
          <w:bCs/>
          <w:lang w:val="en-AU"/>
        </w:rPr>
        <w:t xml:space="preserve">The </w:t>
      </w:r>
      <w:r>
        <w:rPr>
          <w:rFonts w:ascii="Garamond" w:hAnsi="Garamond"/>
          <w:bCs/>
          <w:lang w:val="en-AU"/>
        </w:rPr>
        <w:t xml:space="preserve">Australian </w:t>
      </w:r>
      <w:r w:rsidRPr="00E518E5">
        <w:rPr>
          <w:rFonts w:ascii="Garamond" w:hAnsi="Garamond"/>
          <w:bCs/>
          <w:lang w:val="en-AU"/>
        </w:rPr>
        <w:t xml:space="preserve">Commission </w:t>
      </w:r>
      <w:r>
        <w:rPr>
          <w:rFonts w:ascii="Garamond" w:hAnsi="Garamond"/>
          <w:bCs/>
          <w:lang w:val="en-AU"/>
        </w:rPr>
        <w:t xml:space="preserve">on Safety and Quality in Health Care </w:t>
      </w:r>
      <w:r w:rsidRPr="00E518E5">
        <w:rPr>
          <w:rFonts w:ascii="Garamond" w:hAnsi="Garamond"/>
          <w:bCs/>
          <w:lang w:val="en-AU"/>
        </w:rPr>
        <w:t xml:space="preserve">has released two consumer fact sheets on open disclosure: </w:t>
      </w:r>
    </w:p>
    <w:p w14:paraId="438770E8" w14:textId="77777777" w:rsidR="00E518E5" w:rsidRPr="00E518E5" w:rsidRDefault="00E518E5" w:rsidP="00E518E5">
      <w:pPr>
        <w:keepNext/>
        <w:keepLines/>
        <w:autoSpaceDE w:val="0"/>
        <w:autoSpaceDN w:val="0"/>
        <w:adjustRightInd w:val="0"/>
        <w:rPr>
          <w:rFonts w:ascii="Garamond" w:hAnsi="Garamond"/>
          <w:bCs/>
          <w:lang w:val="en-AU"/>
        </w:rPr>
      </w:pPr>
    </w:p>
    <w:p w14:paraId="3E0357DD" w14:textId="77777777" w:rsidR="00E518E5" w:rsidRPr="00E518E5" w:rsidRDefault="00E518E5" w:rsidP="00E518E5">
      <w:pPr>
        <w:pStyle w:val="ListParagraph"/>
        <w:keepNext/>
        <w:keepLines/>
        <w:numPr>
          <w:ilvl w:val="0"/>
          <w:numId w:val="36"/>
        </w:numPr>
        <w:autoSpaceDE w:val="0"/>
        <w:autoSpaceDN w:val="0"/>
        <w:adjustRightInd w:val="0"/>
        <w:rPr>
          <w:rFonts w:ascii="Garamond" w:hAnsi="Garamond"/>
          <w:bCs/>
          <w:lang w:val="en-AU"/>
        </w:rPr>
      </w:pPr>
      <w:r w:rsidRPr="00E518E5">
        <w:rPr>
          <w:rFonts w:ascii="Garamond" w:hAnsi="Garamond"/>
          <w:bCs/>
          <w:i/>
          <w:iCs/>
          <w:lang w:val="en-AU"/>
        </w:rPr>
        <w:t>Open disclosure – what to expect if you experience harm during health care?</w:t>
      </w:r>
      <w:r w:rsidRPr="00E518E5">
        <w:rPr>
          <w:rFonts w:ascii="Garamond" w:hAnsi="Garamond"/>
          <w:bCs/>
          <w:lang w:val="en-AU"/>
        </w:rPr>
        <w:t xml:space="preserve"> is a short fact sheet about open disclosure and healthcare rights.</w:t>
      </w:r>
    </w:p>
    <w:p w14:paraId="5AFC8C00" w14:textId="77777777" w:rsidR="00E518E5" w:rsidRPr="00E518E5" w:rsidRDefault="00E518E5" w:rsidP="00E518E5">
      <w:pPr>
        <w:pStyle w:val="ListParagraph"/>
        <w:keepNext/>
        <w:keepLines/>
        <w:numPr>
          <w:ilvl w:val="0"/>
          <w:numId w:val="36"/>
        </w:numPr>
        <w:autoSpaceDE w:val="0"/>
        <w:autoSpaceDN w:val="0"/>
        <w:adjustRightInd w:val="0"/>
        <w:rPr>
          <w:rFonts w:ascii="Garamond" w:hAnsi="Garamond"/>
          <w:bCs/>
          <w:lang w:val="en-AU"/>
        </w:rPr>
      </w:pPr>
      <w:r w:rsidRPr="00E518E5">
        <w:rPr>
          <w:rFonts w:ascii="Garamond" w:hAnsi="Garamond"/>
          <w:bCs/>
          <w:i/>
          <w:iCs/>
          <w:lang w:val="en-AU"/>
        </w:rPr>
        <w:t>Preparing and participating in open disclosure discussions</w:t>
      </w:r>
      <w:r w:rsidRPr="00E518E5">
        <w:rPr>
          <w:rFonts w:ascii="Garamond" w:hAnsi="Garamond"/>
          <w:bCs/>
          <w:lang w:val="en-AU"/>
        </w:rPr>
        <w:t xml:space="preserve"> is a fact sheet with specific information for a person and/or their support people when starting the open disclosure process. This includes what to expect during the process, how to access support and how to prepare for open disclosure discussions. </w:t>
      </w:r>
    </w:p>
    <w:p w14:paraId="2593B491" w14:textId="77777777" w:rsidR="00E518E5" w:rsidRPr="00E518E5" w:rsidRDefault="00E518E5" w:rsidP="00E518E5">
      <w:pPr>
        <w:keepNext/>
        <w:keepLines/>
        <w:autoSpaceDE w:val="0"/>
        <w:autoSpaceDN w:val="0"/>
        <w:adjustRightInd w:val="0"/>
        <w:rPr>
          <w:rFonts w:ascii="Garamond" w:hAnsi="Garamond"/>
          <w:bCs/>
          <w:lang w:val="en-AU"/>
        </w:rPr>
      </w:pPr>
    </w:p>
    <w:p w14:paraId="2E82ECFA" w14:textId="77777777" w:rsidR="00E518E5" w:rsidRPr="00E518E5" w:rsidRDefault="00E518E5" w:rsidP="00E518E5">
      <w:pPr>
        <w:keepNext/>
        <w:keepLines/>
        <w:autoSpaceDE w:val="0"/>
        <w:autoSpaceDN w:val="0"/>
        <w:adjustRightInd w:val="0"/>
        <w:rPr>
          <w:rFonts w:ascii="Garamond" w:hAnsi="Garamond"/>
          <w:bCs/>
          <w:lang w:val="en-AU"/>
        </w:rPr>
      </w:pPr>
      <w:r w:rsidRPr="00E518E5">
        <w:rPr>
          <w:rFonts w:ascii="Garamond" w:hAnsi="Garamond"/>
          <w:bCs/>
          <w:lang w:val="en-AU"/>
        </w:rPr>
        <w:t xml:space="preserve">The fact sheets are available in easy English versions and 25 language translations. </w:t>
      </w:r>
    </w:p>
    <w:p w14:paraId="6FCA058A" w14:textId="77777777" w:rsidR="00E518E5" w:rsidRPr="00E518E5" w:rsidRDefault="00E518E5" w:rsidP="00E518E5">
      <w:pPr>
        <w:keepNext/>
        <w:keepLines/>
        <w:autoSpaceDE w:val="0"/>
        <w:autoSpaceDN w:val="0"/>
        <w:adjustRightInd w:val="0"/>
        <w:rPr>
          <w:rFonts w:ascii="Garamond" w:hAnsi="Garamond"/>
          <w:bCs/>
          <w:lang w:val="en-AU"/>
        </w:rPr>
      </w:pPr>
    </w:p>
    <w:p w14:paraId="7304182D" w14:textId="77777777" w:rsidR="00E518E5" w:rsidRPr="00E518E5" w:rsidRDefault="00E518E5" w:rsidP="00E518E5">
      <w:pPr>
        <w:keepNext/>
        <w:keepLines/>
        <w:autoSpaceDE w:val="0"/>
        <w:autoSpaceDN w:val="0"/>
        <w:adjustRightInd w:val="0"/>
        <w:rPr>
          <w:rFonts w:ascii="Garamond" w:hAnsi="Garamond"/>
          <w:bCs/>
          <w:lang w:val="en-AU"/>
        </w:rPr>
      </w:pPr>
      <w:r w:rsidRPr="00E518E5">
        <w:rPr>
          <w:rFonts w:ascii="Garamond" w:hAnsi="Garamond"/>
          <w:bCs/>
          <w:lang w:val="en-AU"/>
        </w:rPr>
        <w:t xml:space="preserve">The fact sheets are available on the Commission’s website and can be accessed </w:t>
      </w:r>
      <w:r>
        <w:rPr>
          <w:rFonts w:ascii="Garamond" w:hAnsi="Garamond"/>
          <w:bCs/>
          <w:lang w:val="en-AU"/>
        </w:rPr>
        <w:t xml:space="preserve">at </w:t>
      </w:r>
      <w:hyperlink r:id="rId18" w:history="1">
        <w:r w:rsidRPr="00E518E5">
          <w:rPr>
            <w:rStyle w:val="Hyperlink"/>
            <w:rFonts w:ascii="Garamond" w:hAnsi="Garamond"/>
            <w:bCs/>
            <w:lang w:val="en-AU"/>
          </w:rPr>
          <w:t>https://www.safetyandquality.gov.au/our-work/clinical-governance/open-disclosure</w:t>
        </w:r>
      </w:hyperlink>
    </w:p>
    <w:p w14:paraId="7F206098" w14:textId="77777777" w:rsidR="00E518E5" w:rsidRPr="00E518E5" w:rsidRDefault="00E518E5" w:rsidP="00E518E5">
      <w:pPr>
        <w:keepNext/>
        <w:keepLines/>
        <w:autoSpaceDE w:val="0"/>
        <w:autoSpaceDN w:val="0"/>
        <w:adjustRightInd w:val="0"/>
        <w:rPr>
          <w:rFonts w:ascii="Garamond" w:hAnsi="Garamond"/>
          <w:bCs/>
          <w:lang w:val="en-AU"/>
        </w:rPr>
      </w:pPr>
    </w:p>
    <w:p w14:paraId="5FEDE0BF" w14:textId="56301E7B" w:rsidR="008F3909" w:rsidRDefault="008F3909" w:rsidP="00DB4875">
      <w:pPr>
        <w:keepNext/>
        <w:keepLines/>
        <w:autoSpaceDE w:val="0"/>
        <w:autoSpaceDN w:val="0"/>
        <w:adjustRightInd w:val="0"/>
        <w:rPr>
          <w:rFonts w:ascii="Garamond" w:hAnsi="Garamond"/>
          <w:b/>
          <w:lang w:val="en-AU"/>
        </w:rPr>
      </w:pPr>
      <w:r w:rsidRPr="00EF0B67">
        <w:rPr>
          <w:rFonts w:ascii="Garamond" w:hAnsi="Garamond"/>
          <w:b/>
          <w:lang w:val="en-AU"/>
        </w:rPr>
        <w:t>Journal articles</w:t>
      </w:r>
    </w:p>
    <w:p w14:paraId="4AB18D95" w14:textId="77777777" w:rsidR="0010063E" w:rsidRDefault="0010063E" w:rsidP="0010063E">
      <w:pPr>
        <w:keepNext/>
        <w:keepLines/>
        <w:tabs>
          <w:tab w:val="left" w:pos="2114"/>
        </w:tabs>
        <w:autoSpaceDE w:val="0"/>
        <w:autoSpaceDN w:val="0"/>
        <w:adjustRightInd w:val="0"/>
        <w:rPr>
          <w:rFonts w:ascii="Garamond" w:hAnsi="Garamond"/>
          <w:i/>
          <w:lang w:val="en-AU"/>
        </w:rPr>
      </w:pPr>
    </w:p>
    <w:p w14:paraId="2ADB1A41" w14:textId="2932D0F1" w:rsidR="00CB6455" w:rsidRPr="00467B47" w:rsidRDefault="00CB6455" w:rsidP="00CB6455">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CB6455" w:rsidRPr="00467B47" w14:paraId="4D6ADE23" w14:textId="77777777" w:rsidTr="00CE052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28B0329" w14:textId="77777777" w:rsidR="00CB6455" w:rsidRPr="00467B47" w:rsidRDefault="00CB6455" w:rsidP="00CE052E">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A0503AE" w14:textId="77777777" w:rsidR="00CB6455" w:rsidRPr="00467B47" w:rsidRDefault="00207B69" w:rsidP="00CE052E">
            <w:pPr>
              <w:keepNext/>
              <w:rPr>
                <w:rFonts w:ascii="Garamond" w:hAnsi="Garamond"/>
                <w:lang w:val="en-AU"/>
              </w:rPr>
            </w:pPr>
            <w:hyperlink r:id="rId19" w:history="1">
              <w:r w:rsidR="00CB6455" w:rsidRPr="00467B47">
                <w:rPr>
                  <w:rStyle w:val="Hyperlink"/>
                  <w:rFonts w:ascii="Garamond" w:hAnsi="Garamond"/>
                  <w:lang w:val="en-AU"/>
                </w:rPr>
                <w:t>https://qualitysafety.bmj.com/content/early/recent</w:t>
              </w:r>
            </w:hyperlink>
          </w:p>
        </w:tc>
      </w:tr>
      <w:tr w:rsidR="00CB6455" w:rsidRPr="00467B47" w14:paraId="1423C220"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17D8B9D6" w14:textId="77777777" w:rsidR="00CB6455" w:rsidRPr="00467B47" w:rsidRDefault="00CB6455" w:rsidP="00CE052E">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05E0767" w14:textId="77777777" w:rsidR="00CB6455" w:rsidRPr="00D84575" w:rsidRDefault="00CB6455" w:rsidP="00CE052E">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14:paraId="10C42112" w14:textId="0115CE89" w:rsidR="00E518E5" w:rsidRDefault="00E518E5" w:rsidP="002378A4">
            <w:pPr>
              <w:pStyle w:val="ListParagraph"/>
              <w:numPr>
                <w:ilvl w:val="0"/>
                <w:numId w:val="14"/>
              </w:numPr>
              <w:rPr>
                <w:rFonts w:ascii="Garamond" w:hAnsi="Garamond"/>
                <w:lang w:val="en-AU"/>
              </w:rPr>
            </w:pPr>
            <w:r w:rsidRPr="00E518E5">
              <w:rPr>
                <w:rFonts w:ascii="Garamond" w:hAnsi="Garamond"/>
                <w:lang w:val="en-AU"/>
              </w:rPr>
              <w:t xml:space="preserve">Barriers and enablers to </w:t>
            </w:r>
            <w:r w:rsidRPr="00E518E5">
              <w:rPr>
                <w:rFonts w:ascii="Garamond" w:hAnsi="Garamond"/>
                <w:b/>
                <w:bCs/>
                <w:lang w:val="en-AU"/>
              </w:rPr>
              <w:t>monitoring and deprescribing opioid analgesics for chronic non-cancer pain</w:t>
            </w:r>
            <w:r w:rsidRPr="00E518E5">
              <w:rPr>
                <w:rFonts w:ascii="Garamond" w:hAnsi="Garamond"/>
                <w:lang w:val="en-AU"/>
              </w:rPr>
              <w:t xml:space="preserve">: a systematic review with qualitative evidence synthesis using the Theoretical Domains Framework (Amanda J Cross, Rachelle Buchbinder, Stephanie Mathieson, Allison </w:t>
            </w:r>
            <w:proofErr w:type="spellStart"/>
            <w:r w:rsidRPr="00E518E5">
              <w:rPr>
                <w:rFonts w:ascii="Garamond" w:hAnsi="Garamond"/>
                <w:lang w:val="en-AU"/>
              </w:rPr>
              <w:t>Bourne</w:t>
            </w:r>
            <w:proofErr w:type="spellEnd"/>
            <w:r w:rsidRPr="00E518E5">
              <w:rPr>
                <w:rFonts w:ascii="Garamond" w:hAnsi="Garamond"/>
                <w:lang w:val="en-AU"/>
              </w:rPr>
              <w:t>, Christopher G Maher, Chung-Wei Christine Lin, Denise A O'Connor</w:t>
            </w:r>
            <w:r>
              <w:rPr>
                <w:rFonts w:ascii="Garamond" w:hAnsi="Garamond"/>
                <w:lang w:val="en-AU"/>
              </w:rPr>
              <w:t>)</w:t>
            </w:r>
          </w:p>
          <w:p w14:paraId="5B7A15F7" w14:textId="7AF83AF5" w:rsidR="00E518E5" w:rsidRDefault="00E518E5" w:rsidP="0003624B">
            <w:pPr>
              <w:pStyle w:val="ListParagraph"/>
              <w:numPr>
                <w:ilvl w:val="0"/>
                <w:numId w:val="14"/>
              </w:numPr>
              <w:rPr>
                <w:rFonts w:ascii="Garamond" w:hAnsi="Garamond"/>
                <w:lang w:val="en-AU"/>
              </w:rPr>
            </w:pPr>
            <w:r w:rsidRPr="00E518E5">
              <w:rPr>
                <w:rFonts w:ascii="Garamond" w:hAnsi="Garamond"/>
                <w:b/>
                <w:bCs/>
                <w:lang w:val="en-AU"/>
              </w:rPr>
              <w:t>Influence of drug safety advisories on drug utilisation</w:t>
            </w:r>
            <w:r w:rsidRPr="00E518E5">
              <w:rPr>
                <w:rFonts w:ascii="Garamond" w:hAnsi="Garamond"/>
                <w:lang w:val="en-AU"/>
              </w:rPr>
              <w:t xml:space="preserve">: an international interrupted time series and meta-analysis (Richard L Morrow, Barbara </w:t>
            </w:r>
            <w:proofErr w:type="spellStart"/>
            <w:r w:rsidRPr="00E518E5">
              <w:rPr>
                <w:rFonts w:ascii="Garamond" w:hAnsi="Garamond"/>
                <w:lang w:val="en-AU"/>
              </w:rPr>
              <w:t>Mintzes</w:t>
            </w:r>
            <w:proofErr w:type="spellEnd"/>
            <w:r w:rsidRPr="00E518E5">
              <w:rPr>
                <w:rFonts w:ascii="Garamond" w:hAnsi="Garamond"/>
                <w:lang w:val="en-AU"/>
              </w:rPr>
              <w:t xml:space="preserve">, Patrick C </w:t>
            </w:r>
            <w:proofErr w:type="spellStart"/>
            <w:r w:rsidRPr="00E518E5">
              <w:rPr>
                <w:rFonts w:ascii="Garamond" w:hAnsi="Garamond"/>
                <w:lang w:val="en-AU"/>
              </w:rPr>
              <w:t>Souverein</w:t>
            </w:r>
            <w:proofErr w:type="spellEnd"/>
            <w:r w:rsidRPr="00E518E5">
              <w:rPr>
                <w:rFonts w:ascii="Garamond" w:hAnsi="Garamond"/>
                <w:lang w:val="en-AU"/>
              </w:rPr>
              <w:t xml:space="preserve">, Marie L De Bruin, Elizabeth Ellen Roughead, Joel </w:t>
            </w:r>
            <w:proofErr w:type="spellStart"/>
            <w:r w:rsidRPr="00E518E5">
              <w:rPr>
                <w:rFonts w:ascii="Garamond" w:hAnsi="Garamond"/>
                <w:lang w:val="en-AU"/>
              </w:rPr>
              <w:t>Lexchin</w:t>
            </w:r>
            <w:proofErr w:type="spellEnd"/>
            <w:r w:rsidRPr="00E518E5">
              <w:rPr>
                <w:rFonts w:ascii="Garamond" w:hAnsi="Garamond"/>
                <w:lang w:val="en-AU"/>
              </w:rPr>
              <w:t xml:space="preserve">, Anna Kemp-Casey, Lorri </w:t>
            </w:r>
            <w:proofErr w:type="spellStart"/>
            <w:r w:rsidRPr="00E518E5">
              <w:rPr>
                <w:rFonts w:ascii="Garamond" w:hAnsi="Garamond"/>
                <w:lang w:val="en-AU"/>
              </w:rPr>
              <w:t>Puil</w:t>
            </w:r>
            <w:proofErr w:type="spellEnd"/>
            <w:r w:rsidRPr="00E518E5">
              <w:rPr>
                <w:rFonts w:ascii="Garamond" w:hAnsi="Garamond"/>
                <w:lang w:val="en-AU"/>
              </w:rPr>
              <w:t xml:space="preserve">, Ingrid </w:t>
            </w:r>
            <w:proofErr w:type="spellStart"/>
            <w:r w:rsidRPr="00E518E5">
              <w:rPr>
                <w:rFonts w:ascii="Garamond" w:hAnsi="Garamond"/>
                <w:lang w:val="en-AU"/>
              </w:rPr>
              <w:t>Sketris</w:t>
            </w:r>
            <w:proofErr w:type="spellEnd"/>
            <w:r w:rsidRPr="00E518E5">
              <w:rPr>
                <w:rFonts w:ascii="Garamond" w:hAnsi="Garamond"/>
                <w:lang w:val="en-AU"/>
              </w:rPr>
              <w:t xml:space="preserve">, Dee </w:t>
            </w:r>
            <w:proofErr w:type="spellStart"/>
            <w:r w:rsidRPr="00E518E5">
              <w:rPr>
                <w:rFonts w:ascii="Garamond" w:hAnsi="Garamond"/>
                <w:lang w:val="en-AU"/>
              </w:rPr>
              <w:t>Mangin</w:t>
            </w:r>
            <w:proofErr w:type="spellEnd"/>
            <w:r w:rsidRPr="00E518E5">
              <w:rPr>
                <w:rFonts w:ascii="Garamond" w:hAnsi="Garamond"/>
                <w:lang w:val="en-AU"/>
              </w:rPr>
              <w:t xml:space="preserve">, Christine E </w:t>
            </w:r>
            <w:proofErr w:type="spellStart"/>
            <w:r w:rsidRPr="00E518E5">
              <w:rPr>
                <w:rFonts w:ascii="Garamond" w:hAnsi="Garamond"/>
                <w:lang w:val="en-AU"/>
              </w:rPr>
              <w:t>Hallgreen</w:t>
            </w:r>
            <w:proofErr w:type="spellEnd"/>
            <w:r w:rsidRPr="00E518E5">
              <w:rPr>
                <w:rFonts w:ascii="Garamond" w:hAnsi="Garamond"/>
                <w:lang w:val="en-AU"/>
              </w:rPr>
              <w:t xml:space="preserve">, Sallie-Anne Pearson, Ruth </w:t>
            </w:r>
            <w:proofErr w:type="spellStart"/>
            <w:r w:rsidRPr="00E518E5">
              <w:rPr>
                <w:rFonts w:ascii="Garamond" w:hAnsi="Garamond"/>
                <w:lang w:val="en-AU"/>
              </w:rPr>
              <w:t>Lopert</w:t>
            </w:r>
            <w:proofErr w:type="spellEnd"/>
            <w:r w:rsidRPr="00E518E5">
              <w:rPr>
                <w:rFonts w:ascii="Garamond" w:hAnsi="Garamond"/>
                <w:lang w:val="en-AU"/>
              </w:rPr>
              <w:t xml:space="preserve">, Lisa </w:t>
            </w:r>
            <w:proofErr w:type="spellStart"/>
            <w:r w:rsidRPr="00E518E5">
              <w:rPr>
                <w:rFonts w:ascii="Garamond" w:hAnsi="Garamond"/>
                <w:lang w:val="en-AU"/>
              </w:rPr>
              <w:t>Bero</w:t>
            </w:r>
            <w:proofErr w:type="spellEnd"/>
            <w:r w:rsidRPr="00E518E5">
              <w:rPr>
                <w:rFonts w:ascii="Garamond" w:hAnsi="Garamond"/>
                <w:lang w:val="en-AU"/>
              </w:rPr>
              <w:t>, Richard Ofori-</w:t>
            </w:r>
            <w:proofErr w:type="spellStart"/>
            <w:r w:rsidRPr="00E518E5">
              <w:rPr>
                <w:rFonts w:ascii="Garamond" w:hAnsi="Garamond"/>
                <w:lang w:val="en-AU"/>
              </w:rPr>
              <w:t>Asenso</w:t>
            </w:r>
            <w:proofErr w:type="spellEnd"/>
            <w:r w:rsidRPr="00E518E5">
              <w:rPr>
                <w:rFonts w:ascii="Garamond" w:hAnsi="Garamond"/>
                <w:lang w:val="en-AU"/>
              </w:rPr>
              <w:t xml:space="preserve">, Danijela </w:t>
            </w:r>
            <w:proofErr w:type="spellStart"/>
            <w:r w:rsidRPr="00E518E5">
              <w:rPr>
                <w:rFonts w:ascii="Garamond" w:hAnsi="Garamond"/>
                <w:lang w:val="en-AU"/>
              </w:rPr>
              <w:t>Gnjidic</w:t>
            </w:r>
            <w:proofErr w:type="spellEnd"/>
            <w:r w:rsidRPr="00E518E5">
              <w:rPr>
                <w:rFonts w:ascii="Garamond" w:hAnsi="Garamond"/>
                <w:lang w:val="en-AU"/>
              </w:rPr>
              <w:t xml:space="preserve">, </w:t>
            </w:r>
            <w:proofErr w:type="spellStart"/>
            <w:r w:rsidRPr="00E518E5">
              <w:rPr>
                <w:rFonts w:ascii="Garamond" w:hAnsi="Garamond"/>
                <w:lang w:val="en-AU"/>
              </w:rPr>
              <w:t>Ameet</w:t>
            </w:r>
            <w:proofErr w:type="spellEnd"/>
            <w:r w:rsidRPr="00E518E5">
              <w:rPr>
                <w:rFonts w:ascii="Garamond" w:hAnsi="Garamond"/>
                <w:lang w:val="en-AU"/>
              </w:rPr>
              <w:t xml:space="preserve"> </w:t>
            </w:r>
            <w:proofErr w:type="spellStart"/>
            <w:r w:rsidRPr="00E518E5">
              <w:rPr>
                <w:rFonts w:ascii="Garamond" w:hAnsi="Garamond"/>
                <w:lang w:val="en-AU"/>
              </w:rPr>
              <w:t>Sarpatwari</w:t>
            </w:r>
            <w:proofErr w:type="spellEnd"/>
            <w:r w:rsidRPr="00E518E5">
              <w:rPr>
                <w:rFonts w:ascii="Garamond" w:hAnsi="Garamond"/>
                <w:lang w:val="en-AU"/>
              </w:rPr>
              <w:t xml:space="preserve">, Lucy T Perry, Colin R </w:t>
            </w:r>
            <w:proofErr w:type="spellStart"/>
            <w:r w:rsidRPr="00E518E5">
              <w:rPr>
                <w:rFonts w:ascii="Garamond" w:hAnsi="Garamond"/>
                <w:lang w:val="en-AU"/>
              </w:rPr>
              <w:t>Dormuth</w:t>
            </w:r>
            <w:proofErr w:type="spellEnd"/>
            <w:r>
              <w:rPr>
                <w:rFonts w:ascii="Garamond" w:hAnsi="Garamond"/>
                <w:lang w:val="en-AU"/>
              </w:rPr>
              <w:t>)</w:t>
            </w:r>
          </w:p>
          <w:p w14:paraId="3414E2CB" w14:textId="4F1F094C" w:rsidR="00E518E5" w:rsidRDefault="00E518E5" w:rsidP="00237CB8">
            <w:pPr>
              <w:pStyle w:val="ListParagraph"/>
              <w:numPr>
                <w:ilvl w:val="0"/>
                <w:numId w:val="14"/>
              </w:numPr>
              <w:rPr>
                <w:rFonts w:ascii="Garamond" w:hAnsi="Garamond"/>
                <w:lang w:val="en-AU"/>
              </w:rPr>
            </w:pPr>
            <w:r w:rsidRPr="00E518E5">
              <w:rPr>
                <w:rFonts w:ascii="Garamond" w:hAnsi="Garamond"/>
                <w:b/>
                <w:bCs/>
                <w:lang w:val="en-AU"/>
              </w:rPr>
              <w:t>Improving responses to safety incidents</w:t>
            </w:r>
            <w:r w:rsidRPr="00E518E5">
              <w:rPr>
                <w:rFonts w:ascii="Garamond" w:hAnsi="Garamond"/>
                <w:lang w:val="en-AU"/>
              </w:rPr>
              <w:t>: we need to talk about justice (Alan Cribb, Jane K. O'Hara, Justin Waring</w:t>
            </w:r>
            <w:r>
              <w:rPr>
                <w:rFonts w:ascii="Garamond" w:hAnsi="Garamond"/>
                <w:lang w:val="en-AU"/>
              </w:rPr>
              <w:t>)</w:t>
            </w:r>
          </w:p>
          <w:p w14:paraId="3AFF4988" w14:textId="493CE853" w:rsidR="00E518E5" w:rsidRPr="00E518E5" w:rsidRDefault="00E518E5" w:rsidP="000E1830">
            <w:pPr>
              <w:pStyle w:val="ListParagraph"/>
              <w:numPr>
                <w:ilvl w:val="0"/>
                <w:numId w:val="14"/>
              </w:numPr>
              <w:rPr>
                <w:rFonts w:ascii="Garamond" w:hAnsi="Garamond"/>
                <w:lang w:val="en-AU"/>
              </w:rPr>
            </w:pPr>
            <w:r w:rsidRPr="00E518E5">
              <w:rPr>
                <w:rFonts w:ascii="Garamond" w:hAnsi="Garamond"/>
                <w:lang w:val="en-AU"/>
              </w:rPr>
              <w:t xml:space="preserve">Implications of resource constraints and high workload on </w:t>
            </w:r>
            <w:r w:rsidRPr="00E518E5">
              <w:rPr>
                <w:rFonts w:ascii="Garamond" w:hAnsi="Garamond"/>
                <w:b/>
                <w:bCs/>
                <w:lang w:val="en-AU"/>
              </w:rPr>
              <w:t>speaking up about threats to patient safety</w:t>
            </w:r>
            <w:r w:rsidRPr="00E518E5">
              <w:rPr>
                <w:rFonts w:ascii="Garamond" w:hAnsi="Garamond"/>
                <w:lang w:val="en-AU"/>
              </w:rPr>
              <w:t>: a qualitative study of surgical teams in Ghana</w:t>
            </w:r>
            <w:r>
              <w:rPr>
                <w:rFonts w:ascii="Garamond" w:hAnsi="Garamond"/>
                <w:lang w:val="en-AU"/>
              </w:rPr>
              <w:t xml:space="preserve"> </w:t>
            </w:r>
            <w:r w:rsidRPr="00E518E5">
              <w:rPr>
                <w:rFonts w:ascii="Garamond" w:hAnsi="Garamond"/>
                <w:lang w:val="en-AU"/>
              </w:rPr>
              <w:t xml:space="preserve">(Emmanuel Kwasi </w:t>
            </w:r>
            <w:proofErr w:type="spellStart"/>
            <w:r w:rsidRPr="00E518E5">
              <w:rPr>
                <w:rFonts w:ascii="Garamond" w:hAnsi="Garamond"/>
                <w:lang w:val="en-AU"/>
              </w:rPr>
              <w:t>Mawuena</w:t>
            </w:r>
            <w:proofErr w:type="spellEnd"/>
            <w:r w:rsidRPr="00E518E5">
              <w:rPr>
                <w:rFonts w:ascii="Garamond" w:hAnsi="Garamond"/>
                <w:lang w:val="en-AU"/>
              </w:rPr>
              <w:t>, Russell Mannion</w:t>
            </w:r>
            <w:r>
              <w:rPr>
                <w:rFonts w:ascii="Garamond" w:hAnsi="Garamond"/>
                <w:lang w:val="en-AU"/>
              </w:rPr>
              <w:t>)</w:t>
            </w:r>
          </w:p>
          <w:p w14:paraId="490D458B" w14:textId="58E6635F" w:rsidR="00E518E5" w:rsidRDefault="00E518E5" w:rsidP="00663DCF">
            <w:pPr>
              <w:pStyle w:val="ListParagraph"/>
              <w:numPr>
                <w:ilvl w:val="0"/>
                <w:numId w:val="14"/>
              </w:numPr>
              <w:rPr>
                <w:rFonts w:ascii="Garamond" w:hAnsi="Garamond"/>
                <w:lang w:val="en-AU"/>
              </w:rPr>
            </w:pPr>
            <w:r w:rsidRPr="00E518E5">
              <w:rPr>
                <w:rFonts w:ascii="Garamond" w:hAnsi="Garamond"/>
                <w:lang w:val="en-AU"/>
              </w:rPr>
              <w:lastRenderedPageBreak/>
              <w:t xml:space="preserve">We’re all in this together: how COVID-19 revealed the </w:t>
            </w:r>
            <w:r w:rsidRPr="00E518E5">
              <w:rPr>
                <w:rFonts w:ascii="Garamond" w:hAnsi="Garamond"/>
                <w:b/>
                <w:bCs/>
                <w:lang w:val="en-AU"/>
              </w:rPr>
              <w:t>co-construction of mindful organising and organisational reliability</w:t>
            </w:r>
            <w:r w:rsidRPr="00E518E5">
              <w:rPr>
                <w:rFonts w:ascii="Garamond" w:hAnsi="Garamond"/>
                <w:lang w:val="en-AU"/>
              </w:rPr>
              <w:t xml:space="preserve"> (Timothy J </w:t>
            </w:r>
            <w:proofErr w:type="spellStart"/>
            <w:r w:rsidRPr="00E518E5">
              <w:rPr>
                <w:rFonts w:ascii="Garamond" w:hAnsi="Garamond"/>
                <w:lang w:val="en-AU"/>
              </w:rPr>
              <w:t>Vogus</w:t>
            </w:r>
            <w:proofErr w:type="spellEnd"/>
            <w:r w:rsidRPr="00E518E5">
              <w:rPr>
                <w:rFonts w:ascii="Garamond" w:hAnsi="Garamond"/>
                <w:lang w:val="en-AU"/>
              </w:rPr>
              <w:t xml:space="preserve">, Amy D Wilson, Kelly Randall, Mary C </w:t>
            </w:r>
            <w:proofErr w:type="spellStart"/>
            <w:r w:rsidRPr="00E518E5">
              <w:rPr>
                <w:rFonts w:ascii="Garamond" w:hAnsi="Garamond"/>
                <w:lang w:val="en-AU"/>
              </w:rPr>
              <w:t>Sitterding</w:t>
            </w:r>
            <w:proofErr w:type="spellEnd"/>
            <w:r>
              <w:rPr>
                <w:rFonts w:ascii="Garamond" w:hAnsi="Garamond"/>
                <w:lang w:val="en-AU"/>
              </w:rPr>
              <w:t>)</w:t>
            </w:r>
          </w:p>
          <w:p w14:paraId="18C4925D" w14:textId="78DB0452" w:rsidR="00E518E5" w:rsidRDefault="00E518E5" w:rsidP="005B74BE">
            <w:pPr>
              <w:pStyle w:val="ListParagraph"/>
              <w:numPr>
                <w:ilvl w:val="0"/>
                <w:numId w:val="14"/>
              </w:numPr>
              <w:rPr>
                <w:rFonts w:ascii="Garamond" w:hAnsi="Garamond"/>
                <w:lang w:val="en-AU"/>
              </w:rPr>
            </w:pPr>
            <w:r w:rsidRPr="00E518E5">
              <w:rPr>
                <w:rFonts w:ascii="Garamond" w:hAnsi="Garamond"/>
                <w:b/>
                <w:bCs/>
                <w:lang w:val="en-AU"/>
              </w:rPr>
              <w:t>Impact of unacceptable behaviour between healthcare workers on clinical performance and patient outcomes</w:t>
            </w:r>
            <w:r w:rsidRPr="00E518E5">
              <w:rPr>
                <w:rFonts w:ascii="Garamond" w:hAnsi="Garamond"/>
                <w:lang w:val="en-AU"/>
              </w:rPr>
              <w:t xml:space="preserve">: a systematic review (Linda Guo, Benjamin Ryan, Isabel Anne </w:t>
            </w:r>
            <w:proofErr w:type="spellStart"/>
            <w:r w:rsidRPr="00E518E5">
              <w:rPr>
                <w:rFonts w:ascii="Garamond" w:hAnsi="Garamond"/>
                <w:lang w:val="en-AU"/>
              </w:rPr>
              <w:t>Leditschke</w:t>
            </w:r>
            <w:proofErr w:type="spellEnd"/>
            <w:r w:rsidRPr="00E518E5">
              <w:rPr>
                <w:rFonts w:ascii="Garamond" w:hAnsi="Garamond"/>
                <w:lang w:val="en-AU"/>
              </w:rPr>
              <w:t xml:space="preserve">, Kimberley J Haines, Katrina Cook, Lars Eriksson, Olusegun </w:t>
            </w:r>
            <w:proofErr w:type="spellStart"/>
            <w:r w:rsidRPr="00E518E5">
              <w:rPr>
                <w:rFonts w:ascii="Garamond" w:hAnsi="Garamond"/>
                <w:lang w:val="en-AU"/>
              </w:rPr>
              <w:t>Olusanya</w:t>
            </w:r>
            <w:proofErr w:type="spellEnd"/>
            <w:r w:rsidRPr="00E518E5">
              <w:rPr>
                <w:rFonts w:ascii="Garamond" w:hAnsi="Garamond"/>
                <w:lang w:val="en-AU"/>
              </w:rPr>
              <w:t xml:space="preserve">, Tanya </w:t>
            </w:r>
            <w:proofErr w:type="spellStart"/>
            <w:r w:rsidRPr="00E518E5">
              <w:rPr>
                <w:rFonts w:ascii="Garamond" w:hAnsi="Garamond"/>
                <w:lang w:val="en-AU"/>
              </w:rPr>
              <w:t>Selak</w:t>
            </w:r>
            <w:proofErr w:type="spellEnd"/>
            <w:r w:rsidRPr="00E518E5">
              <w:rPr>
                <w:rFonts w:ascii="Garamond" w:hAnsi="Garamond"/>
                <w:lang w:val="en-AU"/>
              </w:rPr>
              <w:t>, Kiran Shekar, Mahesh Ramanan</w:t>
            </w:r>
            <w:r>
              <w:rPr>
                <w:rFonts w:ascii="Garamond" w:hAnsi="Garamond"/>
                <w:lang w:val="en-AU"/>
              </w:rPr>
              <w:t>)</w:t>
            </w:r>
          </w:p>
          <w:p w14:paraId="66D48D21" w14:textId="5F84E98E" w:rsidR="00E518E5" w:rsidRPr="00E518E5" w:rsidRDefault="00E518E5" w:rsidP="00594B4A">
            <w:pPr>
              <w:pStyle w:val="ListParagraph"/>
              <w:numPr>
                <w:ilvl w:val="0"/>
                <w:numId w:val="14"/>
              </w:numPr>
              <w:rPr>
                <w:rFonts w:ascii="Garamond" w:hAnsi="Garamond"/>
                <w:lang w:val="en-AU"/>
              </w:rPr>
            </w:pPr>
            <w:r w:rsidRPr="00E518E5">
              <w:rPr>
                <w:rFonts w:ascii="Garamond" w:hAnsi="Garamond"/>
                <w:lang w:val="en-AU"/>
              </w:rPr>
              <w:t xml:space="preserve">Editorial: </w:t>
            </w:r>
            <w:r w:rsidRPr="00E518E5">
              <w:rPr>
                <w:rFonts w:ascii="Garamond" w:hAnsi="Garamond"/>
                <w:b/>
                <w:bCs/>
                <w:lang w:val="en-AU"/>
              </w:rPr>
              <w:t>Inequalities exacerbated</w:t>
            </w:r>
            <w:r w:rsidRPr="00E518E5">
              <w:rPr>
                <w:rFonts w:ascii="Garamond" w:hAnsi="Garamond"/>
                <w:lang w:val="en-AU"/>
              </w:rPr>
              <w:t>: an all-too-familiar story (Jonathan Stokes</w:t>
            </w:r>
            <w:r>
              <w:rPr>
                <w:rFonts w:ascii="Garamond" w:hAnsi="Garamond"/>
                <w:lang w:val="en-AU"/>
              </w:rPr>
              <w:t>)</w:t>
            </w:r>
          </w:p>
          <w:p w14:paraId="6B5ADB21" w14:textId="1AA8E49E" w:rsidR="00E518E5" w:rsidRPr="00E518E5" w:rsidRDefault="00E518E5" w:rsidP="005737B6">
            <w:pPr>
              <w:pStyle w:val="ListParagraph"/>
              <w:numPr>
                <w:ilvl w:val="0"/>
                <w:numId w:val="14"/>
              </w:numPr>
              <w:rPr>
                <w:rFonts w:ascii="Garamond" w:hAnsi="Garamond"/>
                <w:lang w:val="en-AU"/>
              </w:rPr>
            </w:pPr>
            <w:r w:rsidRPr="00E518E5">
              <w:rPr>
                <w:rFonts w:ascii="Garamond" w:hAnsi="Garamond"/>
                <w:lang w:val="en-AU"/>
              </w:rPr>
              <w:t xml:space="preserve">Medication-related interventions to improve </w:t>
            </w:r>
            <w:r w:rsidRPr="00E518E5">
              <w:rPr>
                <w:rFonts w:ascii="Garamond" w:hAnsi="Garamond"/>
                <w:b/>
                <w:bCs/>
                <w:lang w:val="en-AU"/>
              </w:rPr>
              <w:t>medication safety and patient outcomes on transition from adult intensive care settings</w:t>
            </w:r>
            <w:r w:rsidRPr="00E518E5">
              <w:rPr>
                <w:rFonts w:ascii="Garamond" w:hAnsi="Garamond"/>
                <w:lang w:val="en-AU"/>
              </w:rPr>
              <w:t xml:space="preserve">: a systematic review and meta-analysis (Richard S </w:t>
            </w:r>
            <w:proofErr w:type="spellStart"/>
            <w:r w:rsidRPr="00E518E5">
              <w:rPr>
                <w:rFonts w:ascii="Garamond" w:hAnsi="Garamond"/>
                <w:lang w:val="en-AU"/>
              </w:rPr>
              <w:t>Bourne</w:t>
            </w:r>
            <w:proofErr w:type="spellEnd"/>
            <w:r w:rsidRPr="00E518E5">
              <w:rPr>
                <w:rFonts w:ascii="Garamond" w:hAnsi="Garamond"/>
                <w:lang w:val="en-AU"/>
              </w:rPr>
              <w:t xml:space="preserve">, Jennifer K Jennings, Maria </w:t>
            </w:r>
            <w:proofErr w:type="spellStart"/>
            <w:r w:rsidRPr="00E518E5">
              <w:rPr>
                <w:rFonts w:ascii="Garamond" w:hAnsi="Garamond"/>
                <w:lang w:val="en-AU"/>
              </w:rPr>
              <w:t>Panagioti</w:t>
            </w:r>
            <w:proofErr w:type="spellEnd"/>
            <w:r w:rsidRPr="00E518E5">
              <w:rPr>
                <w:rFonts w:ascii="Garamond" w:hAnsi="Garamond"/>
                <w:lang w:val="en-AU"/>
              </w:rPr>
              <w:t>, Alexander Hodkinson, Anthea Sutton, Darren M Ashcroft</w:t>
            </w:r>
            <w:r>
              <w:rPr>
                <w:rFonts w:ascii="Garamond" w:hAnsi="Garamond"/>
                <w:lang w:val="en-AU"/>
              </w:rPr>
              <w:t>)</w:t>
            </w:r>
          </w:p>
          <w:p w14:paraId="098A27C1" w14:textId="45DB6AD7" w:rsidR="00DB4875" w:rsidRPr="00DB4875" w:rsidRDefault="00E518E5" w:rsidP="00E518E5">
            <w:pPr>
              <w:pStyle w:val="ListParagraph"/>
              <w:numPr>
                <w:ilvl w:val="0"/>
                <w:numId w:val="14"/>
              </w:numPr>
              <w:rPr>
                <w:rFonts w:ascii="Garamond" w:hAnsi="Garamond"/>
                <w:lang w:val="en-AU"/>
              </w:rPr>
            </w:pPr>
            <w:r w:rsidRPr="00E518E5">
              <w:rPr>
                <w:rFonts w:ascii="Garamond" w:hAnsi="Garamond"/>
                <w:b/>
                <w:bCs/>
                <w:lang w:val="en-AU"/>
              </w:rPr>
              <w:t>Impact of the COVID-19 pandemic on the incidence and mortality of hospital-onset bloodstream infection</w:t>
            </w:r>
            <w:r w:rsidRPr="00E518E5">
              <w:rPr>
                <w:rFonts w:ascii="Garamond" w:hAnsi="Garamond"/>
                <w:lang w:val="en-AU"/>
              </w:rPr>
              <w:t xml:space="preserve">: a cohort study </w:t>
            </w:r>
            <w:r>
              <w:rPr>
                <w:rFonts w:ascii="Garamond" w:hAnsi="Garamond"/>
                <w:lang w:val="en-AU"/>
              </w:rPr>
              <w:t>(</w:t>
            </w:r>
            <w:r w:rsidRPr="00E518E5">
              <w:rPr>
                <w:rFonts w:ascii="Garamond" w:hAnsi="Garamond"/>
                <w:lang w:val="en-AU"/>
              </w:rPr>
              <w:t xml:space="preserve">John Karlsson </w:t>
            </w:r>
            <w:proofErr w:type="spellStart"/>
            <w:r w:rsidRPr="00E518E5">
              <w:rPr>
                <w:rFonts w:ascii="Garamond" w:hAnsi="Garamond"/>
                <w:lang w:val="en-AU"/>
              </w:rPr>
              <w:t>Valik</w:t>
            </w:r>
            <w:proofErr w:type="spellEnd"/>
            <w:r w:rsidRPr="00E518E5">
              <w:rPr>
                <w:rFonts w:ascii="Garamond" w:hAnsi="Garamond"/>
                <w:lang w:val="en-AU"/>
              </w:rPr>
              <w:t xml:space="preserve">, Pontus Hedberg, Fredrik Holmberg, Suzanne Desirée van der </w:t>
            </w:r>
            <w:proofErr w:type="spellStart"/>
            <w:r w:rsidRPr="00E518E5">
              <w:rPr>
                <w:rFonts w:ascii="Garamond" w:hAnsi="Garamond"/>
                <w:lang w:val="en-AU"/>
              </w:rPr>
              <w:t>Werff</w:t>
            </w:r>
            <w:proofErr w:type="spellEnd"/>
            <w:r w:rsidRPr="00E518E5">
              <w:rPr>
                <w:rFonts w:ascii="Garamond" w:hAnsi="Garamond"/>
                <w:lang w:val="en-AU"/>
              </w:rPr>
              <w:t xml:space="preserve">, Pontus </w:t>
            </w:r>
            <w:proofErr w:type="spellStart"/>
            <w:r w:rsidRPr="00E518E5">
              <w:rPr>
                <w:rFonts w:ascii="Garamond" w:hAnsi="Garamond"/>
                <w:lang w:val="en-AU"/>
              </w:rPr>
              <w:t>Nauclér</w:t>
            </w:r>
            <w:proofErr w:type="spellEnd"/>
            <w:r>
              <w:rPr>
                <w:rFonts w:ascii="Garamond" w:hAnsi="Garamond"/>
                <w:lang w:val="en-AU"/>
              </w:rPr>
              <w:t>)</w:t>
            </w:r>
          </w:p>
        </w:tc>
      </w:tr>
    </w:tbl>
    <w:p w14:paraId="3ADB0324" w14:textId="068A3398" w:rsidR="00620BB6" w:rsidRDefault="00620BB6">
      <w:pPr>
        <w:rPr>
          <w:rFonts w:ascii="Garamond" w:hAnsi="Garamond"/>
          <w:i/>
          <w:lang w:val="en-AU"/>
        </w:rPr>
      </w:pPr>
    </w:p>
    <w:p w14:paraId="4D685A1E" w14:textId="77777777" w:rsidR="00BD00BF" w:rsidRPr="00467B47" w:rsidRDefault="00BD00BF" w:rsidP="00BD00BF">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D00BF" w:rsidRPr="00467B47" w14:paraId="6EB30A18"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3756081E" w14:textId="77777777" w:rsidR="00BD00BF" w:rsidRPr="00467B47" w:rsidRDefault="00BD00BF" w:rsidP="00CE052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A822ADB" w14:textId="77777777" w:rsidR="00BD00BF" w:rsidRPr="00467B47" w:rsidRDefault="00207B69" w:rsidP="00CE052E">
            <w:pPr>
              <w:keepNext/>
              <w:rPr>
                <w:rFonts w:ascii="Garamond" w:hAnsi="Garamond"/>
                <w:lang w:val="en-AU"/>
              </w:rPr>
            </w:pPr>
            <w:hyperlink r:id="rId20" w:history="1">
              <w:r w:rsidR="00BD00BF" w:rsidRPr="00D31E10">
                <w:rPr>
                  <w:rStyle w:val="Hyperlink"/>
                  <w:rFonts w:ascii="Garamond" w:hAnsi="Garamond"/>
                  <w:lang w:val="en-AU"/>
                </w:rPr>
                <w:t>https://academic.oup.com/intqhc/advance-articles</w:t>
              </w:r>
            </w:hyperlink>
          </w:p>
        </w:tc>
      </w:tr>
      <w:tr w:rsidR="00BD00BF" w:rsidRPr="00467B47" w14:paraId="4D2D69BE"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65972258" w14:textId="77777777" w:rsidR="00BD00BF" w:rsidRPr="00467B47" w:rsidRDefault="00BD00BF" w:rsidP="00CE052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0D6BE6" w14:textId="77777777" w:rsidR="00BD00BF" w:rsidRPr="00467B47" w:rsidRDefault="00BD00BF" w:rsidP="00CE052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14:paraId="07F13FE8" w14:textId="41AAF3F0" w:rsidR="00DB4875" w:rsidRPr="00013C38" w:rsidRDefault="002D7EA8" w:rsidP="002D7EA8">
            <w:pPr>
              <w:pStyle w:val="ListParagraph"/>
              <w:numPr>
                <w:ilvl w:val="0"/>
                <w:numId w:val="14"/>
              </w:numPr>
              <w:rPr>
                <w:rFonts w:ascii="Garamond" w:hAnsi="Garamond"/>
                <w:lang w:val="en-AU"/>
              </w:rPr>
            </w:pPr>
            <w:r w:rsidRPr="002D7EA8">
              <w:rPr>
                <w:rFonts w:ascii="Garamond" w:hAnsi="Garamond"/>
                <w:lang w:val="en-AU"/>
              </w:rPr>
              <w:t xml:space="preserve">Combining Failure Modes and Effects Analysis and Cause–Effect Analysis: A Novel Method of Risk Analysis to Reduce </w:t>
            </w:r>
            <w:r w:rsidRPr="002D7EA8">
              <w:rPr>
                <w:rFonts w:ascii="Garamond" w:hAnsi="Garamond"/>
                <w:b/>
                <w:bCs/>
                <w:lang w:val="en-AU"/>
              </w:rPr>
              <w:t>Anaphylaxis Due to Contrast Media</w:t>
            </w:r>
            <w:r>
              <w:rPr>
                <w:rFonts w:ascii="Garamond" w:hAnsi="Garamond"/>
                <w:lang w:val="en-AU"/>
              </w:rPr>
              <w:t xml:space="preserve"> (</w:t>
            </w:r>
            <w:r w:rsidRPr="002D7EA8">
              <w:rPr>
                <w:rFonts w:ascii="Garamond" w:hAnsi="Garamond"/>
                <w:lang w:val="en-AU"/>
              </w:rPr>
              <w:t xml:space="preserve">Daisuke Koike, Junichi </w:t>
            </w:r>
            <w:proofErr w:type="spellStart"/>
            <w:r w:rsidRPr="002D7EA8">
              <w:rPr>
                <w:rFonts w:ascii="Garamond" w:hAnsi="Garamond"/>
                <w:lang w:val="en-AU"/>
              </w:rPr>
              <w:t>Yamakami</w:t>
            </w:r>
            <w:proofErr w:type="spellEnd"/>
            <w:r w:rsidRPr="002D7EA8">
              <w:rPr>
                <w:rFonts w:ascii="Garamond" w:hAnsi="Garamond"/>
                <w:lang w:val="en-AU"/>
              </w:rPr>
              <w:t xml:space="preserve">, Terumi Miyashita, Yumi Kataoka, Hiroshi Nishida, </w:t>
            </w:r>
            <w:proofErr w:type="spellStart"/>
            <w:r w:rsidRPr="002D7EA8">
              <w:rPr>
                <w:rFonts w:ascii="Garamond" w:hAnsi="Garamond"/>
                <w:lang w:val="en-AU"/>
              </w:rPr>
              <w:t>Hidekazu</w:t>
            </w:r>
            <w:proofErr w:type="spellEnd"/>
            <w:r w:rsidRPr="002D7EA8">
              <w:rPr>
                <w:rFonts w:ascii="Garamond" w:hAnsi="Garamond"/>
                <w:lang w:val="en-AU"/>
              </w:rPr>
              <w:t xml:space="preserve"> Hattori, Ayuko Yasuda</w:t>
            </w:r>
            <w:r>
              <w:rPr>
                <w:rFonts w:ascii="Garamond" w:hAnsi="Garamond"/>
                <w:lang w:val="en-AU"/>
              </w:rPr>
              <w:t>)</w:t>
            </w:r>
          </w:p>
        </w:tc>
      </w:tr>
    </w:tbl>
    <w:p w14:paraId="7EEA0D14" w14:textId="7404C7AD" w:rsidR="0078214E" w:rsidRDefault="0078214E">
      <w:pPr>
        <w:rPr>
          <w:rFonts w:ascii="Garamond" w:hAnsi="Garamond"/>
          <w:i/>
          <w:lang w:val="en-AU"/>
        </w:rPr>
      </w:pPr>
    </w:p>
    <w:p w14:paraId="766D2B29" w14:textId="77777777" w:rsidR="0078214E" w:rsidRDefault="0078214E">
      <w:pPr>
        <w:rPr>
          <w:rFonts w:ascii="Garamond" w:hAnsi="Garamond"/>
          <w:i/>
          <w:lang w:val="en-AU"/>
        </w:rPr>
      </w:pPr>
    </w:p>
    <w:p w14:paraId="203726CF" w14:textId="77777777" w:rsidR="00D71C54" w:rsidRDefault="009F6F9B" w:rsidP="00CE24F8">
      <w:pPr>
        <w:keepNext/>
        <w:rPr>
          <w:rFonts w:ascii="Garamond" w:hAnsi="Garamond"/>
          <w:b/>
          <w:lang w:val="en-AU"/>
        </w:rPr>
      </w:pPr>
      <w:r>
        <w:rPr>
          <w:rFonts w:ascii="Garamond" w:hAnsi="Garamond"/>
          <w:b/>
          <w:lang w:val="en-AU"/>
        </w:rPr>
        <w:t>Online resources</w:t>
      </w:r>
    </w:p>
    <w:p w14:paraId="7ED88EFD" w14:textId="71657547" w:rsidR="000F25DD" w:rsidRDefault="000F25DD" w:rsidP="000F25DD">
      <w:pPr>
        <w:keepNext/>
        <w:keepLines/>
        <w:rPr>
          <w:rFonts w:ascii="Garamond" w:hAnsi="Garamond"/>
          <w:i/>
          <w:lang w:val="en-AU"/>
        </w:rPr>
      </w:pPr>
    </w:p>
    <w:p w14:paraId="2BC3E50B" w14:textId="3D7F3EFF" w:rsidR="0078214E" w:rsidRPr="008F3909" w:rsidRDefault="0078214E" w:rsidP="0078214E">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153697D0" w14:textId="77777777" w:rsidR="0078214E" w:rsidRPr="008F3909" w:rsidRDefault="00207B69" w:rsidP="0078214E">
      <w:pPr>
        <w:keepNext/>
        <w:rPr>
          <w:rFonts w:ascii="Garamond" w:hAnsi="Garamond"/>
          <w:lang w:val="en-AU"/>
        </w:rPr>
      </w:pPr>
      <w:hyperlink r:id="rId21" w:history="1">
        <w:r w:rsidR="0078214E" w:rsidRPr="00B91B4F">
          <w:rPr>
            <w:rStyle w:val="Hyperlink"/>
            <w:rFonts w:ascii="Garamond" w:hAnsi="Garamond"/>
            <w:lang w:val="en-AU"/>
          </w:rPr>
          <w:t>https://www.nice.org.uk/guidance</w:t>
        </w:r>
      </w:hyperlink>
    </w:p>
    <w:p w14:paraId="6A6ABE9B" w14:textId="77777777" w:rsidR="0078214E" w:rsidRPr="008F3909" w:rsidRDefault="0078214E" w:rsidP="0078214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041EE3E7" w14:textId="77777777" w:rsidR="002D7EA8" w:rsidRPr="002D7EA8" w:rsidRDefault="00201505" w:rsidP="0078214E">
      <w:pPr>
        <w:pStyle w:val="ListParagraph"/>
        <w:numPr>
          <w:ilvl w:val="0"/>
          <w:numId w:val="14"/>
        </w:numPr>
        <w:rPr>
          <w:rFonts w:ascii="Garamond" w:hAnsi="Garamond"/>
          <w:iCs/>
          <w:lang w:val="en-AU"/>
        </w:rPr>
      </w:pPr>
      <w:r>
        <w:rPr>
          <w:rFonts w:ascii="Garamond" w:hAnsi="Garamond"/>
          <w:iCs/>
          <w:lang w:val="en-AU"/>
        </w:rPr>
        <w:t xml:space="preserve">NICE Guideline NG211 </w:t>
      </w:r>
      <w:r w:rsidRPr="00201505">
        <w:rPr>
          <w:rFonts w:ascii="Garamond" w:hAnsi="Garamond"/>
          <w:i/>
          <w:lang w:val="en-AU"/>
        </w:rPr>
        <w:t xml:space="preserve">Rehabilitation after </w:t>
      </w:r>
      <w:r w:rsidRPr="00201505">
        <w:rPr>
          <w:rFonts w:ascii="Garamond" w:hAnsi="Garamond"/>
          <w:b/>
          <w:bCs/>
          <w:i/>
          <w:lang w:val="en-AU"/>
        </w:rPr>
        <w:t>traumatic injury</w:t>
      </w:r>
      <w:r>
        <w:rPr>
          <w:rFonts w:ascii="Garamond" w:hAnsi="Garamond"/>
          <w:iCs/>
          <w:lang w:val="en-AU"/>
        </w:rPr>
        <w:t xml:space="preserve"> </w:t>
      </w:r>
      <w:hyperlink r:id="rId22" w:history="1">
        <w:r w:rsidRPr="00D02B57">
          <w:rPr>
            <w:rStyle w:val="Hyperlink"/>
            <w:rFonts w:ascii="Garamond" w:hAnsi="Garamond"/>
            <w:iCs/>
            <w:lang w:val="en-AU"/>
          </w:rPr>
          <w:t>https://www.nice.org.uk/guidance/ng211</w:t>
        </w:r>
      </w:hyperlink>
      <w:r w:rsidRPr="00201505">
        <w:rPr>
          <w:rFonts w:ascii="Garamond" w:hAnsi="Garamond"/>
          <w:b/>
          <w:bCs/>
          <w:i/>
          <w:lang w:val="en-AU"/>
        </w:rPr>
        <w:t xml:space="preserve"> </w:t>
      </w:r>
    </w:p>
    <w:p w14:paraId="66D7B663" w14:textId="00283D9F" w:rsidR="00DB4875" w:rsidRDefault="002D7EA8" w:rsidP="0094370C">
      <w:pPr>
        <w:pStyle w:val="ListParagraph"/>
        <w:numPr>
          <w:ilvl w:val="0"/>
          <w:numId w:val="14"/>
        </w:numPr>
        <w:rPr>
          <w:rFonts w:ascii="Garamond" w:hAnsi="Garamond"/>
          <w:iCs/>
          <w:lang w:val="en-AU"/>
        </w:rPr>
      </w:pPr>
      <w:r w:rsidRPr="002D7EA8">
        <w:rPr>
          <w:rFonts w:ascii="Garamond" w:hAnsi="Garamond"/>
          <w:iCs/>
          <w:lang w:val="en-AU"/>
        </w:rPr>
        <w:t xml:space="preserve">NICE Guideline NG81 </w:t>
      </w:r>
      <w:r w:rsidR="00201505" w:rsidRPr="002D7EA8">
        <w:rPr>
          <w:rFonts w:ascii="Garamond" w:hAnsi="Garamond"/>
          <w:b/>
          <w:bCs/>
          <w:i/>
          <w:lang w:val="en-AU"/>
        </w:rPr>
        <w:t>Glaucoma</w:t>
      </w:r>
      <w:r w:rsidR="00201505" w:rsidRPr="002D7EA8">
        <w:rPr>
          <w:rFonts w:ascii="Garamond" w:hAnsi="Garamond"/>
          <w:i/>
          <w:lang w:val="en-AU"/>
        </w:rPr>
        <w:t xml:space="preserve">: diagnosis and management </w:t>
      </w:r>
      <w:hyperlink r:id="rId23" w:history="1">
        <w:r w:rsidR="00201505" w:rsidRPr="002D7EA8">
          <w:rPr>
            <w:rStyle w:val="Hyperlink"/>
            <w:rFonts w:ascii="Garamond" w:hAnsi="Garamond"/>
            <w:iCs/>
            <w:lang w:val="en-AU"/>
          </w:rPr>
          <w:t>https://www.nice.org.uk/guidance/ng81</w:t>
        </w:r>
      </w:hyperlink>
    </w:p>
    <w:p w14:paraId="22D0BFAD" w14:textId="3381AB5A" w:rsidR="00D750EE" w:rsidRPr="002D7EA8" w:rsidRDefault="00D750EE" w:rsidP="0094370C">
      <w:pPr>
        <w:pStyle w:val="ListParagraph"/>
        <w:numPr>
          <w:ilvl w:val="0"/>
          <w:numId w:val="14"/>
        </w:numPr>
        <w:rPr>
          <w:rFonts w:ascii="Garamond" w:hAnsi="Garamond"/>
          <w:iCs/>
          <w:lang w:val="en-AU"/>
        </w:rPr>
      </w:pPr>
      <w:r w:rsidRPr="002D7EA8">
        <w:rPr>
          <w:rFonts w:ascii="Garamond" w:hAnsi="Garamond"/>
          <w:iCs/>
          <w:lang w:val="en-AU"/>
        </w:rPr>
        <w:t>NICE Guideline NG</w:t>
      </w:r>
      <w:r>
        <w:rPr>
          <w:rFonts w:ascii="Garamond" w:hAnsi="Garamond"/>
          <w:iCs/>
          <w:lang w:val="en-AU"/>
        </w:rPr>
        <w:t>19</w:t>
      </w:r>
      <w:r w:rsidRPr="002D7EA8">
        <w:rPr>
          <w:rFonts w:ascii="Garamond" w:hAnsi="Garamond"/>
          <w:iCs/>
          <w:lang w:val="en-AU"/>
        </w:rPr>
        <w:t>1</w:t>
      </w:r>
      <w:r>
        <w:rPr>
          <w:rFonts w:ascii="Garamond" w:hAnsi="Garamond"/>
          <w:iCs/>
          <w:lang w:val="en-AU"/>
        </w:rPr>
        <w:t xml:space="preserve"> </w:t>
      </w:r>
      <w:r w:rsidRPr="00D750EE">
        <w:rPr>
          <w:rFonts w:ascii="Garamond" w:hAnsi="Garamond"/>
          <w:i/>
          <w:lang w:val="en-AU"/>
        </w:rPr>
        <w:t xml:space="preserve">COVID-19 rapid guideline: </w:t>
      </w:r>
      <w:r w:rsidRPr="00D750EE">
        <w:rPr>
          <w:rFonts w:ascii="Garamond" w:hAnsi="Garamond"/>
          <w:b/>
          <w:bCs/>
          <w:i/>
          <w:lang w:val="en-AU"/>
        </w:rPr>
        <w:t>managing COVID-19</w:t>
      </w:r>
      <w:r>
        <w:rPr>
          <w:rFonts w:ascii="Garamond" w:hAnsi="Garamond"/>
          <w:iCs/>
          <w:lang w:val="en-AU"/>
        </w:rPr>
        <w:t xml:space="preserve"> </w:t>
      </w:r>
      <w:hyperlink r:id="rId24" w:history="1">
        <w:r w:rsidRPr="007D2E52">
          <w:rPr>
            <w:rStyle w:val="Hyperlink"/>
            <w:rFonts w:ascii="Garamond" w:hAnsi="Garamond"/>
            <w:iCs/>
            <w:lang w:val="en-AU"/>
          </w:rPr>
          <w:t>https://www.nice.org.uk/guidance/ng191</w:t>
        </w:r>
      </w:hyperlink>
    </w:p>
    <w:p w14:paraId="74E82CB1" w14:textId="0A078BB9" w:rsidR="0048108C" w:rsidRDefault="0048108C">
      <w:pPr>
        <w:pBdr>
          <w:bottom w:val="single" w:sz="6" w:space="1" w:color="auto"/>
        </w:pBdr>
        <w:rPr>
          <w:rFonts w:ascii="Garamond" w:hAnsi="Garamond"/>
          <w:b/>
          <w:lang w:val="en-AU"/>
        </w:rPr>
      </w:pPr>
    </w:p>
    <w:p w14:paraId="5E87F0C7" w14:textId="77777777" w:rsidR="0048108C" w:rsidRDefault="0048108C">
      <w:pPr>
        <w:pBdr>
          <w:bottom w:val="single" w:sz="6" w:space="1" w:color="auto"/>
        </w:pBdr>
        <w:rPr>
          <w:rFonts w:ascii="Garamond" w:hAnsi="Garamond"/>
          <w:b/>
          <w:lang w:val="en-AU"/>
        </w:rPr>
      </w:pPr>
    </w:p>
    <w:p w14:paraId="267E6BAD" w14:textId="00417E9D" w:rsidR="00CA2EC4" w:rsidRDefault="00CA2EC4">
      <w:pPr>
        <w:rPr>
          <w:rFonts w:ascii="Garamond" w:hAnsi="Garamond"/>
          <w:b/>
          <w:lang w:val="en-AU"/>
        </w:rPr>
      </w:pPr>
    </w:p>
    <w:p w14:paraId="12E7A6B9" w14:textId="4BC6D8F7"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p>
    <w:p w14:paraId="57A50FC0" w14:textId="77777777" w:rsidR="00D574D3" w:rsidRPr="00504597" w:rsidRDefault="00D574D3" w:rsidP="00F44658">
      <w:pPr>
        <w:tabs>
          <w:tab w:val="left" w:pos="0"/>
        </w:tabs>
        <w:rPr>
          <w:rFonts w:ascii="Garamond" w:hAnsi="Garamond"/>
          <w:lang w:val="en-AU"/>
        </w:rPr>
      </w:pPr>
      <w:proofErr w:type="gramStart"/>
      <w:r w:rsidRPr="00504597">
        <w:rPr>
          <w:rFonts w:ascii="Garamond" w:hAnsi="Garamond"/>
          <w:lang w:val="en-AU"/>
        </w:rPr>
        <w:t>The</w:t>
      </w:r>
      <w:r>
        <w:rPr>
          <w:rFonts w:ascii="Garamond" w:hAnsi="Garamond"/>
          <w:lang w:val="en-AU"/>
        </w:rPr>
        <w:t>se resource</w:t>
      </w:r>
      <w:proofErr w:type="gramEnd"/>
      <w:r>
        <w:rPr>
          <w:rFonts w:ascii="Garamond" w:hAnsi="Garamond"/>
          <w:lang w:val="en-AU"/>
        </w:rPr>
        <w:t xml:space="preserve"> </w:t>
      </w:r>
      <w:r w:rsidRPr="00504597">
        <w:rPr>
          <w:rFonts w:ascii="Garamond" w:hAnsi="Garamond"/>
          <w:lang w:val="en-AU"/>
        </w:rPr>
        <w:t>include:</w:t>
      </w:r>
    </w:p>
    <w:p w14:paraId="725A15CF" w14:textId="77777777"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lastRenderedPageBreak/>
        <w:t>COVID-19 infection prevention and control risk management</w:t>
      </w:r>
      <w:r>
        <w:rPr>
          <w:rFonts w:ascii="Garamond" w:hAnsi="Garamond"/>
          <w:lang w:val="en-AU"/>
        </w:rPr>
        <w:t xml:space="preserve"> </w:t>
      </w:r>
      <w:hyperlink r:id="rId26"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050396F8" w14:textId="34769FC5"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27" w:history="1">
        <w:r w:rsidR="004D36E0" w:rsidRPr="005C214B">
          <w:rPr>
            <w:rStyle w:val="Hyperlink"/>
            <w:rFonts w:ascii="Garamond" w:hAnsi="Garamond"/>
            <w:lang w:val="en-AU"/>
          </w:rPr>
          <w:t>https://www.safetyandquality.gov.au/publications-and-resources/resource-library/poster-ppe-use-aged-care-staff-caring-residents-covid-19</w:t>
        </w:r>
      </w:hyperlink>
    </w:p>
    <w:p w14:paraId="75C369CE" w14:textId="77777777" w:rsidR="00D574D3" w:rsidRPr="001B3E7F" w:rsidRDefault="008612B9" w:rsidP="0078214E">
      <w:pPr>
        <w:pStyle w:val="ListParagraph"/>
        <w:autoSpaceDE w:val="0"/>
        <w:autoSpaceDN w:val="0"/>
        <w:adjustRightInd w:val="0"/>
        <w:ind w:hanging="578"/>
        <w:jc w:val="center"/>
        <w:rPr>
          <w:rFonts w:ascii="Garamond" w:hAnsi="Garamond"/>
          <w:lang w:val="en-AU"/>
        </w:rPr>
      </w:pPr>
      <w:r>
        <w:rPr>
          <w:rFonts w:ascii="Garamond" w:hAnsi="Garamond"/>
          <w:noProof/>
          <w:lang w:val="en-AU" w:eastAsia="en-AU"/>
        </w:rPr>
        <w:drawing>
          <wp:inline distT="0" distB="0" distL="0" distR="0" wp14:anchorId="4E579284" wp14:editId="74380A5F">
            <wp:extent cx="4746812" cy="6703309"/>
            <wp:effectExtent l="0" t="0" r="0" b="2540"/>
            <wp:docPr id="5" name="Picture 5" descr="Poster - PPE use for aged care staff caring for residents with COVID-19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PPE use for aged care staff caring for residents with COVID-19 ">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1605" cy="6823052"/>
                    </a:xfrm>
                    <a:prstGeom prst="rect">
                      <a:avLst/>
                    </a:prstGeom>
                    <a:noFill/>
                    <a:ln>
                      <a:noFill/>
                    </a:ln>
                  </pic:spPr>
                </pic:pic>
              </a:graphicData>
            </a:graphic>
          </wp:inline>
        </w:drawing>
      </w:r>
    </w:p>
    <w:p w14:paraId="64BEE923" w14:textId="77777777"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29"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05D67023">
            <wp:extent cx="5713200" cy="8132400"/>
            <wp:effectExtent l="0" t="0" r="1905" b="2540"/>
            <wp:docPr id="6" name="Picture 6" descr="Poster – Combined contact and droplet precautions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ter – Combined contact and droplet precautions ">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38"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9"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207B69" w:rsidP="00D574D3">
      <w:pPr>
        <w:keepNext/>
        <w:keepLines/>
        <w:rPr>
          <w:rFonts w:ascii="Garamond" w:hAnsi="Garamond"/>
          <w:lang w:val="en-AU"/>
        </w:rPr>
      </w:pPr>
      <w:hyperlink r:id="rId4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07B69" w:rsidP="00D574D3">
      <w:pPr>
        <w:keepNext/>
        <w:keepLines/>
        <w:rPr>
          <w:rFonts w:ascii="Garamond" w:hAnsi="Garamond"/>
          <w:lang w:val="en-AU"/>
        </w:rPr>
      </w:pPr>
      <w:hyperlink r:id="rId44" w:history="1">
        <w:r w:rsidR="00D574D3" w:rsidRPr="007F0962">
          <w:rPr>
            <w:rStyle w:val="Hyperlink"/>
            <w:rFonts w:ascii="Garamond" w:hAnsi="Garamond"/>
            <w:lang w:val="en-AU"/>
          </w:rPr>
          <w:t>https://www.aci.health.nsw.gov.au/covid-19/critical-intelligence-unit</w:t>
        </w:r>
      </w:hyperlink>
    </w:p>
    <w:p w14:paraId="776A3053" w14:textId="77777777" w:rsidR="00F56A48" w:rsidRPr="009F1B74" w:rsidRDefault="00D574D3" w:rsidP="00F56A48">
      <w:pPr>
        <w:keepNext/>
        <w:keepLines/>
        <w:rPr>
          <w:rFonts w:ascii="Garamond" w:hAnsi="Garamond"/>
          <w:b/>
          <w:i/>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9520126" w14:textId="48315228" w:rsidR="00D750EE" w:rsidRPr="00D750EE" w:rsidRDefault="00D750EE" w:rsidP="00AA20EE">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t>
      </w:r>
      <w:r w:rsidRPr="00D750EE">
        <w:rPr>
          <w:rFonts w:ascii="Garamond" w:hAnsi="Garamond"/>
          <w:lang w:val="en-AU"/>
        </w:rPr>
        <w:t>What is the evidence for surgical masks in the endemic phase in hospitals and for eyewear to protect against COVID-19?</w:t>
      </w:r>
    </w:p>
    <w:p w14:paraId="25EB0D27" w14:textId="0E9DA5E6" w:rsidR="00D750EE" w:rsidRPr="00D750EE" w:rsidRDefault="00D750EE" w:rsidP="0011363C">
      <w:pPr>
        <w:pStyle w:val="ListParagraph"/>
        <w:numPr>
          <w:ilvl w:val="0"/>
          <w:numId w:val="14"/>
        </w:numPr>
        <w:rPr>
          <w:rFonts w:ascii="Garamond" w:hAnsi="Garamond"/>
          <w:lang w:val="en-AU"/>
        </w:rPr>
      </w:pPr>
      <w:r w:rsidRPr="00D750EE">
        <w:rPr>
          <w:rFonts w:ascii="Garamond" w:hAnsi="Garamond"/>
          <w:b/>
          <w:bCs/>
          <w:i/>
          <w:iCs/>
          <w:lang w:val="en-AU"/>
        </w:rPr>
        <w:t>Paediatrics and COVID-19 reporting rates and differences</w:t>
      </w:r>
      <w:r w:rsidRPr="00D750EE">
        <w:rPr>
          <w:rFonts w:ascii="Garamond" w:hAnsi="Garamond"/>
          <w:lang w:val="en-AU"/>
        </w:rPr>
        <w:t xml:space="preserve"> –</w:t>
      </w:r>
      <w:r>
        <w:rPr>
          <w:rFonts w:ascii="Garamond" w:hAnsi="Garamond"/>
          <w:lang w:val="en-AU"/>
        </w:rPr>
        <w:t xml:space="preserve"> </w:t>
      </w:r>
      <w:r w:rsidRPr="00D750EE">
        <w:rPr>
          <w:rFonts w:ascii="Garamond" w:hAnsi="Garamond"/>
          <w:lang w:val="en-AU"/>
        </w:rPr>
        <w:t>How are paediatric patients with COVID-19 reported, and what are the differences in rates and severity with Omicron?</w:t>
      </w:r>
    </w:p>
    <w:p w14:paraId="24D3794A" w14:textId="74CADF72" w:rsidR="002D7EA8" w:rsidRPr="002D7EA8" w:rsidRDefault="002D7EA8" w:rsidP="00B27D38">
      <w:pPr>
        <w:pStyle w:val="ListParagraph"/>
        <w:numPr>
          <w:ilvl w:val="0"/>
          <w:numId w:val="14"/>
        </w:numPr>
        <w:rPr>
          <w:rFonts w:ascii="Garamond" w:hAnsi="Garamond"/>
          <w:lang w:val="en-AU"/>
        </w:rPr>
      </w:pPr>
      <w:r w:rsidRPr="002D7EA8">
        <w:rPr>
          <w:rFonts w:ascii="Garamond" w:hAnsi="Garamond"/>
          <w:b/>
          <w:bCs/>
          <w:i/>
          <w:iCs/>
          <w:lang w:val="en-AU"/>
        </w:rPr>
        <w:t>Incidental COVID-19</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How are incidental COVID-19 cases being reported internationally, and what is the proportional of incidental COVID-19 cases?</w:t>
      </w:r>
    </w:p>
    <w:p w14:paraId="0711C400" w14:textId="0DA855F5" w:rsidR="002D7EA8" w:rsidRPr="002D7EA8" w:rsidRDefault="002D7EA8" w:rsidP="00FC62D3">
      <w:pPr>
        <w:pStyle w:val="ListParagraph"/>
        <w:numPr>
          <w:ilvl w:val="0"/>
          <w:numId w:val="14"/>
        </w:numPr>
        <w:rPr>
          <w:rFonts w:ascii="Garamond" w:hAnsi="Garamond"/>
          <w:lang w:val="en-AU"/>
        </w:rPr>
      </w:pPr>
      <w:proofErr w:type="spellStart"/>
      <w:r w:rsidRPr="002D7EA8">
        <w:rPr>
          <w:rFonts w:ascii="Garamond" w:hAnsi="Garamond"/>
          <w:b/>
          <w:bCs/>
          <w:i/>
          <w:iCs/>
          <w:lang w:val="en-AU"/>
        </w:rPr>
        <w:t>Sotrovimab</w:t>
      </w:r>
      <w:proofErr w:type="spellEnd"/>
      <w:r w:rsidRPr="002D7EA8">
        <w:rPr>
          <w:rFonts w:ascii="Garamond" w:hAnsi="Garamond"/>
          <w:lang w:val="en-AU"/>
        </w:rPr>
        <w:t xml:space="preserve"> –What is the evidence for </w:t>
      </w:r>
      <w:proofErr w:type="spellStart"/>
      <w:r w:rsidRPr="002D7EA8">
        <w:rPr>
          <w:rFonts w:ascii="Garamond" w:hAnsi="Garamond"/>
          <w:lang w:val="en-AU"/>
        </w:rPr>
        <w:t>sotrovimab</w:t>
      </w:r>
      <w:proofErr w:type="spellEnd"/>
      <w:r w:rsidRPr="002D7EA8">
        <w:rPr>
          <w:rFonts w:ascii="Garamond" w:hAnsi="Garamond"/>
          <w:lang w:val="en-AU"/>
        </w:rPr>
        <w:t xml:space="preserve"> as a treatment for COVID-19?</w:t>
      </w:r>
    </w:p>
    <w:p w14:paraId="7BBEB990" w14:textId="2B2387D3" w:rsidR="002D7EA8" w:rsidRPr="002D7EA8" w:rsidRDefault="002D7EA8" w:rsidP="00DA59DF">
      <w:pPr>
        <w:pStyle w:val="ListParagraph"/>
        <w:numPr>
          <w:ilvl w:val="0"/>
          <w:numId w:val="14"/>
        </w:numPr>
        <w:rPr>
          <w:rFonts w:ascii="Garamond" w:hAnsi="Garamond"/>
          <w:lang w:val="en-AU"/>
        </w:rPr>
      </w:pPr>
      <w:r w:rsidRPr="002D7EA8">
        <w:rPr>
          <w:rFonts w:ascii="Garamond" w:hAnsi="Garamond"/>
          <w:b/>
          <w:bCs/>
          <w:i/>
          <w:iCs/>
          <w:lang w:val="en-AU"/>
        </w:rPr>
        <w:t>Omicron - symptoms and hospitalised patients</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What are the symptoms associated with Omicron and what is the risk of hospitalisation for Omicron</w:t>
      </w:r>
    </w:p>
    <w:p w14:paraId="416252E4" w14:textId="77777777" w:rsidR="00472467" w:rsidRPr="00670681" w:rsidRDefault="00472467" w:rsidP="00670681">
      <w:pPr>
        <w:pStyle w:val="ListParagraph"/>
        <w:numPr>
          <w:ilvl w:val="0"/>
          <w:numId w:val="14"/>
        </w:numPr>
        <w:rPr>
          <w:rFonts w:ascii="Garamond" w:hAnsi="Garamond"/>
          <w:iCs/>
          <w:lang w:val="en-AU"/>
        </w:rPr>
      </w:pPr>
      <w:r w:rsidRPr="00670681">
        <w:rPr>
          <w:rFonts w:ascii="Garamond" w:hAnsi="Garamond"/>
          <w:b/>
          <w:bCs/>
          <w:i/>
          <w:lang w:val="en-AU"/>
        </w:rPr>
        <w:t xml:space="preserve">COVID-19 vaccines in Australia </w:t>
      </w:r>
      <w:r w:rsidRPr="00670681">
        <w:rPr>
          <w:rFonts w:ascii="Garamond" w:hAnsi="Garamond"/>
          <w:iCs/>
          <w:lang w:val="en-AU"/>
        </w:rPr>
        <w:t>– What is the evidence on COVID-19 vaccines in Australia?</w:t>
      </w:r>
    </w:p>
    <w:p w14:paraId="505C7878" w14:textId="77777777" w:rsidR="00472467" w:rsidRDefault="00472467" w:rsidP="00DB4AE7">
      <w:pPr>
        <w:rPr>
          <w:rFonts w:ascii="Garamond" w:hAnsi="Garamond"/>
          <w:lang w:val="en-AU"/>
        </w:rPr>
      </w:pPr>
    </w:p>
    <w:p w14:paraId="1A2CC78F" w14:textId="77777777" w:rsidR="00D20670" w:rsidRDefault="00D20670"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895F8A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7108E" w14:textId="77777777" w:rsidR="00207B69" w:rsidRDefault="00207B69">
      <w:r>
        <w:separator/>
      </w:r>
    </w:p>
  </w:endnote>
  <w:endnote w:type="continuationSeparator" w:id="0">
    <w:p w14:paraId="26087645" w14:textId="77777777" w:rsidR="00207B69" w:rsidRDefault="0020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A1571DE"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w:t>
    </w:r>
    <w:r w:rsidR="003D6326">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81EE87A"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w:t>
    </w:r>
    <w:r w:rsidR="003D6326">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34DF" w14:textId="77777777" w:rsidR="00207B69" w:rsidRDefault="00207B69">
      <w:r>
        <w:separator/>
      </w:r>
    </w:p>
  </w:footnote>
  <w:footnote w:type="continuationSeparator" w:id="0">
    <w:p w14:paraId="5AC08986" w14:textId="77777777" w:rsidR="00207B69" w:rsidRDefault="0020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B5530"/>
    <w:multiLevelType w:val="hybridMultilevel"/>
    <w:tmpl w:val="A536B27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A4495"/>
    <w:multiLevelType w:val="hybridMultilevel"/>
    <w:tmpl w:val="ED18478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FF5FF0"/>
    <w:multiLevelType w:val="hybridMultilevel"/>
    <w:tmpl w:val="66D0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16"/>
  </w:num>
  <w:num w:numId="16">
    <w:abstractNumId w:val="24"/>
  </w:num>
  <w:num w:numId="17">
    <w:abstractNumId w:val="21"/>
  </w:num>
  <w:num w:numId="18">
    <w:abstractNumId w:val="33"/>
  </w:num>
  <w:num w:numId="19">
    <w:abstractNumId w:val="30"/>
  </w:num>
  <w:num w:numId="20">
    <w:abstractNumId w:val="12"/>
  </w:num>
  <w:num w:numId="21">
    <w:abstractNumId w:val="28"/>
  </w:num>
  <w:num w:numId="22">
    <w:abstractNumId w:val="10"/>
  </w:num>
  <w:num w:numId="23">
    <w:abstractNumId w:val="35"/>
  </w:num>
  <w:num w:numId="24">
    <w:abstractNumId w:val="34"/>
  </w:num>
  <w:num w:numId="25">
    <w:abstractNumId w:val="23"/>
  </w:num>
  <w:num w:numId="26">
    <w:abstractNumId w:val="13"/>
  </w:num>
  <w:num w:numId="27">
    <w:abstractNumId w:val="14"/>
  </w:num>
  <w:num w:numId="28">
    <w:abstractNumId w:val="27"/>
  </w:num>
  <w:num w:numId="29">
    <w:abstractNumId w:val="29"/>
  </w:num>
  <w:num w:numId="30">
    <w:abstractNumId w:val="17"/>
  </w:num>
  <w:num w:numId="31">
    <w:abstractNumId w:val="18"/>
  </w:num>
  <w:num w:numId="32">
    <w:abstractNumId w:val="31"/>
  </w:num>
  <w:num w:numId="33">
    <w:abstractNumId w:val="15"/>
  </w:num>
  <w:num w:numId="34">
    <w:abstractNumId w:val="26"/>
  </w:num>
  <w:num w:numId="35">
    <w:abstractNumId w:val="22"/>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6DDC"/>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C24"/>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CF3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clinical-governance/open-disclosure" TargetMode="External"/><Relationship Id="rId26" Type="http://schemas.openxmlformats.org/officeDocument/2006/relationships/hyperlink" Target="https://www.safetyandquality.gov.au/publications-and-resources/resource-library/covid-19-infection-prevention-and-control-risk-management-guidance" TargetMode="External"/><Relationship Id="rId39" Type="http://schemas.openxmlformats.org/officeDocument/2006/relationships/hyperlink" Target="https://www.safetyandquality.gov.au/node/5725" TargetMode="External"/><Relationship Id="rId3" Type="http://schemas.openxmlformats.org/officeDocument/2006/relationships/styles" Target="styles.xml"/><Relationship Id="rId21" Type="http://schemas.openxmlformats.org/officeDocument/2006/relationships/hyperlink" Target="https://www.nice.org.uk/guidance"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governance/open-disclosure" TargetMode="External"/><Relationship Id="rId25" Type="http://schemas.openxmlformats.org/officeDocument/2006/relationships/hyperlink" Target="https://www.safetyandquality.gov.au/covid-19"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node/5724"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agar-sepsis-outcome-programs-2020-report" TargetMode="External"/><Relationship Id="rId20" Type="http://schemas.openxmlformats.org/officeDocument/2006/relationships/hyperlink" Target="https://academic.oup.com/intqhc/advance-articles" TargetMode="External"/><Relationship Id="rId29" Type="http://schemas.openxmlformats.org/officeDocument/2006/relationships/hyperlink" Target="https://www.safetyandquality.gov.au/publications-and-resources/resource-library/poster-combined-contact-and-droplet-precautions"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ng191" TargetMode="External"/><Relationship Id="rId32" Type="http://schemas.openxmlformats.org/officeDocument/2006/relationships/image" Target="media/image4.PNG"/><Relationship Id="rId37" Type="http://schemas.openxmlformats.org/officeDocument/2006/relationships/image" Target="media/image5.PNG"/><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gar-sepsis-outcome-programs-2020-report" TargetMode="External"/><Relationship Id="rId23" Type="http://schemas.openxmlformats.org/officeDocument/2006/relationships/hyperlink" Target="https://www.nice.org.uk/guidance/ng81"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qualitysafety.bmj.com/content/early/recent" TargetMode="External"/><Relationship Id="rId31" Type="http://schemas.openxmlformats.org/officeDocument/2006/relationships/hyperlink" Target="https://www.safetyandquality.gov.au/publications-and-resources/resource-library/poster-combined-airborne-and-contact-precautions" TargetMode="External"/><Relationship Id="rId44"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nice.org.uk/guidance/ng211" TargetMode="External"/><Relationship Id="rId27" Type="http://schemas.openxmlformats.org/officeDocument/2006/relationships/hyperlink" Target="https://www.safetyandquality.gov.au/publications-and-resources/resource-library/poster-ppe-use-aged-care-staff-caring-residents-covid-19" TargetMode="External"/><Relationship Id="rId30" Type="http://schemas.openxmlformats.org/officeDocument/2006/relationships/image" Target="media/image3.png"/><Relationship Id="rId35" Type="http://schemas.openxmlformats.org/officeDocument/2006/relationships/hyperlink" Target="https://www.safetyandquality.gov.au/our-work/cognitive-impairment/cognitive-impairment-and-covid-19" TargetMode="External"/><Relationship Id="rId43" Type="http://schemas.openxmlformats.org/officeDocument/2006/relationships/hyperlink" Target="https://covid19evidence.net.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On the Radar Issue 543</vt:lpstr>
    </vt:vector>
  </TitlesOfParts>
  <Company>ACSQHC</Company>
  <LinksUpToDate>false</LinksUpToDate>
  <CharactersWithSpaces>14934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544</dc:title>
  <dc:subject/>
  <dc:creator>Dr Niall Johnson</dc:creator>
  <cp:keywords>On the Radar</cp:keywords>
  <dc:description/>
  <cp:lastModifiedBy>JOHNSON, Niall</cp:lastModifiedBy>
  <cp:revision>8</cp:revision>
  <cp:lastPrinted>2018-03-02T02:34:00Z</cp:lastPrinted>
  <dcterms:created xsi:type="dcterms:W3CDTF">2022-01-26T00:44:00Z</dcterms:created>
  <dcterms:modified xsi:type="dcterms:W3CDTF">2022-01-28T00:22:00Z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