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5778" w14:textId="6E3D6194" w:rsidR="00B24DF4" w:rsidRDefault="00B24DF4" w:rsidP="009424A5">
      <w:bookmarkStart w:id="0" w:name="_Toc476822632"/>
      <w:bookmarkStart w:id="1" w:name="_Toc476822653"/>
      <w:r w:rsidRPr="008A251F">
        <w:rPr>
          <w:rFonts w:eastAsiaTheme="majorEastAsia"/>
          <w:noProof/>
        </w:rPr>
        <w:drawing>
          <wp:inline distT="0" distB="0" distL="0" distR="0" wp14:anchorId="71668707" wp14:editId="43D55D55">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14:paraId="335974EC" w14:textId="6E525B4D" w:rsidR="00BC07E4" w:rsidRDefault="00E67A60" w:rsidP="009424A5">
      <w:pPr>
        <w:pStyle w:val="PublicationDate"/>
      </w:pPr>
      <w:r>
        <w:rPr>
          <w:noProof/>
        </w:rPr>
        <w:drawing>
          <wp:inline distT="0" distB="0" distL="0" distR="0" wp14:anchorId="68857A14" wp14:editId="63A93AB0">
            <wp:extent cx="903605" cy="903605"/>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p w14:paraId="09E7573B" w14:textId="77777777" w:rsidR="00BC07E4" w:rsidRDefault="00BC07E4" w:rsidP="00BC07E4">
      <w:pPr>
        <w:rPr>
          <w:rFonts w:eastAsiaTheme="majorEastAsia"/>
        </w:rPr>
      </w:pPr>
    </w:p>
    <w:p w14:paraId="0B0A3B15" w14:textId="19FEDBAF" w:rsidR="00BC07E4" w:rsidRDefault="00BC07E4" w:rsidP="00BC07E4">
      <w:pPr>
        <w:rPr>
          <w:rFonts w:eastAsiaTheme="majorEastAsia"/>
          <w:highlight w:val="yellow"/>
        </w:rPr>
      </w:pPr>
      <w:r w:rsidRPr="0091137C">
        <w:rPr>
          <w:rFonts w:eastAsiaTheme="majorEastAsia"/>
        </w:rPr>
        <w:t>TRIM</w:t>
      </w:r>
      <w:r w:rsidRPr="00E67A60">
        <w:rPr>
          <w:rFonts w:eastAsiaTheme="majorEastAsia"/>
        </w:rPr>
        <w:t xml:space="preserve">: </w:t>
      </w:r>
      <w:r w:rsidR="00E67A60" w:rsidRPr="00E67A60">
        <w:rPr>
          <w:rFonts w:eastAsiaTheme="majorEastAsia"/>
        </w:rPr>
        <w:t xml:space="preserve">D22- </w:t>
      </w:r>
      <w:r w:rsidR="00557A18">
        <w:rPr>
          <w:rFonts w:eastAsiaTheme="majorEastAsia"/>
        </w:rPr>
        <w:t>23710</w:t>
      </w:r>
    </w:p>
    <w:p w14:paraId="228938C9" w14:textId="77777777" w:rsidR="00BC07E4" w:rsidRDefault="00BC07E4" w:rsidP="009424A5">
      <w:pPr>
        <w:pStyle w:val="PublicationDate"/>
      </w:pPr>
    </w:p>
    <w:p w14:paraId="05542FEE" w14:textId="77777777" w:rsidR="00BC07E4" w:rsidRDefault="00BC07E4" w:rsidP="009424A5">
      <w:pPr>
        <w:pStyle w:val="PublicationDate"/>
      </w:pPr>
    </w:p>
    <w:p w14:paraId="09BF8270" w14:textId="344BF28B" w:rsidR="000B0274" w:rsidRPr="006B2409" w:rsidRDefault="00E67A60" w:rsidP="006B2409">
      <w:pPr>
        <w:pStyle w:val="PublicationDate"/>
      </w:pPr>
      <w:r>
        <w:t>May 2022</w:t>
      </w:r>
    </w:p>
    <w:p w14:paraId="12FBAAAA" w14:textId="77777777" w:rsidR="00BC07E4" w:rsidRDefault="00BC07E4" w:rsidP="009424A5">
      <w:pPr>
        <w:pStyle w:val="PublicationDate"/>
      </w:pPr>
    </w:p>
    <w:p w14:paraId="5BCEFEC8" w14:textId="77777777" w:rsidR="00BC07E4" w:rsidRPr="003C02C5" w:rsidRDefault="00BC07E4" w:rsidP="009424A5">
      <w:pPr>
        <w:pStyle w:val="PublicationDate"/>
      </w:pPr>
    </w:p>
    <w:p w14:paraId="2F1117A3" w14:textId="442ABB88" w:rsidR="000B0274" w:rsidRPr="00BC07E4" w:rsidRDefault="00E67A60" w:rsidP="009424A5">
      <w:pPr>
        <w:pStyle w:val="Title"/>
        <w:rPr>
          <w:highlight w:val="yellow"/>
        </w:rPr>
      </w:pPr>
      <w:r>
        <w:t xml:space="preserve">Comprehensive Care Standard: </w:t>
      </w:r>
      <w:r w:rsidR="006A7DEB">
        <w:t>Review of i</w:t>
      </w:r>
      <w:r>
        <w:t>mplementation</w:t>
      </w:r>
    </w:p>
    <w:p w14:paraId="36EC59E9" w14:textId="77777777" w:rsidR="00BC07E4" w:rsidRPr="00BC07E4" w:rsidRDefault="00BC07E4" w:rsidP="00BC07E4">
      <w:bookmarkStart w:id="2" w:name="_Toc476822633"/>
      <w:bookmarkStart w:id="3" w:name="_Toc476822654"/>
      <w:bookmarkStart w:id="4" w:name="_Toc476822854"/>
      <w:bookmarkStart w:id="5" w:name="_Toc476823158"/>
      <w:bookmarkStart w:id="6" w:name="_Toc476823667"/>
      <w:r>
        <w:br w:type="page"/>
      </w:r>
    </w:p>
    <w:p w14:paraId="24421ECE" w14:textId="77777777"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14:paraId="17A4928A" w14:textId="77777777" w:rsidR="009A007B" w:rsidRPr="009A007B" w:rsidRDefault="009A007B" w:rsidP="009A007B">
      <w:r w:rsidRPr="00B47076">
        <w:t>Phone: (02) 9126 3600</w:t>
      </w:r>
    </w:p>
    <w:p w14:paraId="1F967979" w14:textId="77777777" w:rsidR="009A007B" w:rsidRPr="00A77349" w:rsidRDefault="009A007B"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mail@safetyandquality.gov.au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ABED96B" w14:textId="356B2BA2" w:rsidR="009A007B" w:rsidRPr="0062166F" w:rsidRDefault="009A007B" w:rsidP="0062166F">
      <w:pPr>
        <w:pStyle w:val="NormalWeb"/>
        <w:spacing w:before="0" w:beforeAutospacing="0" w:after="0" w:afterAutospacing="0"/>
        <w:rPr>
          <w:rFonts w:asciiTheme="minorHAnsi" w:hAnsiTheme="minorHAnsi"/>
          <w:sz w:val="22"/>
          <w:szCs w:val="22"/>
        </w:rPr>
      </w:pPr>
      <w:r w:rsidRPr="0062166F">
        <w:rPr>
          <w:rFonts w:asciiTheme="minorHAnsi" w:hAnsiTheme="minorHAnsi"/>
          <w:sz w:val="22"/>
          <w:szCs w:val="22"/>
        </w:rPr>
        <w:t xml:space="preserve">ISBN: </w:t>
      </w:r>
      <w:r w:rsidR="0062166F" w:rsidRPr="0062166F">
        <w:rPr>
          <w:rFonts w:asciiTheme="minorHAnsi" w:hAnsiTheme="minorHAnsi"/>
          <w:sz w:val="22"/>
          <w:szCs w:val="22"/>
        </w:rPr>
        <w:t>978-1-922563-98-9</w:t>
      </w:r>
      <w:r w:rsidRPr="0062166F">
        <w:rPr>
          <w:rFonts w:asciiTheme="minorHAnsi" w:hAnsiTheme="minorHAnsi"/>
          <w:sz w:val="22"/>
          <w:szCs w:val="22"/>
        </w:rPr>
        <w:br/>
      </w:r>
    </w:p>
    <w:p w14:paraId="36A7BC22" w14:textId="2AC76267" w:rsidR="009A007B" w:rsidRPr="009A007B" w:rsidRDefault="009A007B" w:rsidP="009A007B">
      <w:r w:rsidRPr="00B47076">
        <w:t xml:space="preserve">© Australian Commission on Safety and Quality in Health Care </w:t>
      </w:r>
      <w:r w:rsidR="006A7DEB">
        <w:t>2022</w:t>
      </w:r>
    </w:p>
    <w:p w14:paraId="5BE92B28" w14:textId="77777777" w:rsidR="00EF5C37" w:rsidRPr="00EF5C37" w:rsidRDefault="00EF5C37" w:rsidP="00EF5C37">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14:paraId="1B299053" w14:textId="77777777" w:rsidR="00EF5C37" w:rsidRPr="00EF5C37" w:rsidRDefault="00EF5C37" w:rsidP="00EF5C37">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24927E1F" w14:textId="77777777" w:rsidR="00EF5C37" w:rsidRPr="00EF5C37" w:rsidRDefault="00EF5C37" w:rsidP="00EF5C37">
      <w:pPr>
        <w:rPr>
          <w:u w:val="single"/>
        </w:rPr>
      </w:pPr>
      <w:proofErr w:type="gramStart"/>
      <w:r w:rsidRPr="00EF5C37">
        <w:t>With the exception of</w:t>
      </w:r>
      <w:proofErr w:type="gramEnd"/>
      <w:r w:rsidRPr="00EF5C37">
        <w:t xml:space="preserve"> any material protected by a trademark, any content provided by third parties and where otherwise noted, all material presented in this publication is licensed under a </w:t>
      </w:r>
      <w:hyperlink r:id="rId10" w:history="1">
        <w:r w:rsidRPr="00EF5C37">
          <w:rPr>
            <w:rStyle w:val="Hyperlink"/>
          </w:rPr>
          <w:t>Creative Commons Attribution–</w:t>
        </w:r>
        <w:proofErr w:type="spellStart"/>
        <w:r w:rsidRPr="00EF5C37">
          <w:rPr>
            <w:rStyle w:val="Hyperlink"/>
          </w:rPr>
          <w:t>NonCommercial</w:t>
        </w:r>
        <w:proofErr w:type="spellEnd"/>
        <w:r w:rsidRPr="00EF5C37">
          <w:rPr>
            <w:rStyle w:val="Hyperlink"/>
          </w:rPr>
          <w:t>–</w:t>
        </w:r>
        <w:proofErr w:type="spellStart"/>
        <w:r w:rsidRPr="00EF5C37">
          <w:rPr>
            <w:rStyle w:val="Hyperlink"/>
          </w:rPr>
          <w:t>NoDerivatives</w:t>
        </w:r>
        <w:proofErr w:type="spellEnd"/>
        <w:r w:rsidRPr="00EF5C37">
          <w:rPr>
            <w:rStyle w:val="Hyperlink"/>
          </w:rPr>
          <w:t xml:space="preserve"> 4.0 International licence</w:t>
        </w:r>
      </w:hyperlink>
      <w:r w:rsidRPr="00EF5C37">
        <w:rPr>
          <w:u w:val="single"/>
        </w:rPr>
        <w:t>.</w:t>
      </w:r>
    </w:p>
    <w:p w14:paraId="22FD270E" w14:textId="77777777" w:rsidR="00EF5C37" w:rsidRPr="00EF5C37" w:rsidRDefault="00AB1978" w:rsidP="00EF5C37">
      <w:r>
        <w:rPr>
          <w:noProof/>
        </w:rPr>
        <w:drawing>
          <wp:inline distT="0" distB="0" distL="0" distR="0" wp14:anchorId="76906AA7" wp14:editId="1D587684">
            <wp:extent cx="859221" cy="298210"/>
            <wp:effectExtent l="0" t="0" r="0" b="6985"/>
            <wp:docPr id="1" name="Picture 1" descr="\\central.health\dfsuserenv\Users\User_11\cresad\Desktop\CC BY-NC-ND 3 large.png" title="Creative Commons Attribution–NonCommercial–NoDerivatives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1\cresad\Desktop\CC BY-NC-ND 3 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619" cy="298348"/>
                    </a:xfrm>
                    <a:prstGeom prst="rect">
                      <a:avLst/>
                    </a:prstGeom>
                    <a:noFill/>
                    <a:ln>
                      <a:noFill/>
                    </a:ln>
                  </pic:spPr>
                </pic:pic>
              </a:graphicData>
            </a:graphic>
          </wp:inline>
        </w:drawing>
      </w:r>
    </w:p>
    <w:p w14:paraId="64D01BFA" w14:textId="77777777" w:rsidR="00EF5C37" w:rsidRPr="00EF5C37" w:rsidRDefault="00EF5C37" w:rsidP="00EF5C37">
      <w:r w:rsidRPr="00EF5C37">
        <w:t xml:space="preserve">Enquiries about the licence and any use of this publication are welcome and can be sent to </w:t>
      </w:r>
      <w:hyperlink r:id="rId12" w:history="1">
        <w:r w:rsidRPr="00EF5C37">
          <w:rPr>
            <w:rStyle w:val="Hyperlink"/>
          </w:rPr>
          <w:t>communications@safetyandquality.gov.au</w:t>
        </w:r>
      </w:hyperlink>
      <w:r w:rsidRPr="00EF5C37">
        <w:t>.</w:t>
      </w:r>
    </w:p>
    <w:p w14:paraId="1ECE2222" w14:textId="77777777" w:rsidR="00EF5C37" w:rsidRPr="00EF5C37" w:rsidRDefault="00EF5C37" w:rsidP="00EF5C37">
      <w:r w:rsidRPr="00EF5C37">
        <w:t xml:space="preserve">The Commission’s preference is that you attribute this publication (and any material sourced from it) using the following citation: </w:t>
      </w:r>
    </w:p>
    <w:p w14:paraId="650043CC" w14:textId="77777777" w:rsidR="009A007B" w:rsidRPr="009A007B" w:rsidRDefault="009A007B" w:rsidP="009A007B"/>
    <w:p w14:paraId="5635D3F5" w14:textId="50DDC5F3" w:rsidR="009A007B" w:rsidRPr="009A007B" w:rsidRDefault="009A007B" w:rsidP="009A007B">
      <w:pPr>
        <w:ind w:left="720"/>
      </w:pPr>
      <w:r w:rsidRPr="00782BAB">
        <w:t xml:space="preserve">Australian Commission on Safety and Quality in Health Care. </w:t>
      </w:r>
      <w:r w:rsidR="00782BAB" w:rsidRPr="00782BAB">
        <w:t xml:space="preserve">Comprehensive Care Standard: </w:t>
      </w:r>
      <w:r w:rsidR="006A7DEB">
        <w:t>Review of i</w:t>
      </w:r>
      <w:r w:rsidR="00782BAB" w:rsidRPr="00782BAB">
        <w:t>mplementation</w:t>
      </w:r>
      <w:r w:rsidRPr="00782BAB">
        <w:t xml:space="preserve">. Sydney: ACSQHC; </w:t>
      </w:r>
      <w:r w:rsidR="00782BAB" w:rsidRPr="00782BAB">
        <w:t>2022</w:t>
      </w:r>
      <w:r w:rsidR="00DB5911">
        <w:br/>
      </w:r>
    </w:p>
    <w:p w14:paraId="6A113897" w14:textId="77777777" w:rsidR="002F7E6F" w:rsidRDefault="002F7E6F" w:rsidP="009A007B">
      <w:pPr>
        <w:rPr>
          <w:rStyle w:val="Strong"/>
        </w:rPr>
      </w:pPr>
    </w:p>
    <w:p w14:paraId="31B4E9D9" w14:textId="77777777" w:rsidR="00EF5C37" w:rsidRPr="00EF5C37" w:rsidRDefault="00EF5C37" w:rsidP="00EF5C37">
      <w:pPr>
        <w:rPr>
          <w:b/>
          <w:bCs/>
        </w:rPr>
      </w:pPr>
      <w:r w:rsidRPr="00EF5C37">
        <w:rPr>
          <w:b/>
          <w:bCs/>
        </w:rPr>
        <w:t>Disclaimer</w:t>
      </w:r>
    </w:p>
    <w:p w14:paraId="047C0061" w14:textId="77777777" w:rsidR="00EF5C37" w:rsidRPr="00EF5C37" w:rsidRDefault="00EF5C37" w:rsidP="00EF5C37">
      <w:pPr>
        <w:rPr>
          <w:bCs/>
        </w:rPr>
      </w:pPr>
      <w:r w:rsidRPr="00EF5C37">
        <w:rPr>
          <w:bCs/>
        </w:rPr>
        <w:t xml:space="preserve">The content of this document is published in good faith by the Commission for information purposes. The document is not intended to provide guidance on </w:t>
      </w:r>
      <w:proofErr w:type="gramStart"/>
      <w:r w:rsidRPr="00EF5C37">
        <w:rPr>
          <w:bCs/>
        </w:rPr>
        <w:t>particular healthcare</w:t>
      </w:r>
      <w:proofErr w:type="gramEnd"/>
      <w:r w:rsidRPr="00EF5C37">
        <w:rPr>
          <w:bCs/>
        </w:rPr>
        <w:t xml:space="preserve"> choices. You should contact your health care provider for information or advice on </w:t>
      </w:r>
      <w:proofErr w:type="gramStart"/>
      <w:r w:rsidRPr="00EF5C37">
        <w:rPr>
          <w:bCs/>
        </w:rPr>
        <w:t>particular healthcare</w:t>
      </w:r>
      <w:proofErr w:type="gramEnd"/>
      <w:r w:rsidRPr="00EF5C37">
        <w:rPr>
          <w:bCs/>
        </w:rPr>
        <w:t xml:space="preserve"> choices. </w:t>
      </w:r>
    </w:p>
    <w:p w14:paraId="242734D9" w14:textId="77777777" w:rsidR="009A007B" w:rsidRPr="00EF5C37" w:rsidRDefault="00EF5C37" w:rsidP="00EF5C37">
      <w:pPr>
        <w:rPr>
          <w:bCs/>
          <w:i/>
          <w:smallCaps/>
        </w:rPr>
      </w:pPr>
      <w:r w:rsidRPr="00EF5C37">
        <w:rPr>
          <w:bCs/>
        </w:rPr>
        <w:t xml:space="preserve">The Commission does not accept any legal liability for any injury, loss or damage incurred </w:t>
      </w:r>
      <w:proofErr w:type="gramStart"/>
      <w:r w:rsidRPr="00EF5C37">
        <w:rPr>
          <w:bCs/>
        </w:rPr>
        <w:t>by the use of</w:t>
      </w:r>
      <w:proofErr w:type="gramEnd"/>
      <w:r w:rsidRPr="00EF5C37">
        <w:rPr>
          <w:bCs/>
        </w:rPr>
        <w:t xml:space="preserve">, or reliance on, this document. </w:t>
      </w:r>
      <w:r w:rsidR="009A007B" w:rsidRPr="00EF5C37">
        <w:t xml:space="preserve"> </w:t>
      </w:r>
    </w:p>
    <w:p w14:paraId="0F2337BC" w14:textId="77777777" w:rsidR="00BC07E4" w:rsidRPr="00BC07E4" w:rsidRDefault="00BC07E4" w:rsidP="009A007B">
      <w:r>
        <w:br w:type="page"/>
      </w:r>
    </w:p>
    <w:sdt>
      <w:sdtPr>
        <w:rPr>
          <w:rFonts w:asciiTheme="minorHAnsi" w:eastAsia="Times New Roman" w:hAnsiTheme="minorHAnsi" w:cs="Times New Roman"/>
          <w:b w:val="0"/>
          <w:bCs w:val="0"/>
          <w:color w:val="auto"/>
          <w:sz w:val="22"/>
          <w:szCs w:val="22"/>
          <w:lang w:val="en-AU" w:eastAsia="en-AU"/>
        </w:rPr>
        <w:id w:val="-825823082"/>
        <w:docPartObj>
          <w:docPartGallery w:val="Table of Contents"/>
          <w:docPartUnique/>
        </w:docPartObj>
      </w:sdtPr>
      <w:sdtEndPr>
        <w:rPr>
          <w:noProof/>
        </w:rPr>
      </w:sdtEndPr>
      <w:sdtContent>
        <w:p w14:paraId="59FB2282" w14:textId="093C3FAE" w:rsidR="00942D34" w:rsidRDefault="00942D34">
          <w:pPr>
            <w:pStyle w:val="TOCHeading"/>
          </w:pPr>
          <w:r>
            <w:t>Contents</w:t>
          </w:r>
        </w:p>
        <w:p w14:paraId="16144D40" w14:textId="2C2F4ECD" w:rsidR="00003518" w:rsidRDefault="00942D34">
          <w:pPr>
            <w:pStyle w:val="TOC1"/>
            <w:tabs>
              <w:tab w:val="right" w:leader="dot" w:pos="9016"/>
            </w:tabs>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anchor="_Toc105592200" w:history="1">
            <w:r w:rsidR="00003518" w:rsidRPr="008968D4">
              <w:rPr>
                <w:rStyle w:val="Hyperlink"/>
                <w:noProof/>
              </w:rPr>
              <w:t>Background</w:t>
            </w:r>
            <w:r w:rsidR="00003518">
              <w:rPr>
                <w:noProof/>
                <w:webHidden/>
              </w:rPr>
              <w:tab/>
            </w:r>
            <w:r w:rsidR="00003518">
              <w:rPr>
                <w:noProof/>
                <w:webHidden/>
              </w:rPr>
              <w:fldChar w:fldCharType="begin"/>
            </w:r>
            <w:r w:rsidR="00003518">
              <w:rPr>
                <w:noProof/>
                <w:webHidden/>
              </w:rPr>
              <w:instrText xml:space="preserve"> PAGEREF _Toc105592200 \h </w:instrText>
            </w:r>
            <w:r w:rsidR="00003518">
              <w:rPr>
                <w:noProof/>
                <w:webHidden/>
              </w:rPr>
            </w:r>
            <w:r w:rsidR="00003518">
              <w:rPr>
                <w:noProof/>
                <w:webHidden/>
              </w:rPr>
              <w:fldChar w:fldCharType="separate"/>
            </w:r>
            <w:r w:rsidR="005A277E">
              <w:rPr>
                <w:noProof/>
                <w:webHidden/>
              </w:rPr>
              <w:t>4</w:t>
            </w:r>
            <w:r w:rsidR="00003518">
              <w:rPr>
                <w:noProof/>
                <w:webHidden/>
              </w:rPr>
              <w:fldChar w:fldCharType="end"/>
            </w:r>
          </w:hyperlink>
        </w:p>
        <w:p w14:paraId="23E44FB7" w14:textId="077BF95B" w:rsidR="00003518" w:rsidRDefault="005A277E">
          <w:pPr>
            <w:pStyle w:val="TOC1"/>
            <w:tabs>
              <w:tab w:val="right" w:leader="dot" w:pos="9016"/>
            </w:tabs>
            <w:rPr>
              <w:rFonts w:eastAsiaTheme="minorEastAsia" w:cstheme="minorBidi"/>
              <w:b w:val="0"/>
              <w:bCs w:val="0"/>
              <w:noProof/>
              <w:color w:val="auto"/>
              <w:sz w:val="22"/>
              <w:szCs w:val="22"/>
            </w:rPr>
          </w:pPr>
          <w:hyperlink w:anchor="_Toc105592201" w:history="1">
            <w:r w:rsidR="00003518" w:rsidRPr="008968D4">
              <w:rPr>
                <w:rStyle w:val="Hyperlink"/>
                <w:noProof/>
              </w:rPr>
              <w:t>Purpose</w:t>
            </w:r>
            <w:r w:rsidR="00003518">
              <w:rPr>
                <w:noProof/>
                <w:webHidden/>
              </w:rPr>
              <w:tab/>
            </w:r>
            <w:r w:rsidR="00003518">
              <w:rPr>
                <w:noProof/>
                <w:webHidden/>
              </w:rPr>
              <w:fldChar w:fldCharType="begin"/>
            </w:r>
            <w:r w:rsidR="00003518">
              <w:rPr>
                <w:noProof/>
                <w:webHidden/>
              </w:rPr>
              <w:instrText xml:space="preserve"> PAGEREF _Toc105592201 \h </w:instrText>
            </w:r>
            <w:r w:rsidR="00003518">
              <w:rPr>
                <w:noProof/>
                <w:webHidden/>
              </w:rPr>
            </w:r>
            <w:r w:rsidR="00003518">
              <w:rPr>
                <w:noProof/>
                <w:webHidden/>
              </w:rPr>
              <w:fldChar w:fldCharType="separate"/>
            </w:r>
            <w:r>
              <w:rPr>
                <w:noProof/>
                <w:webHidden/>
              </w:rPr>
              <w:t>5</w:t>
            </w:r>
            <w:r w:rsidR="00003518">
              <w:rPr>
                <w:noProof/>
                <w:webHidden/>
              </w:rPr>
              <w:fldChar w:fldCharType="end"/>
            </w:r>
          </w:hyperlink>
        </w:p>
        <w:p w14:paraId="08D2F38E" w14:textId="0A0F7F0A" w:rsidR="00003518" w:rsidRDefault="005A277E">
          <w:pPr>
            <w:pStyle w:val="TOC1"/>
            <w:tabs>
              <w:tab w:val="right" w:leader="dot" w:pos="9016"/>
            </w:tabs>
            <w:rPr>
              <w:rFonts w:eastAsiaTheme="minorEastAsia" w:cstheme="minorBidi"/>
              <w:b w:val="0"/>
              <w:bCs w:val="0"/>
              <w:noProof/>
              <w:color w:val="auto"/>
              <w:sz w:val="22"/>
              <w:szCs w:val="22"/>
            </w:rPr>
          </w:pPr>
          <w:hyperlink w:anchor="_Toc105592202" w:history="1">
            <w:r w:rsidR="00003518" w:rsidRPr="008968D4">
              <w:rPr>
                <w:rStyle w:val="Hyperlink"/>
                <w:noProof/>
              </w:rPr>
              <w:t>About the survey</w:t>
            </w:r>
            <w:r w:rsidR="00003518">
              <w:rPr>
                <w:noProof/>
                <w:webHidden/>
              </w:rPr>
              <w:tab/>
            </w:r>
            <w:r w:rsidR="00003518">
              <w:rPr>
                <w:noProof/>
                <w:webHidden/>
              </w:rPr>
              <w:fldChar w:fldCharType="begin"/>
            </w:r>
            <w:r w:rsidR="00003518">
              <w:rPr>
                <w:noProof/>
                <w:webHidden/>
              </w:rPr>
              <w:instrText xml:space="preserve"> PAGEREF _Toc105592202 \h </w:instrText>
            </w:r>
            <w:r w:rsidR="00003518">
              <w:rPr>
                <w:noProof/>
                <w:webHidden/>
              </w:rPr>
            </w:r>
            <w:r w:rsidR="00003518">
              <w:rPr>
                <w:noProof/>
                <w:webHidden/>
              </w:rPr>
              <w:fldChar w:fldCharType="separate"/>
            </w:r>
            <w:r>
              <w:rPr>
                <w:noProof/>
                <w:webHidden/>
              </w:rPr>
              <w:t>5</w:t>
            </w:r>
            <w:r w:rsidR="00003518">
              <w:rPr>
                <w:noProof/>
                <w:webHidden/>
              </w:rPr>
              <w:fldChar w:fldCharType="end"/>
            </w:r>
          </w:hyperlink>
        </w:p>
        <w:p w14:paraId="1FD63A6C" w14:textId="256842F0" w:rsidR="00003518" w:rsidRDefault="005A277E">
          <w:pPr>
            <w:pStyle w:val="TOC2"/>
            <w:rPr>
              <w:rFonts w:eastAsiaTheme="minorEastAsia" w:cstheme="minorBidi"/>
              <w:noProof/>
              <w:szCs w:val="22"/>
            </w:rPr>
          </w:pPr>
          <w:hyperlink w:anchor="_Toc105592203" w:history="1">
            <w:r w:rsidR="00003518" w:rsidRPr="008968D4">
              <w:rPr>
                <w:rStyle w:val="Hyperlink"/>
                <w:noProof/>
              </w:rPr>
              <w:t>Survey results</w:t>
            </w:r>
            <w:r w:rsidR="00003518">
              <w:rPr>
                <w:noProof/>
                <w:webHidden/>
              </w:rPr>
              <w:tab/>
            </w:r>
            <w:r w:rsidR="00003518">
              <w:rPr>
                <w:noProof/>
                <w:webHidden/>
              </w:rPr>
              <w:fldChar w:fldCharType="begin"/>
            </w:r>
            <w:r w:rsidR="00003518">
              <w:rPr>
                <w:noProof/>
                <w:webHidden/>
              </w:rPr>
              <w:instrText xml:space="preserve"> PAGEREF _Toc105592203 \h </w:instrText>
            </w:r>
            <w:r w:rsidR="00003518">
              <w:rPr>
                <w:noProof/>
                <w:webHidden/>
              </w:rPr>
            </w:r>
            <w:r w:rsidR="00003518">
              <w:rPr>
                <w:noProof/>
                <w:webHidden/>
              </w:rPr>
              <w:fldChar w:fldCharType="separate"/>
            </w:r>
            <w:r>
              <w:rPr>
                <w:noProof/>
                <w:webHidden/>
              </w:rPr>
              <w:t>5</w:t>
            </w:r>
            <w:r w:rsidR="00003518">
              <w:rPr>
                <w:noProof/>
                <w:webHidden/>
              </w:rPr>
              <w:fldChar w:fldCharType="end"/>
            </w:r>
          </w:hyperlink>
        </w:p>
        <w:p w14:paraId="788BFEAC" w14:textId="4C74AA9C" w:rsidR="00003518" w:rsidRDefault="005A277E">
          <w:pPr>
            <w:pStyle w:val="TOC2"/>
            <w:rPr>
              <w:rFonts w:eastAsiaTheme="minorEastAsia" w:cstheme="minorBidi"/>
              <w:noProof/>
              <w:szCs w:val="22"/>
            </w:rPr>
          </w:pPr>
          <w:hyperlink w:anchor="_Toc105592204" w:history="1">
            <w:r w:rsidR="00003518" w:rsidRPr="008968D4">
              <w:rPr>
                <w:rStyle w:val="Hyperlink"/>
                <w:rFonts w:eastAsiaTheme="majorEastAsia"/>
                <w:noProof/>
              </w:rPr>
              <w:t>Awareness and use of Commission resources</w:t>
            </w:r>
            <w:r w:rsidR="00003518">
              <w:rPr>
                <w:noProof/>
                <w:webHidden/>
              </w:rPr>
              <w:tab/>
            </w:r>
            <w:r w:rsidR="00003518">
              <w:rPr>
                <w:noProof/>
                <w:webHidden/>
              </w:rPr>
              <w:fldChar w:fldCharType="begin"/>
            </w:r>
            <w:r w:rsidR="00003518">
              <w:rPr>
                <w:noProof/>
                <w:webHidden/>
              </w:rPr>
              <w:instrText xml:space="preserve"> PAGEREF _Toc105592204 \h </w:instrText>
            </w:r>
            <w:r w:rsidR="00003518">
              <w:rPr>
                <w:noProof/>
                <w:webHidden/>
              </w:rPr>
            </w:r>
            <w:r w:rsidR="00003518">
              <w:rPr>
                <w:noProof/>
                <w:webHidden/>
              </w:rPr>
              <w:fldChar w:fldCharType="separate"/>
            </w:r>
            <w:r>
              <w:rPr>
                <w:noProof/>
                <w:webHidden/>
              </w:rPr>
              <w:t>12</w:t>
            </w:r>
            <w:r w:rsidR="00003518">
              <w:rPr>
                <w:noProof/>
                <w:webHidden/>
              </w:rPr>
              <w:fldChar w:fldCharType="end"/>
            </w:r>
          </w:hyperlink>
        </w:p>
        <w:p w14:paraId="2DB60A97" w14:textId="553DB391" w:rsidR="00003518" w:rsidRDefault="005A277E">
          <w:pPr>
            <w:pStyle w:val="TOC2"/>
            <w:rPr>
              <w:rFonts w:eastAsiaTheme="minorEastAsia" w:cstheme="minorBidi"/>
              <w:noProof/>
              <w:szCs w:val="22"/>
            </w:rPr>
          </w:pPr>
          <w:hyperlink w:anchor="_Toc105592205" w:history="1">
            <w:r w:rsidR="00003518" w:rsidRPr="008968D4">
              <w:rPr>
                <w:rStyle w:val="Hyperlink"/>
                <w:rFonts w:eastAsiaTheme="majorEastAsia"/>
                <w:noProof/>
              </w:rPr>
              <w:t>Website activity</w:t>
            </w:r>
            <w:r w:rsidR="00003518">
              <w:rPr>
                <w:noProof/>
                <w:webHidden/>
              </w:rPr>
              <w:tab/>
            </w:r>
            <w:r w:rsidR="00003518">
              <w:rPr>
                <w:noProof/>
                <w:webHidden/>
              </w:rPr>
              <w:fldChar w:fldCharType="begin"/>
            </w:r>
            <w:r w:rsidR="00003518">
              <w:rPr>
                <w:noProof/>
                <w:webHidden/>
              </w:rPr>
              <w:instrText xml:space="preserve"> PAGEREF _Toc105592205 \h </w:instrText>
            </w:r>
            <w:r w:rsidR="00003518">
              <w:rPr>
                <w:noProof/>
                <w:webHidden/>
              </w:rPr>
            </w:r>
            <w:r w:rsidR="00003518">
              <w:rPr>
                <w:noProof/>
                <w:webHidden/>
              </w:rPr>
              <w:fldChar w:fldCharType="separate"/>
            </w:r>
            <w:r>
              <w:rPr>
                <w:noProof/>
                <w:webHidden/>
              </w:rPr>
              <w:t>13</w:t>
            </w:r>
            <w:r w:rsidR="00003518">
              <w:rPr>
                <w:noProof/>
                <w:webHidden/>
              </w:rPr>
              <w:fldChar w:fldCharType="end"/>
            </w:r>
          </w:hyperlink>
        </w:p>
        <w:p w14:paraId="3BC1114E" w14:textId="1F695254" w:rsidR="00003518" w:rsidRDefault="005A277E">
          <w:pPr>
            <w:pStyle w:val="TOC2"/>
            <w:rPr>
              <w:rFonts w:eastAsiaTheme="minorEastAsia" w:cstheme="minorBidi"/>
              <w:noProof/>
              <w:szCs w:val="22"/>
            </w:rPr>
          </w:pPr>
          <w:hyperlink w:anchor="_Toc105592206" w:history="1">
            <w:r w:rsidR="00003518" w:rsidRPr="008968D4">
              <w:rPr>
                <w:rStyle w:val="Hyperlink"/>
                <w:noProof/>
              </w:rPr>
              <w:t>Resources – survey responses</w:t>
            </w:r>
            <w:r w:rsidR="00003518">
              <w:rPr>
                <w:noProof/>
                <w:webHidden/>
              </w:rPr>
              <w:tab/>
            </w:r>
            <w:r w:rsidR="00003518">
              <w:rPr>
                <w:noProof/>
                <w:webHidden/>
              </w:rPr>
              <w:fldChar w:fldCharType="begin"/>
            </w:r>
            <w:r w:rsidR="00003518">
              <w:rPr>
                <w:noProof/>
                <w:webHidden/>
              </w:rPr>
              <w:instrText xml:space="preserve"> PAGEREF _Toc105592206 \h </w:instrText>
            </w:r>
            <w:r w:rsidR="00003518">
              <w:rPr>
                <w:noProof/>
                <w:webHidden/>
              </w:rPr>
            </w:r>
            <w:r w:rsidR="00003518">
              <w:rPr>
                <w:noProof/>
                <w:webHidden/>
              </w:rPr>
              <w:fldChar w:fldCharType="separate"/>
            </w:r>
            <w:r>
              <w:rPr>
                <w:noProof/>
                <w:webHidden/>
              </w:rPr>
              <w:t>16</w:t>
            </w:r>
            <w:r w:rsidR="00003518">
              <w:rPr>
                <w:noProof/>
                <w:webHidden/>
              </w:rPr>
              <w:fldChar w:fldCharType="end"/>
            </w:r>
          </w:hyperlink>
        </w:p>
        <w:p w14:paraId="78C1BDFE" w14:textId="4DB5E5F8" w:rsidR="00003518" w:rsidRDefault="005A277E">
          <w:pPr>
            <w:pStyle w:val="TOC1"/>
            <w:tabs>
              <w:tab w:val="right" w:leader="dot" w:pos="9016"/>
            </w:tabs>
            <w:rPr>
              <w:rFonts w:eastAsiaTheme="minorEastAsia" w:cstheme="minorBidi"/>
              <w:b w:val="0"/>
              <w:bCs w:val="0"/>
              <w:noProof/>
              <w:color w:val="auto"/>
              <w:sz w:val="22"/>
              <w:szCs w:val="22"/>
            </w:rPr>
          </w:pPr>
          <w:hyperlink w:anchor="_Toc105592207" w:history="1">
            <w:r w:rsidR="00003518" w:rsidRPr="008968D4">
              <w:rPr>
                <w:rStyle w:val="Hyperlink"/>
                <w:noProof/>
              </w:rPr>
              <w:t>Recommendations</w:t>
            </w:r>
            <w:r w:rsidR="00003518">
              <w:rPr>
                <w:noProof/>
                <w:webHidden/>
              </w:rPr>
              <w:tab/>
            </w:r>
            <w:r w:rsidR="00003518">
              <w:rPr>
                <w:noProof/>
                <w:webHidden/>
              </w:rPr>
              <w:fldChar w:fldCharType="begin"/>
            </w:r>
            <w:r w:rsidR="00003518">
              <w:rPr>
                <w:noProof/>
                <w:webHidden/>
              </w:rPr>
              <w:instrText xml:space="preserve"> PAGEREF _Toc105592207 \h </w:instrText>
            </w:r>
            <w:r w:rsidR="00003518">
              <w:rPr>
                <w:noProof/>
                <w:webHidden/>
              </w:rPr>
            </w:r>
            <w:r w:rsidR="00003518">
              <w:rPr>
                <w:noProof/>
                <w:webHidden/>
              </w:rPr>
              <w:fldChar w:fldCharType="separate"/>
            </w:r>
            <w:r>
              <w:rPr>
                <w:noProof/>
                <w:webHidden/>
              </w:rPr>
              <w:t>19</w:t>
            </w:r>
            <w:r w:rsidR="00003518">
              <w:rPr>
                <w:noProof/>
                <w:webHidden/>
              </w:rPr>
              <w:fldChar w:fldCharType="end"/>
            </w:r>
          </w:hyperlink>
        </w:p>
        <w:p w14:paraId="1267CB8B" w14:textId="3BA29F40" w:rsidR="00942D34" w:rsidRDefault="00942D34">
          <w:r>
            <w:rPr>
              <w:b/>
              <w:bCs/>
              <w:noProof/>
            </w:rPr>
            <w:fldChar w:fldCharType="end"/>
          </w:r>
        </w:p>
      </w:sdtContent>
    </w:sdt>
    <w:p w14:paraId="6EA7B12D" w14:textId="77777777" w:rsidR="00942D34" w:rsidRPr="00CC366A" w:rsidRDefault="00942D34" w:rsidP="00CC366A"/>
    <w:p w14:paraId="19789F9E" w14:textId="77777777" w:rsidR="00942D34" w:rsidRDefault="00942D34">
      <w:pPr>
        <w:spacing w:after="80"/>
        <w:rPr>
          <w:rFonts w:cs="Arial"/>
          <w:b/>
          <w:bCs/>
          <w:color w:val="1178A2"/>
          <w:kern w:val="28"/>
          <w:sz w:val="40"/>
          <w:szCs w:val="32"/>
        </w:rPr>
      </w:pPr>
      <w:bookmarkStart w:id="7" w:name="_Toc103935697"/>
      <w:bookmarkEnd w:id="2"/>
      <w:bookmarkEnd w:id="3"/>
      <w:bookmarkEnd w:id="4"/>
      <w:bookmarkEnd w:id="5"/>
      <w:bookmarkEnd w:id="6"/>
      <w:r>
        <w:br w:type="page"/>
      </w:r>
    </w:p>
    <w:p w14:paraId="789295A3" w14:textId="0B88C84B" w:rsidR="009B64E3" w:rsidRDefault="00E67A60" w:rsidP="00CC366A">
      <w:pPr>
        <w:pStyle w:val="Heading1"/>
      </w:pPr>
      <w:bookmarkStart w:id="8" w:name="_Toc105592200"/>
      <w:r>
        <w:lastRenderedPageBreak/>
        <w:t>Background</w:t>
      </w:r>
      <w:bookmarkEnd w:id="7"/>
      <w:bookmarkEnd w:id="8"/>
    </w:p>
    <w:p w14:paraId="6C1770D3" w14:textId="34061348" w:rsidR="00E67A60" w:rsidRDefault="00E67A60" w:rsidP="00E67A60">
      <w:r w:rsidRPr="00385D71">
        <w:t xml:space="preserve">The </w:t>
      </w:r>
      <w:r>
        <w:t>Australian Commission on Safety and Quality in Health Care’s (the Commission)</w:t>
      </w:r>
      <w:r w:rsidRPr="00385D71">
        <w:t xml:space="preserve"> role is to lead and coordinate national improvements in the safety and quality of health care. </w:t>
      </w:r>
      <w:r w:rsidR="00D876ED" w:rsidRPr="00D876ED">
        <w:t xml:space="preserve">The Commission works in partnership with the Australian Government, state and territory governments and the private sector to achieve a safe, </w:t>
      </w:r>
      <w:proofErr w:type="gramStart"/>
      <w:r w:rsidR="00D876ED" w:rsidRPr="00D876ED">
        <w:t>high-quality</w:t>
      </w:r>
      <w:proofErr w:type="gramEnd"/>
      <w:r w:rsidR="00D876ED" w:rsidRPr="00D876ED">
        <w:t xml:space="preserve"> and sustainable health system. In doing so, the Commission also works closely with patients, carers, clinicians, managers, policymakers</w:t>
      </w:r>
      <w:r w:rsidR="00D876ED">
        <w:t>,</w:t>
      </w:r>
      <w:r w:rsidR="00D876ED" w:rsidRPr="00D876ED">
        <w:t xml:space="preserve"> and healthcare organisations.</w:t>
      </w:r>
      <w:r w:rsidRPr="00385D71">
        <w:t xml:space="preserve"> </w:t>
      </w:r>
    </w:p>
    <w:p w14:paraId="5A504650" w14:textId="77777777" w:rsidR="00E67A60" w:rsidRDefault="00E67A60" w:rsidP="00E67A60">
      <w:pPr>
        <w:rPr>
          <w:rFonts w:cs="Arial"/>
        </w:rPr>
      </w:pPr>
      <w:r w:rsidRPr="00385D71">
        <w:rPr>
          <w:rFonts w:cs="Arial"/>
        </w:rPr>
        <w:t>Key functions of the Commission include developing national safety and quality standards, developing clinical care standards to improve the implementation of evidence-based health care, coordinating work in specific areas to improve outcomes for patients, and providing information, publications and resources about safety and quality.</w:t>
      </w:r>
    </w:p>
    <w:p w14:paraId="3B380DA0" w14:textId="77777777" w:rsidR="00D876ED" w:rsidRPr="00D876ED" w:rsidRDefault="00D876ED" w:rsidP="00D876ED">
      <w:pPr>
        <w:rPr>
          <w:rFonts w:cs="Arial"/>
          <w:bCs/>
        </w:rPr>
      </w:pPr>
      <w:r w:rsidRPr="00D876ED">
        <w:rPr>
          <w:rFonts w:cs="Arial"/>
          <w:bCs/>
        </w:rPr>
        <w:t>The Commission works in four priority areas:</w:t>
      </w:r>
    </w:p>
    <w:p w14:paraId="706F79B4" w14:textId="77777777" w:rsidR="00D876ED" w:rsidRPr="00D876ED" w:rsidRDefault="00D876ED" w:rsidP="00D876ED">
      <w:pPr>
        <w:pStyle w:val="Numberedlists"/>
        <w:numPr>
          <w:ilvl w:val="0"/>
          <w:numId w:val="39"/>
        </w:numPr>
        <w:spacing w:before="0" w:after="0"/>
        <w:ind w:left="709" w:hanging="283"/>
        <w:contextualSpacing w:val="0"/>
      </w:pPr>
      <w:r w:rsidRPr="00D876ED">
        <w:t>Patient safety</w:t>
      </w:r>
    </w:p>
    <w:p w14:paraId="7F9CF2A3" w14:textId="77777777" w:rsidR="00D876ED" w:rsidRPr="00D876ED" w:rsidRDefault="00D876ED" w:rsidP="00D876ED">
      <w:pPr>
        <w:pStyle w:val="Numberedlists"/>
        <w:numPr>
          <w:ilvl w:val="0"/>
          <w:numId w:val="39"/>
        </w:numPr>
        <w:spacing w:before="0" w:after="0"/>
        <w:ind w:left="709" w:hanging="283"/>
        <w:contextualSpacing w:val="0"/>
      </w:pPr>
      <w:r w:rsidRPr="00D876ED">
        <w:t xml:space="preserve">Partnering with patients, </w:t>
      </w:r>
      <w:proofErr w:type="gramStart"/>
      <w:r w:rsidRPr="00D876ED">
        <w:t>consumers</w:t>
      </w:r>
      <w:proofErr w:type="gramEnd"/>
      <w:r w:rsidRPr="00D876ED">
        <w:t xml:space="preserve"> and communities</w:t>
      </w:r>
    </w:p>
    <w:p w14:paraId="431547FB" w14:textId="15247315" w:rsidR="00D876ED" w:rsidRPr="00D876ED" w:rsidRDefault="00D876ED" w:rsidP="00D876ED">
      <w:pPr>
        <w:pStyle w:val="Numberedlists"/>
        <w:numPr>
          <w:ilvl w:val="0"/>
          <w:numId w:val="39"/>
        </w:numPr>
        <w:spacing w:before="0" w:after="0"/>
        <w:ind w:left="709" w:hanging="283"/>
        <w:contextualSpacing w:val="0"/>
      </w:pPr>
      <w:r w:rsidRPr="00D876ED">
        <w:t xml:space="preserve">Quality, </w:t>
      </w:r>
      <w:proofErr w:type="gramStart"/>
      <w:r w:rsidRPr="00D876ED">
        <w:t>cost</w:t>
      </w:r>
      <w:proofErr w:type="gramEnd"/>
      <w:r w:rsidRPr="00D876ED">
        <w:t xml:space="preserve"> and value</w:t>
      </w:r>
    </w:p>
    <w:p w14:paraId="5BDD7A4F" w14:textId="77777777" w:rsidR="00D876ED" w:rsidRPr="00D876ED" w:rsidRDefault="00D876ED" w:rsidP="00D876ED">
      <w:pPr>
        <w:pStyle w:val="Numberedlists"/>
        <w:numPr>
          <w:ilvl w:val="0"/>
          <w:numId w:val="39"/>
        </w:numPr>
        <w:spacing w:before="0" w:after="0"/>
        <w:ind w:left="709" w:hanging="283"/>
        <w:contextualSpacing w:val="0"/>
      </w:pPr>
      <w:r w:rsidRPr="00D876ED">
        <w:t xml:space="preserve">Supporting health professionals to provide care that is informed, </w:t>
      </w:r>
      <w:proofErr w:type="gramStart"/>
      <w:r w:rsidRPr="00D876ED">
        <w:t>supported</w:t>
      </w:r>
      <w:proofErr w:type="gramEnd"/>
      <w:r w:rsidRPr="00D876ED">
        <w:t xml:space="preserve"> and organised to deliver safe and high-quality health</w:t>
      </w:r>
    </w:p>
    <w:p w14:paraId="2BAC8985" w14:textId="3AFB75A8" w:rsidR="00D876ED" w:rsidRPr="00D876ED" w:rsidRDefault="00D876ED" w:rsidP="00D876ED">
      <w:pPr>
        <w:pStyle w:val="Numberedlists"/>
        <w:numPr>
          <w:ilvl w:val="0"/>
          <w:numId w:val="0"/>
        </w:numPr>
        <w:spacing w:before="0" w:after="0"/>
        <w:ind w:left="709"/>
        <w:contextualSpacing w:val="0"/>
        <w:rPr>
          <w:sz w:val="20"/>
          <w:szCs w:val="20"/>
        </w:rPr>
      </w:pPr>
      <w:r w:rsidRPr="00D876ED">
        <w:rPr>
          <w:sz w:val="20"/>
          <w:szCs w:val="20"/>
        </w:rPr>
        <w:t xml:space="preserve"> </w:t>
      </w:r>
    </w:p>
    <w:p w14:paraId="54A6480C" w14:textId="7AEE868B" w:rsidR="00E67A60" w:rsidRDefault="00E67A60" w:rsidP="00D876ED">
      <w:pPr>
        <w:rPr>
          <w:rFonts w:cs="Arial"/>
        </w:rPr>
      </w:pPr>
      <w:r w:rsidRPr="00CE155C">
        <w:rPr>
          <w:rFonts w:cs="Arial"/>
        </w:rPr>
        <w:t xml:space="preserve">The National Safety and Quality Health Service (NSQHS) Standards were developed by the Commission in collaboration </w:t>
      </w:r>
      <w:r>
        <w:rPr>
          <w:rFonts w:cs="Arial"/>
        </w:rPr>
        <w:t>with the Australian Government,</w:t>
      </w:r>
      <w:r w:rsidRPr="00CE155C">
        <w:rPr>
          <w:rFonts w:cs="Arial"/>
        </w:rPr>
        <w:t xml:space="preserve"> states and territories, </w:t>
      </w:r>
      <w:r>
        <w:rPr>
          <w:rFonts w:cs="Arial"/>
        </w:rPr>
        <w:t xml:space="preserve">private providers, </w:t>
      </w:r>
      <w:r w:rsidRPr="00CE155C">
        <w:rPr>
          <w:rFonts w:cs="Arial"/>
        </w:rPr>
        <w:t xml:space="preserve">clinical experts, </w:t>
      </w:r>
      <w:r w:rsidR="00312DBB" w:rsidRPr="00CE155C">
        <w:rPr>
          <w:rFonts w:cs="Arial"/>
        </w:rPr>
        <w:t>patients,</w:t>
      </w:r>
      <w:r w:rsidRPr="00CE155C">
        <w:rPr>
          <w:rFonts w:cs="Arial"/>
        </w:rPr>
        <w:t xml:space="preserve"> and carers. The primary aims of the NSQHS Standards are to protect the public from harm and to improve the quality of health service provision. The</w:t>
      </w:r>
      <w:r>
        <w:rPr>
          <w:rFonts w:cs="Arial"/>
        </w:rPr>
        <w:t xml:space="preserve"> NSQHS Standards</w:t>
      </w:r>
      <w:r w:rsidRPr="00CE155C">
        <w:rPr>
          <w:rFonts w:cs="Arial"/>
        </w:rPr>
        <w:t xml:space="preserve"> provide a quality-assurance mechanism that tests whether relevant systems are in place to ensure expected standards of safety and quality are met.</w:t>
      </w:r>
    </w:p>
    <w:p w14:paraId="337279C4" w14:textId="77777777" w:rsidR="00E67A60" w:rsidRDefault="00E67A60" w:rsidP="00E67A60">
      <w:r>
        <w:t xml:space="preserve">The second edition of the NSQHS Standards includes eight standards: </w:t>
      </w:r>
    </w:p>
    <w:p w14:paraId="6C2E17E2" w14:textId="521408CE" w:rsidR="00E67A60" w:rsidRDefault="00E67A60" w:rsidP="00E67A60">
      <w:pPr>
        <w:pStyle w:val="Bulletlist"/>
      </w:pPr>
      <w:r>
        <w:t>Clinical Governance Standard</w:t>
      </w:r>
    </w:p>
    <w:p w14:paraId="0D38F9F3" w14:textId="06557249" w:rsidR="00E67A60" w:rsidRDefault="00E67A60" w:rsidP="00E67A60">
      <w:pPr>
        <w:pStyle w:val="Bulletlist"/>
      </w:pPr>
      <w:r>
        <w:t>Partnering with Consumers Standard</w:t>
      </w:r>
    </w:p>
    <w:p w14:paraId="734809C2" w14:textId="26EC6EDA" w:rsidR="00E67A60" w:rsidRDefault="00E67A60" w:rsidP="00E67A60">
      <w:pPr>
        <w:pStyle w:val="Bulletlist"/>
      </w:pPr>
      <w:r>
        <w:t xml:space="preserve">Preventing and Controlling Infection Standard </w:t>
      </w:r>
    </w:p>
    <w:p w14:paraId="1D199062" w14:textId="6B3399AE" w:rsidR="00E67A60" w:rsidRDefault="00E67A60" w:rsidP="00E67A60">
      <w:pPr>
        <w:pStyle w:val="Bulletlist"/>
      </w:pPr>
      <w:r>
        <w:t xml:space="preserve">Medication Safety Standard </w:t>
      </w:r>
    </w:p>
    <w:p w14:paraId="2EA665F6" w14:textId="2E4B4B42" w:rsidR="00E67A60" w:rsidRDefault="00E67A60" w:rsidP="00E67A60">
      <w:pPr>
        <w:pStyle w:val="Bulletlist"/>
      </w:pPr>
      <w:r>
        <w:t xml:space="preserve">Comprehensive Care Standard </w:t>
      </w:r>
    </w:p>
    <w:p w14:paraId="31DAC70C" w14:textId="34DA680B" w:rsidR="00E67A60" w:rsidRDefault="00E67A60" w:rsidP="00E67A60">
      <w:pPr>
        <w:pStyle w:val="Bulletlist"/>
      </w:pPr>
      <w:r>
        <w:t>Communicating for Safety Standard</w:t>
      </w:r>
    </w:p>
    <w:p w14:paraId="3D6312B8" w14:textId="5AEDCB96" w:rsidR="00E67A60" w:rsidRDefault="00E67A60" w:rsidP="00E67A60">
      <w:pPr>
        <w:pStyle w:val="Bulletlist"/>
      </w:pPr>
      <w:r>
        <w:t>Blood Management Standard</w:t>
      </w:r>
    </w:p>
    <w:p w14:paraId="28C15873" w14:textId="45F0BF15" w:rsidR="00E67A60" w:rsidRDefault="00E67A60" w:rsidP="00E67A60">
      <w:pPr>
        <w:pStyle w:val="Bulletlist"/>
      </w:pPr>
      <w:r>
        <w:t xml:space="preserve">Recognising and Responding to Acute Deterioration Standard. </w:t>
      </w:r>
    </w:p>
    <w:p w14:paraId="13D8DA81" w14:textId="5653E183" w:rsidR="006A7DEB" w:rsidRPr="006A7DEB" w:rsidRDefault="00E67A60" w:rsidP="009D3308">
      <w:r>
        <w:t>The Comprehensive Care Standard relates to the delivery of comprehensive care for patients within a health service organisation. Safety and quality gaps are frequently reported as failures to provide adequate care for specific conditions, or in specific situations or settings, or to achieve expected outcomes in particular populations.</w:t>
      </w:r>
      <w:r w:rsidR="009D3308">
        <w:t xml:space="preserve"> </w:t>
      </w:r>
      <w:r w:rsidR="006A7DEB" w:rsidRPr="006A7DEB">
        <w:t>The Comprehensive Care Standard was developed to address the cross-cutting issues underlying many adverse events in health care. It recognises the need for care to be centred on patient goals and wellbeing.  It also addresses important issues not included in the first edition of the NSQHS Standards, such as mental health, cognitive impairment, health literacy, end-of-life care, and Aboriginal and Torres Strait Islander health. These have the potential for significant improvements in care.</w:t>
      </w:r>
    </w:p>
    <w:p w14:paraId="56473593" w14:textId="77777777" w:rsidR="006A7DEB" w:rsidRDefault="006A7DEB" w:rsidP="006A7DEB">
      <w:pPr>
        <w:spacing w:after="120"/>
      </w:pPr>
      <w:r w:rsidRPr="006A7DEB">
        <w:t>The new standard aims to ensure that a patient’s goals and risks of harm are identified so that comprehensive care plans can be developed and delivered to meet their needs. It also recognises the importance of teamwork and collaboration to provide comprehensive care. Along with new actions, the new standard includes actions from the Preventing and Managing Pressure Injuries Standard and the Preventing Falls and Harm from Falls Standard from the first edition.</w:t>
      </w:r>
    </w:p>
    <w:p w14:paraId="587E6F6B" w14:textId="51B479C0" w:rsidR="006A7DEB" w:rsidRDefault="00AA374F" w:rsidP="006A7DEB">
      <w:pPr>
        <w:spacing w:after="120"/>
      </w:pPr>
      <w:r>
        <w:lastRenderedPageBreak/>
        <w:t>T</w:t>
      </w:r>
      <w:r w:rsidR="006A7DEB">
        <w:t xml:space="preserve">wo advisories (see below) were released to allow for staged implementation </w:t>
      </w:r>
      <w:r>
        <w:t xml:space="preserve">of the Comprehensive Care Standard </w:t>
      </w:r>
      <w:r w:rsidR="006A7DEB">
        <w:t>until December 2022</w:t>
      </w:r>
      <w:r>
        <w:t>.</w:t>
      </w:r>
    </w:p>
    <w:p w14:paraId="09F9DB25" w14:textId="495F416D" w:rsidR="006A7DEB" w:rsidRDefault="005A277E" w:rsidP="006A7DEB">
      <w:pPr>
        <w:spacing w:after="120"/>
        <w:rPr>
          <w:b/>
          <w:bCs/>
        </w:rPr>
      </w:pPr>
      <w:hyperlink r:id="rId13" w:history="1">
        <w:r w:rsidR="006A7DEB" w:rsidRPr="006A7DEB">
          <w:rPr>
            <w:rStyle w:val="Hyperlink"/>
            <w:b/>
            <w:bCs/>
          </w:rPr>
          <w:t>AS18/14: Comprehensive Care Standard: Screening and assessment for risk of harm</w:t>
        </w:r>
      </w:hyperlink>
      <w:r w:rsidR="006A7DEB">
        <w:rPr>
          <w:b/>
          <w:bCs/>
        </w:rPr>
        <w:t xml:space="preserve"> </w:t>
      </w:r>
    </w:p>
    <w:p w14:paraId="2C0B7D26" w14:textId="665DBF19" w:rsidR="003F2925" w:rsidRDefault="005A277E" w:rsidP="006A7DEB">
      <w:pPr>
        <w:spacing w:after="120"/>
      </w:pPr>
      <w:hyperlink r:id="rId14" w:history="1">
        <w:r w:rsidR="006A7DEB" w:rsidRPr="006A7DEB">
          <w:rPr>
            <w:rStyle w:val="Hyperlink"/>
            <w:b/>
            <w:bCs/>
          </w:rPr>
          <w:t>AS18/15: Comprehensive Care Standard: Developing the comprehensive care plan</w:t>
        </w:r>
      </w:hyperlink>
      <w:r w:rsidR="006A7DEB">
        <w:rPr>
          <w:b/>
          <w:bCs/>
        </w:rPr>
        <w:t xml:space="preserve">. </w:t>
      </w:r>
    </w:p>
    <w:p w14:paraId="5D8E52B8" w14:textId="2002753D" w:rsidR="00CB733F" w:rsidRDefault="00E67A60" w:rsidP="00BB28D1">
      <w:pPr>
        <w:pStyle w:val="Heading1"/>
      </w:pPr>
      <w:bookmarkStart w:id="9" w:name="_Toc103935698"/>
      <w:bookmarkStart w:id="10" w:name="_Toc105592201"/>
      <w:r>
        <w:t>Purpose</w:t>
      </w:r>
      <w:bookmarkEnd w:id="9"/>
      <w:bookmarkEnd w:id="10"/>
    </w:p>
    <w:p w14:paraId="16F8FC78" w14:textId="73F092F1" w:rsidR="00294909" w:rsidRPr="00B711EB" w:rsidRDefault="003F2925" w:rsidP="00294909">
      <w:pPr>
        <w:rPr>
          <w:rFonts w:ascii="Arial" w:hAnsi="Arial" w:cs="Arial"/>
        </w:rPr>
      </w:pPr>
      <w:r w:rsidRPr="00285E58">
        <w:rPr>
          <w:rFonts w:ascii="Arial" w:hAnsi="Arial" w:cs="Arial"/>
        </w:rPr>
        <w:t>The Commission</w:t>
      </w:r>
      <w:r>
        <w:rPr>
          <w:rFonts w:ascii="Arial" w:hAnsi="Arial" w:cs="Arial"/>
        </w:rPr>
        <w:t xml:space="preserve"> is committed to </w:t>
      </w:r>
      <w:r w:rsidR="00834007">
        <w:rPr>
          <w:rFonts w:ascii="Arial" w:hAnsi="Arial" w:cs="Arial"/>
        </w:rPr>
        <w:t>review</w:t>
      </w:r>
      <w:r>
        <w:rPr>
          <w:rFonts w:ascii="Arial" w:hAnsi="Arial" w:cs="Arial"/>
        </w:rPr>
        <w:t>ing the</w:t>
      </w:r>
      <w:r w:rsidRPr="00285E58">
        <w:rPr>
          <w:rFonts w:ascii="Arial" w:hAnsi="Arial" w:cs="Arial"/>
        </w:rPr>
        <w:t xml:space="preserve"> implementation of the Comprehensive Care Standard</w:t>
      </w:r>
      <w:r>
        <w:rPr>
          <w:rFonts w:ascii="Arial" w:hAnsi="Arial" w:cs="Arial"/>
        </w:rPr>
        <w:t xml:space="preserve"> and </w:t>
      </w:r>
      <w:r w:rsidR="00294909" w:rsidRPr="00B711EB">
        <w:rPr>
          <w:rFonts w:ascii="Arial" w:hAnsi="Arial" w:cs="Arial"/>
        </w:rPr>
        <w:t>the use and usability of guidance to support delivery of comprehensive care</w:t>
      </w:r>
      <w:r w:rsidR="00294909">
        <w:rPr>
          <w:rFonts w:ascii="Arial" w:hAnsi="Arial" w:cs="Arial"/>
        </w:rPr>
        <w:t xml:space="preserve"> </w:t>
      </w:r>
      <w:r>
        <w:rPr>
          <w:rFonts w:ascii="Arial" w:hAnsi="Arial" w:cs="Arial"/>
        </w:rPr>
        <w:t>as part of the organisational work plan</w:t>
      </w:r>
      <w:r w:rsidRPr="00285E58">
        <w:rPr>
          <w:rFonts w:ascii="Arial" w:hAnsi="Arial" w:cs="Arial"/>
        </w:rPr>
        <w:t xml:space="preserve">. </w:t>
      </w:r>
    </w:p>
    <w:p w14:paraId="159008F1" w14:textId="50A94B6B" w:rsidR="003F2925" w:rsidRDefault="003F2925" w:rsidP="003F2925">
      <w:r>
        <w:t>This report presents the results of a survey provided to health service organisations</w:t>
      </w:r>
      <w:r w:rsidR="00970848">
        <w:t xml:space="preserve"> (HSOs)</w:t>
      </w:r>
      <w:r>
        <w:t xml:space="preserve"> that had undergone assessment to the NSQHS Standards and had completed accreditation processes</w:t>
      </w:r>
      <w:r w:rsidR="0053208D">
        <w:t xml:space="preserve"> from </w:t>
      </w:r>
      <w:r w:rsidR="00970848">
        <w:t>December 2020 to March 2021</w:t>
      </w:r>
      <w:r>
        <w:t>. The report also includes information about awareness of Commission resources</w:t>
      </w:r>
      <w:r w:rsidR="00AB7B9C">
        <w:t xml:space="preserve">, </w:t>
      </w:r>
      <w:r>
        <w:t>how they are being used</w:t>
      </w:r>
      <w:r w:rsidR="00294909">
        <w:t>,</w:t>
      </w:r>
      <w:r w:rsidR="008E1FAC">
        <w:t xml:space="preserve"> and </w:t>
      </w:r>
      <w:r w:rsidR="008E1FAC" w:rsidRPr="008E1FAC">
        <w:t>website traffic to determine how often resources were accessed.</w:t>
      </w:r>
    </w:p>
    <w:p w14:paraId="15E784D3" w14:textId="256FDEF8" w:rsidR="00E15695" w:rsidRPr="009424A5" w:rsidRDefault="00BB28D1" w:rsidP="00BB28D1">
      <w:pPr>
        <w:pStyle w:val="Heading1"/>
      </w:pPr>
      <w:bookmarkStart w:id="11" w:name="_Toc105592202"/>
      <w:bookmarkStart w:id="12" w:name="_Toc103935699"/>
      <w:r>
        <w:t>About the s</w:t>
      </w:r>
      <w:r w:rsidR="00E15695">
        <w:t>urvey</w:t>
      </w:r>
      <w:bookmarkEnd w:id="11"/>
      <w:r w:rsidR="00E15695">
        <w:t xml:space="preserve"> </w:t>
      </w:r>
    </w:p>
    <w:p w14:paraId="0FC7C3F5" w14:textId="3C3737FC" w:rsidR="00A03545" w:rsidRDefault="00E15695" w:rsidP="00A03545">
      <w:r>
        <w:rPr>
          <w:rFonts w:ascii="Arial" w:hAnsi="Arial" w:cs="Arial"/>
        </w:rPr>
        <w:t>A</w:t>
      </w:r>
      <w:r>
        <w:t xml:space="preserve"> survey was developed to gather information from health service organisations about their experience implementing the Comprehensive Care Standard. The survey (Appendix 1) aimed to determine the progress of comprehensive care implementation and to identify challenges and ongoing stakeholder needs. The survey was distributed via SurveyMonkey alongside a </w:t>
      </w:r>
      <w:r w:rsidR="00103494">
        <w:t>standard</w:t>
      </w:r>
      <w:r>
        <w:t xml:space="preserve"> post assessment survey</w:t>
      </w:r>
      <w:r w:rsidR="00103494">
        <w:t xml:space="preserve"> that is sent regularly by the Commission to </w:t>
      </w:r>
      <w:r w:rsidR="00970848">
        <w:t xml:space="preserve">HSOs </w:t>
      </w:r>
      <w:r w:rsidR="00103494">
        <w:t>undergoing accreditation</w:t>
      </w:r>
      <w:r>
        <w:t xml:space="preserve">. </w:t>
      </w:r>
      <w:r w:rsidR="00103494">
        <w:t xml:space="preserve">The routine survey seeks to review experiences of the Australian Health Service Safety and Quality Accreditation Scheme. </w:t>
      </w:r>
      <w:r w:rsidR="00A03545">
        <w:t>It</w:t>
      </w:r>
      <w:r>
        <w:t xml:space="preserve"> does not usually </w:t>
      </w:r>
      <w:r w:rsidR="00A03545">
        <w:t>include questions</w:t>
      </w:r>
      <w:r>
        <w:t xml:space="preserve"> about experiences of implementing the actions in the NSQHS </w:t>
      </w:r>
      <w:r w:rsidR="002B479D">
        <w:t>Standards,</w:t>
      </w:r>
      <w:r>
        <w:t xml:space="preserve"> </w:t>
      </w:r>
      <w:r w:rsidR="00103494">
        <w:t>so this was an additional voluntary task for recipients</w:t>
      </w:r>
      <w:r>
        <w:t>.</w:t>
      </w:r>
      <w:r w:rsidR="00103494" w:rsidRPr="00103494">
        <w:t xml:space="preserve"> </w:t>
      </w:r>
      <w:r w:rsidR="00294909">
        <w:t>T</w:t>
      </w:r>
      <w:r w:rsidR="00A03545">
        <w:t xml:space="preserve">he group was uniquely </w:t>
      </w:r>
      <w:r w:rsidR="00970848">
        <w:t>suited</w:t>
      </w:r>
      <w:r w:rsidR="00A03545">
        <w:t xml:space="preserve"> to provide data about the experience of implementing the Comprehensive Care Standard.</w:t>
      </w:r>
    </w:p>
    <w:p w14:paraId="452481ED" w14:textId="35572B5D" w:rsidR="00E15695" w:rsidRDefault="00103494" w:rsidP="00A03545">
      <w:pPr>
        <w:spacing w:after="120"/>
      </w:pPr>
      <w:r>
        <w:t xml:space="preserve">The survey was distributed to all </w:t>
      </w:r>
      <w:r w:rsidR="00970848">
        <w:t xml:space="preserve">HSOs </w:t>
      </w:r>
      <w:r>
        <w:t>that had undergone assessment to the NSQHS Standards between 1 December 2020 to 29 March 202</w:t>
      </w:r>
      <w:r w:rsidR="00970848">
        <w:t>1.</w:t>
      </w:r>
      <w:r w:rsidR="00312DBB">
        <w:t xml:space="preserve"> </w:t>
      </w:r>
      <w:r w:rsidR="00E15695">
        <w:t xml:space="preserve">In addition, a modified version of the survey was made available on the Commission’s website, to allow general access by </w:t>
      </w:r>
      <w:r w:rsidR="00970848">
        <w:t xml:space="preserve">HSOs </w:t>
      </w:r>
      <w:r w:rsidR="00E15695">
        <w:t xml:space="preserve">that may be implementing the Comprehensive Care Standard but were yet to undergo assessment. </w:t>
      </w:r>
      <w:r w:rsidR="00A03545">
        <w:t>T</w:t>
      </w:r>
      <w:r w:rsidR="00E15695">
        <w:t xml:space="preserve">his was to capture experiences of </w:t>
      </w:r>
      <w:r w:rsidR="00970848">
        <w:t>HSO</w:t>
      </w:r>
      <w:r w:rsidR="00E15695">
        <w:t xml:space="preserve">s that have commenced their planning for </w:t>
      </w:r>
      <w:r w:rsidR="00A03545">
        <w:t>c</w:t>
      </w:r>
      <w:r w:rsidR="00E15695">
        <w:t xml:space="preserve">omprehensive </w:t>
      </w:r>
      <w:r w:rsidR="009D37D6">
        <w:t>care and</w:t>
      </w:r>
      <w:r w:rsidR="00E15695">
        <w:t xml:space="preserve"> may have feedback to offer about their experience implementing the standard to date.</w:t>
      </w:r>
      <w:r w:rsidR="00A03545">
        <w:t xml:space="preserve"> No responses were received via this portal.</w:t>
      </w:r>
    </w:p>
    <w:bookmarkEnd w:id="12"/>
    <w:p w14:paraId="6A99DEE6" w14:textId="3E3FFD0A" w:rsidR="00A03545" w:rsidRDefault="00A03545" w:rsidP="00A03545">
      <w:r>
        <w:t xml:space="preserve">The survey was sent to 327 contacts for the 459 </w:t>
      </w:r>
      <w:r w:rsidR="00970848">
        <w:t xml:space="preserve">HSOs </w:t>
      </w:r>
      <w:r>
        <w:t>that completed assessment to the NSQHS Standards</w:t>
      </w:r>
      <w:r>
        <w:rPr>
          <w:rFonts w:ascii="Arial" w:hAnsi="Arial" w:cs="Arial"/>
        </w:rPr>
        <w:t xml:space="preserve">. </w:t>
      </w:r>
      <w:r w:rsidR="00970848">
        <w:rPr>
          <w:rFonts w:ascii="Arial" w:hAnsi="Arial" w:cs="Arial"/>
        </w:rPr>
        <w:t>T</w:t>
      </w:r>
      <w:r>
        <w:rPr>
          <w:rFonts w:ascii="Arial" w:hAnsi="Arial" w:cs="Arial"/>
        </w:rPr>
        <w:t xml:space="preserve">he same person </w:t>
      </w:r>
      <w:r w:rsidR="00970848">
        <w:rPr>
          <w:rFonts w:ascii="Arial" w:hAnsi="Arial" w:cs="Arial"/>
        </w:rPr>
        <w:t xml:space="preserve">was often </w:t>
      </w:r>
      <w:r>
        <w:rPr>
          <w:rFonts w:ascii="Arial" w:hAnsi="Arial" w:cs="Arial"/>
        </w:rPr>
        <w:t xml:space="preserve">nominated </w:t>
      </w:r>
      <w:r w:rsidR="00970848">
        <w:rPr>
          <w:rFonts w:ascii="Arial" w:hAnsi="Arial" w:cs="Arial"/>
        </w:rPr>
        <w:t xml:space="preserve">as contact person </w:t>
      </w:r>
      <w:r>
        <w:rPr>
          <w:rFonts w:ascii="Arial" w:hAnsi="Arial" w:cs="Arial"/>
        </w:rPr>
        <w:t>for multiple</w:t>
      </w:r>
      <w:r w:rsidR="00970848">
        <w:rPr>
          <w:rFonts w:ascii="Arial" w:hAnsi="Arial" w:cs="Arial"/>
        </w:rPr>
        <w:t xml:space="preserve"> HSOs</w:t>
      </w:r>
      <w:r>
        <w:rPr>
          <w:rFonts w:ascii="Arial" w:hAnsi="Arial" w:cs="Arial"/>
        </w:rPr>
        <w:t>. The survey received 106 responses</w:t>
      </w:r>
      <w:r w:rsidR="00970848">
        <w:rPr>
          <w:rFonts w:ascii="Arial" w:hAnsi="Arial" w:cs="Arial"/>
        </w:rPr>
        <w:t xml:space="preserve"> over four months</w:t>
      </w:r>
      <w:r>
        <w:rPr>
          <w:rFonts w:ascii="Arial" w:hAnsi="Arial" w:cs="Arial"/>
        </w:rPr>
        <w:t xml:space="preserve">. Not all questions were answered by all responders. </w:t>
      </w:r>
    </w:p>
    <w:p w14:paraId="6D7DFEF6" w14:textId="056C7FCE" w:rsidR="006D7F96" w:rsidRDefault="00A03545" w:rsidP="00BB28D1">
      <w:pPr>
        <w:pStyle w:val="Heading2"/>
      </w:pPr>
      <w:bookmarkStart w:id="13" w:name="_Toc105592203"/>
      <w:r>
        <w:t xml:space="preserve">Survey </w:t>
      </w:r>
      <w:r w:rsidR="00BB28D1">
        <w:t>r</w:t>
      </w:r>
      <w:r>
        <w:t>esults</w:t>
      </w:r>
      <w:bookmarkEnd w:id="13"/>
    </w:p>
    <w:p w14:paraId="3DDF3D1D" w14:textId="77777777" w:rsidR="00A03545" w:rsidRDefault="00A03545" w:rsidP="00A03545">
      <w:r>
        <w:t>The survey data was used to identify:</w:t>
      </w:r>
    </w:p>
    <w:p w14:paraId="383863FE" w14:textId="6AC815A5" w:rsidR="00A03545" w:rsidRDefault="00970848" w:rsidP="00A03545">
      <w:pPr>
        <w:pStyle w:val="ListParagraph"/>
        <w:numPr>
          <w:ilvl w:val="0"/>
          <w:numId w:val="26"/>
        </w:numPr>
      </w:pPr>
      <w:r>
        <w:t xml:space="preserve">HSO </w:t>
      </w:r>
      <w:r w:rsidR="00A03545">
        <w:t>types and localities and their experiences of implementing the Comprehensive Care Standard</w:t>
      </w:r>
    </w:p>
    <w:p w14:paraId="6660D4AC" w14:textId="77B908F2" w:rsidR="00A03545" w:rsidRDefault="00A03545" w:rsidP="00A03545">
      <w:pPr>
        <w:pStyle w:val="ListParagraph"/>
        <w:numPr>
          <w:ilvl w:val="0"/>
          <w:numId w:val="26"/>
        </w:numPr>
      </w:pPr>
      <w:r>
        <w:t xml:space="preserve">Areas or actions within the Comprehensive Care Standard that </w:t>
      </w:r>
      <w:r w:rsidR="00970848">
        <w:t xml:space="preserve">HSOs </w:t>
      </w:r>
      <w:r>
        <w:t>find challenging to implement</w:t>
      </w:r>
    </w:p>
    <w:p w14:paraId="2BCBBCAD" w14:textId="77777777" w:rsidR="00A03545" w:rsidRDefault="00A03545" w:rsidP="00A03545">
      <w:pPr>
        <w:pStyle w:val="ListParagraph"/>
        <w:numPr>
          <w:ilvl w:val="0"/>
          <w:numId w:val="26"/>
        </w:numPr>
      </w:pPr>
      <w:r>
        <w:t>Actions or resources that support consumers, when implementing the standard.</w:t>
      </w:r>
    </w:p>
    <w:p w14:paraId="1CCBCA12" w14:textId="77777777" w:rsidR="00A03545" w:rsidRDefault="00A03545">
      <w:pPr>
        <w:spacing w:after="80"/>
        <w:rPr>
          <w:b/>
          <w:bCs/>
          <w:color w:val="404040" w:themeColor="text1" w:themeTint="BF"/>
          <w:sz w:val="26"/>
          <w:szCs w:val="26"/>
        </w:rPr>
      </w:pPr>
      <w:r>
        <w:br w:type="page"/>
      </w:r>
    </w:p>
    <w:p w14:paraId="3259B1A7" w14:textId="1656D8E7" w:rsidR="00A03545" w:rsidRPr="00A03545" w:rsidRDefault="00A03545" w:rsidP="00BB28D1">
      <w:pPr>
        <w:pStyle w:val="Heading4"/>
      </w:pPr>
      <w:r>
        <w:lastRenderedPageBreak/>
        <w:t>Demographics</w:t>
      </w:r>
    </w:p>
    <w:p w14:paraId="488E28AA" w14:textId="1FFA9E65" w:rsidR="005F2BC5" w:rsidRDefault="0003280A" w:rsidP="005268F7">
      <w:proofErr w:type="gramStart"/>
      <w:r>
        <w:t>The majority of</w:t>
      </w:r>
      <w:proofErr w:type="gramEnd"/>
      <w:r>
        <w:t xml:space="preserve"> responses were received from public hospitals (</w:t>
      </w:r>
      <w:r w:rsidR="008E1FAC">
        <w:t xml:space="preserve">n = </w:t>
      </w:r>
      <w:r w:rsidR="002E6CFF">
        <w:t>60)</w:t>
      </w:r>
      <w:r>
        <w:t xml:space="preserve"> followed by private hospitals (</w:t>
      </w:r>
      <w:r w:rsidR="00AB7B9C">
        <w:t xml:space="preserve">n = </w:t>
      </w:r>
      <w:r w:rsidR="002E6CFF">
        <w:t xml:space="preserve">18) </w:t>
      </w:r>
      <w:r>
        <w:t>and day procedure services (</w:t>
      </w:r>
      <w:r w:rsidR="00AB7B9C">
        <w:t xml:space="preserve">n = </w:t>
      </w:r>
      <w:r w:rsidR="002E6CFF">
        <w:t>12</w:t>
      </w:r>
      <w:r>
        <w:t>). Other sites</w:t>
      </w:r>
      <w:r w:rsidR="00B751DA">
        <w:t xml:space="preserve"> </w:t>
      </w:r>
      <w:r w:rsidR="00B751DA" w:rsidRPr="002E6CFF">
        <w:t>(</w:t>
      </w:r>
      <w:r w:rsidR="00AB7B9C">
        <w:t xml:space="preserve">n = </w:t>
      </w:r>
      <w:r w:rsidR="002E6CFF" w:rsidRPr="002E6CFF">
        <w:t>13</w:t>
      </w:r>
      <w:r w:rsidR="002E6CFF">
        <w:t>)</w:t>
      </w:r>
      <w:r>
        <w:t xml:space="preserve"> included dental</w:t>
      </w:r>
      <w:r w:rsidR="002E6CFF">
        <w:t xml:space="preserve"> and</w:t>
      </w:r>
      <w:r>
        <w:t xml:space="preserve"> community services</w:t>
      </w:r>
      <w:r w:rsidR="002E6CFF">
        <w:t xml:space="preserve"> and other types of services that may be accredited to the NSQHS </w:t>
      </w:r>
      <w:r w:rsidR="002E6CFF" w:rsidRPr="002E6CFF">
        <w:t>Standards</w:t>
      </w:r>
      <w:r w:rsidR="002E6CFF">
        <w:t xml:space="preserve"> </w:t>
      </w:r>
      <w:r w:rsidR="002E6CFF" w:rsidRPr="006F5236">
        <w:t>either voluntarily or as a requirement of t</w:t>
      </w:r>
      <w:r w:rsidR="002E6CFF">
        <w:t>heir funding agreements</w:t>
      </w:r>
      <w:r w:rsidR="00B751DA" w:rsidRPr="002E6CFF">
        <w:t xml:space="preserve"> </w:t>
      </w:r>
      <w:r w:rsidR="007B1AB3" w:rsidRPr="002E6CFF">
        <w:t>(Figure 1</w:t>
      </w:r>
      <w:r w:rsidR="00970848">
        <w:t>).</w:t>
      </w:r>
      <w:r w:rsidRPr="002E6CFF">
        <w:t xml:space="preserve"> </w:t>
      </w:r>
    </w:p>
    <w:p w14:paraId="4A8EEF41" w14:textId="33B37D59" w:rsidR="005268F7" w:rsidRDefault="00B751DA" w:rsidP="005268F7">
      <w:r>
        <w:t>Not all states and territories responded most likely due to the</w:t>
      </w:r>
      <w:r w:rsidR="005268F7" w:rsidRPr="005268F7">
        <w:t xml:space="preserve"> </w:t>
      </w:r>
      <w:r w:rsidR="00CD0C69">
        <w:t xml:space="preserve">number </w:t>
      </w:r>
      <w:r w:rsidR="005268F7">
        <w:t xml:space="preserve">of </w:t>
      </w:r>
      <w:r w:rsidR="00CD0C69">
        <w:t>HSO</w:t>
      </w:r>
      <w:r w:rsidR="005268F7">
        <w:t xml:space="preserve">s that had completed assessment. </w:t>
      </w:r>
      <w:proofErr w:type="gramStart"/>
      <w:r w:rsidR="00396100">
        <w:t>The majority of</w:t>
      </w:r>
      <w:proofErr w:type="gramEnd"/>
      <w:r w:rsidR="00396100">
        <w:t xml:space="preserve"> respondents were from metro</w:t>
      </w:r>
      <w:r w:rsidR="00CD0C69">
        <w:t>politan</w:t>
      </w:r>
      <w:r w:rsidR="00396100">
        <w:t xml:space="preserve"> areas (</w:t>
      </w:r>
      <w:r w:rsidR="00AB7B9C">
        <w:t xml:space="preserve">n = </w:t>
      </w:r>
      <w:r w:rsidR="00396100">
        <w:t>52) and</w:t>
      </w:r>
      <w:r w:rsidR="00AB7B9C">
        <w:t xml:space="preserve"> </w:t>
      </w:r>
      <w:r w:rsidR="00396100">
        <w:t>38</w:t>
      </w:r>
      <w:r w:rsidR="00CD0C69">
        <w:t xml:space="preserve"> responses were from a single state</w:t>
      </w:r>
      <w:r w:rsidR="00986048">
        <w:t xml:space="preserve"> (See Figure 1b and 1c)</w:t>
      </w:r>
      <w:r w:rsidR="00396100">
        <w:t>.</w:t>
      </w:r>
    </w:p>
    <w:p w14:paraId="15AB12B7" w14:textId="63679686" w:rsidR="006D7F96" w:rsidRDefault="006D7F96" w:rsidP="007B1AB3">
      <w:pPr>
        <w:pStyle w:val="FigureTitle"/>
      </w:pPr>
      <w:r w:rsidRPr="0003280A">
        <w:t>Figure 1</w:t>
      </w:r>
      <w:r w:rsidR="00262B25">
        <w:t>a</w:t>
      </w:r>
      <w:r w:rsidRPr="0003280A">
        <w:t xml:space="preserve">: </w:t>
      </w:r>
      <w:r w:rsidR="002E6CFF">
        <w:t>Number</w:t>
      </w:r>
      <w:r w:rsidRPr="0003280A">
        <w:t xml:space="preserve"> of respondents by </w:t>
      </w:r>
      <w:r w:rsidR="00262B25">
        <w:t>service type</w:t>
      </w:r>
    </w:p>
    <w:p w14:paraId="16CFA4A9" w14:textId="32483D48" w:rsidR="002E6CFF" w:rsidRDefault="002E6CFF" w:rsidP="007B1AB3">
      <w:pPr>
        <w:pStyle w:val="FigureTitle"/>
      </w:pPr>
    </w:p>
    <w:p w14:paraId="1863CB33" w14:textId="10BAE09F" w:rsidR="002E6CFF" w:rsidRDefault="002E6CFF" w:rsidP="007B1AB3">
      <w:pPr>
        <w:pStyle w:val="FigureTitle"/>
      </w:pPr>
      <w:r>
        <w:rPr>
          <w:noProof/>
        </w:rPr>
        <w:drawing>
          <wp:inline distT="0" distB="0" distL="0" distR="0" wp14:anchorId="634CEFB6" wp14:editId="3FD0A70C">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47E596" w14:textId="37E4CBFC" w:rsidR="005F2BC5" w:rsidRDefault="005F2BC5" w:rsidP="007B1AB3">
      <w:pPr>
        <w:pStyle w:val="FigureTitle"/>
      </w:pPr>
    </w:p>
    <w:p w14:paraId="410E6696" w14:textId="17F4C9B5" w:rsidR="00262B25" w:rsidRDefault="00262B25" w:rsidP="00262B25">
      <w:pPr>
        <w:pStyle w:val="FigureTitle"/>
      </w:pPr>
      <w:r w:rsidRPr="0003280A">
        <w:t>Figure 1</w:t>
      </w:r>
      <w:r>
        <w:t>b</w:t>
      </w:r>
      <w:r w:rsidRPr="0003280A">
        <w:t xml:space="preserve">: </w:t>
      </w:r>
      <w:r>
        <w:t>Number</w:t>
      </w:r>
      <w:r w:rsidRPr="0003280A">
        <w:t xml:space="preserve"> of respondents by </w:t>
      </w:r>
      <w:r>
        <w:t xml:space="preserve">metro, regional, </w:t>
      </w:r>
      <w:proofErr w:type="gramStart"/>
      <w:r>
        <w:t>rural</w:t>
      </w:r>
      <w:proofErr w:type="gramEnd"/>
      <w:r>
        <w:t xml:space="preserve"> or remote</w:t>
      </w:r>
    </w:p>
    <w:p w14:paraId="5F725AB3" w14:textId="77777777" w:rsidR="00262B25" w:rsidRDefault="00262B25" w:rsidP="007B1AB3">
      <w:pPr>
        <w:pStyle w:val="FigureTitle"/>
      </w:pPr>
    </w:p>
    <w:p w14:paraId="5A21BEB1" w14:textId="40E776AC" w:rsidR="00BB7163" w:rsidRDefault="005F2BC5" w:rsidP="00BB7163">
      <w:pPr>
        <w:pStyle w:val="FigureTitle"/>
        <w:rPr>
          <w:b w:val="0"/>
        </w:rPr>
      </w:pPr>
      <w:r>
        <w:rPr>
          <w:noProof/>
        </w:rPr>
        <w:drawing>
          <wp:inline distT="0" distB="0" distL="0" distR="0" wp14:anchorId="596A1489" wp14:editId="730B5A03">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B7163">
        <w:br w:type="page"/>
      </w:r>
    </w:p>
    <w:p w14:paraId="1B214AEC" w14:textId="093726BE" w:rsidR="00262B25" w:rsidRDefault="00262B25" w:rsidP="00BB7163">
      <w:pPr>
        <w:pStyle w:val="FigureTitle"/>
      </w:pPr>
      <w:r w:rsidRPr="0003280A">
        <w:lastRenderedPageBreak/>
        <w:t>Figure 1</w:t>
      </w:r>
      <w:r>
        <w:t>c</w:t>
      </w:r>
      <w:r w:rsidRPr="0003280A">
        <w:t xml:space="preserve">: </w:t>
      </w:r>
      <w:r>
        <w:t>Number</w:t>
      </w:r>
      <w:r w:rsidRPr="0003280A">
        <w:t xml:space="preserve"> of respondents by </w:t>
      </w:r>
      <w:r>
        <w:t>state</w:t>
      </w:r>
    </w:p>
    <w:p w14:paraId="60CC5D39" w14:textId="77777777" w:rsidR="00262B25" w:rsidRDefault="00262B25" w:rsidP="007B1AB3">
      <w:pPr>
        <w:pStyle w:val="FigureTitle"/>
      </w:pPr>
    </w:p>
    <w:p w14:paraId="472947A4" w14:textId="55EE271B" w:rsidR="005F2BC5" w:rsidRPr="0003280A" w:rsidRDefault="005F2BC5" w:rsidP="007B1AB3">
      <w:pPr>
        <w:pStyle w:val="FigureTitle"/>
      </w:pPr>
      <w:r>
        <w:rPr>
          <w:noProof/>
        </w:rPr>
        <w:drawing>
          <wp:inline distT="0" distB="0" distL="0" distR="0" wp14:anchorId="2C5F1346" wp14:editId="236831F9">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DFAE43" w14:textId="4D0A01A1" w:rsidR="00B751DA" w:rsidRDefault="00B751DA" w:rsidP="00AE6584">
      <w:pPr>
        <w:pStyle w:val="Heading4"/>
      </w:pPr>
      <w:r w:rsidRPr="005268F7">
        <w:t>Criterion reported as most challenging</w:t>
      </w:r>
    </w:p>
    <w:p w14:paraId="3A17E348" w14:textId="77777777" w:rsidR="00B76D28" w:rsidRDefault="00017CFF" w:rsidP="005268F7">
      <w:r>
        <w:t xml:space="preserve">The survey asked </w:t>
      </w:r>
      <w:r w:rsidR="00B76D28">
        <w:t xml:space="preserve">respondents to nominate </w:t>
      </w:r>
      <w:r w:rsidR="009D37D6">
        <w:t xml:space="preserve">the </w:t>
      </w:r>
      <w:r>
        <w:t>most challenging criteria to implement</w:t>
      </w:r>
      <w:r w:rsidR="00B76D28">
        <w:t xml:space="preserve">. </w:t>
      </w:r>
    </w:p>
    <w:p w14:paraId="13ED4D11" w14:textId="769ADEB9" w:rsidR="005268F7" w:rsidRPr="005268F7" w:rsidRDefault="006F5236" w:rsidP="005268F7">
      <w:r>
        <w:t xml:space="preserve">There were 80 </w:t>
      </w:r>
      <w:r w:rsidR="00B76D28">
        <w:t>respo</w:t>
      </w:r>
      <w:r>
        <w:t>nses</w:t>
      </w:r>
      <w:r w:rsidR="00B76D28">
        <w:t xml:space="preserve"> to</w:t>
      </w:r>
      <w:r w:rsidR="006169B1">
        <w:t xml:space="preserve"> this</w:t>
      </w:r>
      <w:r w:rsidR="00B76D28">
        <w:t xml:space="preserve"> question</w:t>
      </w:r>
      <w:r w:rsidR="007B1AB3">
        <w:t xml:space="preserve"> (Figure 2)</w:t>
      </w:r>
      <w:r w:rsidR="00017CFF">
        <w:t xml:space="preserve">. Only one answer was permitted. </w:t>
      </w:r>
      <w:r w:rsidR="005268F7">
        <w:t>A significant proportion of respondents (57.5%) identified Criterion 2: Developing a comprehensive care plan. This is in keeping with feedback to the Commission</w:t>
      </w:r>
      <w:r w:rsidR="00017CFF">
        <w:t xml:space="preserve"> through other sources</w:t>
      </w:r>
      <w:r w:rsidR="005268F7">
        <w:t xml:space="preserve"> as </w:t>
      </w:r>
      <w:r w:rsidR="00CD0C69">
        <w:t>HSO</w:t>
      </w:r>
      <w:r w:rsidR="005268F7">
        <w:t xml:space="preserve">s had identified </w:t>
      </w:r>
      <w:r w:rsidR="00017CFF">
        <w:t xml:space="preserve">care </w:t>
      </w:r>
      <w:r w:rsidR="005268F7">
        <w:t xml:space="preserve">planning as an area for improvement during gap analysis activities. This criterion was also supported through staged implementation set out in </w:t>
      </w:r>
      <w:hyperlink r:id="rId18" w:history="1">
        <w:r w:rsidR="005268F7" w:rsidRPr="009D37D6">
          <w:rPr>
            <w:rStyle w:val="Hyperlink"/>
          </w:rPr>
          <w:t>Commission advisory 18/15</w:t>
        </w:r>
      </w:hyperlink>
      <w:r w:rsidR="005268F7" w:rsidRPr="009D37D6">
        <w:t xml:space="preserve">: </w:t>
      </w:r>
      <w:r w:rsidR="00E03E6E" w:rsidRPr="00E03E6E">
        <w:t>Comprehensive Care Standard: Developing the comprehensive care plan.</w:t>
      </w:r>
    </w:p>
    <w:p w14:paraId="2FAE5118" w14:textId="77777777" w:rsidR="00846456" w:rsidRDefault="00846456" w:rsidP="007B1AB3">
      <w:pPr>
        <w:pStyle w:val="FigureTitle"/>
      </w:pPr>
    </w:p>
    <w:p w14:paraId="492D2305" w14:textId="0CF9728D" w:rsidR="00B751DA" w:rsidRPr="007B1AB3" w:rsidRDefault="00B751DA" w:rsidP="007B1AB3">
      <w:pPr>
        <w:pStyle w:val="FigureTitle"/>
      </w:pPr>
      <w:r w:rsidRPr="007B1AB3">
        <w:t xml:space="preserve">Figure </w:t>
      </w:r>
      <w:r w:rsidR="007B1AB3">
        <w:t>2</w:t>
      </w:r>
      <w:r w:rsidRPr="007B1AB3">
        <w:t>: Criterion nominated as the most challenging</w:t>
      </w:r>
      <w:r w:rsidR="00B545A8">
        <w:t xml:space="preserve"> (% of respondents)</w:t>
      </w:r>
    </w:p>
    <w:p w14:paraId="10C290FB" w14:textId="74C96D63" w:rsidR="00BB7163" w:rsidRDefault="00B751DA" w:rsidP="00BB7163">
      <w:r>
        <w:rPr>
          <w:noProof/>
        </w:rPr>
        <w:drawing>
          <wp:inline distT="0" distB="0" distL="0" distR="0" wp14:anchorId="76AB278B" wp14:editId="6951DEEE">
            <wp:extent cx="5584785" cy="3073078"/>
            <wp:effectExtent l="0" t="0" r="16510" b="133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B7163">
        <w:br w:type="page"/>
      </w:r>
    </w:p>
    <w:p w14:paraId="4199A66D" w14:textId="0159F732" w:rsidR="00B751DA" w:rsidRDefault="00B751DA" w:rsidP="00A03545">
      <w:pPr>
        <w:pStyle w:val="Heading5"/>
        <w:rPr>
          <w:rStyle w:val="Strong"/>
          <w:rFonts w:eastAsiaTheme="majorEastAsia"/>
          <w:b/>
          <w:bCs/>
        </w:rPr>
      </w:pPr>
      <w:r w:rsidRPr="005268F7">
        <w:rPr>
          <w:rStyle w:val="Strong"/>
          <w:rFonts w:eastAsiaTheme="majorEastAsia"/>
          <w:b/>
          <w:bCs/>
        </w:rPr>
        <w:lastRenderedPageBreak/>
        <w:t>Criterion 1: Clinical governance and quality improvement to support comprehensive care</w:t>
      </w:r>
    </w:p>
    <w:p w14:paraId="39AF5265" w14:textId="77777777" w:rsidR="00194EC5" w:rsidRDefault="00E54183" w:rsidP="00E54183">
      <w:pPr>
        <w:rPr>
          <w:rFonts w:eastAsiaTheme="majorEastAsia"/>
          <w:noProof/>
        </w:rPr>
      </w:pPr>
      <w:r>
        <w:rPr>
          <w:rFonts w:eastAsiaTheme="majorEastAsia"/>
          <w:noProof/>
        </w:rPr>
        <w:t xml:space="preserve">Clinical Governance and quality </w:t>
      </w:r>
      <w:r w:rsidR="00C52887">
        <w:rPr>
          <w:rFonts w:eastAsiaTheme="majorEastAsia"/>
          <w:noProof/>
        </w:rPr>
        <w:t xml:space="preserve">improvement was </w:t>
      </w:r>
      <w:r w:rsidR="00B76D28">
        <w:rPr>
          <w:rFonts w:eastAsiaTheme="majorEastAsia"/>
          <w:noProof/>
        </w:rPr>
        <w:t xml:space="preserve">selected as the most difficult to implement by </w:t>
      </w:r>
      <w:r w:rsidR="00C52887">
        <w:rPr>
          <w:rFonts w:eastAsiaTheme="majorEastAsia"/>
          <w:noProof/>
        </w:rPr>
        <w:t>12.5%</w:t>
      </w:r>
      <w:r w:rsidR="00CD0C69">
        <w:rPr>
          <w:rFonts w:eastAsiaTheme="majorEastAsia"/>
          <w:noProof/>
        </w:rPr>
        <w:t xml:space="preserve"> of respondents</w:t>
      </w:r>
      <w:r w:rsidR="00C52887">
        <w:rPr>
          <w:rFonts w:eastAsiaTheme="majorEastAsia"/>
          <w:noProof/>
        </w:rPr>
        <w:t xml:space="preserve"> </w:t>
      </w:r>
      <w:r w:rsidR="00B76D28">
        <w:rPr>
          <w:rFonts w:eastAsiaTheme="majorEastAsia"/>
          <w:noProof/>
        </w:rPr>
        <w:t>(</w:t>
      </w:r>
      <w:r w:rsidR="006169B1">
        <w:rPr>
          <w:rFonts w:eastAsiaTheme="majorEastAsia"/>
          <w:noProof/>
        </w:rPr>
        <w:t>n = 10</w:t>
      </w:r>
      <w:r w:rsidR="00B76D28">
        <w:rPr>
          <w:rFonts w:eastAsiaTheme="majorEastAsia"/>
          <w:noProof/>
        </w:rPr>
        <w:t>)</w:t>
      </w:r>
      <w:r>
        <w:rPr>
          <w:rFonts w:eastAsiaTheme="majorEastAsia"/>
          <w:noProof/>
        </w:rPr>
        <w:t xml:space="preserve">. </w:t>
      </w:r>
      <w:r w:rsidR="00B76D28">
        <w:rPr>
          <w:rFonts w:eastAsiaTheme="majorEastAsia"/>
          <w:noProof/>
        </w:rPr>
        <w:t>The</w:t>
      </w:r>
      <w:r w:rsidR="006169B1">
        <w:rPr>
          <w:rFonts w:eastAsiaTheme="majorEastAsia"/>
          <w:noProof/>
        </w:rPr>
        <w:t xml:space="preserve"> </w:t>
      </w:r>
      <w:r w:rsidR="00B76D28">
        <w:rPr>
          <w:rFonts w:eastAsiaTheme="majorEastAsia"/>
          <w:noProof/>
        </w:rPr>
        <w:t>respondents were asked to</w:t>
      </w:r>
      <w:r w:rsidR="006169B1">
        <w:rPr>
          <w:rFonts w:eastAsiaTheme="majorEastAsia"/>
          <w:noProof/>
        </w:rPr>
        <w:t xml:space="preserve"> provide</w:t>
      </w:r>
      <w:r w:rsidR="00B76D28">
        <w:rPr>
          <w:rFonts w:eastAsiaTheme="majorEastAsia"/>
          <w:noProof/>
        </w:rPr>
        <w:t xml:space="preserve"> further information about their challenges (Figure 3).</w:t>
      </w:r>
      <w:r w:rsidR="00194EC5">
        <w:rPr>
          <w:rFonts w:eastAsiaTheme="majorEastAsia"/>
          <w:noProof/>
        </w:rPr>
        <w:t xml:space="preserve"> </w:t>
      </w:r>
    </w:p>
    <w:p w14:paraId="2F958E42" w14:textId="62A39C48" w:rsidR="007B1AB3" w:rsidRDefault="00194EC5" w:rsidP="00E54183">
      <w:pPr>
        <w:rPr>
          <w:rFonts w:eastAsiaTheme="majorEastAsia"/>
          <w:noProof/>
        </w:rPr>
      </w:pPr>
      <w:r>
        <w:rPr>
          <w:rFonts w:eastAsiaTheme="majorEastAsia"/>
          <w:noProof/>
        </w:rPr>
        <w:t>The items in the criterion were ranked by respondents in the following order</w:t>
      </w:r>
      <w:r w:rsidR="00B76D28">
        <w:rPr>
          <w:rFonts w:eastAsiaTheme="majorEastAsia"/>
          <w:noProof/>
        </w:rPr>
        <w:t>:</w:t>
      </w:r>
    </w:p>
    <w:p w14:paraId="73B2AECD" w14:textId="39EA3E17" w:rsidR="00017CFF" w:rsidRDefault="00E54183" w:rsidP="00C52887">
      <w:pPr>
        <w:pStyle w:val="Bulletlist"/>
        <w:rPr>
          <w:rFonts w:eastAsiaTheme="majorEastAsia"/>
          <w:noProof/>
        </w:rPr>
      </w:pPr>
      <w:r w:rsidRPr="00F32FCB">
        <w:rPr>
          <w:rFonts w:eastAsiaTheme="majorEastAsia"/>
          <w:noProof/>
        </w:rPr>
        <w:t>60%</w:t>
      </w:r>
      <w:r>
        <w:rPr>
          <w:rFonts w:eastAsiaTheme="majorEastAsia"/>
          <w:noProof/>
        </w:rPr>
        <w:t>*</w:t>
      </w:r>
      <w:r w:rsidRPr="00F32FCB">
        <w:rPr>
          <w:rFonts w:eastAsiaTheme="majorEastAsia"/>
          <w:noProof/>
        </w:rPr>
        <w:t xml:space="preserve"> </w:t>
      </w:r>
    </w:p>
    <w:p w14:paraId="264C1F16" w14:textId="0A118498" w:rsidR="00017CFF" w:rsidRDefault="00E54183" w:rsidP="00017CFF">
      <w:pPr>
        <w:pStyle w:val="Bulletlist"/>
        <w:numPr>
          <w:ilvl w:val="1"/>
          <w:numId w:val="14"/>
        </w:numPr>
        <w:rPr>
          <w:rFonts w:eastAsiaTheme="majorEastAsia"/>
          <w:noProof/>
        </w:rPr>
      </w:pPr>
      <w:r w:rsidRPr="00F32FCB">
        <w:rPr>
          <w:rFonts w:eastAsiaTheme="majorEastAsia"/>
          <w:noProof/>
        </w:rPr>
        <w:t>Integrating clinical governance</w:t>
      </w:r>
    </w:p>
    <w:p w14:paraId="1FD6C735" w14:textId="0FC57889" w:rsidR="00017CFF" w:rsidRDefault="00E54183" w:rsidP="00017CFF">
      <w:pPr>
        <w:pStyle w:val="Bulletlist"/>
        <w:numPr>
          <w:ilvl w:val="1"/>
          <w:numId w:val="14"/>
        </w:numPr>
        <w:rPr>
          <w:rFonts w:eastAsiaTheme="majorEastAsia"/>
          <w:noProof/>
        </w:rPr>
      </w:pPr>
      <w:r w:rsidRPr="00F32FCB">
        <w:rPr>
          <w:rFonts w:eastAsiaTheme="majorEastAsia"/>
          <w:noProof/>
        </w:rPr>
        <w:t>Appying quality improvement systems</w:t>
      </w:r>
    </w:p>
    <w:p w14:paraId="6CDB154C" w14:textId="5B6A4395" w:rsidR="00017CFF" w:rsidRDefault="00E54183" w:rsidP="00017CFF">
      <w:pPr>
        <w:pStyle w:val="Bulletlist"/>
        <w:numPr>
          <w:ilvl w:val="1"/>
          <w:numId w:val="14"/>
        </w:numPr>
        <w:rPr>
          <w:rFonts w:eastAsiaTheme="majorEastAsia"/>
          <w:noProof/>
        </w:rPr>
      </w:pPr>
      <w:r w:rsidRPr="00F32FCB">
        <w:rPr>
          <w:rFonts w:eastAsiaTheme="majorEastAsia"/>
          <w:noProof/>
        </w:rPr>
        <w:t xml:space="preserve">Designing systems to deliver comprehensive care </w:t>
      </w:r>
    </w:p>
    <w:p w14:paraId="110845D6" w14:textId="573D7C6C" w:rsidR="00E54183" w:rsidRPr="001E5543" w:rsidRDefault="00E54183" w:rsidP="00017CFF">
      <w:pPr>
        <w:pStyle w:val="Bulletlist"/>
        <w:numPr>
          <w:ilvl w:val="1"/>
          <w:numId w:val="14"/>
        </w:numPr>
        <w:rPr>
          <w:rFonts w:eastAsiaTheme="majorEastAsia"/>
          <w:noProof/>
        </w:rPr>
      </w:pPr>
      <w:r w:rsidRPr="00F32FCB">
        <w:rPr>
          <w:rFonts w:eastAsiaTheme="majorEastAsia"/>
          <w:noProof/>
        </w:rPr>
        <w:t>Collaboration and teamwork</w:t>
      </w:r>
      <w:r w:rsidRPr="001E5543">
        <w:rPr>
          <w:rFonts w:eastAsiaTheme="majorEastAsia"/>
          <w:noProof/>
        </w:rPr>
        <w:t xml:space="preserve"> </w:t>
      </w:r>
    </w:p>
    <w:p w14:paraId="056BCCA2" w14:textId="68B5CFF5" w:rsidR="00E54183" w:rsidRDefault="00E54183" w:rsidP="00C52887">
      <w:pPr>
        <w:pStyle w:val="Bulletlist"/>
        <w:rPr>
          <w:rFonts w:eastAsiaTheme="majorEastAsia"/>
          <w:noProof/>
        </w:rPr>
      </w:pPr>
      <w:r w:rsidRPr="001E5543">
        <w:rPr>
          <w:rFonts w:eastAsiaTheme="majorEastAsia"/>
          <w:noProof/>
        </w:rPr>
        <w:t>50%</w:t>
      </w:r>
      <w:r>
        <w:rPr>
          <w:rFonts w:eastAsiaTheme="majorEastAsia"/>
          <w:noProof/>
        </w:rPr>
        <w:t>*</w:t>
      </w:r>
      <w:r w:rsidRPr="001E5543">
        <w:rPr>
          <w:rFonts w:eastAsiaTheme="majorEastAsia"/>
          <w:noProof/>
        </w:rPr>
        <w:t xml:space="preserve"> Partnering with Consumers</w:t>
      </w:r>
      <w:r w:rsidRPr="00F32FCB">
        <w:rPr>
          <w:rFonts w:eastAsiaTheme="majorEastAsia"/>
          <w:noProof/>
        </w:rPr>
        <w:t>.</w:t>
      </w:r>
    </w:p>
    <w:p w14:paraId="13960493" w14:textId="66BBD960" w:rsidR="00E54183" w:rsidRPr="00AF016E" w:rsidRDefault="00E54183" w:rsidP="00E54183">
      <w:pPr>
        <w:rPr>
          <w:rFonts w:eastAsiaTheme="majorEastAsia"/>
          <w:i/>
          <w:noProof/>
        </w:rPr>
      </w:pPr>
      <w:r>
        <w:rPr>
          <w:rFonts w:eastAsiaTheme="majorEastAsia"/>
          <w:i/>
          <w:noProof/>
        </w:rPr>
        <w:t>*</w:t>
      </w:r>
      <w:r w:rsidRPr="00AF016E">
        <w:rPr>
          <w:rFonts w:eastAsiaTheme="majorEastAsia"/>
          <w:i/>
          <w:noProof/>
        </w:rPr>
        <w:t xml:space="preserve">Note: </w:t>
      </w:r>
      <w:r w:rsidR="00194EC5">
        <w:rPr>
          <w:rFonts w:eastAsiaTheme="majorEastAsia"/>
          <w:i/>
          <w:noProof/>
        </w:rPr>
        <w:t xml:space="preserve">HSOs </w:t>
      </w:r>
      <w:r w:rsidRPr="00AF016E">
        <w:rPr>
          <w:rFonts w:eastAsiaTheme="majorEastAsia"/>
          <w:i/>
          <w:noProof/>
        </w:rPr>
        <w:t>could select multiple options/causes.</w:t>
      </w:r>
    </w:p>
    <w:p w14:paraId="7D3A24D6" w14:textId="0B2E6563" w:rsidR="00E54183" w:rsidRDefault="00E54183" w:rsidP="00E54183">
      <w:pPr>
        <w:rPr>
          <w:rFonts w:eastAsiaTheme="majorEastAsia"/>
          <w:noProof/>
        </w:rPr>
      </w:pPr>
      <w:r>
        <w:rPr>
          <w:rFonts w:eastAsiaTheme="majorEastAsia"/>
          <w:noProof/>
        </w:rPr>
        <w:t>Some of the reasons</w:t>
      </w:r>
      <w:r w:rsidR="00194EC5">
        <w:rPr>
          <w:rFonts w:eastAsiaTheme="majorEastAsia"/>
          <w:noProof/>
        </w:rPr>
        <w:t xml:space="preserve"> provided were</w:t>
      </w:r>
      <w:r>
        <w:rPr>
          <w:rFonts w:eastAsiaTheme="majorEastAsia"/>
          <w:noProof/>
        </w:rPr>
        <w:t>:</w:t>
      </w:r>
    </w:p>
    <w:p w14:paraId="3AA410BE" w14:textId="6E372154" w:rsidR="00E54183" w:rsidRDefault="00CD0C69" w:rsidP="00C52887">
      <w:pPr>
        <w:pStyle w:val="Bulletlist"/>
        <w:rPr>
          <w:rFonts w:eastAsiaTheme="majorEastAsia"/>
          <w:noProof/>
        </w:rPr>
      </w:pPr>
      <w:r>
        <w:rPr>
          <w:rFonts w:eastAsiaTheme="majorEastAsia"/>
          <w:noProof/>
        </w:rPr>
        <w:t>Absence of</w:t>
      </w:r>
      <w:r w:rsidR="00E54183">
        <w:rPr>
          <w:rFonts w:eastAsiaTheme="majorEastAsia"/>
          <w:noProof/>
        </w:rPr>
        <w:t xml:space="preserve"> an audit tool for remote multi-purpose services</w:t>
      </w:r>
    </w:p>
    <w:p w14:paraId="43230B2F" w14:textId="77777777" w:rsidR="00E54183" w:rsidRPr="0061657B" w:rsidRDefault="00E54183" w:rsidP="00C52887">
      <w:pPr>
        <w:pStyle w:val="Bulletlist"/>
        <w:rPr>
          <w:rFonts w:eastAsiaTheme="majorEastAsia"/>
          <w:noProof/>
        </w:rPr>
      </w:pPr>
      <w:r>
        <w:rPr>
          <w:rFonts w:eastAsiaTheme="majorEastAsia"/>
          <w:noProof/>
        </w:rPr>
        <w:t xml:space="preserve">Limited </w:t>
      </w:r>
      <w:r w:rsidRPr="0061657B">
        <w:rPr>
          <w:rFonts w:eastAsiaTheme="majorEastAsia"/>
          <w:noProof/>
        </w:rPr>
        <w:t>guidance from the state health depeartment on state-wide approach</w:t>
      </w:r>
    </w:p>
    <w:p w14:paraId="3270F2D3" w14:textId="529FA1C7" w:rsidR="00E54183" w:rsidRDefault="00CD0C69" w:rsidP="00C52887">
      <w:pPr>
        <w:pStyle w:val="Bulletlist"/>
        <w:rPr>
          <w:rFonts w:eastAsiaTheme="majorEastAsia"/>
          <w:noProof/>
        </w:rPr>
      </w:pPr>
      <w:r>
        <w:rPr>
          <w:rFonts w:eastAsiaTheme="majorEastAsia"/>
          <w:noProof/>
        </w:rPr>
        <w:t>Inc</w:t>
      </w:r>
      <w:r w:rsidR="00E54183">
        <w:rPr>
          <w:rFonts w:eastAsiaTheme="majorEastAsia"/>
          <w:noProof/>
        </w:rPr>
        <w:t xml:space="preserve">onsistency </w:t>
      </w:r>
      <w:r>
        <w:rPr>
          <w:rFonts w:eastAsiaTheme="majorEastAsia"/>
          <w:noProof/>
        </w:rPr>
        <w:t xml:space="preserve">with </w:t>
      </w:r>
      <w:r w:rsidR="00E54183">
        <w:rPr>
          <w:rFonts w:eastAsiaTheme="majorEastAsia"/>
          <w:noProof/>
        </w:rPr>
        <w:t xml:space="preserve">collaboration </w:t>
      </w:r>
      <w:r>
        <w:rPr>
          <w:rFonts w:eastAsiaTheme="majorEastAsia"/>
          <w:noProof/>
        </w:rPr>
        <w:t xml:space="preserve">and implementing policies </w:t>
      </w:r>
      <w:r w:rsidR="00E54183">
        <w:rPr>
          <w:rFonts w:eastAsiaTheme="majorEastAsia"/>
          <w:noProof/>
        </w:rPr>
        <w:t xml:space="preserve">across the </w:t>
      </w:r>
      <w:r>
        <w:rPr>
          <w:rFonts w:eastAsiaTheme="majorEastAsia"/>
          <w:noProof/>
        </w:rPr>
        <w:t>HSO</w:t>
      </w:r>
      <w:r w:rsidR="00E54183">
        <w:rPr>
          <w:rFonts w:eastAsiaTheme="majorEastAsia"/>
          <w:noProof/>
        </w:rPr>
        <w:t xml:space="preserve"> </w:t>
      </w:r>
    </w:p>
    <w:p w14:paraId="32205FF2" w14:textId="77777777" w:rsidR="00E54183" w:rsidRDefault="00E54183" w:rsidP="00C52887">
      <w:pPr>
        <w:pStyle w:val="Bulletlist"/>
        <w:rPr>
          <w:rFonts w:eastAsiaTheme="majorEastAsia"/>
          <w:noProof/>
        </w:rPr>
      </w:pPr>
      <w:r>
        <w:rPr>
          <w:rFonts w:eastAsiaTheme="majorEastAsia"/>
          <w:noProof/>
        </w:rPr>
        <w:t>Developing a process for goal setting in community services</w:t>
      </w:r>
    </w:p>
    <w:p w14:paraId="1F0D91D8" w14:textId="17CB3D71" w:rsidR="00E54183" w:rsidRPr="0061657B" w:rsidRDefault="00E54183" w:rsidP="00C52887">
      <w:pPr>
        <w:pStyle w:val="Bulletlist"/>
        <w:rPr>
          <w:rFonts w:eastAsiaTheme="majorEastAsia"/>
          <w:noProof/>
        </w:rPr>
      </w:pPr>
      <w:r>
        <w:rPr>
          <w:rFonts w:eastAsiaTheme="majorEastAsia"/>
          <w:noProof/>
        </w:rPr>
        <w:t>Documenting when goals of care and shared decision making had occurred</w:t>
      </w:r>
      <w:r w:rsidR="00194EC5">
        <w:rPr>
          <w:rFonts w:eastAsiaTheme="majorEastAsia"/>
          <w:noProof/>
        </w:rPr>
        <w:t>.</w:t>
      </w:r>
      <w:r>
        <w:rPr>
          <w:rFonts w:eastAsiaTheme="majorEastAsia"/>
          <w:noProof/>
        </w:rPr>
        <w:t xml:space="preserve">  </w:t>
      </w:r>
    </w:p>
    <w:p w14:paraId="15D50B30" w14:textId="77777777" w:rsidR="00BB7163" w:rsidRDefault="00BB7163" w:rsidP="007B1AB3">
      <w:pPr>
        <w:pStyle w:val="FigureTitle"/>
      </w:pPr>
    </w:p>
    <w:p w14:paraId="3E9275CB" w14:textId="15EBE5A1" w:rsidR="00B751DA" w:rsidRDefault="00B751DA" w:rsidP="007B1AB3">
      <w:pPr>
        <w:pStyle w:val="FigureTitle"/>
      </w:pPr>
      <w:r w:rsidRPr="009530BA">
        <w:t xml:space="preserve">Figure </w:t>
      </w:r>
      <w:r w:rsidR="007B1AB3" w:rsidRPr="009530BA">
        <w:t>3</w:t>
      </w:r>
      <w:r w:rsidRPr="009530BA">
        <w:t xml:space="preserve">: Criterion 1 </w:t>
      </w:r>
      <w:r w:rsidR="00E21314">
        <w:t>items</w:t>
      </w:r>
      <w:r w:rsidR="00E21314" w:rsidRPr="007B1AB3">
        <w:t xml:space="preserve"> identified by respondents</w:t>
      </w:r>
      <w:r w:rsidR="00E21314">
        <w:t xml:space="preserve"> as the most challenging</w:t>
      </w:r>
      <w:r w:rsidR="00E21314" w:rsidRPr="009530BA">
        <w:t xml:space="preserve"> </w:t>
      </w:r>
      <w:r w:rsidR="00BF5D60" w:rsidRPr="009530BA">
        <w:t>(%)</w:t>
      </w:r>
    </w:p>
    <w:p w14:paraId="031F2A30" w14:textId="77777777" w:rsidR="00E21314" w:rsidRPr="009530BA" w:rsidRDefault="00E21314" w:rsidP="007B1AB3">
      <w:pPr>
        <w:pStyle w:val="FigureTitle"/>
      </w:pPr>
    </w:p>
    <w:p w14:paraId="6DA6760B" w14:textId="1E327FDF" w:rsidR="00B76D28" w:rsidRPr="007B1AB3" w:rsidRDefault="00B76D28" w:rsidP="007B1AB3">
      <w:pPr>
        <w:pStyle w:val="FigureTitle"/>
        <w:rPr>
          <w:rFonts w:eastAsiaTheme="majorEastAsia"/>
        </w:rPr>
      </w:pPr>
      <w:r>
        <w:rPr>
          <w:rFonts w:eastAsiaTheme="majorEastAsia"/>
          <w:noProof/>
        </w:rPr>
        <w:drawing>
          <wp:inline distT="0" distB="0" distL="0" distR="0" wp14:anchorId="1260574B" wp14:editId="641684E8">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AAE419" w14:textId="4AD99EDE" w:rsidR="00BB7163" w:rsidRDefault="00BB7163">
      <w:pPr>
        <w:spacing w:after="80"/>
        <w:rPr>
          <w:rStyle w:val="Strong"/>
          <w:rFonts w:eastAsiaTheme="majorEastAsia"/>
        </w:rPr>
      </w:pPr>
      <w:r>
        <w:rPr>
          <w:rStyle w:val="Strong"/>
          <w:rFonts w:eastAsiaTheme="majorEastAsia"/>
        </w:rPr>
        <w:br w:type="page"/>
      </w:r>
    </w:p>
    <w:p w14:paraId="05561CB9" w14:textId="7336A529" w:rsidR="00B751DA" w:rsidRDefault="00B751DA" w:rsidP="00A03545">
      <w:pPr>
        <w:pStyle w:val="Heading5"/>
      </w:pPr>
      <w:r w:rsidRPr="007B1AB3">
        <w:lastRenderedPageBreak/>
        <w:t>Criterion 2: Developing the comprehensive care plan</w:t>
      </w:r>
    </w:p>
    <w:p w14:paraId="14AC0A32" w14:textId="6489A3AD" w:rsidR="00BF5D60" w:rsidRDefault="007B1AB3" w:rsidP="00BF5D60">
      <w:pPr>
        <w:rPr>
          <w:rFonts w:eastAsiaTheme="majorEastAsia"/>
        </w:rPr>
      </w:pPr>
      <w:r>
        <w:rPr>
          <w:rFonts w:eastAsiaTheme="majorEastAsia"/>
        </w:rPr>
        <w:t xml:space="preserve">Developing the Comprehensive Care Plan </w:t>
      </w:r>
      <w:r w:rsidR="00BF5D60">
        <w:rPr>
          <w:rFonts w:eastAsiaTheme="majorEastAsia"/>
          <w:noProof/>
        </w:rPr>
        <w:t xml:space="preserve">was selected as the most difficult to implement by </w:t>
      </w:r>
      <w:r>
        <w:rPr>
          <w:rFonts w:eastAsiaTheme="majorEastAsia"/>
        </w:rPr>
        <w:t xml:space="preserve">57.5% </w:t>
      </w:r>
      <w:r w:rsidR="00BF5D60">
        <w:rPr>
          <w:rFonts w:eastAsiaTheme="majorEastAsia"/>
        </w:rPr>
        <w:t>(</w:t>
      </w:r>
      <w:r w:rsidR="006169B1">
        <w:rPr>
          <w:rFonts w:eastAsiaTheme="majorEastAsia"/>
          <w:noProof/>
        </w:rPr>
        <w:t xml:space="preserve">n = </w:t>
      </w:r>
      <w:r w:rsidR="00BF5D60">
        <w:rPr>
          <w:rFonts w:eastAsiaTheme="majorEastAsia"/>
        </w:rPr>
        <w:t xml:space="preserve">43) </w:t>
      </w:r>
      <w:r>
        <w:rPr>
          <w:rFonts w:eastAsiaTheme="majorEastAsia"/>
        </w:rPr>
        <w:t>of respondents</w:t>
      </w:r>
      <w:r w:rsidR="00BF5D60">
        <w:rPr>
          <w:rFonts w:eastAsiaTheme="majorEastAsia"/>
        </w:rPr>
        <w:t>.</w:t>
      </w:r>
      <w:r>
        <w:rPr>
          <w:rFonts w:eastAsiaTheme="majorEastAsia"/>
        </w:rPr>
        <w:t xml:space="preserve"> </w:t>
      </w:r>
      <w:r w:rsidR="00BF5D60">
        <w:rPr>
          <w:rFonts w:eastAsiaTheme="majorEastAsia"/>
          <w:noProof/>
        </w:rPr>
        <w:t xml:space="preserve">The respondents were asked to </w:t>
      </w:r>
      <w:r w:rsidR="006169B1">
        <w:rPr>
          <w:rFonts w:eastAsiaTheme="majorEastAsia"/>
          <w:noProof/>
        </w:rPr>
        <w:t xml:space="preserve">provide </w:t>
      </w:r>
      <w:r w:rsidR="00BF5D60">
        <w:rPr>
          <w:rFonts w:eastAsiaTheme="majorEastAsia"/>
          <w:noProof/>
        </w:rPr>
        <w:t>further information about their challenges (Figure 4).</w:t>
      </w:r>
    </w:p>
    <w:p w14:paraId="28E5BFD7" w14:textId="1081F466" w:rsidR="00194EC5" w:rsidRDefault="00194EC5" w:rsidP="00194EC5">
      <w:pPr>
        <w:pStyle w:val="Bulletlist"/>
        <w:numPr>
          <w:ilvl w:val="0"/>
          <w:numId w:val="0"/>
        </w:numPr>
        <w:rPr>
          <w:rFonts w:eastAsiaTheme="majorEastAsia"/>
          <w:noProof/>
        </w:rPr>
      </w:pPr>
      <w:r>
        <w:rPr>
          <w:rFonts w:eastAsiaTheme="majorEastAsia"/>
          <w:noProof/>
        </w:rPr>
        <w:t>The items in the criterion were ranked by respondents in the following order:</w:t>
      </w:r>
    </w:p>
    <w:p w14:paraId="47ECD43E" w14:textId="77777777" w:rsidR="00194EC5" w:rsidRDefault="00194EC5" w:rsidP="00194EC5">
      <w:pPr>
        <w:pStyle w:val="Bulletlist"/>
        <w:numPr>
          <w:ilvl w:val="0"/>
          <w:numId w:val="0"/>
        </w:numPr>
        <w:ind w:left="568" w:hanging="284"/>
        <w:rPr>
          <w:rFonts w:eastAsiaTheme="majorEastAsia"/>
          <w:noProof/>
        </w:rPr>
      </w:pPr>
    </w:p>
    <w:p w14:paraId="04A97060" w14:textId="1C53150E" w:rsidR="007B1AB3" w:rsidRPr="00606F62" w:rsidRDefault="007B1AB3" w:rsidP="007B1AB3">
      <w:pPr>
        <w:pStyle w:val="Bulletlist"/>
        <w:rPr>
          <w:rFonts w:eastAsiaTheme="majorEastAsia"/>
        </w:rPr>
      </w:pPr>
      <w:r w:rsidRPr="00926112">
        <w:rPr>
          <w:rFonts w:eastAsiaTheme="majorEastAsia"/>
        </w:rPr>
        <w:t>83.72% Developing the Comprehensive Care Plan</w:t>
      </w:r>
    </w:p>
    <w:p w14:paraId="7348C958" w14:textId="2C215A7F" w:rsidR="007B1AB3" w:rsidRPr="00606F62" w:rsidRDefault="007B1AB3" w:rsidP="007B1AB3">
      <w:pPr>
        <w:pStyle w:val="Bulletlist"/>
        <w:rPr>
          <w:rFonts w:eastAsiaTheme="majorEastAsia"/>
        </w:rPr>
      </w:pPr>
      <w:r w:rsidRPr="00606F62">
        <w:rPr>
          <w:rFonts w:eastAsiaTheme="majorEastAsia"/>
        </w:rPr>
        <w:t xml:space="preserve">30.32% </w:t>
      </w:r>
      <w:r w:rsidR="00194EC5">
        <w:rPr>
          <w:rFonts w:eastAsiaTheme="majorEastAsia"/>
        </w:rPr>
        <w:t>S</w:t>
      </w:r>
      <w:r w:rsidRPr="00606F62">
        <w:rPr>
          <w:rFonts w:eastAsiaTheme="majorEastAsia"/>
        </w:rPr>
        <w:t>creening of risk</w:t>
      </w:r>
    </w:p>
    <w:p w14:paraId="4A613732" w14:textId="42D091B2" w:rsidR="007B1AB3" w:rsidRPr="00606F62" w:rsidRDefault="007B1AB3" w:rsidP="007B1AB3">
      <w:pPr>
        <w:pStyle w:val="Bulletlist"/>
        <w:rPr>
          <w:rFonts w:eastAsiaTheme="majorEastAsia"/>
        </w:rPr>
      </w:pPr>
      <w:r w:rsidRPr="00606F62">
        <w:rPr>
          <w:rFonts w:eastAsiaTheme="majorEastAsia"/>
        </w:rPr>
        <w:t xml:space="preserve">27.91% Planning for comprehensive care </w:t>
      </w:r>
    </w:p>
    <w:p w14:paraId="0E8F4751" w14:textId="22B3D987" w:rsidR="007B1AB3" w:rsidRDefault="007B1AB3" w:rsidP="007B1AB3">
      <w:pPr>
        <w:pStyle w:val="Bulletlist"/>
        <w:rPr>
          <w:rFonts w:eastAsiaTheme="majorEastAsia"/>
        </w:rPr>
      </w:pPr>
      <w:r w:rsidRPr="00D72820">
        <w:rPr>
          <w:rFonts w:eastAsiaTheme="majorEastAsia"/>
        </w:rPr>
        <w:t>13.95% Clinical assessment</w:t>
      </w:r>
      <w:r w:rsidRPr="00926112">
        <w:rPr>
          <w:rFonts w:eastAsiaTheme="majorEastAsia"/>
        </w:rPr>
        <w:t>.</w:t>
      </w:r>
    </w:p>
    <w:p w14:paraId="29AFB336" w14:textId="4FDCE7CF" w:rsidR="007B1AB3" w:rsidRPr="00AF016E" w:rsidRDefault="007B1AB3" w:rsidP="007B1AB3">
      <w:pPr>
        <w:rPr>
          <w:rFonts w:eastAsiaTheme="majorEastAsia"/>
          <w:i/>
          <w:noProof/>
        </w:rPr>
      </w:pPr>
      <w:r w:rsidRPr="00AF016E">
        <w:rPr>
          <w:rFonts w:eastAsiaTheme="majorEastAsia"/>
          <w:i/>
          <w:noProof/>
        </w:rPr>
        <w:t>Note: H</w:t>
      </w:r>
      <w:r w:rsidR="00194EC5">
        <w:rPr>
          <w:rFonts w:eastAsiaTheme="majorEastAsia"/>
          <w:i/>
          <w:noProof/>
        </w:rPr>
        <w:t>SO</w:t>
      </w:r>
      <w:r w:rsidRPr="00AF016E">
        <w:rPr>
          <w:rFonts w:eastAsiaTheme="majorEastAsia"/>
          <w:i/>
          <w:noProof/>
        </w:rPr>
        <w:t>s could select multiple options/causes.</w:t>
      </w:r>
    </w:p>
    <w:p w14:paraId="53094A26" w14:textId="77777777" w:rsidR="00194EC5" w:rsidRDefault="00194EC5" w:rsidP="00194EC5">
      <w:pPr>
        <w:rPr>
          <w:rFonts w:eastAsiaTheme="majorEastAsia"/>
          <w:noProof/>
        </w:rPr>
      </w:pPr>
      <w:r>
        <w:rPr>
          <w:rFonts w:eastAsiaTheme="majorEastAsia"/>
          <w:noProof/>
        </w:rPr>
        <w:t>Some of the reasons provided were:</w:t>
      </w:r>
    </w:p>
    <w:p w14:paraId="0B24C2FE" w14:textId="39ABD7DC" w:rsidR="007B1AB3" w:rsidRDefault="00194EC5" w:rsidP="007B1AB3">
      <w:pPr>
        <w:pStyle w:val="Bulletlist"/>
        <w:rPr>
          <w:rFonts w:eastAsiaTheme="majorEastAsia"/>
          <w:noProof/>
        </w:rPr>
      </w:pPr>
      <w:r>
        <w:rPr>
          <w:rFonts w:eastAsiaTheme="majorEastAsia"/>
        </w:rPr>
        <w:t>C</w:t>
      </w:r>
      <w:r w:rsidR="007B1AB3" w:rsidRPr="00E24FBD">
        <w:rPr>
          <w:rFonts w:eastAsiaTheme="majorEastAsia"/>
        </w:rPr>
        <w:t xml:space="preserve">omprehensive care planning </w:t>
      </w:r>
      <w:r>
        <w:rPr>
          <w:rFonts w:eastAsiaTheme="majorEastAsia"/>
        </w:rPr>
        <w:t xml:space="preserve">with </w:t>
      </w:r>
      <w:r w:rsidR="007B1AB3">
        <w:rPr>
          <w:rFonts w:eastAsiaTheme="majorEastAsia"/>
        </w:rPr>
        <w:t>multidisciplinary teams</w:t>
      </w:r>
    </w:p>
    <w:p w14:paraId="1C593BF4" w14:textId="571A2467" w:rsidR="007B1AB3" w:rsidRDefault="007B1AB3" w:rsidP="007B1AB3">
      <w:pPr>
        <w:pStyle w:val="Bulletlist"/>
        <w:rPr>
          <w:rFonts w:eastAsiaTheme="majorEastAsia"/>
          <w:noProof/>
        </w:rPr>
      </w:pPr>
      <w:r>
        <w:rPr>
          <w:rFonts w:eastAsiaTheme="majorEastAsia"/>
        </w:rPr>
        <w:t>Identifying a</w:t>
      </w:r>
      <w:r w:rsidRPr="00E24FBD">
        <w:rPr>
          <w:rFonts w:eastAsiaTheme="majorEastAsia"/>
        </w:rPr>
        <w:t xml:space="preserve"> </w:t>
      </w:r>
      <w:r w:rsidR="00592353">
        <w:rPr>
          <w:rFonts w:eastAsiaTheme="majorEastAsia"/>
        </w:rPr>
        <w:t xml:space="preserve">comprehensive care plan </w:t>
      </w:r>
      <w:r>
        <w:rPr>
          <w:rFonts w:eastAsiaTheme="majorEastAsia"/>
        </w:rPr>
        <w:t>used b</w:t>
      </w:r>
      <w:r w:rsidR="00592353">
        <w:rPr>
          <w:rFonts w:eastAsiaTheme="majorEastAsia"/>
        </w:rPr>
        <w:t xml:space="preserve">y all </w:t>
      </w:r>
      <w:r>
        <w:rPr>
          <w:rFonts w:eastAsiaTheme="majorEastAsia"/>
        </w:rPr>
        <w:t>disciplines</w:t>
      </w:r>
      <w:r w:rsidR="00592353">
        <w:rPr>
          <w:rFonts w:eastAsiaTheme="majorEastAsia"/>
        </w:rPr>
        <w:t xml:space="preserve"> regardless of source (paper or electronic)</w:t>
      </w:r>
    </w:p>
    <w:p w14:paraId="265DC387" w14:textId="1F6E3767" w:rsidR="007B1AB3" w:rsidRDefault="00592353" w:rsidP="007B1AB3">
      <w:pPr>
        <w:pStyle w:val="Bulletlist"/>
        <w:rPr>
          <w:rFonts w:eastAsiaTheme="majorEastAsia"/>
          <w:noProof/>
        </w:rPr>
      </w:pPr>
      <w:r>
        <w:rPr>
          <w:rFonts w:eastAsiaTheme="majorEastAsia"/>
        </w:rPr>
        <w:t>Implementing practice change and strengthening safety c</w:t>
      </w:r>
      <w:r w:rsidR="007B1AB3">
        <w:rPr>
          <w:rFonts w:eastAsiaTheme="majorEastAsia"/>
        </w:rPr>
        <w:t xml:space="preserve">ulture </w:t>
      </w:r>
    </w:p>
    <w:p w14:paraId="629D51C5" w14:textId="77777777" w:rsidR="00592353" w:rsidRDefault="00592353" w:rsidP="007B1AB3">
      <w:pPr>
        <w:pStyle w:val="Bulletlist"/>
        <w:rPr>
          <w:rFonts w:eastAsiaTheme="majorEastAsia"/>
          <w:noProof/>
        </w:rPr>
      </w:pPr>
      <w:r>
        <w:rPr>
          <w:rFonts w:eastAsiaTheme="majorEastAsia"/>
        </w:rPr>
        <w:t xml:space="preserve">The desire </w:t>
      </w:r>
      <w:r w:rsidR="007B1AB3">
        <w:rPr>
          <w:rFonts w:eastAsiaTheme="majorEastAsia"/>
        </w:rPr>
        <w:t xml:space="preserve">for </w:t>
      </w:r>
      <w:r>
        <w:rPr>
          <w:rFonts w:eastAsiaTheme="majorEastAsia"/>
        </w:rPr>
        <w:t xml:space="preserve">exemplar sites to share learnings through </w:t>
      </w:r>
      <w:r w:rsidR="007B1AB3">
        <w:rPr>
          <w:rFonts w:eastAsiaTheme="majorEastAsia"/>
        </w:rPr>
        <w:t xml:space="preserve">case studies </w:t>
      </w:r>
    </w:p>
    <w:p w14:paraId="7622DB3F" w14:textId="4558682F" w:rsidR="007B1AB3" w:rsidRDefault="00592353" w:rsidP="007B1AB3">
      <w:pPr>
        <w:pStyle w:val="Bulletlist"/>
        <w:rPr>
          <w:rFonts w:eastAsiaTheme="majorEastAsia"/>
          <w:noProof/>
        </w:rPr>
      </w:pPr>
      <w:r>
        <w:rPr>
          <w:rFonts w:eastAsiaTheme="majorEastAsia"/>
        </w:rPr>
        <w:t xml:space="preserve">No standard </w:t>
      </w:r>
      <w:r w:rsidR="007B1AB3">
        <w:rPr>
          <w:rFonts w:eastAsiaTheme="majorEastAsia"/>
        </w:rPr>
        <w:t>comprehensive care plan</w:t>
      </w:r>
    </w:p>
    <w:p w14:paraId="3241EB7C" w14:textId="329FBF39" w:rsidR="007B1AB3" w:rsidRDefault="007B1AB3" w:rsidP="007B1AB3">
      <w:pPr>
        <w:pStyle w:val="Bulletlist"/>
        <w:rPr>
          <w:rFonts w:eastAsiaTheme="majorEastAsia"/>
        </w:rPr>
      </w:pPr>
      <w:r>
        <w:rPr>
          <w:rFonts w:eastAsiaTheme="majorEastAsia"/>
        </w:rPr>
        <w:t xml:space="preserve">Miscommunication </w:t>
      </w:r>
      <w:r w:rsidR="00592353">
        <w:rPr>
          <w:rFonts w:eastAsiaTheme="majorEastAsia"/>
        </w:rPr>
        <w:t xml:space="preserve">from accrediting agencies </w:t>
      </w:r>
      <w:r>
        <w:rPr>
          <w:rFonts w:eastAsiaTheme="majorEastAsia"/>
        </w:rPr>
        <w:t xml:space="preserve">that the </w:t>
      </w:r>
      <w:r w:rsidR="00592353">
        <w:rPr>
          <w:rFonts w:eastAsiaTheme="majorEastAsia"/>
        </w:rPr>
        <w:t xml:space="preserve">comprehensive care </w:t>
      </w:r>
      <w:r>
        <w:rPr>
          <w:rFonts w:eastAsiaTheme="majorEastAsia"/>
        </w:rPr>
        <w:t>plan should be one page</w:t>
      </w:r>
      <w:r w:rsidR="00592353">
        <w:rPr>
          <w:rFonts w:eastAsiaTheme="majorEastAsia"/>
        </w:rPr>
        <w:t xml:space="preserve"> only</w:t>
      </w:r>
      <w:r>
        <w:rPr>
          <w:rFonts w:eastAsiaTheme="majorEastAsia"/>
        </w:rPr>
        <w:t>.</w:t>
      </w:r>
    </w:p>
    <w:p w14:paraId="5398A0B3" w14:textId="381CEC2E" w:rsidR="00B751DA" w:rsidRDefault="00B751DA" w:rsidP="007B1AB3">
      <w:pPr>
        <w:pStyle w:val="FigureTitle"/>
      </w:pPr>
      <w:r>
        <w:t xml:space="preserve">Figure </w:t>
      </w:r>
      <w:r w:rsidR="007B1AB3">
        <w:t>4</w:t>
      </w:r>
      <w:r>
        <w:t xml:space="preserve">: Criterion 2 </w:t>
      </w:r>
      <w:r w:rsidR="00E21314">
        <w:t>items</w:t>
      </w:r>
      <w:r w:rsidR="00E21314" w:rsidRPr="007B1AB3">
        <w:t xml:space="preserve"> identified by respondents</w:t>
      </w:r>
      <w:r w:rsidR="00E21314">
        <w:t xml:space="preserve"> as the most challenging </w:t>
      </w:r>
      <w:r w:rsidR="009530BA">
        <w:t>(%)</w:t>
      </w:r>
    </w:p>
    <w:p w14:paraId="7B66FBE6" w14:textId="32C639A9" w:rsidR="00BF5D60" w:rsidRDefault="00BF5D60" w:rsidP="007B1AB3">
      <w:pPr>
        <w:pStyle w:val="FigureTitle"/>
      </w:pPr>
    </w:p>
    <w:p w14:paraId="053322B4" w14:textId="15C70AC4" w:rsidR="00BF5D60" w:rsidRDefault="00BF5D60" w:rsidP="007B1AB3">
      <w:pPr>
        <w:pStyle w:val="FigureTitle"/>
      </w:pPr>
      <w:r>
        <w:rPr>
          <w:rFonts w:eastAsiaTheme="majorEastAsia"/>
          <w:noProof/>
        </w:rPr>
        <w:drawing>
          <wp:inline distT="0" distB="0" distL="0" distR="0" wp14:anchorId="0FF4BD99" wp14:editId="44407FA7">
            <wp:extent cx="5486400" cy="32004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AA539B" w14:textId="77777777" w:rsidR="00BF5D60" w:rsidRPr="001A770A" w:rsidRDefault="00BF5D60" w:rsidP="007B1AB3">
      <w:pPr>
        <w:pStyle w:val="FigureTitle"/>
        <w:rPr>
          <w:rStyle w:val="Strong"/>
          <w:rFonts w:eastAsiaTheme="majorEastAsia"/>
          <w:b/>
          <w:bCs w:val="0"/>
          <w:iCs/>
          <w:color w:val="404040" w:themeColor="text1" w:themeTint="BF"/>
          <w:sz w:val="24"/>
        </w:rPr>
      </w:pPr>
    </w:p>
    <w:p w14:paraId="143AAEE5" w14:textId="77777777" w:rsidR="00BB7163" w:rsidRDefault="00BB7163">
      <w:pPr>
        <w:spacing w:after="80"/>
        <w:rPr>
          <w:rStyle w:val="Strong"/>
          <w:rFonts w:eastAsiaTheme="majorEastAsia"/>
          <w:iCs/>
          <w:color w:val="404040" w:themeColor="text1" w:themeTint="BF"/>
          <w:sz w:val="24"/>
        </w:rPr>
      </w:pPr>
      <w:r>
        <w:rPr>
          <w:rStyle w:val="Strong"/>
          <w:rFonts w:eastAsiaTheme="majorEastAsia"/>
          <w:b w:val="0"/>
          <w:bCs w:val="0"/>
        </w:rPr>
        <w:br w:type="page"/>
      </w:r>
    </w:p>
    <w:p w14:paraId="1AAE176E" w14:textId="475B4A35" w:rsidR="00B751DA" w:rsidRDefault="00B751DA" w:rsidP="00A03545">
      <w:pPr>
        <w:pStyle w:val="Heading5"/>
        <w:rPr>
          <w:rStyle w:val="Strong"/>
          <w:rFonts w:eastAsiaTheme="majorEastAsia"/>
          <w:b/>
          <w:bCs/>
        </w:rPr>
      </w:pPr>
      <w:r w:rsidRPr="007B1AB3">
        <w:rPr>
          <w:rStyle w:val="Strong"/>
          <w:rFonts w:eastAsiaTheme="majorEastAsia"/>
          <w:b/>
          <w:bCs/>
        </w:rPr>
        <w:lastRenderedPageBreak/>
        <w:t xml:space="preserve">Criterion 3: Delivering comprehensive care </w:t>
      </w:r>
    </w:p>
    <w:p w14:paraId="24292C7C" w14:textId="22143563" w:rsidR="00A7652E" w:rsidRDefault="007B1AB3" w:rsidP="00A7652E">
      <w:pPr>
        <w:rPr>
          <w:rFonts w:eastAsiaTheme="majorEastAsia"/>
          <w:noProof/>
        </w:rPr>
      </w:pPr>
      <w:r>
        <w:rPr>
          <w:rFonts w:eastAsiaTheme="majorEastAsia"/>
          <w:noProof/>
        </w:rPr>
        <w:t xml:space="preserve">Delivering Comprehensive Care </w:t>
      </w:r>
      <w:r w:rsidR="00A7652E">
        <w:rPr>
          <w:rFonts w:eastAsiaTheme="majorEastAsia"/>
          <w:noProof/>
        </w:rPr>
        <w:t>was selected as the most difficult to implement by</w:t>
      </w:r>
      <w:r>
        <w:rPr>
          <w:rFonts w:eastAsiaTheme="majorEastAsia"/>
          <w:noProof/>
        </w:rPr>
        <w:t xml:space="preserve"> 13.75%</w:t>
      </w:r>
      <w:r w:rsidR="00A7652E">
        <w:rPr>
          <w:rFonts w:eastAsiaTheme="majorEastAsia"/>
          <w:noProof/>
        </w:rPr>
        <w:t xml:space="preserve"> (</w:t>
      </w:r>
      <w:r w:rsidR="006169B1">
        <w:rPr>
          <w:rFonts w:eastAsiaTheme="majorEastAsia"/>
          <w:noProof/>
        </w:rPr>
        <w:t xml:space="preserve">n = </w:t>
      </w:r>
      <w:r w:rsidR="00A7652E">
        <w:rPr>
          <w:rFonts w:eastAsiaTheme="majorEastAsia"/>
          <w:noProof/>
        </w:rPr>
        <w:t>9)</w:t>
      </w:r>
      <w:r>
        <w:rPr>
          <w:rFonts w:eastAsiaTheme="majorEastAsia"/>
          <w:noProof/>
        </w:rPr>
        <w:t xml:space="preserve"> of respondents. </w:t>
      </w:r>
      <w:r w:rsidR="00A7652E">
        <w:rPr>
          <w:rFonts w:eastAsiaTheme="majorEastAsia"/>
          <w:noProof/>
        </w:rPr>
        <w:t>The respondents were asked to</w:t>
      </w:r>
      <w:r w:rsidR="006169B1">
        <w:rPr>
          <w:rFonts w:eastAsiaTheme="majorEastAsia"/>
          <w:noProof/>
        </w:rPr>
        <w:t xml:space="preserve"> provide</w:t>
      </w:r>
      <w:r w:rsidR="00A7652E">
        <w:rPr>
          <w:rFonts w:eastAsiaTheme="majorEastAsia"/>
          <w:noProof/>
        </w:rPr>
        <w:t xml:space="preserve"> further information about their challenges (Figure 5).</w:t>
      </w:r>
    </w:p>
    <w:p w14:paraId="1350CB9E" w14:textId="77777777" w:rsidR="00592353" w:rsidRDefault="00592353" w:rsidP="00592353">
      <w:pPr>
        <w:pStyle w:val="Bulletlist"/>
        <w:numPr>
          <w:ilvl w:val="0"/>
          <w:numId w:val="0"/>
        </w:numPr>
        <w:rPr>
          <w:rFonts w:eastAsiaTheme="majorEastAsia"/>
          <w:noProof/>
        </w:rPr>
      </w:pPr>
      <w:r>
        <w:rPr>
          <w:rFonts w:eastAsiaTheme="majorEastAsia"/>
          <w:noProof/>
        </w:rPr>
        <w:t>The items in the criterion were ranked by respondents in the following order:</w:t>
      </w:r>
    </w:p>
    <w:p w14:paraId="163F699C" w14:textId="23C85C7B" w:rsidR="007B1AB3" w:rsidRPr="00926112" w:rsidRDefault="007B1AB3" w:rsidP="007B1AB3">
      <w:pPr>
        <w:pStyle w:val="ListParagraph"/>
        <w:numPr>
          <w:ilvl w:val="0"/>
          <w:numId w:val="32"/>
        </w:numPr>
        <w:rPr>
          <w:rFonts w:eastAsiaTheme="majorEastAsia"/>
          <w:noProof/>
        </w:rPr>
      </w:pPr>
      <w:r w:rsidRPr="00F32FCB">
        <w:rPr>
          <w:rFonts w:eastAsiaTheme="majorEastAsia"/>
          <w:noProof/>
        </w:rPr>
        <w:t xml:space="preserve">66.67% using the comprehensive care plan </w:t>
      </w:r>
    </w:p>
    <w:p w14:paraId="5E042629" w14:textId="77777777" w:rsidR="00592353" w:rsidRPr="00592353" w:rsidRDefault="007B1AB3" w:rsidP="005D3C63">
      <w:pPr>
        <w:pStyle w:val="ListParagraph"/>
        <w:numPr>
          <w:ilvl w:val="0"/>
          <w:numId w:val="32"/>
        </w:numPr>
        <w:rPr>
          <w:rFonts w:eastAsiaTheme="majorEastAsia"/>
          <w:i/>
          <w:noProof/>
        </w:rPr>
      </w:pPr>
      <w:r w:rsidRPr="00592353">
        <w:rPr>
          <w:rFonts w:eastAsiaTheme="majorEastAsia"/>
          <w:noProof/>
        </w:rPr>
        <w:t>44.44%  comprehensive care at the end of life</w:t>
      </w:r>
      <w:r w:rsidR="00592353" w:rsidRPr="00592353">
        <w:rPr>
          <w:rFonts w:eastAsiaTheme="majorEastAsia"/>
          <w:noProof/>
        </w:rPr>
        <w:t xml:space="preserve"> </w:t>
      </w:r>
    </w:p>
    <w:p w14:paraId="722C3032" w14:textId="286F94DA" w:rsidR="007B1AB3" w:rsidRPr="00592353" w:rsidRDefault="007B1AB3" w:rsidP="00592353">
      <w:pPr>
        <w:rPr>
          <w:rFonts w:eastAsiaTheme="majorEastAsia"/>
          <w:i/>
          <w:noProof/>
        </w:rPr>
      </w:pPr>
      <w:r w:rsidRPr="00592353">
        <w:rPr>
          <w:rFonts w:eastAsiaTheme="majorEastAsia"/>
          <w:i/>
          <w:noProof/>
        </w:rPr>
        <w:t>Note: H</w:t>
      </w:r>
      <w:r w:rsidR="00592353">
        <w:rPr>
          <w:rFonts w:eastAsiaTheme="majorEastAsia"/>
          <w:i/>
          <w:noProof/>
        </w:rPr>
        <w:t>SOs</w:t>
      </w:r>
      <w:r w:rsidRPr="00592353">
        <w:rPr>
          <w:rFonts w:eastAsiaTheme="majorEastAsia"/>
          <w:i/>
          <w:noProof/>
        </w:rPr>
        <w:t xml:space="preserve"> could select multiple options/causes.</w:t>
      </w:r>
    </w:p>
    <w:p w14:paraId="6D891FA0" w14:textId="73C7793F" w:rsidR="00592353" w:rsidRDefault="00592353" w:rsidP="00592353">
      <w:pPr>
        <w:rPr>
          <w:rFonts w:eastAsiaTheme="majorEastAsia"/>
          <w:noProof/>
        </w:rPr>
      </w:pPr>
      <w:r>
        <w:rPr>
          <w:rFonts w:eastAsiaTheme="majorEastAsia"/>
          <w:noProof/>
        </w:rPr>
        <w:t>Some of the reasons provided were:</w:t>
      </w:r>
    </w:p>
    <w:p w14:paraId="11091666" w14:textId="1EEBA3A5" w:rsidR="007B1AB3" w:rsidRDefault="00C03B3B" w:rsidP="007B1AB3">
      <w:pPr>
        <w:pStyle w:val="ListParagraph"/>
        <w:numPr>
          <w:ilvl w:val="0"/>
          <w:numId w:val="29"/>
        </w:numPr>
        <w:rPr>
          <w:rFonts w:eastAsiaTheme="majorEastAsia"/>
          <w:noProof/>
        </w:rPr>
      </w:pPr>
      <w:r>
        <w:rPr>
          <w:rFonts w:eastAsiaTheme="majorEastAsia"/>
          <w:noProof/>
        </w:rPr>
        <w:t>Challenges in</w:t>
      </w:r>
      <w:r w:rsidR="00592353">
        <w:rPr>
          <w:rFonts w:eastAsiaTheme="majorEastAsia"/>
          <w:noProof/>
        </w:rPr>
        <w:t xml:space="preserve"> audit</w:t>
      </w:r>
      <w:r>
        <w:rPr>
          <w:rFonts w:eastAsiaTheme="majorEastAsia"/>
          <w:noProof/>
        </w:rPr>
        <w:t>ing</w:t>
      </w:r>
      <w:r w:rsidR="00592353">
        <w:rPr>
          <w:rFonts w:eastAsiaTheme="majorEastAsia"/>
          <w:noProof/>
        </w:rPr>
        <w:t xml:space="preserve"> </w:t>
      </w:r>
      <w:r w:rsidR="007B1AB3">
        <w:rPr>
          <w:rFonts w:eastAsiaTheme="majorEastAsia"/>
          <w:noProof/>
        </w:rPr>
        <w:t>end</w:t>
      </w:r>
      <w:r w:rsidR="00592353">
        <w:rPr>
          <w:rFonts w:eastAsiaTheme="majorEastAsia"/>
          <w:noProof/>
        </w:rPr>
        <w:t>-</w:t>
      </w:r>
      <w:r w:rsidR="007B1AB3">
        <w:rPr>
          <w:rFonts w:eastAsiaTheme="majorEastAsia"/>
          <w:noProof/>
        </w:rPr>
        <w:t>of</w:t>
      </w:r>
      <w:r w:rsidR="00592353">
        <w:rPr>
          <w:rFonts w:eastAsiaTheme="majorEastAsia"/>
          <w:noProof/>
        </w:rPr>
        <w:t>-</w:t>
      </w:r>
      <w:r w:rsidR="007B1AB3">
        <w:rPr>
          <w:rFonts w:eastAsiaTheme="majorEastAsia"/>
          <w:noProof/>
        </w:rPr>
        <w:t>life care processes</w:t>
      </w:r>
    </w:p>
    <w:p w14:paraId="24ACF836" w14:textId="77777777" w:rsidR="007B1AB3" w:rsidRDefault="007B1AB3" w:rsidP="007B1AB3">
      <w:pPr>
        <w:pStyle w:val="ListParagraph"/>
        <w:numPr>
          <w:ilvl w:val="0"/>
          <w:numId w:val="29"/>
        </w:numPr>
        <w:rPr>
          <w:rFonts w:eastAsiaTheme="majorEastAsia"/>
          <w:noProof/>
        </w:rPr>
      </w:pPr>
      <w:r>
        <w:rPr>
          <w:rFonts w:eastAsiaTheme="majorEastAsia"/>
          <w:noProof/>
        </w:rPr>
        <w:t>Differing opinions across disciplines about the value of the comprehensive care plan</w:t>
      </w:r>
    </w:p>
    <w:p w14:paraId="1ABAE917" w14:textId="77777777" w:rsidR="007B1AB3" w:rsidRDefault="007B1AB3" w:rsidP="007B1AB3">
      <w:pPr>
        <w:pStyle w:val="ListParagraph"/>
        <w:numPr>
          <w:ilvl w:val="0"/>
          <w:numId w:val="29"/>
        </w:numPr>
        <w:rPr>
          <w:rFonts w:eastAsiaTheme="majorEastAsia"/>
          <w:noProof/>
        </w:rPr>
      </w:pPr>
      <w:r>
        <w:rPr>
          <w:rFonts w:eastAsiaTheme="majorEastAsia"/>
          <w:noProof/>
        </w:rPr>
        <w:t>Applicability in rural health service settings where multidiciplinary teams are accessed differently</w:t>
      </w:r>
    </w:p>
    <w:p w14:paraId="0F8CD70C" w14:textId="77777777" w:rsidR="007B1AB3" w:rsidRPr="00BC51BA" w:rsidRDefault="007B1AB3" w:rsidP="007B1AB3">
      <w:pPr>
        <w:pStyle w:val="ListParagraph"/>
        <w:numPr>
          <w:ilvl w:val="0"/>
          <w:numId w:val="29"/>
        </w:numPr>
        <w:rPr>
          <w:rFonts w:eastAsiaTheme="majorEastAsia"/>
          <w:noProof/>
        </w:rPr>
      </w:pPr>
      <w:r>
        <w:rPr>
          <w:rFonts w:eastAsiaTheme="majorEastAsia"/>
          <w:noProof/>
        </w:rPr>
        <w:t>Demonstrating how consumers and carers are involved.</w:t>
      </w:r>
    </w:p>
    <w:p w14:paraId="23C59873" w14:textId="6E76637A" w:rsidR="00B751DA" w:rsidRDefault="00B751DA" w:rsidP="007B1AB3">
      <w:pPr>
        <w:pStyle w:val="FigureTitle"/>
      </w:pPr>
      <w:r>
        <w:rPr>
          <w:rFonts w:eastAsiaTheme="majorEastAsia"/>
        </w:rPr>
        <w:br/>
      </w:r>
      <w:r w:rsidRPr="007B1AB3">
        <w:t xml:space="preserve">Figure </w:t>
      </w:r>
      <w:r w:rsidR="007B1AB3">
        <w:t>5</w:t>
      </w:r>
      <w:r w:rsidRPr="007B1AB3">
        <w:t xml:space="preserve">: Criterion 3 </w:t>
      </w:r>
      <w:r w:rsidR="00E21314">
        <w:t>items</w:t>
      </w:r>
      <w:r w:rsidR="00E21314" w:rsidRPr="007B1AB3">
        <w:t xml:space="preserve"> identified by respondents</w:t>
      </w:r>
      <w:r w:rsidR="00E21314">
        <w:t xml:space="preserve"> as the most challenging</w:t>
      </w:r>
      <w:r w:rsidR="00E21314" w:rsidRPr="007B1AB3">
        <w:t xml:space="preserve"> </w:t>
      </w:r>
      <w:r w:rsidR="00A7652E">
        <w:t>(%)</w:t>
      </w:r>
    </w:p>
    <w:p w14:paraId="505108D4" w14:textId="77777777" w:rsidR="00A7652E" w:rsidRDefault="00A7652E" w:rsidP="007B1AB3">
      <w:pPr>
        <w:pStyle w:val="FigureTitle"/>
      </w:pPr>
    </w:p>
    <w:p w14:paraId="6E76442C" w14:textId="1613EDA4" w:rsidR="00B751DA" w:rsidRDefault="00A7652E" w:rsidP="00BB7163">
      <w:pPr>
        <w:pStyle w:val="FigureTitle"/>
        <w:rPr>
          <w:rFonts w:eastAsiaTheme="majorEastAsia"/>
          <w:noProof/>
        </w:rPr>
      </w:pPr>
      <w:r>
        <w:rPr>
          <w:rFonts w:eastAsiaTheme="majorEastAsia"/>
          <w:noProof/>
        </w:rPr>
        <w:drawing>
          <wp:inline distT="0" distB="0" distL="0" distR="0" wp14:anchorId="6649BBBE" wp14:editId="511A0022">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B7163">
        <w:rPr>
          <w:rFonts w:eastAsiaTheme="majorEastAsia"/>
          <w:noProof/>
        </w:rPr>
        <w:br/>
      </w:r>
    </w:p>
    <w:p w14:paraId="104B5F4A" w14:textId="50F1BF2A" w:rsidR="00B751DA" w:rsidRDefault="00B751DA" w:rsidP="007B1AB3">
      <w:pPr>
        <w:pStyle w:val="Heading4"/>
        <w:rPr>
          <w:rFonts w:eastAsiaTheme="majorEastAsia"/>
        </w:rPr>
      </w:pPr>
      <w:r w:rsidRPr="007B1AB3">
        <w:rPr>
          <w:rFonts w:eastAsiaTheme="majorEastAsia"/>
        </w:rPr>
        <w:t xml:space="preserve">Criterion 4: Minimising patient harm </w:t>
      </w:r>
    </w:p>
    <w:p w14:paraId="6B102C20" w14:textId="54F5E214" w:rsidR="00A7652E" w:rsidRDefault="007B1AB3" w:rsidP="00A7652E">
      <w:pPr>
        <w:rPr>
          <w:rFonts w:eastAsiaTheme="majorEastAsia"/>
          <w:noProof/>
        </w:rPr>
      </w:pPr>
      <w:r>
        <w:rPr>
          <w:rFonts w:eastAsiaTheme="majorEastAsia"/>
          <w:noProof/>
        </w:rPr>
        <w:t xml:space="preserve">Minimising patient harm </w:t>
      </w:r>
      <w:r w:rsidR="00A7652E">
        <w:rPr>
          <w:rFonts w:eastAsiaTheme="majorEastAsia"/>
          <w:noProof/>
        </w:rPr>
        <w:t xml:space="preserve">was selected as the most difficult to implement by </w:t>
      </w:r>
      <w:r>
        <w:rPr>
          <w:rFonts w:eastAsiaTheme="majorEastAsia"/>
          <w:noProof/>
        </w:rPr>
        <w:t>16.25%</w:t>
      </w:r>
      <w:r w:rsidR="00A7652E">
        <w:rPr>
          <w:rFonts w:eastAsiaTheme="majorEastAsia"/>
          <w:noProof/>
        </w:rPr>
        <w:t xml:space="preserve"> (</w:t>
      </w:r>
      <w:r w:rsidR="006169B1">
        <w:rPr>
          <w:rFonts w:eastAsiaTheme="majorEastAsia"/>
          <w:noProof/>
        </w:rPr>
        <w:t xml:space="preserve">n = </w:t>
      </w:r>
      <w:r w:rsidR="00A7652E">
        <w:rPr>
          <w:rFonts w:eastAsiaTheme="majorEastAsia"/>
          <w:noProof/>
        </w:rPr>
        <w:t>12)</w:t>
      </w:r>
      <w:r>
        <w:rPr>
          <w:rFonts w:eastAsiaTheme="majorEastAsia"/>
          <w:noProof/>
        </w:rPr>
        <w:t xml:space="preserve"> of respondents</w:t>
      </w:r>
      <w:r w:rsidR="00A7652E">
        <w:rPr>
          <w:rFonts w:eastAsiaTheme="majorEastAsia"/>
          <w:noProof/>
        </w:rPr>
        <w:t>.</w:t>
      </w:r>
      <w:r>
        <w:rPr>
          <w:rFonts w:eastAsiaTheme="majorEastAsia"/>
          <w:noProof/>
        </w:rPr>
        <w:t xml:space="preserve"> </w:t>
      </w:r>
      <w:r w:rsidR="00A7652E">
        <w:rPr>
          <w:rFonts w:eastAsiaTheme="majorEastAsia"/>
          <w:noProof/>
        </w:rPr>
        <w:t>The respondents were asked to</w:t>
      </w:r>
      <w:r w:rsidR="006169B1">
        <w:rPr>
          <w:rFonts w:eastAsiaTheme="majorEastAsia"/>
          <w:noProof/>
        </w:rPr>
        <w:t xml:space="preserve"> provide</w:t>
      </w:r>
      <w:r w:rsidR="00A7652E">
        <w:rPr>
          <w:rFonts w:eastAsiaTheme="majorEastAsia"/>
          <w:noProof/>
        </w:rPr>
        <w:t xml:space="preserve"> further information about their challenges and to select the actions that cause most issues (Figure 6).</w:t>
      </w:r>
    </w:p>
    <w:p w14:paraId="24250DAA" w14:textId="3C89FDE9" w:rsidR="00C03B3B" w:rsidRDefault="00C03B3B" w:rsidP="00C03B3B">
      <w:pPr>
        <w:pStyle w:val="Bulletlist"/>
        <w:numPr>
          <w:ilvl w:val="0"/>
          <w:numId w:val="0"/>
        </w:numPr>
        <w:rPr>
          <w:rFonts w:eastAsiaTheme="majorEastAsia"/>
          <w:noProof/>
        </w:rPr>
      </w:pPr>
      <w:r>
        <w:rPr>
          <w:rFonts w:eastAsiaTheme="majorEastAsia"/>
          <w:noProof/>
        </w:rPr>
        <w:t>The items in the criterion were ranked by respondents in the following order:</w:t>
      </w:r>
    </w:p>
    <w:p w14:paraId="14DEB49B" w14:textId="77777777" w:rsidR="00C03B3B" w:rsidRDefault="00C03B3B" w:rsidP="00C03B3B">
      <w:pPr>
        <w:pStyle w:val="Bulletlist"/>
        <w:numPr>
          <w:ilvl w:val="0"/>
          <w:numId w:val="0"/>
        </w:numPr>
        <w:rPr>
          <w:rFonts w:eastAsiaTheme="majorEastAsia"/>
          <w:noProof/>
        </w:rPr>
      </w:pPr>
    </w:p>
    <w:p w14:paraId="2FDCCACF" w14:textId="3C954249" w:rsidR="007B1AB3" w:rsidRPr="00606F62" w:rsidRDefault="007B1AB3" w:rsidP="007B1AB3">
      <w:pPr>
        <w:pStyle w:val="Bulletlist"/>
        <w:rPr>
          <w:rFonts w:eastAsiaTheme="majorEastAsia"/>
          <w:noProof/>
        </w:rPr>
      </w:pPr>
      <w:r w:rsidRPr="00926112">
        <w:rPr>
          <w:rFonts w:eastAsiaTheme="majorEastAsia"/>
          <w:noProof/>
        </w:rPr>
        <w:t>58.33% Preventing delirium and managing cognitive impairment</w:t>
      </w:r>
    </w:p>
    <w:p w14:paraId="445D31D4" w14:textId="7B2474E9" w:rsidR="007B1AB3" w:rsidRPr="00926112" w:rsidRDefault="007B1AB3" w:rsidP="007B1AB3">
      <w:pPr>
        <w:pStyle w:val="Bulletlist"/>
        <w:rPr>
          <w:rFonts w:eastAsiaTheme="majorEastAsia"/>
          <w:noProof/>
        </w:rPr>
      </w:pPr>
      <w:r w:rsidRPr="00926112">
        <w:rPr>
          <w:rFonts w:eastAsiaTheme="majorEastAsia"/>
          <w:noProof/>
        </w:rPr>
        <w:t>41.67% Preventing harm and harm from falls</w:t>
      </w:r>
    </w:p>
    <w:p w14:paraId="464D688F" w14:textId="4F0BC634" w:rsidR="007B1AB3" w:rsidRPr="00606F62" w:rsidRDefault="007B1AB3" w:rsidP="007B1AB3">
      <w:pPr>
        <w:pStyle w:val="Bulletlist"/>
        <w:rPr>
          <w:rFonts w:eastAsiaTheme="majorEastAsia"/>
          <w:noProof/>
        </w:rPr>
      </w:pPr>
      <w:r w:rsidRPr="00606F62">
        <w:rPr>
          <w:rFonts w:eastAsiaTheme="majorEastAsia"/>
          <w:noProof/>
        </w:rPr>
        <w:t>33.33% Predicting, preventing and managing aggression and violence</w:t>
      </w:r>
    </w:p>
    <w:p w14:paraId="22B107EC" w14:textId="7C532E47" w:rsidR="007B1AB3" w:rsidRPr="00D72820" w:rsidRDefault="007B1AB3" w:rsidP="007B1AB3">
      <w:pPr>
        <w:pStyle w:val="Bulletlist"/>
        <w:rPr>
          <w:rFonts w:eastAsiaTheme="majorEastAsia"/>
          <w:noProof/>
        </w:rPr>
      </w:pPr>
      <w:r w:rsidRPr="00D72820">
        <w:rPr>
          <w:rFonts w:eastAsiaTheme="majorEastAsia"/>
          <w:noProof/>
        </w:rPr>
        <w:t>25% Preventing and managing pressure injuries</w:t>
      </w:r>
    </w:p>
    <w:p w14:paraId="7C89B7A1" w14:textId="4A777D75" w:rsidR="007B1AB3" w:rsidRPr="00D72820" w:rsidRDefault="007B1AB3" w:rsidP="007B1AB3">
      <w:pPr>
        <w:pStyle w:val="Bulletlist"/>
        <w:rPr>
          <w:rFonts w:eastAsiaTheme="majorEastAsia"/>
          <w:noProof/>
        </w:rPr>
      </w:pPr>
      <w:r w:rsidRPr="00D72820">
        <w:rPr>
          <w:rFonts w:eastAsiaTheme="majorEastAsia"/>
          <w:noProof/>
        </w:rPr>
        <w:lastRenderedPageBreak/>
        <w:t>16.67% Nutrition and hydration</w:t>
      </w:r>
    </w:p>
    <w:p w14:paraId="1095381A" w14:textId="77777777" w:rsidR="00C03B3B" w:rsidRPr="00C03B3B" w:rsidRDefault="007B1AB3" w:rsidP="002C5600">
      <w:pPr>
        <w:pStyle w:val="Bulletlist"/>
        <w:rPr>
          <w:rFonts w:eastAsiaTheme="majorEastAsia"/>
          <w:i/>
          <w:noProof/>
        </w:rPr>
      </w:pPr>
      <w:r w:rsidRPr="00C03B3B">
        <w:rPr>
          <w:rFonts w:eastAsiaTheme="majorEastAsia"/>
          <w:noProof/>
        </w:rPr>
        <w:t xml:space="preserve">16.67% Predicting, preventing and managing self-harm and suicide </w:t>
      </w:r>
    </w:p>
    <w:p w14:paraId="5CDE2FB3" w14:textId="77777777" w:rsidR="00C03B3B" w:rsidRPr="00C03B3B" w:rsidRDefault="00C03B3B" w:rsidP="00C03B3B">
      <w:pPr>
        <w:pStyle w:val="Bulletlist"/>
        <w:numPr>
          <w:ilvl w:val="0"/>
          <w:numId w:val="0"/>
        </w:numPr>
        <w:ind w:left="284"/>
        <w:rPr>
          <w:rFonts w:eastAsiaTheme="majorEastAsia"/>
          <w:i/>
          <w:noProof/>
        </w:rPr>
      </w:pPr>
    </w:p>
    <w:p w14:paraId="79297540" w14:textId="4EDEA874" w:rsidR="007B1AB3" w:rsidRPr="00C03B3B" w:rsidRDefault="007B1AB3" w:rsidP="00C03B3B">
      <w:pPr>
        <w:pStyle w:val="Bulletlist"/>
        <w:numPr>
          <w:ilvl w:val="0"/>
          <w:numId w:val="0"/>
        </w:numPr>
        <w:rPr>
          <w:rFonts w:eastAsiaTheme="majorEastAsia"/>
          <w:i/>
          <w:noProof/>
        </w:rPr>
      </w:pPr>
      <w:r w:rsidRPr="00C03B3B">
        <w:rPr>
          <w:rFonts w:eastAsiaTheme="majorEastAsia"/>
          <w:i/>
          <w:noProof/>
        </w:rPr>
        <w:t xml:space="preserve">Note: </w:t>
      </w:r>
      <w:r w:rsidR="00C03B3B">
        <w:rPr>
          <w:rFonts w:eastAsiaTheme="majorEastAsia"/>
          <w:i/>
          <w:noProof/>
        </w:rPr>
        <w:t xml:space="preserve">HSOs </w:t>
      </w:r>
      <w:r w:rsidRPr="00C03B3B">
        <w:rPr>
          <w:rFonts w:eastAsiaTheme="majorEastAsia"/>
          <w:i/>
          <w:noProof/>
        </w:rPr>
        <w:t>could select multiple options/causes.</w:t>
      </w:r>
    </w:p>
    <w:p w14:paraId="4AE0C79B" w14:textId="77777777" w:rsidR="00E21314" w:rsidRDefault="00E21314" w:rsidP="00E21314">
      <w:pPr>
        <w:rPr>
          <w:rFonts w:eastAsiaTheme="majorEastAsia"/>
          <w:noProof/>
        </w:rPr>
      </w:pPr>
      <w:r>
        <w:rPr>
          <w:rFonts w:eastAsiaTheme="majorEastAsia"/>
          <w:noProof/>
        </w:rPr>
        <w:t>Some of the reasons provided were:</w:t>
      </w:r>
    </w:p>
    <w:p w14:paraId="563A79FC" w14:textId="09114088" w:rsidR="007B1AB3" w:rsidRDefault="007B1AB3" w:rsidP="007B1AB3">
      <w:pPr>
        <w:pStyle w:val="Bulletlist"/>
        <w:rPr>
          <w:rFonts w:eastAsiaTheme="majorEastAsia"/>
          <w:noProof/>
        </w:rPr>
      </w:pPr>
      <w:r>
        <w:rPr>
          <w:rFonts w:eastAsiaTheme="majorEastAsia"/>
          <w:noProof/>
        </w:rPr>
        <w:t>Staff feeling under-resourced to manage falls, delirium, violence and cognitive impairment, particularly in small rural hospitals</w:t>
      </w:r>
    </w:p>
    <w:p w14:paraId="1C66A27F" w14:textId="77777777" w:rsidR="007B1AB3" w:rsidRDefault="007B1AB3" w:rsidP="007B1AB3">
      <w:pPr>
        <w:pStyle w:val="Bulletlist"/>
        <w:rPr>
          <w:rFonts w:eastAsiaTheme="majorEastAsia"/>
          <w:noProof/>
        </w:rPr>
      </w:pPr>
      <w:r>
        <w:rPr>
          <w:rFonts w:eastAsiaTheme="majorEastAsia"/>
          <w:noProof/>
        </w:rPr>
        <w:t>Balancing consumer goals for independence and clinicial needs</w:t>
      </w:r>
    </w:p>
    <w:p w14:paraId="2874B5D5" w14:textId="75E556AD" w:rsidR="007B1AB3" w:rsidRPr="000068B4" w:rsidRDefault="007B1AB3" w:rsidP="007B1AB3">
      <w:pPr>
        <w:pStyle w:val="Bulletlist"/>
        <w:rPr>
          <w:rFonts w:eastAsiaTheme="majorEastAsia"/>
          <w:noProof/>
        </w:rPr>
      </w:pPr>
      <w:r>
        <w:rPr>
          <w:rFonts w:eastAsiaTheme="majorEastAsia"/>
          <w:noProof/>
        </w:rPr>
        <w:t>Resources to support consumers and families with management of cognitive impairment.</w:t>
      </w:r>
    </w:p>
    <w:p w14:paraId="369352FB" w14:textId="71ECB53F" w:rsidR="00B751DA" w:rsidRDefault="00B751DA" w:rsidP="007B1AB3">
      <w:pPr>
        <w:pStyle w:val="FigureTitle"/>
      </w:pPr>
      <w:r w:rsidRPr="007B1AB3">
        <w:t xml:space="preserve">Figure </w:t>
      </w:r>
      <w:r w:rsidR="007B1AB3">
        <w:t>6</w:t>
      </w:r>
      <w:r w:rsidRPr="007B1AB3">
        <w:t>: Criterion 4</w:t>
      </w:r>
      <w:r w:rsidR="00E21314">
        <w:t xml:space="preserve"> items</w:t>
      </w:r>
      <w:r w:rsidRPr="007B1AB3">
        <w:t xml:space="preserve"> identified by respondents</w:t>
      </w:r>
      <w:r w:rsidR="00E21314">
        <w:t xml:space="preserve"> as the most challenging (%)</w:t>
      </w:r>
    </w:p>
    <w:p w14:paraId="2045BE24" w14:textId="77777777" w:rsidR="00A7652E" w:rsidRDefault="00A7652E" w:rsidP="007B1AB3">
      <w:pPr>
        <w:pStyle w:val="FigureTitle"/>
      </w:pPr>
    </w:p>
    <w:p w14:paraId="7702E5CC" w14:textId="4536A8C9" w:rsidR="00A7652E" w:rsidRPr="007B1AB3" w:rsidRDefault="00A7652E" w:rsidP="007B1AB3">
      <w:pPr>
        <w:pStyle w:val="FigureTitle"/>
        <w:rPr>
          <w:rFonts w:eastAsiaTheme="majorEastAsia"/>
        </w:rPr>
      </w:pPr>
      <w:r>
        <w:rPr>
          <w:rFonts w:eastAsiaTheme="majorEastAsia"/>
          <w:noProof/>
        </w:rPr>
        <w:drawing>
          <wp:inline distT="0" distB="0" distL="0" distR="0" wp14:anchorId="5CF61397" wp14:editId="63F9A682">
            <wp:extent cx="5556738" cy="3347720"/>
            <wp:effectExtent l="0" t="0" r="6350" b="50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E32A65" w14:textId="2215D88F" w:rsidR="00B751DA" w:rsidRDefault="00B751DA" w:rsidP="00B751DA">
      <w:pPr>
        <w:rPr>
          <w:rFonts w:eastAsiaTheme="majorEastAsia"/>
          <w:noProof/>
        </w:rPr>
      </w:pPr>
    </w:p>
    <w:p w14:paraId="61AF674C" w14:textId="712F8DF5" w:rsidR="00096C6B" w:rsidRDefault="00096C6B" w:rsidP="00B751DA">
      <w:pPr>
        <w:rPr>
          <w:rFonts w:eastAsiaTheme="majorEastAsia"/>
          <w:noProof/>
        </w:rPr>
      </w:pPr>
    </w:p>
    <w:p w14:paraId="29F19E9A" w14:textId="77777777" w:rsidR="007B1AB3" w:rsidRDefault="007B1AB3">
      <w:pPr>
        <w:spacing w:after="80"/>
        <w:rPr>
          <w:rFonts w:eastAsiaTheme="majorEastAsia" w:cs="Arial"/>
          <w:b/>
          <w:bCs/>
          <w:iCs/>
          <w:noProof/>
          <w:color w:val="1178A2"/>
          <w:kern w:val="28"/>
          <w:sz w:val="28"/>
          <w:szCs w:val="26"/>
        </w:rPr>
      </w:pPr>
      <w:r>
        <w:rPr>
          <w:rFonts w:eastAsiaTheme="majorEastAsia"/>
          <w:noProof/>
        </w:rPr>
        <w:br w:type="page"/>
      </w:r>
    </w:p>
    <w:p w14:paraId="698DB96E" w14:textId="1ED8BD0F" w:rsidR="00AE6584" w:rsidRDefault="00FA18D7" w:rsidP="00AE6584">
      <w:pPr>
        <w:pStyle w:val="Heading2"/>
        <w:rPr>
          <w:rFonts w:eastAsiaTheme="majorEastAsia"/>
          <w:noProof/>
        </w:rPr>
      </w:pPr>
      <w:bookmarkStart w:id="14" w:name="_Toc105592204"/>
      <w:r>
        <w:rPr>
          <w:rFonts w:eastAsiaTheme="majorEastAsia"/>
          <w:noProof/>
        </w:rPr>
        <w:lastRenderedPageBreak/>
        <w:t>A</w:t>
      </w:r>
      <w:r w:rsidR="00AE6584">
        <w:rPr>
          <w:rFonts w:eastAsiaTheme="majorEastAsia"/>
          <w:noProof/>
        </w:rPr>
        <w:t xml:space="preserve">wareness </w:t>
      </w:r>
      <w:r>
        <w:rPr>
          <w:rFonts w:eastAsiaTheme="majorEastAsia"/>
          <w:noProof/>
        </w:rPr>
        <w:t xml:space="preserve">and use </w:t>
      </w:r>
      <w:r w:rsidR="00AE6584">
        <w:rPr>
          <w:rFonts w:eastAsiaTheme="majorEastAsia"/>
          <w:noProof/>
        </w:rPr>
        <w:t>of Commission resources</w:t>
      </w:r>
      <w:bookmarkEnd w:id="14"/>
    </w:p>
    <w:p w14:paraId="1220D23C" w14:textId="7A3B30AB" w:rsidR="000104C9" w:rsidRDefault="007F03F6" w:rsidP="007F03F6">
      <w:pPr>
        <w:pStyle w:val="Normal-beforebullets"/>
        <w:rPr>
          <w:rFonts w:eastAsia="Arial"/>
        </w:rPr>
      </w:pPr>
      <w:r>
        <w:rPr>
          <w:rFonts w:eastAsiaTheme="majorEastAsia"/>
          <w:noProof/>
        </w:rPr>
        <w:t xml:space="preserve">Comprehensive care </w:t>
      </w:r>
      <w:r w:rsidRPr="007F03F6">
        <w:t>resources were released between 2016 and 2020</w:t>
      </w:r>
      <w:r>
        <w:t xml:space="preserve"> </w:t>
      </w:r>
      <w:r w:rsidR="000104C9">
        <w:t xml:space="preserve">in addition to other NSQHS Standards resources </w:t>
      </w:r>
      <w:r>
        <w:t>to support implementation</w:t>
      </w:r>
      <w:r w:rsidRPr="007F03F6">
        <w:t xml:space="preserve">. </w:t>
      </w:r>
      <w:r w:rsidRPr="007F03F6">
        <w:rPr>
          <w:rFonts w:eastAsia="Arial"/>
        </w:rPr>
        <w:t>The resources included the foundational, cultural</w:t>
      </w:r>
      <w:r w:rsidR="00E21314">
        <w:rPr>
          <w:rFonts w:eastAsia="Arial"/>
        </w:rPr>
        <w:t>,</w:t>
      </w:r>
      <w:r w:rsidRPr="007F03F6">
        <w:rPr>
          <w:rFonts w:eastAsia="Arial"/>
        </w:rPr>
        <w:t xml:space="preserve"> and organisational aspects important to implementation. The resources were derived from anticipated need, requests, by reviewing common queries submitted to the Commission, and stakeholder consultation. Consumer resources were also developed for specific issues identified by consumer representatives. Release order was determined through stakeholder prioritisation. </w:t>
      </w:r>
    </w:p>
    <w:p w14:paraId="4F1BDD74" w14:textId="77777777" w:rsidR="000104C9" w:rsidRDefault="000104C9" w:rsidP="007F03F6">
      <w:pPr>
        <w:pStyle w:val="Normal-beforebullets"/>
        <w:rPr>
          <w:rFonts w:eastAsia="Arial"/>
        </w:rPr>
      </w:pPr>
    </w:p>
    <w:p w14:paraId="1A77C1EB" w14:textId="77A7AA55" w:rsidR="00B751DA" w:rsidRDefault="007F03F6" w:rsidP="000104C9">
      <w:pPr>
        <w:pStyle w:val="Normal-beforebullets"/>
        <w:rPr>
          <w:rFonts w:eastAsiaTheme="majorEastAsia"/>
          <w:noProof/>
        </w:rPr>
      </w:pPr>
      <w:r w:rsidRPr="007F03F6">
        <w:t>The resources were made available as webpages and downloads on the Commission website and promoted through social media and newsletters, via email distribution lists, and directly through clinical networks and committee members.</w:t>
      </w:r>
      <w:r w:rsidR="000104C9">
        <w:t xml:space="preserve"> </w:t>
      </w:r>
      <w:r w:rsidR="00FA18D7">
        <w:t>Google analytics data and questions in t</w:t>
      </w:r>
      <w:r w:rsidR="00A03545">
        <w:rPr>
          <w:rFonts w:eastAsiaTheme="majorEastAsia"/>
          <w:noProof/>
        </w:rPr>
        <w:t xml:space="preserve">he survey </w:t>
      </w:r>
      <w:r w:rsidR="00FA18D7">
        <w:rPr>
          <w:rFonts w:eastAsiaTheme="majorEastAsia"/>
          <w:noProof/>
        </w:rPr>
        <w:t>were reviewed</w:t>
      </w:r>
      <w:r w:rsidR="00A03545">
        <w:rPr>
          <w:rFonts w:eastAsiaTheme="majorEastAsia"/>
          <w:noProof/>
        </w:rPr>
        <w:t xml:space="preserve"> to determine </w:t>
      </w:r>
      <w:r w:rsidR="00B751DA">
        <w:rPr>
          <w:rFonts w:eastAsiaTheme="majorEastAsia"/>
          <w:noProof/>
        </w:rPr>
        <w:t>awareness and use of Commission resources.</w:t>
      </w:r>
    </w:p>
    <w:p w14:paraId="59973D45" w14:textId="77777777" w:rsidR="00AE6584" w:rsidRDefault="00AE6584" w:rsidP="000104C9">
      <w:pPr>
        <w:pStyle w:val="Normal-beforebullets"/>
        <w:rPr>
          <w:rFonts w:eastAsia="Arial"/>
        </w:rPr>
      </w:pPr>
    </w:p>
    <w:p w14:paraId="425FBBD0" w14:textId="39642772" w:rsidR="00FA18D7" w:rsidRDefault="000104C9" w:rsidP="00FA18D7">
      <w:pPr>
        <w:pStyle w:val="Normal-beforebullets"/>
        <w:rPr>
          <w:rFonts w:eastAsia="Arial"/>
        </w:rPr>
      </w:pPr>
      <w:r>
        <w:rPr>
          <w:rFonts w:eastAsia="Arial"/>
        </w:rPr>
        <w:t>The survey</w:t>
      </w:r>
      <w:r w:rsidR="00FA18D7">
        <w:rPr>
          <w:rFonts w:eastAsia="Arial"/>
        </w:rPr>
        <w:t xml:space="preserve"> used</w:t>
      </w:r>
      <w:r>
        <w:rPr>
          <w:rFonts w:eastAsia="Arial"/>
        </w:rPr>
        <w:t xml:space="preserve"> </w:t>
      </w:r>
      <w:r w:rsidR="00FA18D7">
        <w:rPr>
          <w:rFonts w:eastAsia="Arial"/>
        </w:rPr>
        <w:t xml:space="preserve">Likert scale </w:t>
      </w:r>
      <w:r w:rsidR="00FA18D7" w:rsidRPr="000104C9">
        <w:rPr>
          <w:rFonts w:eastAsia="Arial"/>
        </w:rPr>
        <w:t xml:space="preserve">questions </w:t>
      </w:r>
      <w:r w:rsidR="00FA18D7">
        <w:rPr>
          <w:rFonts w:eastAsia="Arial"/>
        </w:rPr>
        <w:t xml:space="preserve">to </w:t>
      </w:r>
      <w:r>
        <w:rPr>
          <w:rFonts w:eastAsia="Arial"/>
        </w:rPr>
        <w:t xml:space="preserve">determine awareness and usefulness of </w:t>
      </w:r>
      <w:r w:rsidR="00FA18D7">
        <w:rPr>
          <w:rFonts w:eastAsia="Arial"/>
        </w:rPr>
        <w:t xml:space="preserve">Commission </w:t>
      </w:r>
      <w:r>
        <w:rPr>
          <w:rFonts w:eastAsia="Arial"/>
        </w:rPr>
        <w:t xml:space="preserve">resources. </w:t>
      </w:r>
      <w:r w:rsidR="00440D78">
        <w:rPr>
          <w:rFonts w:eastAsia="Arial"/>
        </w:rPr>
        <w:t>U</w:t>
      </w:r>
      <w:r w:rsidR="00440D78" w:rsidRPr="000104C9">
        <w:rPr>
          <w:rFonts w:eastAsia="Arial"/>
        </w:rPr>
        <w:t>sefulness</w:t>
      </w:r>
      <w:r w:rsidR="00440D78">
        <w:rPr>
          <w:rFonts w:eastAsia="Arial"/>
        </w:rPr>
        <w:t xml:space="preserve"> was calculated by combining rankings including </w:t>
      </w:r>
      <w:r w:rsidR="00440D78" w:rsidRPr="000104C9">
        <w:rPr>
          <w:rFonts w:eastAsia="Arial"/>
        </w:rPr>
        <w:t>somewhat useful, very useful and extremely</w:t>
      </w:r>
      <w:r w:rsidR="00440D78">
        <w:rPr>
          <w:rFonts w:eastAsia="Arial"/>
        </w:rPr>
        <w:t xml:space="preserve"> useful</w:t>
      </w:r>
      <w:r w:rsidR="00440D78" w:rsidRPr="000104C9">
        <w:rPr>
          <w:rFonts w:eastAsia="Arial"/>
        </w:rPr>
        <w:t>.</w:t>
      </w:r>
      <w:r w:rsidR="00440D78">
        <w:rPr>
          <w:rFonts w:eastAsia="Arial"/>
        </w:rPr>
        <w:t xml:space="preserve"> </w:t>
      </w:r>
      <w:r>
        <w:rPr>
          <w:rFonts w:eastAsia="Arial"/>
        </w:rPr>
        <w:t xml:space="preserve">Lack of awareness was calculated by combining </w:t>
      </w:r>
      <w:r w:rsidR="00440D78">
        <w:rPr>
          <w:rFonts w:eastAsia="Arial"/>
        </w:rPr>
        <w:t xml:space="preserve">rankings of </w:t>
      </w:r>
      <w:r>
        <w:rPr>
          <w:rFonts w:eastAsia="Arial"/>
        </w:rPr>
        <w:t>not aware and never</w:t>
      </w:r>
      <w:r w:rsidR="00C4308E">
        <w:rPr>
          <w:rFonts w:eastAsia="Arial"/>
        </w:rPr>
        <w:t xml:space="preserve"> used</w:t>
      </w:r>
      <w:r w:rsidR="00440D78">
        <w:rPr>
          <w:rFonts w:eastAsia="Arial"/>
        </w:rPr>
        <w:t xml:space="preserve">. </w:t>
      </w:r>
      <w:r w:rsidR="00FA18D7" w:rsidRPr="000104C9">
        <w:rPr>
          <w:rFonts w:eastAsia="Arial"/>
        </w:rPr>
        <w:t xml:space="preserve">Approximately 66% of respondents answered </w:t>
      </w:r>
      <w:r w:rsidR="00FA18D7">
        <w:rPr>
          <w:rFonts w:eastAsia="Arial"/>
        </w:rPr>
        <w:t>these questions (Figure 7)</w:t>
      </w:r>
      <w:r w:rsidR="00FA18D7" w:rsidRPr="000104C9">
        <w:rPr>
          <w:rFonts w:eastAsia="Arial"/>
        </w:rPr>
        <w:t>.</w:t>
      </w:r>
    </w:p>
    <w:p w14:paraId="53F3CF5D" w14:textId="77777777" w:rsidR="00FA18D7" w:rsidRDefault="00FA18D7" w:rsidP="00FA18D7">
      <w:pPr>
        <w:pStyle w:val="Normal-beforebullets"/>
        <w:rPr>
          <w:rFonts w:eastAsia="Arial"/>
        </w:rPr>
      </w:pPr>
    </w:p>
    <w:p w14:paraId="74145A23" w14:textId="3CEF6F11" w:rsidR="00B751DA" w:rsidRDefault="00B751DA" w:rsidP="00FA18D7">
      <w:pPr>
        <w:pStyle w:val="FigureTitle"/>
        <w:rPr>
          <w:rFonts w:eastAsiaTheme="majorEastAsia"/>
        </w:rPr>
      </w:pPr>
      <w:r w:rsidRPr="00F16415">
        <w:t xml:space="preserve">Figure </w:t>
      </w:r>
      <w:r w:rsidR="00440D78">
        <w:t>7</w:t>
      </w:r>
      <w:r w:rsidRPr="00F16415">
        <w:t xml:space="preserve">: </w:t>
      </w:r>
      <w:r w:rsidR="00FA18D7">
        <w:t>A</w:t>
      </w:r>
      <w:r w:rsidRPr="00694333">
        <w:t xml:space="preserve">wareness </w:t>
      </w:r>
      <w:r w:rsidR="00FA18D7">
        <w:t xml:space="preserve">and use </w:t>
      </w:r>
      <w:r w:rsidRPr="00694333">
        <w:t xml:space="preserve">of existing Comprehensive Care Standard </w:t>
      </w:r>
      <w:r w:rsidR="00FA18D7">
        <w:t>resources</w:t>
      </w:r>
      <w:r w:rsidRPr="00F16415">
        <w:br/>
      </w:r>
    </w:p>
    <w:p w14:paraId="4884BBF0" w14:textId="77777777" w:rsidR="00453013" w:rsidRPr="00694333" w:rsidRDefault="00453013" w:rsidP="00FA18D7">
      <w:pPr>
        <w:pStyle w:val="FigureTitle"/>
        <w:rPr>
          <w:rFonts w:eastAsiaTheme="majorEastAsia"/>
        </w:rPr>
      </w:pPr>
    </w:p>
    <w:p w14:paraId="4BD2D5F1" w14:textId="77777777" w:rsidR="00B751DA" w:rsidRDefault="00B751DA" w:rsidP="00B751DA">
      <w:pPr>
        <w:pStyle w:val="FigureTitle"/>
        <w:rPr>
          <w:rFonts w:eastAsiaTheme="majorEastAsia"/>
          <w:noProof/>
        </w:rPr>
      </w:pPr>
      <w:r>
        <w:rPr>
          <w:noProof/>
        </w:rPr>
        <w:drawing>
          <wp:inline distT="0" distB="0" distL="0" distR="0" wp14:anchorId="6FF313FD" wp14:editId="0028ABE0">
            <wp:extent cx="7569835" cy="3346450"/>
            <wp:effectExtent l="0" t="0" r="12065" b="63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6667AC" w14:textId="6A37F52C" w:rsidR="00B751DA" w:rsidRDefault="00B751DA" w:rsidP="00B751DA">
      <w:pPr>
        <w:rPr>
          <w:rFonts w:eastAsiaTheme="majorEastAsia"/>
          <w:noProof/>
        </w:rPr>
      </w:pPr>
      <w:r>
        <w:rPr>
          <w:rFonts w:eastAsiaTheme="majorEastAsia"/>
          <w:noProof/>
        </w:rPr>
        <w:t>The NSQHS Standards Accrediation workbook and Guide for hospitals were rated as the most useful</w:t>
      </w:r>
      <w:r w:rsidR="00FA18D7">
        <w:rPr>
          <w:rFonts w:eastAsiaTheme="majorEastAsia"/>
          <w:noProof/>
        </w:rPr>
        <w:t xml:space="preserve"> resources. Respondents often indicated they were not aware of t</w:t>
      </w:r>
      <w:r>
        <w:rPr>
          <w:rFonts w:eastAsiaTheme="majorEastAsia"/>
          <w:noProof/>
        </w:rPr>
        <w:t xml:space="preserve">he NSQHS Standards Guide for day procedure services and multi-purpose services. This corrolates with the type of </w:t>
      </w:r>
      <w:r w:rsidR="00C4308E">
        <w:rPr>
          <w:rFonts w:eastAsiaTheme="majorEastAsia"/>
          <w:noProof/>
        </w:rPr>
        <w:t>HSO</w:t>
      </w:r>
      <w:r>
        <w:rPr>
          <w:rFonts w:eastAsiaTheme="majorEastAsia"/>
          <w:noProof/>
        </w:rPr>
        <w:t xml:space="preserve"> that responded to the survey and the type of resource they would use</w:t>
      </w:r>
      <w:r w:rsidR="00C4308E">
        <w:rPr>
          <w:rFonts w:eastAsiaTheme="majorEastAsia"/>
          <w:noProof/>
        </w:rPr>
        <w:t>. F</w:t>
      </w:r>
      <w:r>
        <w:rPr>
          <w:rFonts w:eastAsiaTheme="majorEastAsia"/>
          <w:noProof/>
        </w:rPr>
        <w:t>or example, 11% (</w:t>
      </w:r>
      <w:r w:rsidR="006169B1">
        <w:rPr>
          <w:rFonts w:eastAsiaTheme="majorEastAsia"/>
          <w:noProof/>
        </w:rPr>
        <w:t xml:space="preserve">n = </w:t>
      </w:r>
      <w:r>
        <w:rPr>
          <w:rFonts w:eastAsiaTheme="majorEastAsia"/>
          <w:noProof/>
        </w:rPr>
        <w:t>12) of survey respond</w:t>
      </w:r>
      <w:r w:rsidR="00C4308E">
        <w:rPr>
          <w:rFonts w:eastAsiaTheme="majorEastAsia"/>
          <w:noProof/>
        </w:rPr>
        <w:t>e</w:t>
      </w:r>
      <w:r>
        <w:rPr>
          <w:rFonts w:eastAsiaTheme="majorEastAsia"/>
          <w:noProof/>
        </w:rPr>
        <w:t>nts worked in a day procedure service and of those that answered this question, 30.3% (</w:t>
      </w:r>
      <w:r w:rsidR="006169B1">
        <w:rPr>
          <w:rFonts w:eastAsiaTheme="majorEastAsia"/>
          <w:noProof/>
        </w:rPr>
        <w:t xml:space="preserve">n = </w:t>
      </w:r>
      <w:r>
        <w:rPr>
          <w:rFonts w:eastAsiaTheme="majorEastAsia"/>
          <w:noProof/>
        </w:rPr>
        <w:t xml:space="preserve">8) rated the NSQHS Standards Guide for Day procedure service as useful. </w:t>
      </w:r>
    </w:p>
    <w:p w14:paraId="7B5C1F3B" w14:textId="11FD6FD1" w:rsidR="00B751DA" w:rsidRDefault="00B751DA" w:rsidP="00B751DA">
      <w:pPr>
        <w:rPr>
          <w:rFonts w:eastAsiaTheme="majorEastAsia"/>
          <w:noProof/>
        </w:rPr>
      </w:pPr>
      <w:r>
        <w:rPr>
          <w:rFonts w:eastAsiaTheme="majorEastAsia"/>
          <w:noProof/>
        </w:rPr>
        <w:t xml:space="preserve">The resources that scored a lower rating for usefulness </w:t>
      </w:r>
      <w:r w:rsidR="00C4308E">
        <w:rPr>
          <w:rFonts w:eastAsiaTheme="majorEastAsia"/>
          <w:noProof/>
        </w:rPr>
        <w:t xml:space="preserve">often </w:t>
      </w:r>
      <w:r>
        <w:rPr>
          <w:rFonts w:eastAsiaTheme="majorEastAsia"/>
          <w:noProof/>
        </w:rPr>
        <w:t>corrolated with a higher rating for ‘non-aware’ or ‘not used‘. This</w:t>
      </w:r>
      <w:r w:rsidR="00C4308E">
        <w:rPr>
          <w:rFonts w:eastAsiaTheme="majorEastAsia"/>
          <w:noProof/>
        </w:rPr>
        <w:t xml:space="preserve"> may be </w:t>
      </w:r>
      <w:r>
        <w:rPr>
          <w:rFonts w:eastAsiaTheme="majorEastAsia"/>
          <w:noProof/>
        </w:rPr>
        <w:t xml:space="preserve">due to the </w:t>
      </w:r>
      <w:r w:rsidR="00C4308E">
        <w:rPr>
          <w:rFonts w:eastAsiaTheme="majorEastAsia"/>
          <w:noProof/>
        </w:rPr>
        <w:t xml:space="preserve">perceived </w:t>
      </w:r>
      <w:r>
        <w:rPr>
          <w:rFonts w:eastAsiaTheme="majorEastAsia"/>
          <w:noProof/>
        </w:rPr>
        <w:t xml:space="preserve">applicability to </w:t>
      </w:r>
      <w:r w:rsidR="00C4308E">
        <w:rPr>
          <w:rFonts w:eastAsiaTheme="majorEastAsia"/>
          <w:noProof/>
        </w:rPr>
        <w:t xml:space="preserve">a HSO </w:t>
      </w:r>
      <w:r>
        <w:rPr>
          <w:rFonts w:eastAsiaTheme="majorEastAsia"/>
          <w:noProof/>
        </w:rPr>
        <w:t xml:space="preserve">type or where </w:t>
      </w:r>
      <w:r w:rsidR="00C4308E">
        <w:rPr>
          <w:rFonts w:eastAsiaTheme="majorEastAsia"/>
          <w:noProof/>
        </w:rPr>
        <w:t xml:space="preserve">further </w:t>
      </w:r>
      <w:r>
        <w:rPr>
          <w:rFonts w:eastAsiaTheme="majorEastAsia"/>
          <w:noProof/>
        </w:rPr>
        <w:t>communication</w:t>
      </w:r>
      <w:r w:rsidR="00C4308E">
        <w:rPr>
          <w:rFonts w:eastAsiaTheme="majorEastAsia"/>
          <w:noProof/>
        </w:rPr>
        <w:t xml:space="preserve"> is</w:t>
      </w:r>
      <w:r>
        <w:rPr>
          <w:rFonts w:eastAsiaTheme="majorEastAsia"/>
          <w:noProof/>
        </w:rPr>
        <w:t xml:space="preserve"> need</w:t>
      </w:r>
      <w:r w:rsidR="00C4308E">
        <w:rPr>
          <w:rFonts w:eastAsiaTheme="majorEastAsia"/>
          <w:noProof/>
        </w:rPr>
        <w:t>ed</w:t>
      </w:r>
      <w:r>
        <w:rPr>
          <w:rFonts w:eastAsiaTheme="majorEastAsia"/>
          <w:noProof/>
        </w:rPr>
        <w:t xml:space="preserve"> to increase awareness.</w:t>
      </w:r>
    </w:p>
    <w:p w14:paraId="3B5CD918" w14:textId="52EE3150" w:rsidR="00440D78" w:rsidRDefault="00440D78" w:rsidP="00AE6584">
      <w:pPr>
        <w:pStyle w:val="Heading2"/>
        <w:rPr>
          <w:rFonts w:eastAsiaTheme="majorEastAsia"/>
          <w:noProof/>
        </w:rPr>
      </w:pPr>
      <w:bookmarkStart w:id="15" w:name="_Toc105592205"/>
      <w:r>
        <w:rPr>
          <w:rFonts w:eastAsiaTheme="majorEastAsia"/>
          <w:noProof/>
        </w:rPr>
        <w:lastRenderedPageBreak/>
        <w:t>Website activity</w:t>
      </w:r>
      <w:bookmarkEnd w:id="15"/>
    </w:p>
    <w:p w14:paraId="095C1C04" w14:textId="271B5EDD" w:rsidR="00726816" w:rsidRDefault="00440D78" w:rsidP="00726816">
      <w:pPr>
        <w:pStyle w:val="Normal-beforebullets"/>
      </w:pPr>
      <w:r w:rsidRPr="00440D78">
        <w:rPr>
          <w:rFonts w:eastAsiaTheme="majorEastAsia"/>
          <w:noProof/>
        </w:rPr>
        <w:t xml:space="preserve">Commission website traffic was considered to determine how often the implementation and related resources were accessed. </w:t>
      </w:r>
      <w:r>
        <w:t xml:space="preserve">The Google analytics data was used to establish website activity. Webpage views and download data, excluding Commission staff visits, was retrieved between 18 January to </w:t>
      </w:r>
      <w:r w:rsidRPr="00C47DC3">
        <w:t>31 December 2020</w:t>
      </w:r>
      <w:r>
        <w:t>. Website activity was categorised into the comprehensive care implementation resources which included webpage views and resource downloads, and</w:t>
      </w:r>
      <w:r w:rsidR="00C4308E">
        <w:t xml:space="preserve"> </w:t>
      </w:r>
      <w:r>
        <w:t xml:space="preserve">related resource webpage views and downloads. Page views, number of times resources were </w:t>
      </w:r>
      <w:proofErr w:type="gramStart"/>
      <w:r>
        <w:t>download</w:t>
      </w:r>
      <w:r w:rsidR="00C4308E">
        <w:t>ed</w:t>
      </w:r>
      <w:proofErr w:type="gramEnd"/>
      <w:r>
        <w:t xml:space="preserve"> and resource publication year were recorded. Resources were categorised as related if they were published prior to release of the second edition of the NSQHS Standards or not developed specifically for the </w:t>
      </w:r>
      <w:r w:rsidR="00726816">
        <w:t>Comprehensive Care Standard</w:t>
      </w:r>
      <w:r>
        <w:t xml:space="preserve">. </w:t>
      </w:r>
      <w:r w:rsidR="00726816">
        <w:t xml:space="preserve"> To compare access of the data visits to the Comprehensive Care Standard pages including individual actions was also retrieved as these pages consistently appear in the top ten page views for the Commission</w:t>
      </w:r>
      <w:r w:rsidR="00C4308E">
        <w:t>’</w:t>
      </w:r>
      <w:r w:rsidR="00726816">
        <w:t xml:space="preserve">s website. </w:t>
      </w:r>
    </w:p>
    <w:p w14:paraId="26455465" w14:textId="77777777" w:rsidR="00726816" w:rsidRDefault="00726816" w:rsidP="00726816">
      <w:pPr>
        <w:pStyle w:val="Normal-beforebullets"/>
      </w:pPr>
    </w:p>
    <w:p w14:paraId="4F8EC19E" w14:textId="4C31A347" w:rsidR="00440D78" w:rsidRDefault="00440D78" w:rsidP="00726816">
      <w:pPr>
        <w:pStyle w:val="Normal-beforebullets"/>
      </w:pPr>
      <w:r>
        <w:t xml:space="preserve">The </w:t>
      </w:r>
      <w:r w:rsidR="00726816">
        <w:t>Comprehensive Care Standard</w:t>
      </w:r>
      <w:r>
        <w:t xml:space="preserve"> and resources were accessed 345 348 by non-Commission staff</w:t>
      </w:r>
      <w:r w:rsidR="00C4308E">
        <w:t xml:space="preserve"> during the review period</w:t>
      </w:r>
      <w:r>
        <w:t xml:space="preserve">. The number of views and downloads of webpages by category and publication year is displayed in </w:t>
      </w:r>
      <w:r w:rsidRPr="00A86304">
        <w:t xml:space="preserve">Figure </w:t>
      </w:r>
      <w:r w:rsidR="00726816">
        <w:t>8</w:t>
      </w:r>
      <w:r w:rsidRPr="007C7D43">
        <w:t xml:space="preserve">. </w:t>
      </w:r>
      <w:r w:rsidRPr="00E449CB">
        <w:t xml:space="preserve">The </w:t>
      </w:r>
      <w:r w:rsidR="00726816">
        <w:t>Comprehensive Care Standard</w:t>
      </w:r>
      <w:r w:rsidRPr="00E449CB">
        <w:t xml:space="preserve"> </w:t>
      </w:r>
      <w:r>
        <w:t>was</w:t>
      </w:r>
      <w:r w:rsidRPr="00E449CB">
        <w:t xml:space="preserve"> viewed 277 889 times, while the comprehensive care implementation resources were viewed 19 126</w:t>
      </w:r>
      <w:r w:rsidR="00C4308E">
        <w:t xml:space="preserve"> times</w:t>
      </w:r>
      <w:r w:rsidRPr="00E449CB">
        <w:t xml:space="preserve"> and the related pages 19 542 times. In addition, comprehensive care implementation resources had been downloaded 13</w:t>
      </w:r>
      <w:r>
        <w:t xml:space="preserve"> </w:t>
      </w:r>
      <w:r w:rsidRPr="00E449CB">
        <w:t>430 times and</w:t>
      </w:r>
      <w:r>
        <w:t xml:space="preserve"> the related resources 15 361 times in the same </w:t>
      </w:r>
      <w:proofErr w:type="gramStart"/>
      <w:r>
        <w:t>time period</w:t>
      </w:r>
      <w:proofErr w:type="gramEnd"/>
      <w:r>
        <w:t>. Most downloadable</w:t>
      </w:r>
      <w:r w:rsidRPr="007C7D43">
        <w:t xml:space="preserve"> comprehensive care implementation resources </w:t>
      </w:r>
      <w:r>
        <w:t xml:space="preserve">were downloaded less than 500 times each and one resource had never been downloaded </w:t>
      </w:r>
      <w:r w:rsidRPr="009E3B5D">
        <w:t>(</w:t>
      </w:r>
      <w:r>
        <w:t>T</w:t>
      </w:r>
      <w:r w:rsidRPr="009E3B5D">
        <w:t xml:space="preserve">able </w:t>
      </w:r>
      <w:r w:rsidR="00726816">
        <w:t>1</w:t>
      </w:r>
      <w:r w:rsidRPr="009E3B5D">
        <w:t>)</w:t>
      </w:r>
      <w:r>
        <w:t xml:space="preserve">. Related resources had more views and downloads than </w:t>
      </w:r>
      <w:r w:rsidRPr="007C7D43">
        <w:t>comprehensive care implementation resources</w:t>
      </w:r>
      <w:r>
        <w:t>. The highest website events other than viewing the C</w:t>
      </w:r>
      <w:r w:rsidR="00C4308E">
        <w:t xml:space="preserve">omprehensive </w:t>
      </w:r>
      <w:r>
        <w:t>C</w:t>
      </w:r>
      <w:r w:rsidR="00C4308E">
        <w:t xml:space="preserve">are </w:t>
      </w:r>
      <w:r>
        <w:t>S</w:t>
      </w:r>
      <w:r w:rsidR="00C4308E">
        <w:t>tandard</w:t>
      </w:r>
      <w:r>
        <w:t xml:space="preserve"> were recorded on the </w:t>
      </w:r>
      <w:proofErr w:type="gramStart"/>
      <w:r>
        <w:t>falls</w:t>
      </w:r>
      <w:proofErr w:type="gramEnd"/>
      <w:r>
        <w:t xml:space="preserve"> prevention page (n</w:t>
      </w:r>
      <w:r w:rsidR="006169B1">
        <w:t xml:space="preserve"> </w:t>
      </w:r>
      <w:r>
        <w:t>=</w:t>
      </w:r>
      <w:r w:rsidR="006169B1">
        <w:t xml:space="preserve"> </w:t>
      </w:r>
      <w:r>
        <w:t>12</w:t>
      </w:r>
      <w:r w:rsidR="00C4308E">
        <w:t xml:space="preserve"> </w:t>
      </w:r>
      <w:r>
        <w:t xml:space="preserve">176 views).  </w:t>
      </w:r>
    </w:p>
    <w:p w14:paraId="74B30095" w14:textId="77777777" w:rsidR="00726816" w:rsidRDefault="00726816" w:rsidP="00726816">
      <w:pPr>
        <w:pStyle w:val="Normal-beforebullets"/>
      </w:pPr>
    </w:p>
    <w:p w14:paraId="1E6E6CBC" w14:textId="77777777" w:rsidR="00BB7163" w:rsidRDefault="00BB7163">
      <w:pPr>
        <w:spacing w:after="80"/>
        <w:rPr>
          <w:b/>
        </w:rPr>
      </w:pPr>
      <w:r>
        <w:rPr>
          <w:b/>
        </w:rPr>
        <w:br w:type="page"/>
      </w:r>
    </w:p>
    <w:p w14:paraId="456DB14C" w14:textId="03E90B98" w:rsidR="00726816" w:rsidRPr="00726816" w:rsidRDefault="00726816" w:rsidP="00726816">
      <w:pPr>
        <w:pStyle w:val="Normal-beforebullets"/>
        <w:rPr>
          <w:b/>
        </w:rPr>
      </w:pPr>
      <w:r w:rsidRPr="00726816">
        <w:rPr>
          <w:b/>
        </w:rPr>
        <w:lastRenderedPageBreak/>
        <w:t>Figure 8</w:t>
      </w:r>
      <w:r>
        <w:rPr>
          <w:b/>
        </w:rPr>
        <w:t>: Comprehensive Care Resource release and website interactions</w:t>
      </w:r>
    </w:p>
    <w:p w14:paraId="2CA064CD" w14:textId="2745D500" w:rsidR="00B751DA" w:rsidRDefault="00B751DA">
      <w:pPr>
        <w:spacing w:after="80"/>
        <w:rPr>
          <w:b/>
        </w:rPr>
      </w:pPr>
    </w:p>
    <w:p w14:paraId="2C2012E9" w14:textId="3F4872EF" w:rsidR="00726816" w:rsidRDefault="00726816" w:rsidP="00726816">
      <w:pPr>
        <w:rPr>
          <w:rFonts w:eastAsia="Arial"/>
        </w:rPr>
      </w:pPr>
      <w:r>
        <w:rPr>
          <w:noProof/>
        </w:rPr>
        <w:drawing>
          <wp:inline distT="0" distB="0" distL="0" distR="0" wp14:anchorId="596E0886" wp14:editId="1A9A92F6">
            <wp:extent cx="5731510" cy="4683887"/>
            <wp:effectExtent l="0" t="0" r="2540" b="25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919EF7" w14:textId="77777777" w:rsidR="00CE376B" w:rsidRDefault="00CE376B">
      <w:pPr>
        <w:spacing w:after="80"/>
        <w:rPr>
          <w:bCs/>
          <w:sz w:val="20"/>
          <w:szCs w:val="20"/>
        </w:rPr>
      </w:pPr>
      <w:r w:rsidRPr="00CE376B">
        <w:rPr>
          <w:bCs/>
          <w:sz w:val="20"/>
          <w:szCs w:val="20"/>
        </w:rPr>
        <w:t>Note</w:t>
      </w:r>
      <w:r w:rsidR="00C4308E" w:rsidRPr="00CE376B">
        <w:rPr>
          <w:bCs/>
          <w:sz w:val="20"/>
          <w:szCs w:val="20"/>
        </w:rPr>
        <w:t xml:space="preserve">: CCS </w:t>
      </w:r>
      <w:r w:rsidRPr="00CE376B">
        <w:rPr>
          <w:bCs/>
          <w:sz w:val="20"/>
          <w:szCs w:val="20"/>
        </w:rPr>
        <w:t>Comprehensive Care Standard</w:t>
      </w:r>
      <w:r>
        <w:rPr>
          <w:bCs/>
          <w:sz w:val="20"/>
          <w:szCs w:val="20"/>
        </w:rPr>
        <w:t>;</w:t>
      </w:r>
      <w:r w:rsidRPr="00CE376B">
        <w:rPr>
          <w:bCs/>
          <w:sz w:val="20"/>
          <w:szCs w:val="20"/>
        </w:rPr>
        <w:t xml:space="preserve"> CC Comprehensive Care</w:t>
      </w:r>
    </w:p>
    <w:p w14:paraId="59890230" w14:textId="2D4065E4" w:rsidR="00D21E45" w:rsidRPr="00CE376B" w:rsidRDefault="00D21E45">
      <w:pPr>
        <w:spacing w:after="80"/>
        <w:rPr>
          <w:bCs/>
          <w:sz w:val="20"/>
          <w:szCs w:val="20"/>
        </w:rPr>
      </w:pPr>
      <w:r w:rsidRPr="00CE376B">
        <w:rPr>
          <w:bCs/>
          <w:sz w:val="20"/>
          <w:szCs w:val="20"/>
        </w:rPr>
        <w:br w:type="page"/>
      </w:r>
    </w:p>
    <w:p w14:paraId="70E68024" w14:textId="4F50603E" w:rsidR="00726816" w:rsidRDefault="00726816" w:rsidP="00726816">
      <w:pPr>
        <w:pStyle w:val="Normal-beforebullets"/>
        <w:rPr>
          <w:b/>
        </w:rPr>
      </w:pPr>
      <w:r>
        <w:rPr>
          <w:b/>
        </w:rPr>
        <w:lastRenderedPageBreak/>
        <w:t>Table</w:t>
      </w:r>
      <w:r w:rsidRPr="00726816">
        <w:rPr>
          <w:b/>
        </w:rPr>
        <w:t xml:space="preserve"> </w:t>
      </w:r>
      <w:r>
        <w:rPr>
          <w:b/>
        </w:rPr>
        <w:t xml:space="preserve">1: </w:t>
      </w:r>
      <w:r w:rsidR="00D21E45">
        <w:rPr>
          <w:b/>
        </w:rPr>
        <w:t>W</w:t>
      </w:r>
      <w:r>
        <w:rPr>
          <w:b/>
        </w:rPr>
        <w:t xml:space="preserve">ebsite </w:t>
      </w:r>
      <w:r w:rsidR="00D21E45">
        <w:rPr>
          <w:b/>
        </w:rPr>
        <w:t>activity</w:t>
      </w:r>
    </w:p>
    <w:p w14:paraId="632EEBF0" w14:textId="77777777" w:rsidR="00726816" w:rsidRPr="00726816" w:rsidRDefault="00726816" w:rsidP="00726816">
      <w:pPr>
        <w:pStyle w:val="Normal-beforebullets"/>
        <w:rPr>
          <w:b/>
        </w:rPr>
      </w:pPr>
    </w:p>
    <w:tbl>
      <w:tblPr>
        <w:tblStyle w:val="TableGrid"/>
        <w:tblW w:w="0" w:type="auto"/>
        <w:tblLook w:val="04A0" w:firstRow="1" w:lastRow="0" w:firstColumn="1" w:lastColumn="0" w:noHBand="0" w:noVBand="1"/>
      </w:tblPr>
      <w:tblGrid>
        <w:gridCol w:w="1513"/>
        <w:gridCol w:w="1459"/>
        <w:gridCol w:w="1276"/>
        <w:gridCol w:w="1559"/>
        <w:gridCol w:w="1276"/>
        <w:gridCol w:w="1484"/>
      </w:tblGrid>
      <w:tr w:rsidR="00D21E45" w:rsidRPr="00CC7D34" w14:paraId="66FA3401" w14:textId="77777777" w:rsidTr="00B76D28">
        <w:trPr>
          <w:cnfStyle w:val="100000000000" w:firstRow="1" w:lastRow="0" w:firstColumn="0" w:lastColumn="0" w:oddVBand="0" w:evenVBand="0" w:oddHBand="0" w:evenHBand="0" w:firstRowFirstColumn="0" w:firstRowLastColumn="0" w:lastRowFirstColumn="0" w:lastRowLastColumn="0"/>
        </w:trPr>
        <w:tc>
          <w:tcPr>
            <w:tcW w:w="8567" w:type="dxa"/>
            <w:gridSpan w:val="6"/>
          </w:tcPr>
          <w:p w14:paraId="74AE8A3D" w14:textId="77777777" w:rsidR="00D21E45" w:rsidRPr="00AE64BF" w:rsidRDefault="00D21E45" w:rsidP="00B76D28">
            <w:pPr>
              <w:rPr>
                <w:rFonts w:ascii="Arial" w:hAnsi="Arial" w:cs="Arial"/>
                <w:b w:val="0"/>
              </w:rPr>
            </w:pPr>
            <w:r w:rsidRPr="00AE64BF">
              <w:rPr>
                <w:rFonts w:ascii="Arial" w:hAnsi="Arial" w:cs="Arial"/>
              </w:rPr>
              <w:t>Table 5: Website activity</w:t>
            </w:r>
          </w:p>
        </w:tc>
      </w:tr>
      <w:tr w:rsidR="00D21E45" w:rsidRPr="00CC7D34" w14:paraId="03B1174D" w14:textId="77777777" w:rsidTr="00D21E45">
        <w:trPr>
          <w:trHeight w:val="459"/>
        </w:trPr>
        <w:tc>
          <w:tcPr>
            <w:tcW w:w="1513" w:type="dxa"/>
          </w:tcPr>
          <w:p w14:paraId="27A9EF4B" w14:textId="67F55679" w:rsidR="00D21E45" w:rsidRPr="002223E2" w:rsidRDefault="00D21E45" w:rsidP="00B76D28">
            <w:pPr>
              <w:rPr>
                <w:rFonts w:cs="Arial"/>
              </w:rPr>
            </w:pPr>
            <w:r w:rsidRPr="002223E2">
              <w:rPr>
                <w:rFonts w:cs="Arial"/>
              </w:rPr>
              <w:t xml:space="preserve">Number </w:t>
            </w:r>
          </w:p>
        </w:tc>
        <w:tc>
          <w:tcPr>
            <w:tcW w:w="1459" w:type="dxa"/>
          </w:tcPr>
          <w:p w14:paraId="3D4DDD6C" w14:textId="77777777" w:rsidR="00D21E45" w:rsidRPr="002223E2" w:rsidRDefault="00D21E45" w:rsidP="00B76D28">
            <w:pPr>
              <w:rPr>
                <w:rFonts w:cs="Arial"/>
              </w:rPr>
            </w:pPr>
            <w:r w:rsidRPr="002223E2">
              <w:rPr>
                <w:rFonts w:cs="Arial"/>
              </w:rPr>
              <w:t xml:space="preserve">CCS </w:t>
            </w:r>
          </w:p>
        </w:tc>
        <w:tc>
          <w:tcPr>
            <w:tcW w:w="2835" w:type="dxa"/>
            <w:gridSpan w:val="2"/>
            <w:shd w:val="clear" w:color="auto" w:fill="F2F2F2" w:themeFill="background1" w:themeFillShade="F2"/>
          </w:tcPr>
          <w:p w14:paraId="6F345584" w14:textId="2A3ADF1B" w:rsidR="00D21E45" w:rsidRPr="002223E2" w:rsidRDefault="00D21E45" w:rsidP="00B76D28">
            <w:pPr>
              <w:rPr>
                <w:rFonts w:cs="Arial"/>
              </w:rPr>
            </w:pPr>
            <w:r w:rsidRPr="002223E2">
              <w:rPr>
                <w:rFonts w:cs="Arial"/>
              </w:rPr>
              <w:t>CCS Implementation resources</w:t>
            </w:r>
          </w:p>
        </w:tc>
        <w:tc>
          <w:tcPr>
            <w:tcW w:w="2760" w:type="dxa"/>
            <w:gridSpan w:val="2"/>
          </w:tcPr>
          <w:p w14:paraId="32550BC3" w14:textId="2F8DEA86" w:rsidR="00D21E45" w:rsidRPr="002223E2" w:rsidRDefault="00D21E45" w:rsidP="00D21E45">
            <w:pPr>
              <w:spacing w:after="160" w:line="259" w:lineRule="auto"/>
              <w:rPr>
                <w:rFonts w:cs="Arial"/>
              </w:rPr>
            </w:pPr>
            <w:r w:rsidRPr="002223E2">
              <w:rPr>
                <w:rFonts w:cs="Arial"/>
              </w:rPr>
              <w:t xml:space="preserve">Other related resources </w:t>
            </w:r>
          </w:p>
        </w:tc>
      </w:tr>
      <w:tr w:rsidR="00D21E45" w:rsidRPr="00CC7D34" w14:paraId="42498330" w14:textId="77777777" w:rsidTr="00D21E45">
        <w:trPr>
          <w:trHeight w:val="721"/>
        </w:trPr>
        <w:tc>
          <w:tcPr>
            <w:tcW w:w="1513" w:type="dxa"/>
          </w:tcPr>
          <w:p w14:paraId="3BD7A82F" w14:textId="77777777" w:rsidR="00D21E45" w:rsidRPr="002223E2" w:rsidRDefault="00D21E45" w:rsidP="00B76D28">
            <w:pPr>
              <w:rPr>
                <w:rFonts w:cs="Arial"/>
                <w:sz w:val="20"/>
                <w:szCs w:val="20"/>
              </w:rPr>
            </w:pPr>
          </w:p>
        </w:tc>
        <w:tc>
          <w:tcPr>
            <w:tcW w:w="1459" w:type="dxa"/>
          </w:tcPr>
          <w:p w14:paraId="5B5BEA4A" w14:textId="77777777" w:rsidR="00D21E45" w:rsidRPr="002223E2" w:rsidRDefault="00D21E45" w:rsidP="00B76D28">
            <w:pPr>
              <w:rPr>
                <w:rFonts w:cs="Arial"/>
                <w:sz w:val="20"/>
                <w:szCs w:val="20"/>
              </w:rPr>
            </w:pPr>
            <w:r w:rsidRPr="002223E2">
              <w:rPr>
                <w:rFonts w:cs="Arial"/>
                <w:sz w:val="20"/>
                <w:szCs w:val="20"/>
              </w:rPr>
              <w:t>Page views</w:t>
            </w:r>
          </w:p>
        </w:tc>
        <w:tc>
          <w:tcPr>
            <w:tcW w:w="1276" w:type="dxa"/>
            <w:shd w:val="clear" w:color="auto" w:fill="F2F2F2" w:themeFill="background1" w:themeFillShade="F2"/>
          </w:tcPr>
          <w:p w14:paraId="2FDFD86E" w14:textId="4EA9ACCE" w:rsidR="00D21E45" w:rsidRPr="002223E2" w:rsidRDefault="00D21E45" w:rsidP="00D21E45">
            <w:pPr>
              <w:rPr>
                <w:rFonts w:cs="Arial"/>
                <w:sz w:val="20"/>
                <w:szCs w:val="20"/>
              </w:rPr>
            </w:pPr>
            <w:r w:rsidRPr="002223E2">
              <w:rPr>
                <w:rFonts w:cs="Arial"/>
                <w:sz w:val="20"/>
                <w:szCs w:val="20"/>
              </w:rPr>
              <w:t>Page views</w:t>
            </w:r>
            <w:r>
              <w:rPr>
                <w:rFonts w:cs="Arial"/>
                <w:sz w:val="20"/>
                <w:szCs w:val="20"/>
              </w:rPr>
              <w:t xml:space="preserve"> (n=12)</w:t>
            </w:r>
          </w:p>
        </w:tc>
        <w:tc>
          <w:tcPr>
            <w:tcW w:w="1559" w:type="dxa"/>
            <w:shd w:val="clear" w:color="auto" w:fill="F2F2F2" w:themeFill="background1" w:themeFillShade="F2"/>
          </w:tcPr>
          <w:p w14:paraId="4CFB2D90" w14:textId="767354A2" w:rsidR="00D21E45" w:rsidRPr="002223E2" w:rsidRDefault="00D21E45" w:rsidP="00D21E45">
            <w:pPr>
              <w:rPr>
                <w:rFonts w:cs="Arial"/>
                <w:sz w:val="20"/>
                <w:szCs w:val="20"/>
              </w:rPr>
            </w:pPr>
            <w:r w:rsidRPr="002223E2">
              <w:rPr>
                <w:rFonts w:cs="Arial"/>
                <w:sz w:val="20"/>
                <w:szCs w:val="20"/>
              </w:rPr>
              <w:t>Downloadable resources</w:t>
            </w:r>
            <w:r>
              <w:rPr>
                <w:rFonts w:cs="Arial"/>
                <w:sz w:val="20"/>
                <w:szCs w:val="20"/>
              </w:rPr>
              <w:t xml:space="preserve"> </w:t>
            </w:r>
            <w:r w:rsidRPr="002223E2">
              <w:rPr>
                <w:rFonts w:cs="Arial"/>
                <w:sz w:val="20"/>
                <w:szCs w:val="20"/>
              </w:rPr>
              <w:t>(n=40)</w:t>
            </w:r>
          </w:p>
        </w:tc>
        <w:tc>
          <w:tcPr>
            <w:tcW w:w="1276" w:type="dxa"/>
          </w:tcPr>
          <w:p w14:paraId="089FA61A" w14:textId="1CE61598" w:rsidR="00D21E45" w:rsidRPr="002223E2" w:rsidRDefault="00D21E45" w:rsidP="00B76D28">
            <w:pPr>
              <w:rPr>
                <w:rFonts w:cs="Arial"/>
                <w:sz w:val="20"/>
                <w:szCs w:val="20"/>
              </w:rPr>
            </w:pPr>
            <w:r w:rsidRPr="002223E2">
              <w:rPr>
                <w:rFonts w:cs="Arial"/>
                <w:sz w:val="20"/>
                <w:szCs w:val="20"/>
              </w:rPr>
              <w:t>Page views</w:t>
            </w:r>
          </w:p>
        </w:tc>
        <w:tc>
          <w:tcPr>
            <w:tcW w:w="1484" w:type="dxa"/>
          </w:tcPr>
          <w:p w14:paraId="65567EC0" w14:textId="7DD36551" w:rsidR="00D21E45" w:rsidRPr="002223E2" w:rsidRDefault="00D21E45" w:rsidP="00D21E45">
            <w:pPr>
              <w:rPr>
                <w:rFonts w:cs="Arial"/>
                <w:sz w:val="20"/>
                <w:szCs w:val="20"/>
              </w:rPr>
            </w:pPr>
            <w:r w:rsidRPr="002223E2">
              <w:rPr>
                <w:rFonts w:cs="Arial"/>
                <w:sz w:val="20"/>
                <w:szCs w:val="20"/>
              </w:rPr>
              <w:t>Downloadable resources</w:t>
            </w:r>
            <w:r>
              <w:rPr>
                <w:rFonts w:cs="Arial"/>
                <w:sz w:val="20"/>
                <w:szCs w:val="20"/>
              </w:rPr>
              <w:t xml:space="preserve"> (n=11)</w:t>
            </w:r>
          </w:p>
        </w:tc>
      </w:tr>
      <w:tr w:rsidR="00D21E45" w:rsidRPr="00CC7D34" w14:paraId="3F4B3C9F" w14:textId="77777777" w:rsidTr="00B76D28">
        <w:tc>
          <w:tcPr>
            <w:tcW w:w="1513" w:type="dxa"/>
          </w:tcPr>
          <w:p w14:paraId="193A9072" w14:textId="77777777" w:rsidR="00D21E45" w:rsidRPr="002223E2" w:rsidRDefault="00D21E45" w:rsidP="00B76D28">
            <w:pPr>
              <w:rPr>
                <w:rFonts w:cs="Arial"/>
                <w:sz w:val="20"/>
                <w:szCs w:val="20"/>
              </w:rPr>
            </w:pPr>
            <w:r w:rsidRPr="002223E2">
              <w:rPr>
                <w:rFonts w:cs="Arial"/>
                <w:sz w:val="20"/>
                <w:szCs w:val="20"/>
              </w:rPr>
              <w:t>0</w:t>
            </w:r>
          </w:p>
        </w:tc>
        <w:tc>
          <w:tcPr>
            <w:tcW w:w="1459" w:type="dxa"/>
            <w:vMerge w:val="restart"/>
          </w:tcPr>
          <w:p w14:paraId="76C42E3E"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5F2EEFA4" w14:textId="77777777" w:rsidR="00D21E45" w:rsidRPr="002223E2" w:rsidRDefault="00D21E45" w:rsidP="00B76D28">
            <w:pPr>
              <w:rPr>
                <w:rFonts w:cs="Arial"/>
                <w:sz w:val="20"/>
                <w:szCs w:val="20"/>
              </w:rPr>
            </w:pPr>
          </w:p>
        </w:tc>
        <w:tc>
          <w:tcPr>
            <w:tcW w:w="1559" w:type="dxa"/>
            <w:shd w:val="clear" w:color="auto" w:fill="F2F2F2" w:themeFill="background1" w:themeFillShade="F2"/>
          </w:tcPr>
          <w:p w14:paraId="26AC4ECE" w14:textId="77777777" w:rsidR="00D21E45" w:rsidRPr="002223E2" w:rsidRDefault="00D21E45" w:rsidP="00B76D28">
            <w:pPr>
              <w:rPr>
                <w:rFonts w:cs="Arial"/>
                <w:sz w:val="20"/>
                <w:szCs w:val="20"/>
              </w:rPr>
            </w:pPr>
            <w:r w:rsidRPr="002223E2">
              <w:rPr>
                <w:rFonts w:cs="Arial"/>
                <w:sz w:val="20"/>
                <w:szCs w:val="20"/>
              </w:rPr>
              <w:t>1</w:t>
            </w:r>
          </w:p>
        </w:tc>
        <w:tc>
          <w:tcPr>
            <w:tcW w:w="1276" w:type="dxa"/>
          </w:tcPr>
          <w:p w14:paraId="3B5801B7" w14:textId="77777777" w:rsidR="00D21E45" w:rsidRPr="002223E2" w:rsidRDefault="00D21E45" w:rsidP="00B76D28">
            <w:pPr>
              <w:rPr>
                <w:rFonts w:cs="Arial"/>
                <w:sz w:val="20"/>
                <w:szCs w:val="20"/>
              </w:rPr>
            </w:pPr>
          </w:p>
        </w:tc>
        <w:tc>
          <w:tcPr>
            <w:tcW w:w="1484" w:type="dxa"/>
          </w:tcPr>
          <w:p w14:paraId="3A468AE5" w14:textId="77777777" w:rsidR="00D21E45" w:rsidRPr="002223E2" w:rsidRDefault="00D21E45" w:rsidP="00B76D28">
            <w:pPr>
              <w:rPr>
                <w:rFonts w:cs="Arial"/>
                <w:sz w:val="20"/>
                <w:szCs w:val="20"/>
              </w:rPr>
            </w:pPr>
          </w:p>
        </w:tc>
      </w:tr>
      <w:tr w:rsidR="00D21E45" w:rsidRPr="00CC7D34" w14:paraId="5D7A08E7" w14:textId="77777777" w:rsidTr="00B76D28">
        <w:tc>
          <w:tcPr>
            <w:tcW w:w="1513" w:type="dxa"/>
          </w:tcPr>
          <w:p w14:paraId="446179E7" w14:textId="77777777" w:rsidR="00D21E45" w:rsidRPr="002223E2" w:rsidRDefault="00D21E45" w:rsidP="00B76D28">
            <w:pPr>
              <w:rPr>
                <w:rFonts w:cs="Arial"/>
                <w:sz w:val="20"/>
                <w:szCs w:val="20"/>
              </w:rPr>
            </w:pPr>
            <w:r w:rsidRPr="002223E2">
              <w:rPr>
                <w:rFonts w:cs="Arial"/>
                <w:sz w:val="20"/>
                <w:szCs w:val="20"/>
              </w:rPr>
              <w:t>1–100</w:t>
            </w:r>
          </w:p>
        </w:tc>
        <w:tc>
          <w:tcPr>
            <w:tcW w:w="1459" w:type="dxa"/>
            <w:vMerge/>
          </w:tcPr>
          <w:p w14:paraId="6A8E5A19"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72236059" w14:textId="77777777" w:rsidR="00D21E45" w:rsidRPr="002223E2" w:rsidRDefault="00D21E45" w:rsidP="00B76D28">
            <w:pPr>
              <w:rPr>
                <w:rFonts w:cs="Arial"/>
                <w:sz w:val="20"/>
                <w:szCs w:val="20"/>
              </w:rPr>
            </w:pPr>
          </w:p>
        </w:tc>
        <w:tc>
          <w:tcPr>
            <w:tcW w:w="1559" w:type="dxa"/>
            <w:shd w:val="clear" w:color="auto" w:fill="F2F2F2" w:themeFill="background1" w:themeFillShade="F2"/>
          </w:tcPr>
          <w:p w14:paraId="52342C6B" w14:textId="77777777" w:rsidR="00D21E45" w:rsidRPr="002223E2" w:rsidRDefault="00D21E45" w:rsidP="00B76D28">
            <w:pPr>
              <w:rPr>
                <w:rFonts w:cs="Arial"/>
                <w:sz w:val="20"/>
                <w:szCs w:val="20"/>
              </w:rPr>
            </w:pPr>
            <w:r w:rsidRPr="002223E2">
              <w:rPr>
                <w:rFonts w:cs="Arial"/>
                <w:sz w:val="20"/>
                <w:szCs w:val="20"/>
              </w:rPr>
              <w:t>10</w:t>
            </w:r>
          </w:p>
        </w:tc>
        <w:tc>
          <w:tcPr>
            <w:tcW w:w="1276" w:type="dxa"/>
          </w:tcPr>
          <w:p w14:paraId="3698E8E7" w14:textId="77777777" w:rsidR="00D21E45" w:rsidRPr="002223E2" w:rsidRDefault="00D21E45" w:rsidP="00B76D28">
            <w:pPr>
              <w:rPr>
                <w:rFonts w:cs="Arial"/>
                <w:sz w:val="20"/>
                <w:szCs w:val="20"/>
              </w:rPr>
            </w:pPr>
          </w:p>
        </w:tc>
        <w:tc>
          <w:tcPr>
            <w:tcW w:w="1484" w:type="dxa"/>
          </w:tcPr>
          <w:p w14:paraId="232BAC34" w14:textId="77777777" w:rsidR="00D21E45" w:rsidRPr="002223E2" w:rsidRDefault="00D21E45" w:rsidP="00B76D28">
            <w:pPr>
              <w:rPr>
                <w:rFonts w:cs="Arial"/>
                <w:sz w:val="20"/>
                <w:szCs w:val="20"/>
              </w:rPr>
            </w:pPr>
            <w:r>
              <w:rPr>
                <w:rFonts w:cs="Arial"/>
                <w:sz w:val="20"/>
                <w:szCs w:val="20"/>
              </w:rPr>
              <w:t>2</w:t>
            </w:r>
          </w:p>
        </w:tc>
      </w:tr>
      <w:tr w:rsidR="00D21E45" w:rsidRPr="00CC7D34" w14:paraId="4EAE649B" w14:textId="77777777" w:rsidTr="00B76D28">
        <w:tc>
          <w:tcPr>
            <w:tcW w:w="1513" w:type="dxa"/>
          </w:tcPr>
          <w:p w14:paraId="2DB460BC" w14:textId="77777777" w:rsidR="00D21E45" w:rsidRPr="002223E2" w:rsidRDefault="00D21E45" w:rsidP="00B76D28">
            <w:pPr>
              <w:rPr>
                <w:rFonts w:cs="Arial"/>
                <w:sz w:val="20"/>
                <w:szCs w:val="20"/>
              </w:rPr>
            </w:pPr>
            <w:r w:rsidRPr="002223E2">
              <w:rPr>
                <w:rFonts w:cs="Arial"/>
                <w:sz w:val="20"/>
                <w:szCs w:val="20"/>
              </w:rPr>
              <w:t>101–500</w:t>
            </w:r>
          </w:p>
        </w:tc>
        <w:tc>
          <w:tcPr>
            <w:tcW w:w="1459" w:type="dxa"/>
            <w:vMerge/>
          </w:tcPr>
          <w:p w14:paraId="7BEFC577"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387756C6" w14:textId="77777777" w:rsidR="00D21E45" w:rsidRPr="002223E2" w:rsidRDefault="00D21E45" w:rsidP="00B76D28">
            <w:pPr>
              <w:rPr>
                <w:rFonts w:cs="Arial"/>
                <w:sz w:val="20"/>
                <w:szCs w:val="20"/>
              </w:rPr>
            </w:pPr>
            <w:r>
              <w:rPr>
                <w:rFonts w:cs="Arial"/>
                <w:sz w:val="20"/>
                <w:szCs w:val="20"/>
              </w:rPr>
              <w:t>2</w:t>
            </w:r>
          </w:p>
        </w:tc>
        <w:tc>
          <w:tcPr>
            <w:tcW w:w="1559" w:type="dxa"/>
            <w:shd w:val="clear" w:color="auto" w:fill="F2F2F2" w:themeFill="background1" w:themeFillShade="F2"/>
          </w:tcPr>
          <w:p w14:paraId="5548BD2D" w14:textId="77777777" w:rsidR="00D21E45" w:rsidRPr="002223E2" w:rsidRDefault="00D21E45" w:rsidP="00B76D28">
            <w:pPr>
              <w:rPr>
                <w:rFonts w:cs="Arial"/>
                <w:sz w:val="20"/>
                <w:szCs w:val="20"/>
              </w:rPr>
            </w:pPr>
            <w:r w:rsidRPr="002223E2">
              <w:rPr>
                <w:rFonts w:cs="Arial"/>
                <w:sz w:val="20"/>
                <w:szCs w:val="20"/>
              </w:rPr>
              <w:t>18</w:t>
            </w:r>
          </w:p>
        </w:tc>
        <w:tc>
          <w:tcPr>
            <w:tcW w:w="1276" w:type="dxa"/>
          </w:tcPr>
          <w:p w14:paraId="628E399E" w14:textId="77777777" w:rsidR="00D21E45" w:rsidRPr="002223E2" w:rsidRDefault="00D21E45" w:rsidP="00B76D28">
            <w:pPr>
              <w:rPr>
                <w:rFonts w:cs="Arial"/>
                <w:sz w:val="20"/>
                <w:szCs w:val="20"/>
              </w:rPr>
            </w:pPr>
            <w:r>
              <w:rPr>
                <w:rFonts w:cs="Arial"/>
                <w:sz w:val="20"/>
                <w:szCs w:val="20"/>
              </w:rPr>
              <w:t>2</w:t>
            </w:r>
          </w:p>
        </w:tc>
        <w:tc>
          <w:tcPr>
            <w:tcW w:w="1484" w:type="dxa"/>
          </w:tcPr>
          <w:p w14:paraId="05454D2D" w14:textId="77777777" w:rsidR="00D21E45" w:rsidRPr="002223E2" w:rsidRDefault="00D21E45" w:rsidP="00B76D28">
            <w:pPr>
              <w:rPr>
                <w:rFonts w:cs="Arial"/>
                <w:sz w:val="20"/>
                <w:szCs w:val="20"/>
              </w:rPr>
            </w:pPr>
            <w:r>
              <w:rPr>
                <w:rFonts w:cs="Arial"/>
                <w:sz w:val="20"/>
                <w:szCs w:val="20"/>
              </w:rPr>
              <w:t>4</w:t>
            </w:r>
          </w:p>
        </w:tc>
      </w:tr>
      <w:tr w:rsidR="00D21E45" w:rsidRPr="00CC7D34" w14:paraId="04A7F963" w14:textId="77777777" w:rsidTr="00B76D28">
        <w:tc>
          <w:tcPr>
            <w:tcW w:w="1513" w:type="dxa"/>
          </w:tcPr>
          <w:p w14:paraId="13565D10" w14:textId="77777777" w:rsidR="00D21E45" w:rsidRPr="002223E2" w:rsidRDefault="00D21E45" w:rsidP="00B76D28">
            <w:pPr>
              <w:rPr>
                <w:rFonts w:cs="Arial"/>
                <w:sz w:val="20"/>
                <w:szCs w:val="20"/>
              </w:rPr>
            </w:pPr>
            <w:r w:rsidRPr="002223E2">
              <w:rPr>
                <w:rFonts w:cs="Arial"/>
                <w:sz w:val="20"/>
                <w:szCs w:val="20"/>
              </w:rPr>
              <w:t>501–1000</w:t>
            </w:r>
          </w:p>
        </w:tc>
        <w:tc>
          <w:tcPr>
            <w:tcW w:w="1459" w:type="dxa"/>
            <w:vMerge/>
          </w:tcPr>
          <w:p w14:paraId="733CDE9D"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013528E5" w14:textId="77777777" w:rsidR="00D21E45" w:rsidRPr="002223E2" w:rsidRDefault="00D21E45" w:rsidP="00B76D28">
            <w:pPr>
              <w:rPr>
                <w:rFonts w:cs="Arial"/>
                <w:sz w:val="20"/>
                <w:szCs w:val="20"/>
              </w:rPr>
            </w:pPr>
            <w:r>
              <w:rPr>
                <w:rFonts w:cs="Arial"/>
                <w:sz w:val="20"/>
                <w:szCs w:val="20"/>
              </w:rPr>
              <w:t>3</w:t>
            </w:r>
          </w:p>
        </w:tc>
        <w:tc>
          <w:tcPr>
            <w:tcW w:w="1559" w:type="dxa"/>
            <w:shd w:val="clear" w:color="auto" w:fill="F2F2F2" w:themeFill="background1" w:themeFillShade="F2"/>
          </w:tcPr>
          <w:p w14:paraId="6F6E9668" w14:textId="77777777" w:rsidR="00D21E45" w:rsidRPr="002223E2" w:rsidRDefault="00D21E45" w:rsidP="00B76D28">
            <w:pPr>
              <w:rPr>
                <w:rFonts w:cs="Arial"/>
                <w:sz w:val="20"/>
                <w:szCs w:val="20"/>
              </w:rPr>
            </w:pPr>
            <w:r w:rsidRPr="002223E2">
              <w:rPr>
                <w:rFonts w:cs="Arial"/>
                <w:sz w:val="20"/>
                <w:szCs w:val="20"/>
              </w:rPr>
              <w:t>10</w:t>
            </w:r>
          </w:p>
        </w:tc>
        <w:tc>
          <w:tcPr>
            <w:tcW w:w="1276" w:type="dxa"/>
          </w:tcPr>
          <w:p w14:paraId="008CFCFC" w14:textId="77777777" w:rsidR="00D21E45" w:rsidRPr="002223E2" w:rsidRDefault="00D21E45" w:rsidP="00B76D28">
            <w:pPr>
              <w:rPr>
                <w:rFonts w:cs="Arial"/>
                <w:sz w:val="20"/>
                <w:szCs w:val="20"/>
              </w:rPr>
            </w:pPr>
          </w:p>
        </w:tc>
        <w:tc>
          <w:tcPr>
            <w:tcW w:w="1484" w:type="dxa"/>
          </w:tcPr>
          <w:p w14:paraId="3BD20F76" w14:textId="77777777" w:rsidR="00D21E45" w:rsidRPr="002223E2" w:rsidRDefault="00D21E45" w:rsidP="00B76D28">
            <w:pPr>
              <w:rPr>
                <w:rFonts w:cs="Arial"/>
                <w:sz w:val="20"/>
                <w:szCs w:val="20"/>
              </w:rPr>
            </w:pPr>
            <w:r>
              <w:rPr>
                <w:rFonts w:cs="Arial"/>
                <w:sz w:val="20"/>
                <w:szCs w:val="20"/>
              </w:rPr>
              <w:t>2</w:t>
            </w:r>
          </w:p>
        </w:tc>
      </w:tr>
      <w:tr w:rsidR="00D21E45" w:rsidRPr="00CC7D34" w14:paraId="6903F56A" w14:textId="77777777" w:rsidTr="00B76D28">
        <w:tc>
          <w:tcPr>
            <w:tcW w:w="1513" w:type="dxa"/>
          </w:tcPr>
          <w:p w14:paraId="3B170FE6" w14:textId="77777777" w:rsidR="00D21E45" w:rsidRPr="002223E2" w:rsidRDefault="00D21E45" w:rsidP="00B76D28">
            <w:pPr>
              <w:rPr>
                <w:rFonts w:cs="Arial"/>
                <w:sz w:val="20"/>
                <w:szCs w:val="20"/>
              </w:rPr>
            </w:pPr>
            <w:r w:rsidRPr="002223E2">
              <w:rPr>
                <w:rFonts w:cs="Arial"/>
                <w:sz w:val="20"/>
                <w:szCs w:val="20"/>
              </w:rPr>
              <w:t>1001–2000</w:t>
            </w:r>
          </w:p>
        </w:tc>
        <w:tc>
          <w:tcPr>
            <w:tcW w:w="1459" w:type="dxa"/>
            <w:vMerge/>
          </w:tcPr>
          <w:p w14:paraId="7EC9C896"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1E212120" w14:textId="77777777" w:rsidR="00D21E45" w:rsidRPr="002223E2" w:rsidRDefault="00D21E45" w:rsidP="00B76D28">
            <w:pPr>
              <w:rPr>
                <w:rFonts w:cs="Arial"/>
                <w:sz w:val="20"/>
                <w:szCs w:val="20"/>
              </w:rPr>
            </w:pPr>
            <w:r>
              <w:rPr>
                <w:rFonts w:cs="Arial"/>
                <w:sz w:val="20"/>
                <w:szCs w:val="20"/>
              </w:rPr>
              <w:t>3</w:t>
            </w:r>
          </w:p>
        </w:tc>
        <w:tc>
          <w:tcPr>
            <w:tcW w:w="1559" w:type="dxa"/>
            <w:shd w:val="clear" w:color="auto" w:fill="F2F2F2" w:themeFill="background1" w:themeFillShade="F2"/>
          </w:tcPr>
          <w:p w14:paraId="78007B33" w14:textId="77777777" w:rsidR="00D21E45" w:rsidRPr="002223E2" w:rsidRDefault="00D21E45" w:rsidP="00B76D28">
            <w:pPr>
              <w:rPr>
                <w:rFonts w:cs="Arial"/>
                <w:sz w:val="20"/>
                <w:szCs w:val="20"/>
              </w:rPr>
            </w:pPr>
            <w:r w:rsidRPr="002223E2">
              <w:rPr>
                <w:rFonts w:cs="Arial"/>
                <w:sz w:val="20"/>
                <w:szCs w:val="20"/>
              </w:rPr>
              <w:t>1</w:t>
            </w:r>
          </w:p>
        </w:tc>
        <w:tc>
          <w:tcPr>
            <w:tcW w:w="1276" w:type="dxa"/>
          </w:tcPr>
          <w:p w14:paraId="458344AB" w14:textId="77777777" w:rsidR="00D21E45" w:rsidRPr="002223E2" w:rsidRDefault="00D21E45" w:rsidP="00B76D28">
            <w:pPr>
              <w:rPr>
                <w:rFonts w:cs="Arial"/>
                <w:sz w:val="20"/>
                <w:szCs w:val="20"/>
              </w:rPr>
            </w:pPr>
          </w:p>
        </w:tc>
        <w:tc>
          <w:tcPr>
            <w:tcW w:w="1484" w:type="dxa"/>
          </w:tcPr>
          <w:p w14:paraId="57EE38C0" w14:textId="77777777" w:rsidR="00D21E45" w:rsidRPr="002223E2" w:rsidRDefault="00D21E45" w:rsidP="00B76D28">
            <w:pPr>
              <w:rPr>
                <w:rFonts w:cs="Arial"/>
                <w:sz w:val="20"/>
                <w:szCs w:val="20"/>
              </w:rPr>
            </w:pPr>
          </w:p>
        </w:tc>
      </w:tr>
      <w:tr w:rsidR="00D21E45" w:rsidRPr="00CC7D34" w14:paraId="2A647F06" w14:textId="77777777" w:rsidTr="00B76D28">
        <w:tc>
          <w:tcPr>
            <w:tcW w:w="1513" w:type="dxa"/>
          </w:tcPr>
          <w:p w14:paraId="57EAD147" w14:textId="77777777" w:rsidR="00D21E45" w:rsidRPr="002223E2" w:rsidRDefault="00D21E45" w:rsidP="00B76D28">
            <w:pPr>
              <w:rPr>
                <w:rFonts w:cs="Arial"/>
                <w:sz w:val="20"/>
                <w:szCs w:val="20"/>
              </w:rPr>
            </w:pPr>
            <w:r w:rsidRPr="002223E2">
              <w:rPr>
                <w:rFonts w:cs="Arial"/>
                <w:sz w:val="20"/>
                <w:szCs w:val="20"/>
              </w:rPr>
              <w:t>2001–3000</w:t>
            </w:r>
          </w:p>
        </w:tc>
        <w:tc>
          <w:tcPr>
            <w:tcW w:w="1459" w:type="dxa"/>
            <w:vMerge/>
          </w:tcPr>
          <w:p w14:paraId="666B6E9A"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427EF3AB" w14:textId="77777777" w:rsidR="00D21E45" w:rsidRPr="002223E2" w:rsidRDefault="00D21E45" w:rsidP="00B76D28">
            <w:pPr>
              <w:rPr>
                <w:rFonts w:cs="Arial"/>
                <w:sz w:val="20"/>
                <w:szCs w:val="20"/>
              </w:rPr>
            </w:pPr>
            <w:r>
              <w:rPr>
                <w:rFonts w:cs="Arial"/>
                <w:sz w:val="20"/>
                <w:szCs w:val="20"/>
              </w:rPr>
              <w:t>2</w:t>
            </w:r>
          </w:p>
        </w:tc>
        <w:tc>
          <w:tcPr>
            <w:tcW w:w="1559" w:type="dxa"/>
            <w:shd w:val="clear" w:color="auto" w:fill="F2F2F2" w:themeFill="background1" w:themeFillShade="F2"/>
          </w:tcPr>
          <w:p w14:paraId="1B56CC47" w14:textId="77777777" w:rsidR="00D21E45" w:rsidRPr="002223E2" w:rsidRDefault="00D21E45" w:rsidP="00B76D28">
            <w:pPr>
              <w:rPr>
                <w:rFonts w:cs="Arial"/>
                <w:sz w:val="20"/>
                <w:szCs w:val="20"/>
              </w:rPr>
            </w:pPr>
          </w:p>
        </w:tc>
        <w:tc>
          <w:tcPr>
            <w:tcW w:w="1276" w:type="dxa"/>
          </w:tcPr>
          <w:p w14:paraId="6BE77B82" w14:textId="77777777" w:rsidR="00D21E45" w:rsidRPr="002223E2" w:rsidRDefault="00D21E45" w:rsidP="00B76D28">
            <w:pPr>
              <w:rPr>
                <w:rFonts w:cs="Arial"/>
                <w:sz w:val="20"/>
                <w:szCs w:val="20"/>
              </w:rPr>
            </w:pPr>
            <w:r>
              <w:rPr>
                <w:rFonts w:cs="Arial"/>
                <w:sz w:val="20"/>
                <w:szCs w:val="20"/>
              </w:rPr>
              <w:t>3</w:t>
            </w:r>
          </w:p>
        </w:tc>
        <w:tc>
          <w:tcPr>
            <w:tcW w:w="1484" w:type="dxa"/>
          </w:tcPr>
          <w:p w14:paraId="2A7A2184" w14:textId="77777777" w:rsidR="00D21E45" w:rsidRPr="002223E2" w:rsidRDefault="00D21E45" w:rsidP="00B76D28">
            <w:pPr>
              <w:rPr>
                <w:rFonts w:cs="Arial"/>
                <w:sz w:val="20"/>
                <w:szCs w:val="20"/>
              </w:rPr>
            </w:pPr>
            <w:r>
              <w:rPr>
                <w:rFonts w:cs="Arial"/>
                <w:sz w:val="20"/>
                <w:szCs w:val="20"/>
              </w:rPr>
              <w:t>1</w:t>
            </w:r>
          </w:p>
        </w:tc>
      </w:tr>
      <w:tr w:rsidR="00D21E45" w:rsidRPr="00CC7D34" w14:paraId="7E5C492E" w14:textId="77777777" w:rsidTr="00B76D28">
        <w:tc>
          <w:tcPr>
            <w:tcW w:w="1513" w:type="dxa"/>
          </w:tcPr>
          <w:p w14:paraId="6C69DA40" w14:textId="77777777" w:rsidR="00D21E45" w:rsidRPr="002223E2" w:rsidRDefault="00D21E45" w:rsidP="00B76D28">
            <w:pPr>
              <w:rPr>
                <w:rFonts w:cs="Arial"/>
                <w:sz w:val="20"/>
                <w:szCs w:val="20"/>
              </w:rPr>
            </w:pPr>
            <w:r w:rsidRPr="002223E2">
              <w:rPr>
                <w:rFonts w:cs="Arial"/>
                <w:sz w:val="20"/>
                <w:szCs w:val="20"/>
              </w:rPr>
              <w:t>3001–4000</w:t>
            </w:r>
          </w:p>
        </w:tc>
        <w:tc>
          <w:tcPr>
            <w:tcW w:w="1459" w:type="dxa"/>
            <w:vMerge/>
          </w:tcPr>
          <w:p w14:paraId="33E6B79F"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351F17AB" w14:textId="77777777" w:rsidR="00D21E45" w:rsidRPr="002223E2" w:rsidRDefault="00D21E45" w:rsidP="00B76D28">
            <w:pPr>
              <w:rPr>
                <w:rFonts w:cs="Arial"/>
                <w:sz w:val="20"/>
                <w:szCs w:val="20"/>
              </w:rPr>
            </w:pPr>
            <w:r>
              <w:rPr>
                <w:rFonts w:cs="Arial"/>
                <w:sz w:val="20"/>
                <w:szCs w:val="20"/>
              </w:rPr>
              <w:t>2</w:t>
            </w:r>
          </w:p>
        </w:tc>
        <w:tc>
          <w:tcPr>
            <w:tcW w:w="1559" w:type="dxa"/>
            <w:shd w:val="clear" w:color="auto" w:fill="F2F2F2" w:themeFill="background1" w:themeFillShade="F2"/>
          </w:tcPr>
          <w:p w14:paraId="04DBCAD9" w14:textId="77777777" w:rsidR="00D21E45" w:rsidRPr="002223E2" w:rsidRDefault="00D21E45" w:rsidP="00B76D28">
            <w:pPr>
              <w:rPr>
                <w:rFonts w:cs="Arial"/>
                <w:sz w:val="20"/>
                <w:szCs w:val="20"/>
              </w:rPr>
            </w:pPr>
          </w:p>
        </w:tc>
        <w:tc>
          <w:tcPr>
            <w:tcW w:w="1276" w:type="dxa"/>
          </w:tcPr>
          <w:p w14:paraId="7F01A47F" w14:textId="77777777" w:rsidR="00D21E45" w:rsidRPr="002223E2" w:rsidRDefault="00D21E45" w:rsidP="00B76D28">
            <w:pPr>
              <w:rPr>
                <w:rFonts w:cs="Arial"/>
                <w:sz w:val="20"/>
                <w:szCs w:val="20"/>
              </w:rPr>
            </w:pPr>
          </w:p>
        </w:tc>
        <w:tc>
          <w:tcPr>
            <w:tcW w:w="1484" w:type="dxa"/>
          </w:tcPr>
          <w:p w14:paraId="7D1088C8" w14:textId="77777777" w:rsidR="00D21E45" w:rsidRPr="002223E2" w:rsidRDefault="00D21E45" w:rsidP="00B76D28">
            <w:pPr>
              <w:rPr>
                <w:rFonts w:cs="Arial"/>
                <w:sz w:val="20"/>
                <w:szCs w:val="20"/>
              </w:rPr>
            </w:pPr>
            <w:r>
              <w:rPr>
                <w:rFonts w:cs="Arial"/>
                <w:sz w:val="20"/>
                <w:szCs w:val="20"/>
              </w:rPr>
              <w:t>1</w:t>
            </w:r>
          </w:p>
        </w:tc>
      </w:tr>
      <w:tr w:rsidR="00D21E45" w:rsidRPr="00CC7D34" w14:paraId="6DCFFCB3" w14:textId="77777777" w:rsidTr="00B76D28">
        <w:tc>
          <w:tcPr>
            <w:tcW w:w="1513" w:type="dxa"/>
          </w:tcPr>
          <w:p w14:paraId="35705289" w14:textId="77777777" w:rsidR="00D21E45" w:rsidRPr="002223E2" w:rsidRDefault="00D21E45" w:rsidP="00B76D28">
            <w:pPr>
              <w:rPr>
                <w:rFonts w:cs="Arial"/>
                <w:sz w:val="20"/>
                <w:szCs w:val="20"/>
              </w:rPr>
            </w:pPr>
            <w:r w:rsidRPr="002223E2">
              <w:rPr>
                <w:rFonts w:cs="Arial"/>
                <w:sz w:val="20"/>
                <w:szCs w:val="20"/>
              </w:rPr>
              <w:t>4001–5000</w:t>
            </w:r>
          </w:p>
        </w:tc>
        <w:tc>
          <w:tcPr>
            <w:tcW w:w="1459" w:type="dxa"/>
            <w:vMerge/>
          </w:tcPr>
          <w:p w14:paraId="311B301B"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7B114995" w14:textId="77777777" w:rsidR="00D21E45" w:rsidRPr="002223E2" w:rsidRDefault="00D21E45" w:rsidP="00B76D28">
            <w:pPr>
              <w:rPr>
                <w:rFonts w:cs="Arial"/>
                <w:sz w:val="20"/>
                <w:szCs w:val="20"/>
              </w:rPr>
            </w:pPr>
          </w:p>
        </w:tc>
        <w:tc>
          <w:tcPr>
            <w:tcW w:w="1559" w:type="dxa"/>
            <w:shd w:val="clear" w:color="auto" w:fill="F2F2F2" w:themeFill="background1" w:themeFillShade="F2"/>
          </w:tcPr>
          <w:p w14:paraId="6140C7CC" w14:textId="77777777" w:rsidR="00D21E45" w:rsidRPr="002223E2" w:rsidRDefault="00D21E45" w:rsidP="00B76D28">
            <w:pPr>
              <w:rPr>
                <w:rFonts w:cs="Arial"/>
                <w:sz w:val="20"/>
                <w:szCs w:val="20"/>
              </w:rPr>
            </w:pPr>
          </w:p>
        </w:tc>
        <w:tc>
          <w:tcPr>
            <w:tcW w:w="1276" w:type="dxa"/>
          </w:tcPr>
          <w:p w14:paraId="0D3DC1E4" w14:textId="77777777" w:rsidR="00D21E45" w:rsidRPr="002223E2" w:rsidRDefault="00D21E45" w:rsidP="00B76D28">
            <w:pPr>
              <w:rPr>
                <w:rFonts w:cs="Arial"/>
                <w:sz w:val="20"/>
                <w:szCs w:val="20"/>
              </w:rPr>
            </w:pPr>
          </w:p>
        </w:tc>
        <w:tc>
          <w:tcPr>
            <w:tcW w:w="1484" w:type="dxa"/>
          </w:tcPr>
          <w:p w14:paraId="15440712" w14:textId="77777777" w:rsidR="00D21E45" w:rsidRPr="002223E2" w:rsidRDefault="00D21E45" w:rsidP="00B76D28">
            <w:pPr>
              <w:rPr>
                <w:rFonts w:cs="Arial"/>
                <w:sz w:val="20"/>
                <w:szCs w:val="20"/>
              </w:rPr>
            </w:pPr>
          </w:p>
        </w:tc>
      </w:tr>
      <w:tr w:rsidR="00D21E45" w:rsidRPr="00CC7D34" w14:paraId="7BB9148C" w14:textId="77777777" w:rsidTr="00B76D28">
        <w:tc>
          <w:tcPr>
            <w:tcW w:w="1513" w:type="dxa"/>
          </w:tcPr>
          <w:p w14:paraId="5F1E63F3" w14:textId="77777777" w:rsidR="00D21E45" w:rsidRPr="002223E2" w:rsidRDefault="00D21E45" w:rsidP="00B76D28">
            <w:pPr>
              <w:rPr>
                <w:rFonts w:cs="Arial"/>
                <w:sz w:val="20"/>
                <w:szCs w:val="20"/>
              </w:rPr>
            </w:pPr>
            <w:r w:rsidRPr="002223E2">
              <w:rPr>
                <w:rFonts w:cs="Arial"/>
                <w:sz w:val="20"/>
                <w:szCs w:val="20"/>
              </w:rPr>
              <w:t>5001–</w:t>
            </w:r>
            <w:r>
              <w:rPr>
                <w:rFonts w:cs="Arial"/>
                <w:sz w:val="20"/>
                <w:szCs w:val="20"/>
              </w:rPr>
              <w:t>6000</w:t>
            </w:r>
          </w:p>
        </w:tc>
        <w:tc>
          <w:tcPr>
            <w:tcW w:w="1459" w:type="dxa"/>
            <w:vMerge/>
          </w:tcPr>
          <w:p w14:paraId="2BED441C"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485AB00D" w14:textId="77777777" w:rsidR="00D21E45" w:rsidRPr="002223E2" w:rsidRDefault="00D21E45" w:rsidP="00B76D28">
            <w:pPr>
              <w:rPr>
                <w:rFonts w:cs="Arial"/>
                <w:sz w:val="20"/>
                <w:szCs w:val="20"/>
              </w:rPr>
            </w:pPr>
          </w:p>
        </w:tc>
        <w:tc>
          <w:tcPr>
            <w:tcW w:w="1559" w:type="dxa"/>
            <w:shd w:val="clear" w:color="auto" w:fill="F2F2F2" w:themeFill="background1" w:themeFillShade="F2"/>
          </w:tcPr>
          <w:p w14:paraId="5A20C04F" w14:textId="77777777" w:rsidR="00D21E45" w:rsidRPr="002223E2" w:rsidRDefault="00D21E45" w:rsidP="00B76D28">
            <w:pPr>
              <w:rPr>
                <w:rFonts w:cs="Arial"/>
                <w:sz w:val="20"/>
                <w:szCs w:val="20"/>
              </w:rPr>
            </w:pPr>
          </w:p>
        </w:tc>
        <w:tc>
          <w:tcPr>
            <w:tcW w:w="1276" w:type="dxa"/>
          </w:tcPr>
          <w:p w14:paraId="357E6B85" w14:textId="77777777" w:rsidR="00D21E45" w:rsidRPr="002223E2" w:rsidRDefault="00D21E45" w:rsidP="00B76D28">
            <w:pPr>
              <w:rPr>
                <w:rFonts w:cs="Arial"/>
                <w:sz w:val="20"/>
                <w:szCs w:val="20"/>
              </w:rPr>
            </w:pPr>
          </w:p>
        </w:tc>
        <w:tc>
          <w:tcPr>
            <w:tcW w:w="1484" w:type="dxa"/>
          </w:tcPr>
          <w:p w14:paraId="4DEF9878" w14:textId="77777777" w:rsidR="00D21E45" w:rsidRPr="002223E2" w:rsidRDefault="00D21E45" w:rsidP="00B76D28">
            <w:pPr>
              <w:rPr>
                <w:rFonts w:cs="Arial"/>
                <w:sz w:val="20"/>
                <w:szCs w:val="20"/>
              </w:rPr>
            </w:pPr>
          </w:p>
        </w:tc>
      </w:tr>
      <w:tr w:rsidR="00D21E45" w:rsidRPr="00CC7D34" w14:paraId="3CFAF730" w14:textId="77777777" w:rsidTr="00B76D28">
        <w:tc>
          <w:tcPr>
            <w:tcW w:w="1513" w:type="dxa"/>
          </w:tcPr>
          <w:p w14:paraId="065640B7" w14:textId="77777777" w:rsidR="00D21E45" w:rsidRPr="002223E2" w:rsidRDefault="00D21E45" w:rsidP="00B76D28">
            <w:pPr>
              <w:rPr>
                <w:rFonts w:cs="Arial"/>
                <w:sz w:val="20"/>
                <w:szCs w:val="20"/>
              </w:rPr>
            </w:pPr>
            <w:r>
              <w:rPr>
                <w:rFonts w:cs="Arial"/>
                <w:sz w:val="20"/>
                <w:szCs w:val="20"/>
              </w:rPr>
              <w:t>6</w:t>
            </w:r>
            <w:r w:rsidRPr="002223E2">
              <w:rPr>
                <w:rFonts w:cs="Arial"/>
                <w:sz w:val="20"/>
                <w:szCs w:val="20"/>
              </w:rPr>
              <w:t>001–</w:t>
            </w:r>
            <w:r>
              <w:rPr>
                <w:rFonts w:cs="Arial"/>
                <w:sz w:val="20"/>
                <w:szCs w:val="20"/>
              </w:rPr>
              <w:t>13000</w:t>
            </w:r>
          </w:p>
        </w:tc>
        <w:tc>
          <w:tcPr>
            <w:tcW w:w="1459" w:type="dxa"/>
            <w:vMerge/>
          </w:tcPr>
          <w:p w14:paraId="35FD57B7" w14:textId="77777777" w:rsidR="00D21E45" w:rsidRPr="002223E2" w:rsidRDefault="00D21E45" w:rsidP="00B76D28">
            <w:pPr>
              <w:rPr>
                <w:rFonts w:cs="Arial"/>
                <w:sz w:val="20"/>
                <w:szCs w:val="20"/>
              </w:rPr>
            </w:pPr>
          </w:p>
        </w:tc>
        <w:tc>
          <w:tcPr>
            <w:tcW w:w="1276" w:type="dxa"/>
            <w:shd w:val="clear" w:color="auto" w:fill="F2F2F2" w:themeFill="background1" w:themeFillShade="F2"/>
          </w:tcPr>
          <w:p w14:paraId="531AD9E7" w14:textId="77777777" w:rsidR="00D21E45" w:rsidRPr="002223E2" w:rsidRDefault="00D21E45" w:rsidP="00B76D28">
            <w:pPr>
              <w:rPr>
                <w:rFonts w:cs="Arial"/>
                <w:sz w:val="20"/>
                <w:szCs w:val="20"/>
              </w:rPr>
            </w:pPr>
          </w:p>
        </w:tc>
        <w:tc>
          <w:tcPr>
            <w:tcW w:w="1559" w:type="dxa"/>
            <w:shd w:val="clear" w:color="auto" w:fill="F2F2F2" w:themeFill="background1" w:themeFillShade="F2"/>
          </w:tcPr>
          <w:p w14:paraId="48264544" w14:textId="77777777" w:rsidR="00D21E45" w:rsidRPr="002223E2" w:rsidRDefault="00D21E45" w:rsidP="00B76D28">
            <w:pPr>
              <w:rPr>
                <w:rFonts w:cs="Arial"/>
                <w:sz w:val="20"/>
                <w:szCs w:val="20"/>
              </w:rPr>
            </w:pPr>
          </w:p>
        </w:tc>
        <w:tc>
          <w:tcPr>
            <w:tcW w:w="1276" w:type="dxa"/>
          </w:tcPr>
          <w:p w14:paraId="7F3C0D14" w14:textId="77777777" w:rsidR="00D21E45" w:rsidRPr="002223E2" w:rsidRDefault="00D21E45" w:rsidP="00B76D28">
            <w:pPr>
              <w:rPr>
                <w:rFonts w:cs="Arial"/>
                <w:sz w:val="20"/>
                <w:szCs w:val="20"/>
              </w:rPr>
            </w:pPr>
          </w:p>
        </w:tc>
        <w:tc>
          <w:tcPr>
            <w:tcW w:w="1484" w:type="dxa"/>
          </w:tcPr>
          <w:p w14:paraId="3DCEAE21" w14:textId="77777777" w:rsidR="00D21E45" w:rsidRDefault="00D21E45" w:rsidP="00B76D28">
            <w:pPr>
              <w:rPr>
                <w:rFonts w:cs="Arial"/>
                <w:sz w:val="20"/>
                <w:szCs w:val="20"/>
              </w:rPr>
            </w:pPr>
            <w:r>
              <w:rPr>
                <w:rFonts w:cs="Arial"/>
                <w:sz w:val="20"/>
                <w:szCs w:val="20"/>
              </w:rPr>
              <w:t>1</w:t>
            </w:r>
          </w:p>
        </w:tc>
      </w:tr>
      <w:tr w:rsidR="00D21E45" w:rsidRPr="00FC1EF0" w14:paraId="7FEA02F6" w14:textId="77777777" w:rsidTr="00B76D28">
        <w:tc>
          <w:tcPr>
            <w:tcW w:w="1513" w:type="dxa"/>
          </w:tcPr>
          <w:p w14:paraId="02E9C60E" w14:textId="77777777" w:rsidR="00D21E45" w:rsidRPr="001A56C9" w:rsidRDefault="00D21E45" w:rsidP="00B76D28">
            <w:pPr>
              <w:rPr>
                <w:rFonts w:cs="Arial"/>
                <w:b/>
                <w:sz w:val="20"/>
                <w:szCs w:val="20"/>
              </w:rPr>
            </w:pPr>
            <w:r w:rsidRPr="001A56C9">
              <w:rPr>
                <w:rFonts w:cs="Arial"/>
                <w:b/>
                <w:sz w:val="20"/>
                <w:szCs w:val="20"/>
              </w:rPr>
              <w:t>&gt;200</w:t>
            </w:r>
            <w:r>
              <w:rPr>
                <w:rFonts w:cs="Arial"/>
                <w:b/>
                <w:sz w:val="20"/>
                <w:szCs w:val="20"/>
              </w:rPr>
              <w:t xml:space="preserve"> </w:t>
            </w:r>
            <w:r w:rsidRPr="001A56C9">
              <w:rPr>
                <w:rFonts w:cs="Arial"/>
                <w:b/>
                <w:sz w:val="20"/>
                <w:szCs w:val="20"/>
              </w:rPr>
              <w:t>000</w:t>
            </w:r>
          </w:p>
        </w:tc>
        <w:tc>
          <w:tcPr>
            <w:tcW w:w="1459" w:type="dxa"/>
          </w:tcPr>
          <w:p w14:paraId="5D5FC3DA" w14:textId="77777777" w:rsidR="00D21E45" w:rsidRPr="001A56C9" w:rsidRDefault="00D21E45" w:rsidP="00B76D28">
            <w:pPr>
              <w:rPr>
                <w:rFonts w:cs="Arial"/>
                <w:b/>
                <w:sz w:val="20"/>
                <w:szCs w:val="20"/>
              </w:rPr>
            </w:pPr>
            <w:r w:rsidRPr="001A56C9">
              <w:rPr>
                <w:rFonts w:cs="Arial"/>
                <w:b/>
                <w:sz w:val="20"/>
                <w:szCs w:val="20"/>
              </w:rPr>
              <w:t>1</w:t>
            </w:r>
          </w:p>
        </w:tc>
        <w:tc>
          <w:tcPr>
            <w:tcW w:w="1276" w:type="dxa"/>
            <w:shd w:val="clear" w:color="auto" w:fill="F2F2F2" w:themeFill="background1" w:themeFillShade="F2"/>
          </w:tcPr>
          <w:p w14:paraId="3DE967F3" w14:textId="77777777" w:rsidR="00D21E45" w:rsidRPr="002223E2" w:rsidRDefault="00D21E45" w:rsidP="00B76D28">
            <w:pPr>
              <w:rPr>
                <w:rFonts w:cs="Arial"/>
                <w:sz w:val="20"/>
                <w:szCs w:val="20"/>
              </w:rPr>
            </w:pPr>
          </w:p>
        </w:tc>
        <w:tc>
          <w:tcPr>
            <w:tcW w:w="1559" w:type="dxa"/>
            <w:shd w:val="clear" w:color="auto" w:fill="F2F2F2" w:themeFill="background1" w:themeFillShade="F2"/>
          </w:tcPr>
          <w:p w14:paraId="3E45B962" w14:textId="77777777" w:rsidR="00D21E45" w:rsidRPr="002223E2" w:rsidRDefault="00D21E45" w:rsidP="00B76D28">
            <w:pPr>
              <w:rPr>
                <w:rFonts w:cs="Arial"/>
                <w:sz w:val="20"/>
                <w:szCs w:val="20"/>
              </w:rPr>
            </w:pPr>
          </w:p>
        </w:tc>
        <w:tc>
          <w:tcPr>
            <w:tcW w:w="1276" w:type="dxa"/>
          </w:tcPr>
          <w:p w14:paraId="13E5B1DB" w14:textId="77777777" w:rsidR="00D21E45" w:rsidRPr="002223E2" w:rsidRDefault="00D21E45" w:rsidP="00B76D28">
            <w:pPr>
              <w:rPr>
                <w:rFonts w:cs="Arial"/>
                <w:sz w:val="20"/>
                <w:szCs w:val="20"/>
              </w:rPr>
            </w:pPr>
          </w:p>
        </w:tc>
        <w:tc>
          <w:tcPr>
            <w:tcW w:w="1484" w:type="dxa"/>
          </w:tcPr>
          <w:p w14:paraId="6DE4DC72" w14:textId="77777777" w:rsidR="00D21E45" w:rsidRPr="002223E2" w:rsidRDefault="00D21E45" w:rsidP="00B76D28">
            <w:pPr>
              <w:rPr>
                <w:rFonts w:cs="Arial"/>
                <w:sz w:val="20"/>
                <w:szCs w:val="20"/>
              </w:rPr>
            </w:pPr>
          </w:p>
        </w:tc>
      </w:tr>
    </w:tbl>
    <w:p w14:paraId="4F9FE408" w14:textId="77777777" w:rsidR="00726816" w:rsidRDefault="00726816" w:rsidP="00726816">
      <w:pPr>
        <w:rPr>
          <w:rFonts w:eastAsia="Arial"/>
        </w:rPr>
      </w:pPr>
    </w:p>
    <w:p w14:paraId="24BEABD1" w14:textId="500F2767" w:rsidR="00726816" w:rsidRPr="002E679A" w:rsidRDefault="00726816" w:rsidP="00726816">
      <w:r>
        <w:rPr>
          <w:rFonts w:eastAsia="Arial"/>
        </w:rPr>
        <w:t xml:space="preserve">No Google analytics data were available when many comprehensive care resources were </w:t>
      </w:r>
      <w:r w:rsidR="00CE376B">
        <w:rPr>
          <w:rFonts w:eastAsia="Arial"/>
        </w:rPr>
        <w:t xml:space="preserve">initially </w:t>
      </w:r>
      <w:r>
        <w:rPr>
          <w:rFonts w:eastAsia="Arial"/>
        </w:rPr>
        <w:t xml:space="preserve">released so it is unknown if they were accessed frequently at that time. The oldest resources are more frequently downloaded than newer resources although the number is still low. </w:t>
      </w:r>
      <w:r w:rsidRPr="002E679A">
        <w:t xml:space="preserve">The </w:t>
      </w:r>
      <w:r>
        <w:t>Comprehensive Care Standard</w:t>
      </w:r>
      <w:r w:rsidRPr="002E679A">
        <w:t xml:space="preserve"> has been </w:t>
      </w:r>
      <w:r>
        <w:t>accessed</w:t>
      </w:r>
      <w:r w:rsidRPr="002E679A">
        <w:t xml:space="preserve"> </w:t>
      </w:r>
      <w:r>
        <w:t>four</w:t>
      </w:r>
      <w:r w:rsidRPr="00CC7D34">
        <w:t xml:space="preserve"> times more than </w:t>
      </w:r>
      <w:r>
        <w:t xml:space="preserve">all </w:t>
      </w:r>
      <w:r w:rsidRPr="00CC7D34">
        <w:t>other resources combined.</w:t>
      </w:r>
      <w:r w:rsidRPr="002E679A">
        <w:t xml:space="preserve"> </w:t>
      </w:r>
      <w:r>
        <w:rPr>
          <w:rFonts w:eastAsia="Arial"/>
        </w:rPr>
        <w:t xml:space="preserve">Due to </w:t>
      </w:r>
      <w:r w:rsidRPr="002E679A">
        <w:rPr>
          <w:rFonts w:eastAsia="Arial"/>
        </w:rPr>
        <w:t>website redevelopment, Google Analytics data was limited to</w:t>
      </w:r>
      <w:r>
        <w:rPr>
          <w:rFonts w:eastAsia="Arial"/>
        </w:rPr>
        <w:t xml:space="preserve"> webpage views and</w:t>
      </w:r>
      <w:r w:rsidRPr="002E679A">
        <w:rPr>
          <w:rFonts w:eastAsia="Arial"/>
        </w:rPr>
        <w:t xml:space="preserve"> </w:t>
      </w:r>
      <w:r>
        <w:rPr>
          <w:rFonts w:eastAsia="Arial"/>
        </w:rPr>
        <w:t xml:space="preserve">pdf downloads </w:t>
      </w:r>
      <w:r w:rsidRPr="002E679A">
        <w:rPr>
          <w:rFonts w:eastAsia="Arial"/>
        </w:rPr>
        <w:t>after 18 January 2020. Resources are also available i</w:t>
      </w:r>
      <w:r>
        <w:rPr>
          <w:rFonts w:eastAsia="Arial"/>
        </w:rPr>
        <w:t xml:space="preserve">n formats where </w:t>
      </w:r>
      <w:r w:rsidRPr="002E679A">
        <w:rPr>
          <w:rFonts w:eastAsia="Arial"/>
        </w:rPr>
        <w:t>data was not captured</w:t>
      </w:r>
      <w:r>
        <w:rPr>
          <w:rFonts w:eastAsia="Arial"/>
        </w:rPr>
        <w:t>.</w:t>
      </w:r>
    </w:p>
    <w:p w14:paraId="0E953BF4" w14:textId="114B421A" w:rsidR="00726816" w:rsidRDefault="00726816" w:rsidP="00726816">
      <w:pPr>
        <w:rPr>
          <w:rFonts w:ascii="Arial" w:eastAsia="Arial" w:hAnsi="Arial" w:cs="Arial"/>
        </w:rPr>
      </w:pPr>
      <w:r w:rsidRPr="002E679A">
        <w:rPr>
          <w:rFonts w:ascii="Arial" w:hAnsi="Arial" w:cs="Arial"/>
        </w:rPr>
        <w:t>Release of supporting resources was staggered and not all resources were available during the time that the assessment outcome data was collected</w:t>
      </w:r>
      <w:r>
        <w:rPr>
          <w:rFonts w:ascii="Arial" w:hAnsi="Arial" w:cs="Arial"/>
        </w:rPr>
        <w:t>. Regardless, the website interactions with the resources are low. This probably demonstrates the mandated nature of the C</w:t>
      </w:r>
      <w:r w:rsidR="00CE376B">
        <w:rPr>
          <w:rFonts w:ascii="Arial" w:hAnsi="Arial" w:cs="Arial"/>
        </w:rPr>
        <w:t xml:space="preserve">omprehensive </w:t>
      </w:r>
      <w:r>
        <w:rPr>
          <w:rFonts w:ascii="Arial" w:hAnsi="Arial" w:cs="Arial"/>
        </w:rPr>
        <w:t>C</w:t>
      </w:r>
      <w:r w:rsidR="00CE376B">
        <w:rPr>
          <w:rFonts w:ascii="Arial" w:hAnsi="Arial" w:cs="Arial"/>
        </w:rPr>
        <w:t xml:space="preserve">are </w:t>
      </w:r>
      <w:r>
        <w:rPr>
          <w:rFonts w:ascii="Arial" w:hAnsi="Arial" w:cs="Arial"/>
        </w:rPr>
        <w:t>S</w:t>
      </w:r>
      <w:r w:rsidR="00CE376B">
        <w:rPr>
          <w:rFonts w:ascii="Arial" w:hAnsi="Arial" w:cs="Arial"/>
        </w:rPr>
        <w:t>tandard</w:t>
      </w:r>
      <w:r>
        <w:rPr>
          <w:rFonts w:ascii="Arial" w:hAnsi="Arial" w:cs="Arial"/>
        </w:rPr>
        <w:t xml:space="preserve"> and may be related to disparate linkages on the website. </w:t>
      </w:r>
      <w:r w:rsidRPr="002E679A">
        <w:rPr>
          <w:rFonts w:ascii="Arial" w:eastAsia="Arial" w:hAnsi="Arial" w:cs="Arial"/>
        </w:rPr>
        <w:t>More work is needed to evaluate the accessibility, usefulness</w:t>
      </w:r>
      <w:r w:rsidR="00CE376B">
        <w:rPr>
          <w:rFonts w:ascii="Arial" w:eastAsia="Arial" w:hAnsi="Arial" w:cs="Arial"/>
        </w:rPr>
        <w:t>,</w:t>
      </w:r>
      <w:r w:rsidRPr="002E679A">
        <w:rPr>
          <w:rFonts w:ascii="Arial" w:eastAsia="Arial" w:hAnsi="Arial" w:cs="Arial"/>
        </w:rPr>
        <w:t xml:space="preserve"> and promotion strategy of resources</w:t>
      </w:r>
      <w:r>
        <w:rPr>
          <w:rFonts w:ascii="Arial" w:eastAsia="Arial" w:hAnsi="Arial" w:cs="Arial"/>
        </w:rPr>
        <w:t>. N</w:t>
      </w:r>
      <w:r w:rsidRPr="002E679A">
        <w:rPr>
          <w:rFonts w:ascii="Arial" w:eastAsia="Arial" w:hAnsi="Arial" w:cs="Arial"/>
        </w:rPr>
        <w:t xml:space="preserve">ew or modified resources may be required to improve the links </w:t>
      </w:r>
      <w:r w:rsidR="00CE376B">
        <w:rPr>
          <w:rFonts w:ascii="Arial" w:eastAsia="Arial" w:hAnsi="Arial" w:cs="Arial"/>
        </w:rPr>
        <w:t xml:space="preserve">between Commission programs </w:t>
      </w:r>
      <w:r w:rsidRPr="002E679A">
        <w:rPr>
          <w:rFonts w:ascii="Arial" w:eastAsia="Arial" w:hAnsi="Arial" w:cs="Arial"/>
        </w:rPr>
        <w:t xml:space="preserve">and </w:t>
      </w:r>
      <w:r>
        <w:rPr>
          <w:rFonts w:ascii="Arial" w:eastAsia="Arial" w:hAnsi="Arial" w:cs="Arial"/>
        </w:rPr>
        <w:t xml:space="preserve">determine whether </w:t>
      </w:r>
      <w:r w:rsidRPr="002E679A">
        <w:rPr>
          <w:rFonts w:ascii="Arial" w:eastAsia="Arial" w:hAnsi="Arial" w:cs="Arial"/>
        </w:rPr>
        <w:t xml:space="preserve">there is a relationship to assessment outcomes. </w:t>
      </w:r>
      <w:r>
        <w:rPr>
          <w:rFonts w:ascii="Arial" w:eastAsia="Arial" w:hAnsi="Arial" w:cs="Arial"/>
        </w:rPr>
        <w:t xml:space="preserve">Considering alternate communication strategies may also improve reach and uptake. </w:t>
      </w:r>
    </w:p>
    <w:p w14:paraId="69F7FEFA" w14:textId="4F1F0D0D" w:rsidR="00B751DA" w:rsidRDefault="00B751DA" w:rsidP="00030CA2">
      <w:pPr>
        <w:pStyle w:val="Heading2"/>
      </w:pPr>
      <w:bookmarkStart w:id="16" w:name="_Toc105592206"/>
      <w:r w:rsidRPr="003262F4">
        <w:lastRenderedPageBreak/>
        <w:t xml:space="preserve">Resources </w:t>
      </w:r>
      <w:r w:rsidR="00CE376B">
        <w:t>– survey responses</w:t>
      </w:r>
      <w:bookmarkEnd w:id="16"/>
    </w:p>
    <w:p w14:paraId="69FDAE2F" w14:textId="754496CB" w:rsidR="00B751DA" w:rsidRDefault="00B751DA" w:rsidP="00B751DA">
      <w:r>
        <w:t>Respondents were asked what resources would help them with the issues they identified in implementing the Comprehensive Care Standard. The table below summarises the suggestions received.</w:t>
      </w:r>
    </w:p>
    <w:p w14:paraId="44103A75" w14:textId="5DB18900" w:rsidR="00B751DA" w:rsidRPr="00D72820" w:rsidRDefault="00B751DA" w:rsidP="00B751DA">
      <w:pPr>
        <w:pStyle w:val="FigureTitle"/>
      </w:pPr>
      <w:r>
        <w:t xml:space="preserve">Table </w:t>
      </w:r>
      <w:r w:rsidR="00154C67">
        <w:t>2</w:t>
      </w:r>
      <w:r w:rsidRPr="00D72820">
        <w:t xml:space="preserve">: </w:t>
      </w:r>
      <w:r>
        <w:t>Suggestions</w:t>
      </w:r>
      <w:r w:rsidR="00154C67">
        <w:t xml:space="preserve"> from respondents</w:t>
      </w:r>
      <w:r>
        <w:t xml:space="preserve"> for </w:t>
      </w:r>
      <w:r w:rsidR="00154C67">
        <w:t xml:space="preserve">comprehensive care </w:t>
      </w:r>
      <w:r>
        <w:t>resources</w:t>
      </w:r>
    </w:p>
    <w:tbl>
      <w:tblPr>
        <w:tblStyle w:val="TableGrid"/>
        <w:tblW w:w="9351" w:type="dxa"/>
        <w:tblLook w:val="04A0" w:firstRow="1" w:lastRow="0" w:firstColumn="1" w:lastColumn="0" w:noHBand="0" w:noVBand="1"/>
      </w:tblPr>
      <w:tblGrid>
        <w:gridCol w:w="9351"/>
      </w:tblGrid>
      <w:tr w:rsidR="00177288" w:rsidRPr="00D97730" w14:paraId="52E27789" w14:textId="77777777" w:rsidTr="00177288">
        <w:trPr>
          <w:cnfStyle w:val="100000000000" w:firstRow="1" w:lastRow="0" w:firstColumn="0" w:lastColumn="0" w:oddVBand="0" w:evenVBand="0" w:oddHBand="0" w:evenHBand="0" w:firstRowFirstColumn="0" w:firstRowLastColumn="0" w:lastRowFirstColumn="0" w:lastRowLastColumn="0"/>
          <w:trHeight w:val="600"/>
        </w:trPr>
        <w:tc>
          <w:tcPr>
            <w:tcW w:w="9351" w:type="dxa"/>
            <w:shd w:val="clear" w:color="auto" w:fill="0070C0"/>
            <w:hideMark/>
          </w:tcPr>
          <w:p w14:paraId="3D9F7E3C" w14:textId="0F2FB47A" w:rsidR="00177288" w:rsidRPr="00D72820" w:rsidRDefault="00177288" w:rsidP="00017CFF">
            <w:pPr>
              <w:spacing w:after="0"/>
              <w:rPr>
                <w:rFonts w:ascii="Arial" w:hAnsi="Arial" w:cs="Arial"/>
                <w:bCs/>
                <w:color w:val="FFFFFF"/>
                <w:sz w:val="20"/>
                <w:szCs w:val="20"/>
              </w:rPr>
            </w:pPr>
            <w:r w:rsidRPr="00D72820">
              <w:rPr>
                <w:rFonts w:ascii="Arial" w:hAnsi="Arial" w:cs="Arial"/>
                <w:bCs/>
                <w:color w:val="FFFFFF"/>
                <w:sz w:val="20"/>
                <w:szCs w:val="20"/>
              </w:rPr>
              <w:t>Suggestions for</w:t>
            </w:r>
            <w:r w:rsidR="00154C67">
              <w:rPr>
                <w:rFonts w:ascii="Arial" w:hAnsi="Arial" w:cs="Arial"/>
                <w:bCs/>
                <w:color w:val="FFFFFF"/>
                <w:sz w:val="20"/>
                <w:szCs w:val="20"/>
              </w:rPr>
              <w:t xml:space="preserve"> comprehensive care</w:t>
            </w:r>
            <w:r w:rsidRPr="00D72820">
              <w:rPr>
                <w:rFonts w:ascii="Arial" w:hAnsi="Arial" w:cs="Arial"/>
                <w:bCs/>
                <w:color w:val="FFFFFF"/>
                <w:sz w:val="20"/>
                <w:szCs w:val="20"/>
              </w:rPr>
              <w:t xml:space="preserve"> resources </w:t>
            </w:r>
          </w:p>
        </w:tc>
      </w:tr>
      <w:tr w:rsidR="00177288" w:rsidRPr="00D97730" w14:paraId="408880DD" w14:textId="77777777" w:rsidTr="00177288">
        <w:trPr>
          <w:trHeight w:val="300"/>
        </w:trPr>
        <w:tc>
          <w:tcPr>
            <w:tcW w:w="9351" w:type="dxa"/>
            <w:hideMark/>
          </w:tcPr>
          <w:p w14:paraId="4757F961" w14:textId="77777777" w:rsidR="00177288" w:rsidRPr="00D72820" w:rsidRDefault="00177288" w:rsidP="00017CFF">
            <w:pPr>
              <w:spacing w:after="0"/>
              <w:rPr>
                <w:rFonts w:cs="Arial"/>
                <w:color w:val="000000"/>
                <w:sz w:val="20"/>
                <w:szCs w:val="20"/>
              </w:rPr>
            </w:pPr>
            <w:r w:rsidRPr="00D72820">
              <w:rPr>
                <w:rFonts w:eastAsia="Symbol" w:cs="Arial"/>
                <w:color w:val="000000"/>
                <w:sz w:val="20"/>
                <w:szCs w:val="20"/>
              </w:rPr>
              <w:t>How to implement a comprehensive care planning process</w:t>
            </w:r>
          </w:p>
        </w:tc>
      </w:tr>
      <w:tr w:rsidR="00177288" w:rsidRPr="00D97730" w14:paraId="2E1F1FC3" w14:textId="77777777" w:rsidTr="00177288">
        <w:trPr>
          <w:trHeight w:val="304"/>
        </w:trPr>
        <w:tc>
          <w:tcPr>
            <w:tcW w:w="9351" w:type="dxa"/>
            <w:hideMark/>
          </w:tcPr>
          <w:p w14:paraId="4FC472CE" w14:textId="0159B221" w:rsidR="00177288" w:rsidRPr="00D72820" w:rsidRDefault="00177288" w:rsidP="00017CFF">
            <w:pPr>
              <w:spacing w:after="0"/>
              <w:rPr>
                <w:rFonts w:cs="Arial"/>
                <w:color w:val="000000"/>
                <w:sz w:val="20"/>
                <w:szCs w:val="20"/>
              </w:rPr>
            </w:pPr>
            <w:r>
              <w:rPr>
                <w:rFonts w:cs="Arial"/>
                <w:color w:val="000000"/>
                <w:sz w:val="20"/>
                <w:szCs w:val="20"/>
              </w:rPr>
              <w:t>W</w:t>
            </w:r>
            <w:r w:rsidRPr="00D72820">
              <w:rPr>
                <w:rFonts w:cs="Arial"/>
                <w:color w:val="000000"/>
                <w:sz w:val="20"/>
                <w:szCs w:val="20"/>
              </w:rPr>
              <w:t>ays in which clinicians can better collaborate to plan, action</w:t>
            </w:r>
            <w:r>
              <w:rPr>
                <w:rFonts w:cs="Arial"/>
                <w:color w:val="000000"/>
                <w:sz w:val="20"/>
                <w:szCs w:val="20"/>
              </w:rPr>
              <w:t>,</w:t>
            </w:r>
            <w:r w:rsidRPr="00D72820">
              <w:rPr>
                <w:rFonts w:cs="Arial"/>
                <w:color w:val="000000"/>
                <w:sz w:val="20"/>
                <w:szCs w:val="20"/>
              </w:rPr>
              <w:t xml:space="preserve"> and evaluate care as one team </w:t>
            </w:r>
          </w:p>
        </w:tc>
      </w:tr>
      <w:tr w:rsidR="00177288" w:rsidRPr="00D97730" w14:paraId="2FDA1C46" w14:textId="77777777" w:rsidTr="00177288">
        <w:trPr>
          <w:trHeight w:val="300"/>
        </w:trPr>
        <w:tc>
          <w:tcPr>
            <w:tcW w:w="9351" w:type="dxa"/>
            <w:hideMark/>
          </w:tcPr>
          <w:p w14:paraId="7B1255D3" w14:textId="77777777" w:rsidR="00177288" w:rsidRPr="00D72820" w:rsidRDefault="00177288" w:rsidP="00017CFF">
            <w:pPr>
              <w:spacing w:after="0"/>
              <w:rPr>
                <w:rFonts w:cs="Arial"/>
                <w:color w:val="000000"/>
                <w:sz w:val="20"/>
                <w:szCs w:val="20"/>
              </w:rPr>
            </w:pPr>
            <w:r w:rsidRPr="00D72820">
              <w:rPr>
                <w:rFonts w:cs="Arial"/>
                <w:color w:val="000000"/>
                <w:sz w:val="20"/>
                <w:szCs w:val="20"/>
              </w:rPr>
              <w:t>How to manage the change process to influence change in current MDT workflow</w:t>
            </w:r>
          </w:p>
        </w:tc>
      </w:tr>
      <w:tr w:rsidR="00177288" w:rsidRPr="00D97730" w14:paraId="3F5194E7" w14:textId="77777777" w:rsidTr="00177288">
        <w:trPr>
          <w:trHeight w:val="292"/>
        </w:trPr>
        <w:tc>
          <w:tcPr>
            <w:tcW w:w="9351" w:type="dxa"/>
            <w:hideMark/>
          </w:tcPr>
          <w:p w14:paraId="5D7B7867" w14:textId="77777777" w:rsidR="00177288" w:rsidRPr="00D72820" w:rsidRDefault="00177288" w:rsidP="00017CFF">
            <w:pPr>
              <w:spacing w:after="0"/>
              <w:rPr>
                <w:rFonts w:cs="Arial"/>
                <w:color w:val="000000"/>
                <w:sz w:val="20"/>
                <w:szCs w:val="20"/>
              </w:rPr>
            </w:pPr>
            <w:r w:rsidRPr="00D72820">
              <w:rPr>
                <w:rFonts w:cs="Arial"/>
                <w:color w:val="000000"/>
                <w:sz w:val="20"/>
                <w:szCs w:val="20"/>
              </w:rPr>
              <w:t>An interdisciplinary comprehensive care plan approach, co-designed with consumers</w:t>
            </w:r>
          </w:p>
        </w:tc>
      </w:tr>
      <w:tr w:rsidR="00177288" w:rsidRPr="00D97730" w14:paraId="59154273" w14:textId="77777777" w:rsidTr="00177288">
        <w:trPr>
          <w:trHeight w:val="300"/>
        </w:trPr>
        <w:tc>
          <w:tcPr>
            <w:tcW w:w="9351" w:type="dxa"/>
            <w:hideMark/>
          </w:tcPr>
          <w:p w14:paraId="37CA468C" w14:textId="77777777" w:rsidR="00177288" w:rsidRPr="00D72820" w:rsidRDefault="00177288" w:rsidP="00017CFF">
            <w:pPr>
              <w:spacing w:after="0"/>
              <w:rPr>
                <w:rFonts w:cs="Arial"/>
                <w:color w:val="000000"/>
                <w:sz w:val="20"/>
                <w:szCs w:val="20"/>
              </w:rPr>
            </w:pPr>
            <w:r w:rsidRPr="00D72820">
              <w:rPr>
                <w:rFonts w:cs="Arial"/>
                <w:color w:val="000000"/>
                <w:sz w:val="20"/>
                <w:szCs w:val="20"/>
              </w:rPr>
              <w:t xml:space="preserve">What a comprehensive care plan looks like </w:t>
            </w:r>
          </w:p>
        </w:tc>
      </w:tr>
      <w:tr w:rsidR="00177288" w:rsidRPr="00D97730" w14:paraId="20D96223" w14:textId="77777777" w:rsidTr="00177288">
        <w:trPr>
          <w:trHeight w:val="300"/>
        </w:trPr>
        <w:tc>
          <w:tcPr>
            <w:tcW w:w="9351" w:type="dxa"/>
            <w:hideMark/>
          </w:tcPr>
          <w:p w14:paraId="1FA31397" w14:textId="77777777" w:rsidR="00177288" w:rsidRPr="00D72820" w:rsidRDefault="00177288" w:rsidP="00017CFF">
            <w:pPr>
              <w:spacing w:after="0"/>
              <w:rPr>
                <w:rFonts w:cs="Arial"/>
                <w:color w:val="000000"/>
                <w:sz w:val="20"/>
                <w:szCs w:val="20"/>
              </w:rPr>
            </w:pPr>
            <w:r w:rsidRPr="00D72820">
              <w:rPr>
                <w:rFonts w:cs="Arial"/>
                <w:color w:val="000000"/>
                <w:sz w:val="20"/>
                <w:szCs w:val="20"/>
              </w:rPr>
              <w:t>Goals of care</w:t>
            </w:r>
          </w:p>
        </w:tc>
      </w:tr>
      <w:tr w:rsidR="00177288" w:rsidRPr="00D97730" w14:paraId="1F594C52" w14:textId="77777777" w:rsidTr="00177288">
        <w:trPr>
          <w:trHeight w:val="271"/>
        </w:trPr>
        <w:tc>
          <w:tcPr>
            <w:tcW w:w="9351" w:type="dxa"/>
            <w:hideMark/>
          </w:tcPr>
          <w:p w14:paraId="4E96946F" w14:textId="77777777" w:rsidR="00177288" w:rsidRPr="00D72820" w:rsidRDefault="00177288" w:rsidP="00017CFF">
            <w:pPr>
              <w:spacing w:after="0"/>
              <w:rPr>
                <w:rFonts w:cs="Arial"/>
                <w:color w:val="000000"/>
                <w:sz w:val="20"/>
                <w:szCs w:val="20"/>
              </w:rPr>
            </w:pPr>
            <w:r w:rsidRPr="00D72820">
              <w:rPr>
                <w:rFonts w:cs="Arial"/>
                <w:color w:val="000000"/>
                <w:sz w:val="20"/>
                <w:szCs w:val="20"/>
              </w:rPr>
              <w:t>Examples of how to involve the consumer and encourage participation</w:t>
            </w:r>
          </w:p>
        </w:tc>
      </w:tr>
      <w:tr w:rsidR="00177288" w:rsidRPr="00D97730" w14:paraId="0760F261" w14:textId="77777777" w:rsidTr="00177288">
        <w:trPr>
          <w:trHeight w:val="538"/>
        </w:trPr>
        <w:tc>
          <w:tcPr>
            <w:tcW w:w="9351" w:type="dxa"/>
            <w:hideMark/>
          </w:tcPr>
          <w:p w14:paraId="3FD1B6DD" w14:textId="77777777" w:rsidR="00177288" w:rsidRPr="00D72820" w:rsidRDefault="00177288" w:rsidP="00017CFF">
            <w:pPr>
              <w:spacing w:after="0"/>
              <w:rPr>
                <w:rFonts w:cs="Arial"/>
                <w:color w:val="000000"/>
                <w:sz w:val="20"/>
                <w:szCs w:val="20"/>
              </w:rPr>
            </w:pPr>
            <w:r w:rsidRPr="00D72820">
              <w:rPr>
                <w:rFonts w:cs="Arial"/>
                <w:color w:val="000000"/>
                <w:sz w:val="20"/>
                <w:szCs w:val="20"/>
              </w:rPr>
              <w:t>Examples of what Comprehensive Care in a day procedure service/day hospital, in a remote health service and in community health services</w:t>
            </w:r>
          </w:p>
        </w:tc>
      </w:tr>
      <w:tr w:rsidR="00177288" w:rsidRPr="00D97730" w14:paraId="661EB52C" w14:textId="77777777" w:rsidTr="00177288">
        <w:trPr>
          <w:trHeight w:val="300"/>
        </w:trPr>
        <w:tc>
          <w:tcPr>
            <w:tcW w:w="9351" w:type="dxa"/>
            <w:hideMark/>
          </w:tcPr>
          <w:p w14:paraId="2D3F1688" w14:textId="77777777" w:rsidR="00177288" w:rsidRPr="00D72820" w:rsidRDefault="00177288" w:rsidP="00017CFF">
            <w:pPr>
              <w:spacing w:after="0"/>
              <w:rPr>
                <w:rFonts w:cs="Arial"/>
                <w:color w:val="000000"/>
                <w:sz w:val="20"/>
                <w:szCs w:val="20"/>
              </w:rPr>
            </w:pPr>
            <w:r w:rsidRPr="00D72820">
              <w:rPr>
                <w:rFonts w:cs="Arial"/>
                <w:color w:val="000000"/>
                <w:sz w:val="20"/>
                <w:szCs w:val="20"/>
              </w:rPr>
              <w:t>Commonly used risk screening tools</w:t>
            </w:r>
          </w:p>
        </w:tc>
      </w:tr>
      <w:tr w:rsidR="00177288" w:rsidRPr="00D97730" w14:paraId="525ABCA1" w14:textId="77777777" w:rsidTr="00177288">
        <w:trPr>
          <w:trHeight w:val="300"/>
        </w:trPr>
        <w:tc>
          <w:tcPr>
            <w:tcW w:w="9351" w:type="dxa"/>
            <w:hideMark/>
          </w:tcPr>
          <w:p w14:paraId="43194960" w14:textId="77777777" w:rsidR="00177288" w:rsidRPr="00D72820" w:rsidRDefault="00177288" w:rsidP="00017CFF">
            <w:pPr>
              <w:spacing w:after="0"/>
              <w:rPr>
                <w:rFonts w:cs="Arial"/>
                <w:color w:val="000000"/>
                <w:sz w:val="20"/>
                <w:szCs w:val="20"/>
              </w:rPr>
            </w:pPr>
            <w:r w:rsidRPr="00D72820">
              <w:rPr>
                <w:rFonts w:cs="Arial"/>
                <w:color w:val="000000"/>
                <w:sz w:val="20"/>
                <w:szCs w:val="20"/>
              </w:rPr>
              <w:t>Risk screening in smaller units or day procedure services</w:t>
            </w:r>
          </w:p>
        </w:tc>
      </w:tr>
      <w:tr w:rsidR="00177288" w:rsidRPr="00D97730" w14:paraId="3BA9A12F" w14:textId="77777777" w:rsidTr="00177288">
        <w:trPr>
          <w:trHeight w:val="300"/>
        </w:trPr>
        <w:tc>
          <w:tcPr>
            <w:tcW w:w="9351" w:type="dxa"/>
            <w:hideMark/>
          </w:tcPr>
          <w:p w14:paraId="7E035EC0" w14:textId="77777777" w:rsidR="00177288" w:rsidRPr="00D72820" w:rsidRDefault="00177288" w:rsidP="00017CFF">
            <w:pPr>
              <w:spacing w:after="0"/>
              <w:rPr>
                <w:rFonts w:cs="Arial"/>
                <w:color w:val="000000"/>
                <w:sz w:val="20"/>
                <w:szCs w:val="20"/>
              </w:rPr>
            </w:pPr>
            <w:r w:rsidRPr="00D72820">
              <w:rPr>
                <w:rFonts w:cs="Arial"/>
                <w:color w:val="000000"/>
                <w:sz w:val="20"/>
                <w:szCs w:val="20"/>
              </w:rPr>
              <w:t>How risk screening is integrated across the whole multidisciplinary team</w:t>
            </w:r>
          </w:p>
        </w:tc>
      </w:tr>
      <w:tr w:rsidR="00177288" w:rsidRPr="00D97730" w14:paraId="415AF458" w14:textId="77777777" w:rsidTr="00177288">
        <w:trPr>
          <w:trHeight w:val="396"/>
        </w:trPr>
        <w:tc>
          <w:tcPr>
            <w:tcW w:w="9351" w:type="dxa"/>
            <w:hideMark/>
          </w:tcPr>
          <w:p w14:paraId="75995D57" w14:textId="77777777" w:rsidR="00177288" w:rsidRPr="00D72820" w:rsidRDefault="00177288" w:rsidP="00017CFF">
            <w:pPr>
              <w:spacing w:after="0"/>
              <w:rPr>
                <w:rFonts w:cs="Arial"/>
                <w:color w:val="000000"/>
                <w:sz w:val="20"/>
                <w:szCs w:val="20"/>
              </w:rPr>
            </w:pPr>
            <w:r w:rsidRPr="00D72820">
              <w:rPr>
                <w:rFonts w:cs="Arial"/>
                <w:color w:val="000000"/>
                <w:sz w:val="20"/>
                <w:szCs w:val="20"/>
              </w:rPr>
              <w:t>Strategies for reducing the burden on patient from screening (number of questions) from MDTs</w:t>
            </w:r>
          </w:p>
        </w:tc>
      </w:tr>
      <w:tr w:rsidR="00177288" w:rsidRPr="00D97730" w14:paraId="1A3DD18D" w14:textId="77777777" w:rsidTr="00177288">
        <w:trPr>
          <w:trHeight w:val="377"/>
        </w:trPr>
        <w:tc>
          <w:tcPr>
            <w:tcW w:w="9351" w:type="dxa"/>
            <w:hideMark/>
          </w:tcPr>
          <w:p w14:paraId="595CB8AC" w14:textId="77777777" w:rsidR="00177288" w:rsidRPr="00D72820" w:rsidRDefault="00177288" w:rsidP="00017CFF">
            <w:pPr>
              <w:spacing w:after="0"/>
              <w:rPr>
                <w:rFonts w:cs="Arial"/>
                <w:color w:val="000000"/>
                <w:sz w:val="20"/>
                <w:szCs w:val="20"/>
              </w:rPr>
            </w:pPr>
            <w:r w:rsidRPr="00D72820">
              <w:rPr>
                <w:rFonts w:cs="Arial"/>
                <w:color w:val="000000"/>
                <w:sz w:val="20"/>
                <w:szCs w:val="20"/>
              </w:rPr>
              <w:t>Electronic medical records showing risk screening and care plan</w:t>
            </w:r>
          </w:p>
        </w:tc>
      </w:tr>
      <w:tr w:rsidR="00177288" w:rsidRPr="00D97730" w14:paraId="5B6AC713" w14:textId="77777777" w:rsidTr="00177288">
        <w:trPr>
          <w:trHeight w:val="300"/>
        </w:trPr>
        <w:tc>
          <w:tcPr>
            <w:tcW w:w="9351" w:type="dxa"/>
            <w:hideMark/>
          </w:tcPr>
          <w:p w14:paraId="509CC60B" w14:textId="77777777" w:rsidR="00177288" w:rsidRPr="00D72820" w:rsidRDefault="00177288" w:rsidP="00017CFF">
            <w:pPr>
              <w:spacing w:after="0"/>
              <w:rPr>
                <w:rFonts w:cs="Arial"/>
                <w:color w:val="000000"/>
                <w:sz w:val="20"/>
                <w:szCs w:val="20"/>
              </w:rPr>
            </w:pPr>
            <w:r w:rsidRPr="00D72820">
              <w:rPr>
                <w:rFonts w:cs="Arial"/>
                <w:color w:val="000000"/>
                <w:sz w:val="20"/>
                <w:szCs w:val="20"/>
              </w:rPr>
              <w:t>Complex case management - chronic condition/s, complex social circumstances - MDT</w:t>
            </w:r>
          </w:p>
        </w:tc>
      </w:tr>
      <w:tr w:rsidR="00177288" w:rsidRPr="00D97730" w14:paraId="1E8FE44C" w14:textId="77777777" w:rsidTr="00177288">
        <w:trPr>
          <w:trHeight w:val="300"/>
        </w:trPr>
        <w:tc>
          <w:tcPr>
            <w:tcW w:w="9351" w:type="dxa"/>
            <w:hideMark/>
          </w:tcPr>
          <w:p w14:paraId="2A6407DC" w14:textId="77777777" w:rsidR="00177288" w:rsidRPr="00D72820" w:rsidRDefault="00177288" w:rsidP="00017CFF">
            <w:pPr>
              <w:spacing w:after="0"/>
              <w:rPr>
                <w:rFonts w:cs="Arial"/>
                <w:color w:val="000000"/>
                <w:sz w:val="20"/>
                <w:szCs w:val="20"/>
              </w:rPr>
            </w:pPr>
            <w:r w:rsidRPr="00D72820">
              <w:rPr>
                <w:rFonts w:cs="Arial"/>
                <w:color w:val="000000"/>
                <w:sz w:val="20"/>
                <w:szCs w:val="20"/>
              </w:rPr>
              <w:t xml:space="preserve">Shared decision making in the context of </w:t>
            </w:r>
            <w:proofErr w:type="gramStart"/>
            <w:r w:rsidRPr="00D72820">
              <w:rPr>
                <w:rFonts w:cs="Arial"/>
                <w:color w:val="000000"/>
                <w:sz w:val="20"/>
                <w:szCs w:val="20"/>
              </w:rPr>
              <w:t>end of life</w:t>
            </w:r>
            <w:proofErr w:type="gramEnd"/>
            <w:r w:rsidRPr="00D72820">
              <w:rPr>
                <w:rFonts w:cs="Arial"/>
                <w:color w:val="000000"/>
                <w:sz w:val="20"/>
                <w:szCs w:val="20"/>
              </w:rPr>
              <w:t xml:space="preserve"> care</w:t>
            </w:r>
          </w:p>
        </w:tc>
      </w:tr>
      <w:tr w:rsidR="00177288" w:rsidRPr="00D97730" w14:paraId="6D56AE45" w14:textId="77777777" w:rsidTr="00177288">
        <w:trPr>
          <w:trHeight w:val="300"/>
        </w:trPr>
        <w:tc>
          <w:tcPr>
            <w:tcW w:w="9351" w:type="dxa"/>
            <w:hideMark/>
          </w:tcPr>
          <w:p w14:paraId="1135EBB0" w14:textId="77777777" w:rsidR="00177288" w:rsidRPr="00D72820" w:rsidRDefault="00177288" w:rsidP="00017CFF">
            <w:pPr>
              <w:spacing w:after="0"/>
              <w:rPr>
                <w:rFonts w:cs="Arial"/>
                <w:color w:val="000000"/>
                <w:sz w:val="20"/>
                <w:szCs w:val="20"/>
              </w:rPr>
            </w:pPr>
            <w:r w:rsidRPr="00D72820">
              <w:rPr>
                <w:rFonts w:cs="Arial"/>
                <w:color w:val="000000"/>
                <w:sz w:val="20"/>
                <w:szCs w:val="20"/>
              </w:rPr>
              <w:t>Caring for confused older patients with acute delirium</w:t>
            </w:r>
          </w:p>
        </w:tc>
      </w:tr>
      <w:tr w:rsidR="00177288" w:rsidRPr="00D97730" w14:paraId="0710D7A1" w14:textId="77777777" w:rsidTr="00177288">
        <w:trPr>
          <w:trHeight w:val="505"/>
        </w:trPr>
        <w:tc>
          <w:tcPr>
            <w:tcW w:w="9351" w:type="dxa"/>
            <w:hideMark/>
          </w:tcPr>
          <w:p w14:paraId="316884A7" w14:textId="44C21A79" w:rsidR="00177288" w:rsidRPr="00D72820" w:rsidRDefault="00177288" w:rsidP="00017CFF">
            <w:pPr>
              <w:spacing w:after="0"/>
              <w:rPr>
                <w:rFonts w:cs="Arial"/>
                <w:color w:val="000000"/>
                <w:sz w:val="20"/>
                <w:szCs w:val="20"/>
              </w:rPr>
            </w:pPr>
            <w:r w:rsidRPr="00D72820">
              <w:rPr>
                <w:rFonts w:cs="Arial"/>
                <w:color w:val="000000"/>
                <w:sz w:val="20"/>
                <w:szCs w:val="20"/>
              </w:rPr>
              <w:t>How to support carers and family member</w:t>
            </w:r>
            <w:r>
              <w:rPr>
                <w:rFonts w:cs="Arial"/>
                <w:color w:val="000000"/>
                <w:sz w:val="20"/>
                <w:szCs w:val="20"/>
              </w:rPr>
              <w:t>s of a person</w:t>
            </w:r>
            <w:r w:rsidRPr="00D72820">
              <w:rPr>
                <w:rFonts w:cs="Arial"/>
                <w:color w:val="000000"/>
                <w:sz w:val="20"/>
                <w:szCs w:val="20"/>
              </w:rPr>
              <w:t xml:space="preserve"> diagnos</w:t>
            </w:r>
            <w:r>
              <w:rPr>
                <w:rFonts w:cs="Arial"/>
                <w:color w:val="000000"/>
                <w:sz w:val="20"/>
                <w:szCs w:val="20"/>
              </w:rPr>
              <w:t xml:space="preserve">ed with </w:t>
            </w:r>
            <w:r w:rsidRPr="00D72820">
              <w:rPr>
                <w:rFonts w:cs="Arial"/>
                <w:color w:val="000000"/>
                <w:sz w:val="20"/>
                <w:szCs w:val="20"/>
              </w:rPr>
              <w:t xml:space="preserve">cognitive impairment, </w:t>
            </w:r>
            <w:proofErr w:type="gramStart"/>
            <w:r w:rsidRPr="00D72820">
              <w:rPr>
                <w:rFonts w:cs="Arial"/>
                <w:color w:val="000000"/>
                <w:sz w:val="20"/>
                <w:szCs w:val="20"/>
              </w:rPr>
              <w:t>delirium</w:t>
            </w:r>
            <w:proofErr w:type="gramEnd"/>
            <w:r w:rsidRPr="00D72820">
              <w:rPr>
                <w:rFonts w:cs="Arial"/>
                <w:color w:val="000000"/>
                <w:sz w:val="20"/>
                <w:szCs w:val="20"/>
              </w:rPr>
              <w:t xml:space="preserve"> or dementia</w:t>
            </w:r>
          </w:p>
        </w:tc>
      </w:tr>
      <w:tr w:rsidR="00177288" w:rsidRPr="00D97730" w14:paraId="66DB5BA4" w14:textId="77777777" w:rsidTr="00177288">
        <w:trPr>
          <w:trHeight w:val="300"/>
        </w:trPr>
        <w:tc>
          <w:tcPr>
            <w:tcW w:w="9351" w:type="dxa"/>
            <w:hideMark/>
          </w:tcPr>
          <w:p w14:paraId="2C2CDEA2" w14:textId="77777777" w:rsidR="00177288" w:rsidRPr="00D72820" w:rsidRDefault="00177288" w:rsidP="00017CFF">
            <w:pPr>
              <w:spacing w:after="0"/>
              <w:rPr>
                <w:rFonts w:cs="Arial"/>
                <w:color w:val="000000"/>
                <w:sz w:val="20"/>
                <w:szCs w:val="20"/>
              </w:rPr>
            </w:pPr>
            <w:r w:rsidRPr="00D72820">
              <w:rPr>
                <w:rFonts w:cs="Arial"/>
                <w:color w:val="000000"/>
                <w:sz w:val="20"/>
                <w:szCs w:val="20"/>
              </w:rPr>
              <w:t>Models of care within addiction and mental health services</w:t>
            </w:r>
          </w:p>
        </w:tc>
      </w:tr>
      <w:tr w:rsidR="00177288" w:rsidRPr="00D97730" w14:paraId="3E3F9A12" w14:textId="77777777" w:rsidTr="00177288">
        <w:trPr>
          <w:trHeight w:val="300"/>
        </w:trPr>
        <w:tc>
          <w:tcPr>
            <w:tcW w:w="9351" w:type="dxa"/>
            <w:hideMark/>
          </w:tcPr>
          <w:p w14:paraId="0857923A" w14:textId="77777777" w:rsidR="00177288" w:rsidRPr="00D72820" w:rsidRDefault="00177288" w:rsidP="00017CFF">
            <w:pPr>
              <w:spacing w:after="0"/>
              <w:rPr>
                <w:rFonts w:cs="Arial"/>
                <w:color w:val="000000"/>
                <w:sz w:val="20"/>
                <w:szCs w:val="20"/>
              </w:rPr>
            </w:pPr>
            <w:r w:rsidRPr="00D72820">
              <w:rPr>
                <w:rFonts w:cs="Arial"/>
                <w:color w:val="000000"/>
                <w:sz w:val="20"/>
                <w:szCs w:val="20"/>
              </w:rPr>
              <w:t>Screening and management of mental health conditions in acute care</w:t>
            </w:r>
          </w:p>
        </w:tc>
      </w:tr>
      <w:tr w:rsidR="00177288" w:rsidRPr="00D97730" w14:paraId="5DB0C5D6" w14:textId="77777777" w:rsidTr="00177288">
        <w:trPr>
          <w:trHeight w:val="300"/>
        </w:trPr>
        <w:tc>
          <w:tcPr>
            <w:tcW w:w="9351" w:type="dxa"/>
            <w:hideMark/>
          </w:tcPr>
          <w:p w14:paraId="29066CB2" w14:textId="77777777" w:rsidR="00177288" w:rsidRPr="00D72820" w:rsidRDefault="00177288" w:rsidP="00017CFF">
            <w:pPr>
              <w:spacing w:after="0"/>
              <w:rPr>
                <w:rFonts w:cs="Arial"/>
                <w:color w:val="000000"/>
                <w:sz w:val="20"/>
                <w:szCs w:val="20"/>
              </w:rPr>
            </w:pPr>
            <w:r w:rsidRPr="00D72820">
              <w:rPr>
                <w:rFonts w:cs="Arial"/>
                <w:color w:val="000000"/>
                <w:sz w:val="20"/>
                <w:szCs w:val="20"/>
              </w:rPr>
              <w:t>Recognising and responding to mental health deterioration and the aggressive patient</w:t>
            </w:r>
          </w:p>
        </w:tc>
      </w:tr>
      <w:tr w:rsidR="00177288" w:rsidRPr="00D97730" w14:paraId="05BF7980" w14:textId="77777777" w:rsidTr="00177288">
        <w:trPr>
          <w:trHeight w:val="300"/>
        </w:trPr>
        <w:tc>
          <w:tcPr>
            <w:tcW w:w="9351" w:type="dxa"/>
            <w:hideMark/>
          </w:tcPr>
          <w:p w14:paraId="4DB5C1DE" w14:textId="77777777" w:rsidR="00177288" w:rsidRPr="00D72820" w:rsidRDefault="00177288" w:rsidP="00017CFF">
            <w:pPr>
              <w:spacing w:after="0"/>
              <w:rPr>
                <w:rFonts w:cs="Arial"/>
                <w:color w:val="000000"/>
                <w:sz w:val="20"/>
                <w:szCs w:val="20"/>
              </w:rPr>
            </w:pPr>
            <w:r w:rsidRPr="00D72820">
              <w:rPr>
                <w:rFonts w:cs="Arial"/>
                <w:color w:val="000000"/>
                <w:sz w:val="20"/>
                <w:szCs w:val="20"/>
              </w:rPr>
              <w:t>How to measure comprehensive care in different settings</w:t>
            </w:r>
          </w:p>
        </w:tc>
      </w:tr>
      <w:tr w:rsidR="00177288" w:rsidRPr="00D97730" w14:paraId="42EFFE21" w14:textId="77777777" w:rsidTr="00177288">
        <w:trPr>
          <w:trHeight w:val="600"/>
        </w:trPr>
        <w:tc>
          <w:tcPr>
            <w:tcW w:w="9351" w:type="dxa"/>
            <w:hideMark/>
          </w:tcPr>
          <w:p w14:paraId="1DA4D0D6" w14:textId="77777777" w:rsidR="00177288" w:rsidRPr="00D72820" w:rsidRDefault="00177288" w:rsidP="00017CFF">
            <w:pPr>
              <w:spacing w:after="0"/>
              <w:rPr>
                <w:rFonts w:cs="Arial"/>
                <w:color w:val="000000"/>
                <w:sz w:val="20"/>
                <w:szCs w:val="20"/>
              </w:rPr>
            </w:pPr>
            <w:r w:rsidRPr="00D72820">
              <w:rPr>
                <w:rFonts w:cs="Arial"/>
                <w:color w:val="000000"/>
                <w:sz w:val="20"/>
                <w:szCs w:val="20"/>
              </w:rPr>
              <w:t xml:space="preserve">A template for comprehensive care plan that could be adapted by health services, including </w:t>
            </w:r>
            <w:proofErr w:type="gramStart"/>
            <w:r w:rsidRPr="00D72820">
              <w:rPr>
                <w:rFonts w:cs="Arial"/>
                <w:color w:val="000000"/>
                <w:sz w:val="20"/>
                <w:szCs w:val="20"/>
              </w:rPr>
              <w:t>evidence based</w:t>
            </w:r>
            <w:proofErr w:type="gramEnd"/>
            <w:r w:rsidRPr="00D72820">
              <w:rPr>
                <w:rFonts w:cs="Arial"/>
                <w:color w:val="000000"/>
                <w:sz w:val="20"/>
                <w:szCs w:val="20"/>
              </w:rPr>
              <w:t xml:space="preserve"> risk and screening tools</w:t>
            </w:r>
          </w:p>
        </w:tc>
      </w:tr>
      <w:tr w:rsidR="00177288" w:rsidRPr="00D97730" w14:paraId="4401241F" w14:textId="77777777" w:rsidTr="00177288">
        <w:trPr>
          <w:trHeight w:val="334"/>
        </w:trPr>
        <w:tc>
          <w:tcPr>
            <w:tcW w:w="9351" w:type="dxa"/>
            <w:hideMark/>
          </w:tcPr>
          <w:p w14:paraId="0BF50DDC" w14:textId="77777777" w:rsidR="00177288" w:rsidRPr="00D72820" w:rsidRDefault="00177288" w:rsidP="00017CFF">
            <w:pPr>
              <w:spacing w:after="0"/>
              <w:rPr>
                <w:rFonts w:cs="Arial"/>
                <w:color w:val="000000"/>
                <w:sz w:val="20"/>
                <w:szCs w:val="20"/>
              </w:rPr>
            </w:pPr>
            <w:r w:rsidRPr="00D72820">
              <w:rPr>
                <w:rFonts w:cs="Arial"/>
                <w:color w:val="000000"/>
                <w:sz w:val="20"/>
                <w:szCs w:val="20"/>
              </w:rPr>
              <w:t>Guidance on the implementation of the advisories - integrated risk screening and care planning</w:t>
            </w:r>
          </w:p>
        </w:tc>
      </w:tr>
      <w:tr w:rsidR="00177288" w:rsidRPr="00D97730" w14:paraId="5D414C61" w14:textId="77777777" w:rsidTr="00177288">
        <w:trPr>
          <w:trHeight w:val="717"/>
        </w:trPr>
        <w:tc>
          <w:tcPr>
            <w:tcW w:w="9351" w:type="dxa"/>
            <w:hideMark/>
          </w:tcPr>
          <w:p w14:paraId="7AD399FE" w14:textId="77777777" w:rsidR="00177288" w:rsidRPr="00D72820" w:rsidRDefault="00177288" w:rsidP="00017CFF">
            <w:pPr>
              <w:spacing w:after="0"/>
              <w:rPr>
                <w:rFonts w:cs="Arial"/>
                <w:color w:val="000000"/>
                <w:sz w:val="20"/>
                <w:szCs w:val="20"/>
              </w:rPr>
            </w:pPr>
            <w:r w:rsidRPr="00D72820">
              <w:rPr>
                <w:rFonts w:cs="Arial"/>
                <w:color w:val="000000"/>
                <w:sz w:val="20"/>
                <w:szCs w:val="20"/>
              </w:rPr>
              <w:lastRenderedPageBreak/>
              <w:t>A template or software that builds a package of information for patients and families in simple language with information about their condition and treatment, management advice and follow up instructions on what to do and what to expect</w:t>
            </w:r>
          </w:p>
        </w:tc>
      </w:tr>
      <w:tr w:rsidR="00177288" w:rsidRPr="00D97730" w14:paraId="1446E7E0" w14:textId="77777777" w:rsidTr="00177288">
        <w:trPr>
          <w:trHeight w:val="406"/>
        </w:trPr>
        <w:tc>
          <w:tcPr>
            <w:tcW w:w="9351" w:type="dxa"/>
            <w:hideMark/>
          </w:tcPr>
          <w:p w14:paraId="2D1BFD81" w14:textId="77777777" w:rsidR="00177288" w:rsidRPr="00D72820" w:rsidRDefault="00177288" w:rsidP="00017CFF">
            <w:pPr>
              <w:spacing w:after="0"/>
              <w:rPr>
                <w:rFonts w:cs="Arial"/>
                <w:color w:val="000000"/>
                <w:sz w:val="20"/>
                <w:szCs w:val="20"/>
              </w:rPr>
            </w:pPr>
            <w:r w:rsidRPr="00D72820">
              <w:rPr>
                <w:rFonts w:cs="Arial"/>
                <w:color w:val="000000"/>
                <w:sz w:val="20"/>
                <w:szCs w:val="20"/>
              </w:rPr>
              <w:t>An abridged version of the EOLC Audit tool with most pertinent questions only</w:t>
            </w:r>
          </w:p>
        </w:tc>
      </w:tr>
      <w:tr w:rsidR="00177288" w:rsidRPr="00D97730" w14:paraId="32CE4DA3" w14:textId="77777777" w:rsidTr="00177288">
        <w:trPr>
          <w:trHeight w:val="300"/>
        </w:trPr>
        <w:tc>
          <w:tcPr>
            <w:tcW w:w="9351" w:type="dxa"/>
            <w:hideMark/>
          </w:tcPr>
          <w:p w14:paraId="7F3A42BB" w14:textId="77777777" w:rsidR="00177288" w:rsidRPr="00D72820" w:rsidRDefault="00177288" w:rsidP="00017CFF">
            <w:pPr>
              <w:spacing w:after="0"/>
              <w:rPr>
                <w:rFonts w:cs="Arial"/>
                <w:color w:val="000000"/>
                <w:sz w:val="20"/>
                <w:szCs w:val="20"/>
              </w:rPr>
            </w:pPr>
            <w:r w:rsidRPr="00D72820">
              <w:rPr>
                <w:rFonts w:cs="Arial"/>
                <w:color w:val="000000"/>
                <w:sz w:val="20"/>
                <w:szCs w:val="20"/>
              </w:rPr>
              <w:t xml:space="preserve">A day surgery tool for screening of dementia </w:t>
            </w:r>
          </w:p>
        </w:tc>
      </w:tr>
      <w:tr w:rsidR="00177288" w:rsidRPr="00D97730" w14:paraId="7B13408A" w14:textId="77777777" w:rsidTr="00177288">
        <w:trPr>
          <w:trHeight w:val="961"/>
        </w:trPr>
        <w:tc>
          <w:tcPr>
            <w:tcW w:w="9351" w:type="dxa"/>
            <w:hideMark/>
          </w:tcPr>
          <w:p w14:paraId="2F852DC6" w14:textId="77777777" w:rsidR="00177288" w:rsidRPr="00D72820" w:rsidRDefault="00177288" w:rsidP="00017CFF">
            <w:pPr>
              <w:spacing w:after="0"/>
              <w:rPr>
                <w:rFonts w:cs="Arial"/>
                <w:color w:val="000000"/>
                <w:sz w:val="20"/>
                <w:szCs w:val="20"/>
              </w:rPr>
            </w:pPr>
            <w:r w:rsidRPr="00D72820">
              <w:rPr>
                <w:rFonts w:cs="Arial"/>
                <w:color w:val="000000"/>
                <w:sz w:val="20"/>
                <w:szCs w:val="20"/>
              </w:rPr>
              <w:t xml:space="preserve">A consumer resource </w:t>
            </w:r>
            <w:proofErr w:type="gramStart"/>
            <w:r w:rsidRPr="00D72820">
              <w:rPr>
                <w:rFonts w:cs="Arial"/>
                <w:color w:val="000000"/>
                <w:sz w:val="20"/>
                <w:szCs w:val="20"/>
              </w:rPr>
              <w:t>similar to</w:t>
            </w:r>
            <w:proofErr w:type="gramEnd"/>
            <w:r w:rsidRPr="00D72820">
              <w:rPr>
                <w:rFonts w:cs="Arial"/>
                <w:color w:val="000000"/>
                <w:sz w:val="20"/>
                <w:szCs w:val="20"/>
              </w:rPr>
              <w:t xml:space="preserve"> “My stroke journey” by the Stroke Foundation. The booklet is completed by each discipline and kept with the patient to show family and re-read. Sections could include pressure injuries, falls, deconditioning, malnutrition with links to community supports on discharge, how to navigate My Aged Care.</w:t>
            </w:r>
          </w:p>
        </w:tc>
      </w:tr>
      <w:tr w:rsidR="00177288" w:rsidRPr="00D97730" w14:paraId="7D36D68E" w14:textId="77777777" w:rsidTr="00177288">
        <w:trPr>
          <w:trHeight w:val="300"/>
        </w:trPr>
        <w:tc>
          <w:tcPr>
            <w:tcW w:w="9351" w:type="dxa"/>
            <w:hideMark/>
          </w:tcPr>
          <w:p w14:paraId="336083ED" w14:textId="77777777" w:rsidR="00177288" w:rsidRPr="00D72820" w:rsidRDefault="00177288" w:rsidP="00017CFF">
            <w:pPr>
              <w:spacing w:after="0"/>
              <w:rPr>
                <w:rFonts w:cs="Arial"/>
                <w:color w:val="000000"/>
                <w:sz w:val="20"/>
                <w:szCs w:val="20"/>
              </w:rPr>
            </w:pPr>
            <w:r w:rsidRPr="00D72820">
              <w:rPr>
                <w:rFonts w:cs="Arial"/>
                <w:color w:val="000000"/>
                <w:sz w:val="20"/>
                <w:szCs w:val="20"/>
              </w:rPr>
              <w:t>Exemplars workshops</w:t>
            </w:r>
          </w:p>
        </w:tc>
      </w:tr>
      <w:tr w:rsidR="00177288" w:rsidRPr="00D97730" w14:paraId="08107DB5" w14:textId="77777777" w:rsidTr="00177288">
        <w:trPr>
          <w:trHeight w:val="353"/>
        </w:trPr>
        <w:tc>
          <w:tcPr>
            <w:tcW w:w="9351" w:type="dxa"/>
            <w:hideMark/>
          </w:tcPr>
          <w:p w14:paraId="3BD20783" w14:textId="77777777" w:rsidR="00177288" w:rsidRPr="00D72820" w:rsidRDefault="00177288" w:rsidP="00017CFF">
            <w:pPr>
              <w:spacing w:after="0"/>
              <w:rPr>
                <w:rFonts w:cs="Arial"/>
                <w:color w:val="000000"/>
                <w:sz w:val="20"/>
                <w:szCs w:val="20"/>
              </w:rPr>
            </w:pPr>
            <w:r w:rsidRPr="00D72820">
              <w:rPr>
                <w:rFonts w:cs="Arial"/>
                <w:color w:val="000000"/>
                <w:sz w:val="20"/>
                <w:szCs w:val="20"/>
              </w:rPr>
              <w:t>Forum for sharing examples and sharing advice between hospitals</w:t>
            </w:r>
          </w:p>
        </w:tc>
      </w:tr>
      <w:tr w:rsidR="00177288" w:rsidRPr="00D97730" w14:paraId="42C95A99" w14:textId="77777777" w:rsidTr="00177288">
        <w:trPr>
          <w:trHeight w:val="336"/>
        </w:trPr>
        <w:tc>
          <w:tcPr>
            <w:tcW w:w="9351" w:type="dxa"/>
            <w:hideMark/>
          </w:tcPr>
          <w:p w14:paraId="7BB330FD" w14:textId="77777777" w:rsidR="00177288" w:rsidRPr="00D72820" w:rsidRDefault="00177288" w:rsidP="00017CFF">
            <w:pPr>
              <w:spacing w:after="0"/>
              <w:rPr>
                <w:rFonts w:cs="Arial"/>
                <w:color w:val="000000"/>
                <w:sz w:val="20"/>
                <w:szCs w:val="20"/>
              </w:rPr>
            </w:pPr>
            <w:r w:rsidRPr="00D72820">
              <w:rPr>
                <w:rFonts w:cs="Arial"/>
                <w:color w:val="000000"/>
                <w:sz w:val="20"/>
                <w:szCs w:val="20"/>
              </w:rPr>
              <w:t>Development of staff education materials to support communication and comprehensive care planning</w:t>
            </w:r>
          </w:p>
        </w:tc>
      </w:tr>
      <w:tr w:rsidR="00177288" w:rsidRPr="00D97730" w14:paraId="01B4D7AA" w14:textId="77777777" w:rsidTr="00177288">
        <w:trPr>
          <w:trHeight w:val="300"/>
        </w:trPr>
        <w:tc>
          <w:tcPr>
            <w:tcW w:w="9351" w:type="dxa"/>
            <w:hideMark/>
          </w:tcPr>
          <w:p w14:paraId="41A58256" w14:textId="77777777" w:rsidR="00177288" w:rsidRPr="00D72820" w:rsidRDefault="00177288" w:rsidP="00017CFF">
            <w:pPr>
              <w:spacing w:after="0"/>
              <w:rPr>
                <w:rFonts w:cs="Arial"/>
                <w:color w:val="000000"/>
                <w:sz w:val="20"/>
                <w:szCs w:val="20"/>
              </w:rPr>
            </w:pPr>
            <w:r w:rsidRPr="00D72820">
              <w:rPr>
                <w:rFonts w:cs="Arial"/>
                <w:color w:val="000000"/>
                <w:sz w:val="20"/>
                <w:szCs w:val="20"/>
              </w:rPr>
              <w:t>Links to training on non-pharmacological care of patients with delirium and dementia</w:t>
            </w:r>
          </w:p>
        </w:tc>
      </w:tr>
      <w:tr w:rsidR="00177288" w:rsidRPr="00D97730" w14:paraId="43A9DEDC" w14:textId="77777777" w:rsidTr="00177288">
        <w:trPr>
          <w:trHeight w:val="300"/>
        </w:trPr>
        <w:tc>
          <w:tcPr>
            <w:tcW w:w="9351" w:type="dxa"/>
            <w:hideMark/>
          </w:tcPr>
          <w:p w14:paraId="11C242D8" w14:textId="77777777" w:rsidR="00177288" w:rsidRPr="00D72820" w:rsidRDefault="00177288" w:rsidP="00017CFF">
            <w:pPr>
              <w:spacing w:after="0"/>
              <w:rPr>
                <w:rFonts w:cs="Arial"/>
                <w:color w:val="000000"/>
                <w:sz w:val="20"/>
                <w:szCs w:val="20"/>
              </w:rPr>
            </w:pPr>
            <w:r w:rsidRPr="00D72820">
              <w:rPr>
                <w:rFonts w:cs="Arial"/>
                <w:color w:val="000000"/>
                <w:sz w:val="20"/>
                <w:szCs w:val="20"/>
              </w:rPr>
              <w:t>Educational and interactive videos</w:t>
            </w:r>
          </w:p>
        </w:tc>
      </w:tr>
    </w:tbl>
    <w:p w14:paraId="160B4051" w14:textId="77777777" w:rsidR="00177288" w:rsidRDefault="00177288" w:rsidP="00B751DA">
      <w:pPr>
        <w:spacing w:after="80"/>
      </w:pPr>
    </w:p>
    <w:p w14:paraId="66D76E78" w14:textId="6C0DC70A" w:rsidR="00B751DA" w:rsidRDefault="00177288" w:rsidP="00B751DA">
      <w:pPr>
        <w:spacing w:after="80"/>
      </w:pPr>
      <w:r>
        <w:t xml:space="preserve">The comprehensive care resources already published on the Commission website address most of the suggestions provided by survey respondents. </w:t>
      </w:r>
      <w:r w:rsidR="00B751DA">
        <w:br w:type="page"/>
      </w:r>
    </w:p>
    <w:p w14:paraId="71B5D58C" w14:textId="77777777" w:rsidR="00B751DA" w:rsidRDefault="00B751DA" w:rsidP="00003518">
      <w:pPr>
        <w:pStyle w:val="Heading4"/>
      </w:pPr>
      <w:r>
        <w:lastRenderedPageBreak/>
        <w:t>Format of future resources</w:t>
      </w:r>
    </w:p>
    <w:p w14:paraId="67CE4189" w14:textId="58098294" w:rsidR="00B751DA" w:rsidRDefault="00154C67" w:rsidP="00B751DA">
      <w:r>
        <w:t>R</w:t>
      </w:r>
      <w:r w:rsidR="00B751DA">
        <w:t>espondents were asked about the</w:t>
      </w:r>
      <w:r>
        <w:t>ir</w:t>
      </w:r>
      <w:r w:rsidR="00B751DA">
        <w:t xml:space="preserve"> preferred format for any future resources. </w:t>
      </w:r>
      <w:r>
        <w:t>Sixty-eight</w:t>
      </w:r>
      <w:r w:rsidR="00B751DA">
        <w:t xml:space="preserve"> respondents answered this question </w:t>
      </w:r>
      <w:r>
        <w:t>(see</w:t>
      </w:r>
      <w:r w:rsidR="00B751DA">
        <w:t xml:space="preserve"> Figure</w:t>
      </w:r>
      <w:r>
        <w:t xml:space="preserve"> 9)</w:t>
      </w:r>
      <w:r w:rsidR="00B751DA">
        <w:t>. There was a higher preference shown for:</w:t>
      </w:r>
    </w:p>
    <w:p w14:paraId="6EB51157" w14:textId="77777777" w:rsidR="00B751DA" w:rsidRDefault="00B751DA" w:rsidP="00B751DA">
      <w:pPr>
        <w:pStyle w:val="ListParagraph"/>
        <w:numPr>
          <w:ilvl w:val="0"/>
          <w:numId w:val="37"/>
        </w:numPr>
      </w:pPr>
      <w:r>
        <w:t>Templates</w:t>
      </w:r>
    </w:p>
    <w:p w14:paraId="33671803" w14:textId="77777777" w:rsidR="00B751DA" w:rsidRDefault="00B751DA" w:rsidP="00B751DA">
      <w:pPr>
        <w:pStyle w:val="ListParagraph"/>
        <w:numPr>
          <w:ilvl w:val="0"/>
          <w:numId w:val="37"/>
        </w:numPr>
      </w:pPr>
      <w:r>
        <w:t>Case studies</w:t>
      </w:r>
    </w:p>
    <w:p w14:paraId="15110A07" w14:textId="7FE35A8D" w:rsidR="00B751DA" w:rsidRDefault="00B751DA" w:rsidP="00B751DA">
      <w:pPr>
        <w:pStyle w:val="ListParagraph"/>
        <w:numPr>
          <w:ilvl w:val="0"/>
          <w:numId w:val="37"/>
        </w:numPr>
      </w:pPr>
      <w:r>
        <w:t>Fact sheets.</w:t>
      </w:r>
    </w:p>
    <w:p w14:paraId="5015DDEA" w14:textId="77777777" w:rsidR="00154C67" w:rsidRDefault="00154C67" w:rsidP="00154C67">
      <w:pPr>
        <w:pStyle w:val="ListParagraph"/>
        <w:ind w:left="778"/>
      </w:pPr>
    </w:p>
    <w:p w14:paraId="0F1B424F" w14:textId="7284780B" w:rsidR="00B751DA" w:rsidRPr="00A328A1" w:rsidRDefault="00B751DA" w:rsidP="00B751DA">
      <w:pPr>
        <w:pStyle w:val="FigureTitle"/>
      </w:pPr>
      <w:r>
        <w:t xml:space="preserve">Figure 9: </w:t>
      </w:r>
      <w:r w:rsidR="00154C67">
        <w:t>Respondents p</w:t>
      </w:r>
      <w:r>
        <w:t xml:space="preserve">referred format for </w:t>
      </w:r>
      <w:r w:rsidR="00154C67">
        <w:t xml:space="preserve">future </w:t>
      </w:r>
      <w:r>
        <w:t>resources</w:t>
      </w:r>
    </w:p>
    <w:p w14:paraId="23CB920A" w14:textId="77777777" w:rsidR="00B751DA" w:rsidRDefault="00B751DA" w:rsidP="00B751DA">
      <w:r>
        <w:rPr>
          <w:noProof/>
        </w:rPr>
        <w:drawing>
          <wp:inline distT="0" distB="0" distL="0" distR="0" wp14:anchorId="1A70C197" wp14:editId="72BF7663">
            <wp:extent cx="5114925" cy="28194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AE4C18" w14:textId="5BA975C8" w:rsidR="00B751DA" w:rsidRDefault="00154C67" w:rsidP="00B751DA">
      <w:pPr>
        <w:pStyle w:val="Heading5"/>
      </w:pPr>
      <w:r>
        <w:t xml:space="preserve">Consumers and implementation of the </w:t>
      </w:r>
      <w:r w:rsidR="00B751DA" w:rsidRPr="00F36FBE">
        <w:t>Comprehensive Care</w:t>
      </w:r>
      <w:r>
        <w:t xml:space="preserve"> Standard</w:t>
      </w:r>
    </w:p>
    <w:p w14:paraId="60AA12FA" w14:textId="466C5C8C" w:rsidR="00B751DA" w:rsidRDefault="00B751DA" w:rsidP="00B751DA">
      <w:r>
        <w:t xml:space="preserve">Respondents were asked how they </w:t>
      </w:r>
      <w:r w:rsidR="00154C67">
        <w:t>had engaged with</w:t>
      </w:r>
      <w:r>
        <w:t xml:space="preserve"> consumers </w:t>
      </w:r>
      <w:r w:rsidR="00154C67">
        <w:t xml:space="preserve">around implementation of </w:t>
      </w:r>
      <w:r>
        <w:t>the Comprehensive Care Standard. Some examples of how respondents engaged consumers were through:</w:t>
      </w:r>
    </w:p>
    <w:p w14:paraId="77A6EDFD" w14:textId="77777777" w:rsidR="00B751DA" w:rsidRDefault="00B751DA" w:rsidP="00B751DA">
      <w:pPr>
        <w:pStyle w:val="ListParagraph"/>
        <w:numPr>
          <w:ilvl w:val="0"/>
          <w:numId w:val="38"/>
        </w:numPr>
      </w:pPr>
      <w:r>
        <w:t xml:space="preserve">Care planning and shared </w:t>
      </w:r>
      <w:proofErr w:type="gramStart"/>
      <w:r>
        <w:t>decision making</w:t>
      </w:r>
      <w:proofErr w:type="gramEnd"/>
      <w:r>
        <w:t xml:space="preserve"> processes</w:t>
      </w:r>
    </w:p>
    <w:p w14:paraId="5A04F5B3" w14:textId="77777777" w:rsidR="00B751DA" w:rsidRDefault="00B751DA" w:rsidP="00B751DA">
      <w:pPr>
        <w:pStyle w:val="ListParagraph"/>
        <w:numPr>
          <w:ilvl w:val="0"/>
          <w:numId w:val="38"/>
        </w:numPr>
      </w:pPr>
      <w:r>
        <w:t>Patient communication boards</w:t>
      </w:r>
    </w:p>
    <w:p w14:paraId="0B52B85C" w14:textId="77777777" w:rsidR="00B751DA" w:rsidRDefault="00B751DA" w:rsidP="00B751DA">
      <w:pPr>
        <w:pStyle w:val="ListParagraph"/>
        <w:numPr>
          <w:ilvl w:val="0"/>
          <w:numId w:val="38"/>
        </w:numPr>
      </w:pPr>
      <w:r>
        <w:t>Trialling a new risk screening tool</w:t>
      </w:r>
    </w:p>
    <w:p w14:paraId="7F775D36" w14:textId="77777777" w:rsidR="00B751DA" w:rsidRDefault="00B751DA" w:rsidP="00B751DA">
      <w:pPr>
        <w:pStyle w:val="ListParagraph"/>
        <w:numPr>
          <w:ilvl w:val="0"/>
          <w:numId w:val="38"/>
        </w:numPr>
      </w:pPr>
      <w:r>
        <w:t>Developing care pathways with consumers that include goals of care</w:t>
      </w:r>
    </w:p>
    <w:p w14:paraId="213FDEE0" w14:textId="5C4A3547" w:rsidR="00B751DA" w:rsidRDefault="00154C67" w:rsidP="00B751DA">
      <w:pPr>
        <w:pStyle w:val="ListParagraph"/>
        <w:numPr>
          <w:ilvl w:val="0"/>
          <w:numId w:val="38"/>
        </w:numPr>
      </w:pPr>
      <w:r>
        <w:t>C</w:t>
      </w:r>
      <w:r w:rsidR="00B751DA">
        <w:t xml:space="preserve">omprehensive care committees </w:t>
      </w:r>
      <w:r>
        <w:t xml:space="preserve">included in governance processes </w:t>
      </w:r>
    </w:p>
    <w:p w14:paraId="2A55ED66" w14:textId="77777777" w:rsidR="00B751DA" w:rsidRDefault="00B751DA" w:rsidP="00B751DA">
      <w:pPr>
        <w:pStyle w:val="ListParagraph"/>
        <w:numPr>
          <w:ilvl w:val="0"/>
          <w:numId w:val="38"/>
        </w:numPr>
      </w:pPr>
      <w:r>
        <w:t>Developing consumer information</w:t>
      </w:r>
    </w:p>
    <w:p w14:paraId="3D813A78" w14:textId="77777777" w:rsidR="00B751DA" w:rsidRDefault="00B751DA" w:rsidP="00B751DA">
      <w:pPr>
        <w:pStyle w:val="ListParagraph"/>
        <w:numPr>
          <w:ilvl w:val="0"/>
          <w:numId w:val="36"/>
        </w:numPr>
      </w:pPr>
      <w:r>
        <w:t>Capturing patient feedback.</w:t>
      </w:r>
    </w:p>
    <w:p w14:paraId="21ACF453" w14:textId="68CFDD64" w:rsidR="00B751DA" w:rsidRDefault="00B751DA" w:rsidP="00B751DA">
      <w:r>
        <w:t xml:space="preserve">Respondents also shared that </w:t>
      </w:r>
      <w:r w:rsidR="00154C67">
        <w:t>consumer engagement</w:t>
      </w:r>
      <w:r>
        <w:t xml:space="preserve"> is supported by providing training for staff in shared decision making, teamwork, care planning and information provision so that they also have the skills to support consumers with these aspects of care</w:t>
      </w:r>
      <w:r w:rsidR="00803BEE">
        <w:t>.</w:t>
      </w:r>
    </w:p>
    <w:p w14:paraId="0325C8C2" w14:textId="77777777" w:rsidR="00B751DA" w:rsidRDefault="00B751DA" w:rsidP="00B751DA">
      <w:pPr>
        <w:spacing w:after="80"/>
      </w:pPr>
      <w:r>
        <w:br w:type="page"/>
      </w:r>
    </w:p>
    <w:p w14:paraId="5B935B38" w14:textId="77777777" w:rsidR="00B751DA" w:rsidRDefault="00B751DA" w:rsidP="00C95C01">
      <w:pPr>
        <w:pStyle w:val="Heading1"/>
      </w:pPr>
      <w:bookmarkStart w:id="17" w:name="_Toc105592207"/>
      <w:r>
        <w:lastRenderedPageBreak/>
        <w:t>Recommendations</w:t>
      </w:r>
      <w:bookmarkEnd w:id="17"/>
    </w:p>
    <w:p w14:paraId="3F1F5BA6" w14:textId="77777777" w:rsidR="00B751DA" w:rsidRDefault="00B751DA" w:rsidP="00B751DA">
      <w:r>
        <w:t>The following recommendations have been formulated from the survey data:</w:t>
      </w:r>
    </w:p>
    <w:p w14:paraId="310BB3CA" w14:textId="77777777" w:rsidR="00B751DA" w:rsidRDefault="00B751DA" w:rsidP="00B751DA">
      <w:pPr>
        <w:rPr>
          <w:b/>
        </w:rPr>
      </w:pPr>
      <w:r>
        <w:rPr>
          <w:b/>
        </w:rPr>
        <w:t>Increased promotion of existing comprehensive care resources through a targeted communication strategy</w:t>
      </w:r>
    </w:p>
    <w:p w14:paraId="28FD26F9" w14:textId="77777777" w:rsidR="00B751DA" w:rsidRDefault="00B751DA" w:rsidP="00B751DA">
      <w:r w:rsidRPr="00EE75F0">
        <w:t>57.5% of respondents nominated Criterion 2: Developing the comprehensive care plan as the most difficult to implement</w:t>
      </w:r>
      <w:r>
        <w:t xml:space="preserve">, and respondents highlighted a need for guidance on how to develop a comprehensive care plan, how to involve consumers and carers in care planning and working in a multidisciplinary team to develop a comprehensive care plan.  </w:t>
      </w:r>
    </w:p>
    <w:p w14:paraId="12CCE917" w14:textId="71B906D4" w:rsidR="00B751DA" w:rsidRDefault="00B751DA" w:rsidP="00B751DA">
      <w:r>
        <w:t xml:space="preserve">However, the Commission has already developed a range of resources that provide guidance in many of the topics. Consequently, the Commission should develop a targeted communication strategy focused on improving nurses, allied health workers, </w:t>
      </w:r>
      <w:r w:rsidR="00846456">
        <w:t xml:space="preserve">medical staff </w:t>
      </w:r>
      <w:r>
        <w:t>and quality managers awareness of the resources developed on comprehensive care. This could include using focused strategies, multiple specialised channels and improving linkage across publications and different media.</w:t>
      </w:r>
    </w:p>
    <w:p w14:paraId="5A16C788" w14:textId="77777777" w:rsidR="00B751DA" w:rsidRDefault="00B751DA" w:rsidP="00B751DA">
      <w:pPr>
        <w:rPr>
          <w:b/>
        </w:rPr>
      </w:pPr>
      <w:r w:rsidRPr="00040565">
        <w:rPr>
          <w:b/>
        </w:rPr>
        <w:t xml:space="preserve">Develop case studies </w:t>
      </w:r>
    </w:p>
    <w:p w14:paraId="36F1A4BE" w14:textId="40568714" w:rsidR="00B751DA" w:rsidRDefault="00B751DA" w:rsidP="00B751DA">
      <w:r>
        <w:t xml:space="preserve">Respondents provided </w:t>
      </w:r>
      <w:proofErr w:type="gramStart"/>
      <w:r>
        <w:t>a number of</w:t>
      </w:r>
      <w:proofErr w:type="gramEnd"/>
      <w:r>
        <w:t xml:space="preserve"> suggestions for case study topics that may offer an example of how actions in the comprehensive care standard have been implemented. The case studies would describe strategies, projects and actions undertaken by hospitals, day procedure services and other health services </w:t>
      </w:r>
      <w:r w:rsidR="00AB2C83">
        <w:t>to s</w:t>
      </w:r>
      <w:r>
        <w:t>how</w:t>
      </w:r>
      <w:r w:rsidR="00AB2C83">
        <w:t xml:space="preserve"> how</w:t>
      </w:r>
      <w:r>
        <w:t xml:space="preserve"> they have implemented actions in the Comprehensive Care Standard. Key topics include how to develop a comprehensive care plan in a multidisciplinary team, implementing a comprehensive care planning process, how to involve consumers and carers in care planning and delivering comprehensive care in different healthcare settings. </w:t>
      </w:r>
    </w:p>
    <w:p w14:paraId="6F49DBEC" w14:textId="55ABD978" w:rsidR="00B751DA" w:rsidRPr="00040565" w:rsidRDefault="00B751DA" w:rsidP="00B751DA">
      <w:r>
        <w:t>In 2020-21 the Commission commenced a process for inviting case studies through the Commission’s website</w:t>
      </w:r>
      <w:r w:rsidR="00AB2C83">
        <w:t xml:space="preserve"> which has had low uptake</w:t>
      </w:r>
      <w:r>
        <w:t xml:space="preserve">. The Commission </w:t>
      </w:r>
      <w:r w:rsidR="00AB2C83">
        <w:t xml:space="preserve">will consider alternative strategies </w:t>
      </w:r>
      <w:r>
        <w:t xml:space="preserve">to identify a diverse and engaging set of case studies to highlight the practical application of the guidance developed on comprehensive care. </w:t>
      </w:r>
    </w:p>
    <w:p w14:paraId="7F86D0D6" w14:textId="6D27ED36" w:rsidR="00B751DA" w:rsidRDefault="00B751DA" w:rsidP="00B751DA">
      <w:pPr>
        <w:rPr>
          <w:b/>
        </w:rPr>
      </w:pPr>
      <w:r w:rsidRPr="00B424E7">
        <w:rPr>
          <w:b/>
        </w:rPr>
        <w:t>Update the end-of-life care audit tool</w:t>
      </w:r>
      <w:r w:rsidR="00E31ECB">
        <w:rPr>
          <w:b/>
        </w:rPr>
        <w:t>kit</w:t>
      </w:r>
      <w:r w:rsidRPr="00B424E7">
        <w:rPr>
          <w:b/>
        </w:rPr>
        <w:t xml:space="preserve"> </w:t>
      </w:r>
    </w:p>
    <w:p w14:paraId="7206955B" w14:textId="12E38861" w:rsidR="00B751DA" w:rsidRDefault="00B751DA" w:rsidP="00B751DA">
      <w:r>
        <w:t>Respondents expressed challenges with implementing end of life care processes, particularly when undertaking an audit using the Commission’s end-of-life care audit tool</w:t>
      </w:r>
      <w:r w:rsidR="00E31ECB">
        <w:t>kit</w:t>
      </w:r>
      <w:r>
        <w:t>. A suggestion was made to update the end-of-life care audit tool</w:t>
      </w:r>
      <w:r w:rsidR="00E31ECB">
        <w:t>kit</w:t>
      </w:r>
      <w:r>
        <w:t xml:space="preserve"> to create a simplified version for health service organisations. </w:t>
      </w:r>
    </w:p>
    <w:p w14:paraId="019CA864" w14:textId="658D3A19" w:rsidR="00B751DA" w:rsidRPr="00B424E7" w:rsidRDefault="00B751DA" w:rsidP="00B751DA">
      <w:r>
        <w:t>The Commission</w:t>
      </w:r>
      <w:r w:rsidR="00E31ECB">
        <w:t xml:space="preserve"> plans to re</w:t>
      </w:r>
      <w:r>
        <w:t>view of the end-of-life care audit tool</w:t>
      </w:r>
      <w:r w:rsidR="00E31ECB">
        <w:t xml:space="preserve"> in line with the revision of the National Consensus Statement: essential elements for safe and high-quality end-of-life care. </w:t>
      </w:r>
    </w:p>
    <w:p w14:paraId="71F4C031" w14:textId="746F2FFD" w:rsidR="00B751DA" w:rsidRDefault="00B751DA" w:rsidP="00B751DA">
      <w:pPr>
        <w:rPr>
          <w:b/>
        </w:rPr>
      </w:pPr>
      <w:r>
        <w:rPr>
          <w:b/>
        </w:rPr>
        <w:t>Forum for health service</w:t>
      </w:r>
      <w:r w:rsidR="00E31ECB">
        <w:rPr>
          <w:b/>
        </w:rPr>
        <w:t xml:space="preserve"> organisation</w:t>
      </w:r>
      <w:r>
        <w:rPr>
          <w:b/>
        </w:rPr>
        <w:t>s to share advice and resources</w:t>
      </w:r>
    </w:p>
    <w:p w14:paraId="557E1D06" w14:textId="77777777" w:rsidR="00B751DA" w:rsidRDefault="00B751DA" w:rsidP="00B751DA">
      <w:r>
        <w:t>When asked for suggestions on how the Commission could support health service organisations with future guidance on implementing the actions in the Comprehensive Care Standard, respondents proposed that the Commission could create a f</w:t>
      </w:r>
      <w:r w:rsidRPr="00F06B12">
        <w:t>orum for sharing examples and sharing advice between hospitals</w:t>
      </w:r>
      <w:r>
        <w:t xml:space="preserve">. </w:t>
      </w:r>
    </w:p>
    <w:p w14:paraId="622C52E8" w14:textId="11FF1E9B" w:rsidR="00B751DA" w:rsidRPr="00B424E7" w:rsidRDefault="00B751DA" w:rsidP="00B751DA">
      <w:r>
        <w:t xml:space="preserve">The Commission </w:t>
      </w:r>
      <w:r w:rsidR="00E31ECB">
        <w:t xml:space="preserve">will </w:t>
      </w:r>
      <w:r>
        <w:t>explore options for establishing a</w:t>
      </w:r>
      <w:r w:rsidR="00E31ECB">
        <w:t>n</w:t>
      </w:r>
      <w:r>
        <w:t xml:space="preserve"> online forum or community of practice that could provide a platform for health service organisations to find resources, share learnings and promote examples of Comprehensive Care</w:t>
      </w:r>
      <w:r w:rsidR="00E31ECB" w:rsidRPr="00E31ECB">
        <w:t xml:space="preserve"> </w:t>
      </w:r>
      <w:r w:rsidR="002B479D">
        <w:t>implementation</w:t>
      </w:r>
      <w:r>
        <w:t xml:space="preserve">. </w:t>
      </w:r>
    </w:p>
    <w:p w14:paraId="0C8C2C5F" w14:textId="77777777" w:rsidR="00B751DA" w:rsidRPr="003A4B70" w:rsidRDefault="00B751DA" w:rsidP="00B751DA">
      <w:pPr>
        <w:rPr>
          <w:b/>
        </w:rPr>
      </w:pPr>
      <w:r w:rsidRPr="003A4B70">
        <w:rPr>
          <w:b/>
        </w:rPr>
        <w:t>Interactive formats for future resources</w:t>
      </w:r>
    </w:p>
    <w:p w14:paraId="788EEB76" w14:textId="124F6AC7" w:rsidR="00B751DA" w:rsidRDefault="00B751DA" w:rsidP="00B751DA">
      <w:r>
        <w:lastRenderedPageBreak/>
        <w:t>Respondents were asked to express their preferences for formats for future resources that are developed by the Commission. Templates and fact sheets</w:t>
      </w:r>
      <w:r w:rsidR="00E31ECB">
        <w:t xml:space="preserve"> were</w:t>
      </w:r>
      <w:r>
        <w:t xml:space="preserve"> the preferred format (67% and 57%). There were a range of other suggestions including educational and interactive videos, e-learning guides and podcasts that could be utilised for future resources.</w:t>
      </w:r>
    </w:p>
    <w:p w14:paraId="1DEBFB7D" w14:textId="0BC01DF3" w:rsidR="00B751DA" w:rsidRDefault="00B751DA" w:rsidP="00B751DA">
      <w:r>
        <w:t xml:space="preserve">The Commission should prioritise any future resource development to focus on templates, fact sheets, interactive videos, e-learning </w:t>
      </w:r>
      <w:proofErr w:type="gramStart"/>
      <w:r>
        <w:t>guides</w:t>
      </w:r>
      <w:proofErr w:type="gramEnd"/>
      <w:r>
        <w:t xml:space="preserve"> and podcasts.</w:t>
      </w:r>
    </w:p>
    <w:p w14:paraId="011BBA5D" w14:textId="77777777" w:rsidR="00B751DA" w:rsidRDefault="00B751DA" w:rsidP="00B751DA">
      <w:pPr>
        <w:rPr>
          <w:b/>
        </w:rPr>
      </w:pPr>
      <w:r>
        <w:rPr>
          <w:b/>
        </w:rPr>
        <w:t>Support for clinician engagement</w:t>
      </w:r>
    </w:p>
    <w:p w14:paraId="1FC92DFF" w14:textId="77777777" w:rsidR="00B751DA" w:rsidRDefault="00B751DA" w:rsidP="00B751DA">
      <w:r>
        <w:t>I</w:t>
      </w:r>
      <w:r w:rsidRPr="0018258B">
        <w:t>ssues related to clinician engagement were</w:t>
      </w:r>
      <w:r>
        <w:t xml:space="preserve"> frequently cited as presenting challenges when implementing the Comprehensive Care Standard. Reasons included the culture shift required and difficulty identifying the different motivators for comprehensive care for different disciplines. The issue of clinician engagement in the implementation of improvement activities has an effect across many healthcare quality improvement activities. </w:t>
      </w:r>
    </w:p>
    <w:p w14:paraId="03F64990" w14:textId="7BB048CF" w:rsidR="00B751DA" w:rsidRPr="0018258B" w:rsidRDefault="00B751DA" w:rsidP="00B751DA">
      <w:r>
        <w:t xml:space="preserve">The Commission </w:t>
      </w:r>
      <w:r w:rsidR="00E976C6">
        <w:t xml:space="preserve">will </w:t>
      </w:r>
      <w:r>
        <w:t xml:space="preserve">undertake further consultation and research to identify the type of support needed by clinicians to reduce </w:t>
      </w:r>
      <w:r w:rsidR="00C03323">
        <w:t>barriers and</w:t>
      </w:r>
      <w:r>
        <w:t xml:space="preserve"> improve the implementation of comprehensive care.</w:t>
      </w:r>
    </w:p>
    <w:p w14:paraId="1D29DC60" w14:textId="77777777" w:rsidR="00B751DA" w:rsidRDefault="00B751DA" w:rsidP="009424A5">
      <w:pPr>
        <w:pStyle w:val="FigureTitle"/>
      </w:pPr>
    </w:p>
    <w:p w14:paraId="7E813D94" w14:textId="77777777" w:rsidR="00B751DA" w:rsidRDefault="00B751DA" w:rsidP="009424A5">
      <w:pPr>
        <w:pStyle w:val="FigureTitle"/>
      </w:pPr>
    </w:p>
    <w:p w14:paraId="71BBA7BB" w14:textId="77777777" w:rsidR="00B751DA" w:rsidRDefault="00B751DA" w:rsidP="009424A5">
      <w:pPr>
        <w:pStyle w:val="FigureTitle"/>
      </w:pPr>
    </w:p>
    <w:p w14:paraId="003EF4E0" w14:textId="77777777" w:rsidR="00B751DA" w:rsidRDefault="00B751DA" w:rsidP="009424A5">
      <w:pPr>
        <w:pStyle w:val="FigureTitle"/>
      </w:pPr>
    </w:p>
    <w:p w14:paraId="1188DAA8" w14:textId="77777777" w:rsidR="00B751DA" w:rsidRDefault="00B751DA" w:rsidP="009424A5">
      <w:pPr>
        <w:pStyle w:val="FigureTitle"/>
      </w:pPr>
    </w:p>
    <w:p w14:paraId="09D26313" w14:textId="77777777" w:rsidR="00B751DA" w:rsidRDefault="00B751DA" w:rsidP="009424A5">
      <w:pPr>
        <w:pStyle w:val="FigureTitle"/>
      </w:pPr>
    </w:p>
    <w:p w14:paraId="267C3EA4" w14:textId="77777777" w:rsidR="00B751DA" w:rsidRDefault="00B751DA" w:rsidP="009424A5">
      <w:pPr>
        <w:pStyle w:val="FigureTitle"/>
      </w:pPr>
    </w:p>
    <w:p w14:paraId="391C42B5" w14:textId="77777777" w:rsidR="00B751DA" w:rsidRDefault="00B751DA" w:rsidP="009424A5">
      <w:pPr>
        <w:pStyle w:val="FigureTitle"/>
      </w:pPr>
    </w:p>
    <w:p w14:paraId="5946C2DD" w14:textId="77777777" w:rsidR="00B751DA" w:rsidRDefault="00B751DA" w:rsidP="009424A5">
      <w:pPr>
        <w:pStyle w:val="FigureTitle"/>
      </w:pPr>
    </w:p>
    <w:p w14:paraId="640088E7" w14:textId="77777777" w:rsidR="00B751DA" w:rsidRDefault="00B751DA" w:rsidP="009424A5">
      <w:pPr>
        <w:pStyle w:val="FigureTitle"/>
      </w:pPr>
    </w:p>
    <w:p w14:paraId="6C2C15DF" w14:textId="77777777" w:rsidR="00B751DA" w:rsidRDefault="00B751DA" w:rsidP="009424A5">
      <w:pPr>
        <w:pStyle w:val="FigureTitle"/>
      </w:pPr>
    </w:p>
    <w:p w14:paraId="044A87CC" w14:textId="77777777" w:rsidR="00B751DA" w:rsidRDefault="00B751DA" w:rsidP="009424A5">
      <w:pPr>
        <w:pStyle w:val="FigureTitle"/>
      </w:pPr>
    </w:p>
    <w:p w14:paraId="7CB013A6" w14:textId="627B666C" w:rsidR="00B01FB7" w:rsidRDefault="00B01FB7">
      <w:pPr>
        <w:spacing w:after="80"/>
      </w:pPr>
      <w:r>
        <w:br w:type="page"/>
      </w:r>
    </w:p>
    <w:p w14:paraId="331526A9" w14:textId="77777777" w:rsidR="00CC366A" w:rsidRDefault="00CC366A"/>
    <w:p w14:paraId="57552320" w14:textId="46C233F9" w:rsidR="006800B6" w:rsidRDefault="006800B6" w:rsidP="006800B6"/>
    <w:p w14:paraId="2E26817A" w14:textId="4D08515B" w:rsidR="00067A5E" w:rsidRDefault="00067A5E" w:rsidP="006800B6">
      <w:pPr>
        <w:rPr>
          <w:rFonts w:cs="Arial"/>
        </w:rPr>
      </w:pPr>
    </w:p>
    <w:p w14:paraId="5325F3B6" w14:textId="72037D48" w:rsidR="00067A5E" w:rsidRDefault="00067A5E" w:rsidP="006800B6">
      <w:pPr>
        <w:rPr>
          <w:rFonts w:cs="Arial"/>
        </w:rPr>
      </w:pPr>
    </w:p>
    <w:p w14:paraId="0AEA3024" w14:textId="554587A7" w:rsidR="00067A5E" w:rsidRDefault="00067A5E" w:rsidP="006800B6">
      <w:pPr>
        <w:rPr>
          <w:rFonts w:cs="Arial"/>
        </w:rPr>
      </w:pPr>
    </w:p>
    <w:p w14:paraId="677202CF" w14:textId="1BE2A3AE" w:rsidR="00067A5E" w:rsidRDefault="00067A5E" w:rsidP="006800B6">
      <w:pPr>
        <w:rPr>
          <w:rFonts w:cs="Arial"/>
        </w:rPr>
      </w:pPr>
    </w:p>
    <w:p w14:paraId="60AE13F0" w14:textId="113FD434" w:rsidR="00067A5E" w:rsidRDefault="00067A5E" w:rsidP="006800B6">
      <w:pPr>
        <w:rPr>
          <w:rFonts w:cs="Arial"/>
        </w:rPr>
      </w:pPr>
    </w:p>
    <w:p w14:paraId="58BC8596" w14:textId="535DBC42" w:rsidR="00067A5E" w:rsidRDefault="00067A5E" w:rsidP="006800B6">
      <w:pPr>
        <w:rPr>
          <w:rFonts w:cs="Arial"/>
        </w:rPr>
      </w:pPr>
    </w:p>
    <w:p w14:paraId="4E0C17FA" w14:textId="4100B028" w:rsidR="00067A5E" w:rsidRDefault="00067A5E" w:rsidP="006800B6">
      <w:pPr>
        <w:rPr>
          <w:rFonts w:cs="Arial"/>
        </w:rPr>
      </w:pPr>
    </w:p>
    <w:p w14:paraId="5272BC4E" w14:textId="16AEEB02" w:rsidR="00067A5E" w:rsidRDefault="00067A5E" w:rsidP="006800B6">
      <w:pPr>
        <w:rPr>
          <w:rFonts w:cs="Arial"/>
        </w:rPr>
      </w:pPr>
    </w:p>
    <w:p w14:paraId="4F7A6A11" w14:textId="2643ECD0" w:rsidR="00067A5E" w:rsidRDefault="00067A5E" w:rsidP="006800B6">
      <w:pPr>
        <w:rPr>
          <w:rFonts w:cs="Arial"/>
        </w:rPr>
      </w:pPr>
    </w:p>
    <w:p w14:paraId="16E0AADA" w14:textId="44072504" w:rsidR="00067A5E" w:rsidRDefault="00067A5E" w:rsidP="006800B6">
      <w:pPr>
        <w:rPr>
          <w:rFonts w:cs="Arial"/>
        </w:rPr>
      </w:pPr>
    </w:p>
    <w:p w14:paraId="6123F0A7" w14:textId="3AD42D94" w:rsidR="00067A5E" w:rsidRDefault="00067A5E" w:rsidP="006800B6">
      <w:pPr>
        <w:rPr>
          <w:rFonts w:cs="Arial"/>
        </w:rPr>
      </w:pPr>
    </w:p>
    <w:p w14:paraId="78E56AB8" w14:textId="143BFA86" w:rsidR="00067A5E" w:rsidRDefault="00067A5E" w:rsidP="006800B6">
      <w:pPr>
        <w:rPr>
          <w:rFonts w:cs="Arial"/>
        </w:rPr>
      </w:pPr>
    </w:p>
    <w:p w14:paraId="5C06ACE3" w14:textId="072361E0" w:rsidR="00067A5E" w:rsidRDefault="00067A5E" w:rsidP="006800B6">
      <w:pPr>
        <w:rPr>
          <w:rFonts w:cs="Arial"/>
        </w:rPr>
      </w:pPr>
    </w:p>
    <w:p w14:paraId="736E86F1" w14:textId="77777777" w:rsidR="00067A5E" w:rsidRDefault="00067A5E" w:rsidP="006800B6"/>
    <w:p w14:paraId="7D6DB37C" w14:textId="748B99EC" w:rsidR="00067A5E" w:rsidRDefault="00067A5E" w:rsidP="006800B6"/>
    <w:p w14:paraId="2A9CF8EF" w14:textId="6306A896" w:rsidR="00067A5E" w:rsidRDefault="00067A5E" w:rsidP="006800B6"/>
    <w:p w14:paraId="117E7270" w14:textId="3AF8F466" w:rsidR="00067A5E" w:rsidRDefault="00067A5E" w:rsidP="006800B6"/>
    <w:p w14:paraId="7BC4D25B" w14:textId="48C6DD14" w:rsidR="00067A5E" w:rsidRDefault="00067A5E" w:rsidP="006800B6"/>
    <w:p w14:paraId="101C1106" w14:textId="1FC5D4F8" w:rsidR="00067A5E" w:rsidRDefault="00067A5E" w:rsidP="006800B6"/>
    <w:p w14:paraId="2FCEA9CE" w14:textId="614F4C3A" w:rsidR="00067A5E" w:rsidRDefault="00067A5E" w:rsidP="006800B6"/>
    <w:p w14:paraId="3A2C355F" w14:textId="77777777" w:rsidR="00067A5E" w:rsidRDefault="00067A5E" w:rsidP="006800B6"/>
    <w:p w14:paraId="5C023321" w14:textId="5B172FE1" w:rsidR="00067A5E" w:rsidRDefault="00067A5E" w:rsidP="006800B6">
      <w:r>
        <w:rPr>
          <w:rFonts w:eastAsiaTheme="majorEastAsia"/>
          <w:noProof/>
        </w:rPr>
        <w:drawing>
          <wp:anchor distT="0" distB="0" distL="114300" distR="114300" simplePos="0" relativeHeight="251674624" behindDoc="0" locked="0" layoutInCell="1" allowOverlap="1" wp14:anchorId="0471D25A" wp14:editId="1D9F7AB3">
            <wp:simplePos x="0" y="0"/>
            <wp:positionH relativeFrom="column">
              <wp:posOffset>0</wp:posOffset>
            </wp:positionH>
            <wp:positionV relativeFrom="paragraph">
              <wp:posOffset>294640</wp:posOffset>
            </wp:positionV>
            <wp:extent cx="4334400" cy="612000"/>
            <wp:effectExtent l="0" t="0" r="0" b="0"/>
            <wp:wrapTopAndBottom/>
            <wp:docPr id="35" name="Picture 35"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4400" cy="612000"/>
                    </a:xfrm>
                    <a:prstGeom prst="rect">
                      <a:avLst/>
                    </a:prstGeom>
                  </pic:spPr>
                </pic:pic>
              </a:graphicData>
            </a:graphic>
            <wp14:sizeRelH relativeFrom="page">
              <wp14:pctWidth>0</wp14:pctWidth>
            </wp14:sizeRelH>
            <wp14:sizeRelV relativeFrom="page">
              <wp14:pctHeight>0</wp14:pctHeight>
            </wp14:sizeRelV>
          </wp:anchor>
        </w:drawing>
      </w:r>
    </w:p>
    <w:p w14:paraId="57A86345" w14:textId="77777777" w:rsidR="00067A5E" w:rsidRDefault="00067A5E" w:rsidP="00067A5E">
      <w:r>
        <w:t>Level 5, 255 Elizabeth Street, Sydney NSW 2000</w:t>
      </w:r>
      <w:r>
        <w:br/>
        <w:t>GPO Box 5480, Sydney NSW 2001</w:t>
      </w:r>
    </w:p>
    <w:p w14:paraId="71F5219C" w14:textId="77777777" w:rsidR="00067A5E" w:rsidRDefault="00067A5E" w:rsidP="00067A5E">
      <w:r>
        <w:t>Phone: (02) 9126 3600</w:t>
      </w:r>
    </w:p>
    <w:p w14:paraId="7F6E90BE" w14:textId="186C3416" w:rsidR="006800B6" w:rsidRDefault="00067A5E" w:rsidP="006800B6">
      <w:pPr>
        <w:rPr>
          <w:noProof/>
        </w:rPr>
      </w:pPr>
      <w:r>
        <w:t xml:space="preserve">Email: mail@safetyandquality.gov.au </w:t>
      </w:r>
      <w:r>
        <w:br/>
        <w:t>Website: www.safetyandquality.gov.au</w:t>
      </w:r>
    </w:p>
    <w:sectPr w:rsidR="006800B6" w:rsidSect="00BB7163">
      <w:footerReference w:type="default" r:id="rId2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BEB1A" w14:textId="77777777" w:rsidR="003D19B8" w:rsidRDefault="003D19B8" w:rsidP="000B0274">
      <w:r>
        <w:separator/>
      </w:r>
    </w:p>
  </w:endnote>
  <w:endnote w:type="continuationSeparator" w:id="0">
    <w:p w14:paraId="5D31769B" w14:textId="77777777" w:rsidR="003D19B8" w:rsidRDefault="003D19B8"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9C113" w14:textId="783A0D04" w:rsidR="00CD0C69" w:rsidRPr="00F57148" w:rsidRDefault="00CD0C69" w:rsidP="009B053D">
    <w:pPr>
      <w:pStyle w:val="Footer"/>
      <w:jc w:val="right"/>
    </w:pPr>
    <w:r w:rsidRPr="00E67A60">
      <w:t xml:space="preserve">Comprehensive Care Standard: Implementation </w:t>
    </w:r>
    <w:r>
      <w:tab/>
    </w:r>
    <w:r>
      <w:tab/>
    </w:r>
    <w:r w:rsidRPr="00F57148">
      <w:fldChar w:fldCharType="begin"/>
    </w:r>
    <w:r w:rsidRPr="00F57148">
      <w:instrText xml:space="preserve"> PAGE   \* MERGEFORMAT </w:instrText>
    </w:r>
    <w:r w:rsidRPr="00F57148">
      <w:fldChar w:fldCharType="separate"/>
    </w:r>
    <w:r>
      <w:rPr>
        <w:noProof/>
      </w:rPr>
      <w:t>2</w:t>
    </w:r>
    <w:r w:rsidRPr="00F57148">
      <w:rPr>
        <w:noProof/>
      </w:rPr>
      <w:fldChar w:fldCharType="end"/>
    </w:r>
  </w:p>
  <w:p w14:paraId="3580F1C3" w14:textId="77777777" w:rsidR="00CD0C69" w:rsidRDefault="00CD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6B672" w14:textId="77777777" w:rsidR="003D19B8" w:rsidRDefault="003D19B8" w:rsidP="000B0274">
      <w:r>
        <w:separator/>
      </w:r>
    </w:p>
  </w:footnote>
  <w:footnote w:type="continuationSeparator" w:id="0">
    <w:p w14:paraId="0A07D95C" w14:textId="77777777" w:rsidR="003D19B8" w:rsidRDefault="003D19B8" w:rsidP="000B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66F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89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9C9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8B1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EF3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7518F"/>
    <w:multiLevelType w:val="hybridMultilevel"/>
    <w:tmpl w:val="5BF8944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7562A2"/>
    <w:multiLevelType w:val="hybridMultilevel"/>
    <w:tmpl w:val="595A3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0F80457D"/>
    <w:multiLevelType w:val="hybridMultilevel"/>
    <w:tmpl w:val="2356E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DB31DF"/>
    <w:multiLevelType w:val="hybridMultilevel"/>
    <w:tmpl w:val="E4D4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5C573E"/>
    <w:multiLevelType w:val="hybridMultilevel"/>
    <w:tmpl w:val="61A0A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18F111FD"/>
    <w:multiLevelType w:val="hybridMultilevel"/>
    <w:tmpl w:val="B6404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4C484F"/>
    <w:multiLevelType w:val="multilevel"/>
    <w:tmpl w:val="EABE25FA"/>
    <w:numStyleLink w:val="Listbullets"/>
  </w:abstractNum>
  <w:abstractNum w:abstractNumId="24"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34530DF1"/>
    <w:multiLevelType w:val="hybridMultilevel"/>
    <w:tmpl w:val="036A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DD0E35"/>
    <w:multiLevelType w:val="hybridMultilevel"/>
    <w:tmpl w:val="8916A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A970DB"/>
    <w:multiLevelType w:val="hybridMultilevel"/>
    <w:tmpl w:val="9FCE28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F17D6"/>
    <w:multiLevelType w:val="hybridMultilevel"/>
    <w:tmpl w:val="21E6E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794773"/>
    <w:multiLevelType w:val="multilevel"/>
    <w:tmpl w:val="0C09001D"/>
    <w:numStyleLink w:val="Bullet"/>
  </w:abstractNum>
  <w:abstractNum w:abstractNumId="33" w15:restartNumberingAfterBreak="0">
    <w:nsid w:val="6D07786B"/>
    <w:multiLevelType w:val="hybridMultilevel"/>
    <w:tmpl w:val="EDB6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35" w15:restartNumberingAfterBreak="0">
    <w:nsid w:val="77596568"/>
    <w:multiLevelType w:val="hybridMultilevel"/>
    <w:tmpl w:val="45B46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B42898"/>
    <w:multiLevelType w:val="hybridMultilevel"/>
    <w:tmpl w:val="F8BA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CF761A"/>
    <w:multiLevelType w:val="multilevel"/>
    <w:tmpl w:val="520E4874"/>
    <w:lvl w:ilvl="0">
      <w:start w:val="1"/>
      <w:numFmt w:val="decimal"/>
      <w:lvlText w:val="%1."/>
      <w:lvlJc w:val="left"/>
      <w:pPr>
        <w:ind w:left="1529" w:hanging="360"/>
      </w:pPr>
      <w:rPr>
        <w:rFonts w:hint="default"/>
      </w:rPr>
    </w:lvl>
    <w:lvl w:ilvl="1">
      <w:start w:val="1"/>
      <w:numFmt w:val="lowerRoman"/>
      <w:lvlText w:val="%2."/>
      <w:lvlJc w:val="left"/>
      <w:pPr>
        <w:ind w:left="1736" w:hanging="283"/>
      </w:pPr>
      <w:rPr>
        <w:rFonts w:hint="default"/>
      </w:rPr>
    </w:lvl>
    <w:lvl w:ilvl="2">
      <w:start w:val="1"/>
      <w:numFmt w:val="bullet"/>
      <w:lvlText w:val="-"/>
      <w:lvlJc w:val="left"/>
      <w:pPr>
        <w:ind w:left="2249" w:hanging="360"/>
      </w:pPr>
      <w:rPr>
        <w:rFonts w:ascii="Arial" w:hAnsi="Arial" w:hint="default"/>
      </w:rPr>
    </w:lvl>
    <w:lvl w:ilvl="3">
      <w:start w:val="1"/>
      <w:numFmt w:val="decimal"/>
      <w:lvlText w:val="(%4)"/>
      <w:lvlJc w:val="left"/>
      <w:pPr>
        <w:ind w:left="2609" w:hanging="360"/>
      </w:pPr>
      <w:rPr>
        <w:rFonts w:hint="default"/>
      </w:rPr>
    </w:lvl>
    <w:lvl w:ilvl="4">
      <w:start w:val="1"/>
      <w:numFmt w:val="lowerLetter"/>
      <w:lvlText w:val="(%5)"/>
      <w:lvlJc w:val="left"/>
      <w:pPr>
        <w:ind w:left="2969" w:hanging="360"/>
      </w:pPr>
      <w:rPr>
        <w:rFonts w:hint="default"/>
      </w:rPr>
    </w:lvl>
    <w:lvl w:ilvl="5">
      <w:start w:val="1"/>
      <w:numFmt w:val="lowerRoman"/>
      <w:lvlText w:val="(%6)"/>
      <w:lvlJc w:val="left"/>
      <w:pPr>
        <w:ind w:left="3329" w:hanging="360"/>
      </w:pPr>
      <w:rPr>
        <w:rFonts w:hint="default"/>
      </w:rPr>
    </w:lvl>
    <w:lvl w:ilvl="6">
      <w:start w:val="1"/>
      <w:numFmt w:val="decimal"/>
      <w:lvlText w:val="%7."/>
      <w:lvlJc w:val="left"/>
      <w:pPr>
        <w:ind w:left="3689" w:hanging="360"/>
      </w:pPr>
      <w:rPr>
        <w:rFonts w:hint="default"/>
      </w:rPr>
    </w:lvl>
    <w:lvl w:ilvl="7">
      <w:start w:val="1"/>
      <w:numFmt w:val="lowerLetter"/>
      <w:lvlText w:val="%8."/>
      <w:lvlJc w:val="left"/>
      <w:pPr>
        <w:ind w:left="4049" w:hanging="360"/>
      </w:pPr>
      <w:rPr>
        <w:rFonts w:hint="default"/>
      </w:rPr>
    </w:lvl>
    <w:lvl w:ilvl="8">
      <w:start w:val="1"/>
      <w:numFmt w:val="lowerRoman"/>
      <w:lvlText w:val="%9."/>
      <w:lvlJc w:val="left"/>
      <w:pPr>
        <w:ind w:left="4409" w:hanging="360"/>
      </w:pPr>
      <w:rPr>
        <w:rFonts w:hint="default"/>
      </w:rPr>
    </w:lvl>
  </w:abstractNum>
  <w:num w:numId="1">
    <w:abstractNumId w:val="22"/>
  </w:num>
  <w:num w:numId="2">
    <w:abstractNumId w:val="30"/>
  </w:num>
  <w:num w:numId="3">
    <w:abstractNumId w:val="13"/>
  </w:num>
  <w:num w:numId="4">
    <w:abstractNumId w:val="11"/>
  </w:num>
  <w:num w:numId="5">
    <w:abstractNumId w:val="23"/>
  </w:num>
  <w:num w:numId="6">
    <w:abstractNumId w:val="17"/>
  </w:num>
  <w:num w:numId="7">
    <w:abstractNumId w:val="14"/>
  </w:num>
  <w:num w:numId="8">
    <w:abstractNumId w:val="24"/>
  </w:num>
  <w:num w:numId="9">
    <w:abstractNumId w:val="28"/>
  </w:num>
  <w:num w:numId="10">
    <w:abstractNumId w:val="11"/>
  </w:num>
  <w:num w:numId="11">
    <w:abstractNumId w:val="34"/>
  </w:num>
  <w:num w:numId="12">
    <w:abstractNumId w:val="27"/>
  </w:num>
  <w:num w:numId="13">
    <w:abstractNumId w:val="32"/>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29"/>
  </w:num>
  <w:num w:numId="27">
    <w:abstractNumId w:val="16"/>
  </w:num>
  <w:num w:numId="28">
    <w:abstractNumId w:val="36"/>
  </w:num>
  <w:num w:numId="29">
    <w:abstractNumId w:val="35"/>
  </w:num>
  <w:num w:numId="30">
    <w:abstractNumId w:val="33"/>
  </w:num>
  <w:num w:numId="31">
    <w:abstractNumId w:val="31"/>
  </w:num>
  <w:num w:numId="32">
    <w:abstractNumId w:val="12"/>
  </w:num>
  <w:num w:numId="33">
    <w:abstractNumId w:val="26"/>
  </w:num>
  <w:num w:numId="34">
    <w:abstractNumId w:val="18"/>
  </w:num>
  <w:num w:numId="35">
    <w:abstractNumId w:val="21"/>
  </w:num>
  <w:num w:numId="36">
    <w:abstractNumId w:val="19"/>
  </w:num>
  <w:num w:numId="37">
    <w:abstractNumId w:val="10"/>
  </w:num>
  <w:num w:numId="38">
    <w:abstractNumId w:val="2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39"/>
    <w:rsid w:val="00003518"/>
    <w:rsid w:val="00003743"/>
    <w:rsid w:val="000104C9"/>
    <w:rsid w:val="0001560B"/>
    <w:rsid w:val="00017CFF"/>
    <w:rsid w:val="00020DBD"/>
    <w:rsid w:val="00030CA2"/>
    <w:rsid w:val="0003280A"/>
    <w:rsid w:val="000406F8"/>
    <w:rsid w:val="00043671"/>
    <w:rsid w:val="00067456"/>
    <w:rsid w:val="00067A5E"/>
    <w:rsid w:val="00096C6B"/>
    <w:rsid w:val="000A3F0D"/>
    <w:rsid w:val="000B0274"/>
    <w:rsid w:val="000C1DD4"/>
    <w:rsid w:val="000D017D"/>
    <w:rsid w:val="000E2F2E"/>
    <w:rsid w:val="00103494"/>
    <w:rsid w:val="001116C6"/>
    <w:rsid w:val="00146C44"/>
    <w:rsid w:val="00154C67"/>
    <w:rsid w:val="00177288"/>
    <w:rsid w:val="001921ED"/>
    <w:rsid w:val="00194EC5"/>
    <w:rsid w:val="001953E0"/>
    <w:rsid w:val="00196AC8"/>
    <w:rsid w:val="001B3443"/>
    <w:rsid w:val="001E1042"/>
    <w:rsid w:val="001E77C4"/>
    <w:rsid w:val="002044F9"/>
    <w:rsid w:val="00237ADF"/>
    <w:rsid w:val="00245D81"/>
    <w:rsid w:val="00255596"/>
    <w:rsid w:val="00261F43"/>
    <w:rsid w:val="00262B25"/>
    <w:rsid w:val="002662B4"/>
    <w:rsid w:val="00267635"/>
    <w:rsid w:val="00281FD4"/>
    <w:rsid w:val="00294909"/>
    <w:rsid w:val="002B479D"/>
    <w:rsid w:val="002C6AF0"/>
    <w:rsid w:val="002E6A48"/>
    <w:rsid w:val="002E6CFF"/>
    <w:rsid w:val="002F3AE3"/>
    <w:rsid w:val="002F7E6F"/>
    <w:rsid w:val="0030786C"/>
    <w:rsid w:val="00312A62"/>
    <w:rsid w:val="00312DBB"/>
    <w:rsid w:val="00316683"/>
    <w:rsid w:val="003873C6"/>
    <w:rsid w:val="00396100"/>
    <w:rsid w:val="003C297A"/>
    <w:rsid w:val="003D17F9"/>
    <w:rsid w:val="003D19B8"/>
    <w:rsid w:val="003D437B"/>
    <w:rsid w:val="003E76C8"/>
    <w:rsid w:val="003E79A5"/>
    <w:rsid w:val="003F2925"/>
    <w:rsid w:val="00412E9D"/>
    <w:rsid w:val="00440D78"/>
    <w:rsid w:val="00447D31"/>
    <w:rsid w:val="00453013"/>
    <w:rsid w:val="00470AB8"/>
    <w:rsid w:val="004867E2"/>
    <w:rsid w:val="00486826"/>
    <w:rsid w:val="004915BD"/>
    <w:rsid w:val="004A0670"/>
    <w:rsid w:val="004B2999"/>
    <w:rsid w:val="004D5360"/>
    <w:rsid w:val="004E58C1"/>
    <w:rsid w:val="00517A1A"/>
    <w:rsid w:val="0052107C"/>
    <w:rsid w:val="005221B7"/>
    <w:rsid w:val="005268F7"/>
    <w:rsid w:val="0053208D"/>
    <w:rsid w:val="00544A4E"/>
    <w:rsid w:val="00553E33"/>
    <w:rsid w:val="00557A18"/>
    <w:rsid w:val="00566B97"/>
    <w:rsid w:val="00592353"/>
    <w:rsid w:val="0059724C"/>
    <w:rsid w:val="005A277E"/>
    <w:rsid w:val="005C1496"/>
    <w:rsid w:val="005C6AAE"/>
    <w:rsid w:val="005E2614"/>
    <w:rsid w:val="005F2BC5"/>
    <w:rsid w:val="0060749A"/>
    <w:rsid w:val="00607B0B"/>
    <w:rsid w:val="006169B1"/>
    <w:rsid w:val="0062166F"/>
    <w:rsid w:val="006317C9"/>
    <w:rsid w:val="006761AC"/>
    <w:rsid w:val="006800B6"/>
    <w:rsid w:val="006803BA"/>
    <w:rsid w:val="006A7DEB"/>
    <w:rsid w:val="006B2409"/>
    <w:rsid w:val="006D732F"/>
    <w:rsid w:val="006D7F96"/>
    <w:rsid w:val="006E688D"/>
    <w:rsid w:val="006F5236"/>
    <w:rsid w:val="007028EC"/>
    <w:rsid w:val="0070703E"/>
    <w:rsid w:val="0071637F"/>
    <w:rsid w:val="00726816"/>
    <w:rsid w:val="007360BF"/>
    <w:rsid w:val="007545C7"/>
    <w:rsid w:val="0076005C"/>
    <w:rsid w:val="007635C1"/>
    <w:rsid w:val="00766B42"/>
    <w:rsid w:val="0078070C"/>
    <w:rsid w:val="00782BAB"/>
    <w:rsid w:val="00784541"/>
    <w:rsid w:val="007968CC"/>
    <w:rsid w:val="00796FB7"/>
    <w:rsid w:val="007B04A9"/>
    <w:rsid w:val="007B16AC"/>
    <w:rsid w:val="007B1AB3"/>
    <w:rsid w:val="007C3A0D"/>
    <w:rsid w:val="007D086E"/>
    <w:rsid w:val="007E000D"/>
    <w:rsid w:val="007E3423"/>
    <w:rsid w:val="007F0331"/>
    <w:rsid w:val="007F03F6"/>
    <w:rsid w:val="00803BEE"/>
    <w:rsid w:val="008264EB"/>
    <w:rsid w:val="00827924"/>
    <w:rsid w:val="00830756"/>
    <w:rsid w:val="00834007"/>
    <w:rsid w:val="00846456"/>
    <w:rsid w:val="00890917"/>
    <w:rsid w:val="008A58F9"/>
    <w:rsid w:val="008C37D0"/>
    <w:rsid w:val="008C5ED5"/>
    <w:rsid w:val="008E1FAC"/>
    <w:rsid w:val="008E5D6A"/>
    <w:rsid w:val="00907D36"/>
    <w:rsid w:val="0091137C"/>
    <w:rsid w:val="009424A5"/>
    <w:rsid w:val="00942D34"/>
    <w:rsid w:val="009530BA"/>
    <w:rsid w:val="00964277"/>
    <w:rsid w:val="00970848"/>
    <w:rsid w:val="0097460B"/>
    <w:rsid w:val="00977D26"/>
    <w:rsid w:val="00986048"/>
    <w:rsid w:val="009A007B"/>
    <w:rsid w:val="009A263C"/>
    <w:rsid w:val="009A3F4A"/>
    <w:rsid w:val="009B053D"/>
    <w:rsid w:val="009B64E3"/>
    <w:rsid w:val="009C0A06"/>
    <w:rsid w:val="009D3308"/>
    <w:rsid w:val="009D37D6"/>
    <w:rsid w:val="009E1F38"/>
    <w:rsid w:val="009E6B78"/>
    <w:rsid w:val="009F5557"/>
    <w:rsid w:val="00A03545"/>
    <w:rsid w:val="00A0554C"/>
    <w:rsid w:val="00A15082"/>
    <w:rsid w:val="00A34B91"/>
    <w:rsid w:val="00A4199A"/>
    <w:rsid w:val="00A438C3"/>
    <w:rsid w:val="00A4512D"/>
    <w:rsid w:val="00A705AF"/>
    <w:rsid w:val="00A75B58"/>
    <w:rsid w:val="00A7652E"/>
    <w:rsid w:val="00A77349"/>
    <w:rsid w:val="00A931E2"/>
    <w:rsid w:val="00A93A18"/>
    <w:rsid w:val="00A964DB"/>
    <w:rsid w:val="00AA374F"/>
    <w:rsid w:val="00AA470C"/>
    <w:rsid w:val="00AA6DC2"/>
    <w:rsid w:val="00AA7B58"/>
    <w:rsid w:val="00AB1978"/>
    <w:rsid w:val="00AB2C83"/>
    <w:rsid w:val="00AB40AB"/>
    <w:rsid w:val="00AB4F2D"/>
    <w:rsid w:val="00AB6ED9"/>
    <w:rsid w:val="00AB7B9C"/>
    <w:rsid w:val="00AC4A65"/>
    <w:rsid w:val="00AC7099"/>
    <w:rsid w:val="00AD52A0"/>
    <w:rsid w:val="00AE6584"/>
    <w:rsid w:val="00AF6154"/>
    <w:rsid w:val="00B01FB7"/>
    <w:rsid w:val="00B1699A"/>
    <w:rsid w:val="00B24DF4"/>
    <w:rsid w:val="00B2665E"/>
    <w:rsid w:val="00B328AF"/>
    <w:rsid w:val="00B32DD1"/>
    <w:rsid w:val="00B3720C"/>
    <w:rsid w:val="00B41409"/>
    <w:rsid w:val="00B42851"/>
    <w:rsid w:val="00B47076"/>
    <w:rsid w:val="00B545A8"/>
    <w:rsid w:val="00B56B37"/>
    <w:rsid w:val="00B70B08"/>
    <w:rsid w:val="00B751DA"/>
    <w:rsid w:val="00B76D28"/>
    <w:rsid w:val="00B95A67"/>
    <w:rsid w:val="00BA4AEE"/>
    <w:rsid w:val="00BB28D1"/>
    <w:rsid w:val="00BB46FC"/>
    <w:rsid w:val="00BB7163"/>
    <w:rsid w:val="00BC07E4"/>
    <w:rsid w:val="00BD1C8C"/>
    <w:rsid w:val="00BF5D60"/>
    <w:rsid w:val="00C03323"/>
    <w:rsid w:val="00C03B3B"/>
    <w:rsid w:val="00C06314"/>
    <w:rsid w:val="00C23604"/>
    <w:rsid w:val="00C31839"/>
    <w:rsid w:val="00C4308E"/>
    <w:rsid w:val="00C436EE"/>
    <w:rsid w:val="00C51BE7"/>
    <w:rsid w:val="00C52887"/>
    <w:rsid w:val="00C911AD"/>
    <w:rsid w:val="00C95C01"/>
    <w:rsid w:val="00CB0684"/>
    <w:rsid w:val="00CB5999"/>
    <w:rsid w:val="00CB5B1A"/>
    <w:rsid w:val="00CB733F"/>
    <w:rsid w:val="00CC366A"/>
    <w:rsid w:val="00CC697B"/>
    <w:rsid w:val="00CD0C69"/>
    <w:rsid w:val="00CE36A0"/>
    <w:rsid w:val="00CE376B"/>
    <w:rsid w:val="00D21E45"/>
    <w:rsid w:val="00D24922"/>
    <w:rsid w:val="00D42B9A"/>
    <w:rsid w:val="00D469E4"/>
    <w:rsid w:val="00D73FE2"/>
    <w:rsid w:val="00D7465B"/>
    <w:rsid w:val="00D876ED"/>
    <w:rsid w:val="00D96327"/>
    <w:rsid w:val="00DA0091"/>
    <w:rsid w:val="00DB5911"/>
    <w:rsid w:val="00DC0D24"/>
    <w:rsid w:val="00E03E6E"/>
    <w:rsid w:val="00E13C5C"/>
    <w:rsid w:val="00E15695"/>
    <w:rsid w:val="00E168A2"/>
    <w:rsid w:val="00E21314"/>
    <w:rsid w:val="00E236C6"/>
    <w:rsid w:val="00E31ECB"/>
    <w:rsid w:val="00E3254F"/>
    <w:rsid w:val="00E40F95"/>
    <w:rsid w:val="00E4312B"/>
    <w:rsid w:val="00E461DC"/>
    <w:rsid w:val="00E54183"/>
    <w:rsid w:val="00E60EE1"/>
    <w:rsid w:val="00E66586"/>
    <w:rsid w:val="00E67A60"/>
    <w:rsid w:val="00E708F6"/>
    <w:rsid w:val="00E716B4"/>
    <w:rsid w:val="00E86B67"/>
    <w:rsid w:val="00E976C6"/>
    <w:rsid w:val="00EA5E02"/>
    <w:rsid w:val="00EA5FD0"/>
    <w:rsid w:val="00EA616A"/>
    <w:rsid w:val="00EE356F"/>
    <w:rsid w:val="00EE397E"/>
    <w:rsid w:val="00EF1C95"/>
    <w:rsid w:val="00EF5C37"/>
    <w:rsid w:val="00F078B7"/>
    <w:rsid w:val="00F22321"/>
    <w:rsid w:val="00F238F2"/>
    <w:rsid w:val="00F332B3"/>
    <w:rsid w:val="00F34D63"/>
    <w:rsid w:val="00F41C35"/>
    <w:rsid w:val="00F549D7"/>
    <w:rsid w:val="00F556DB"/>
    <w:rsid w:val="00F560D5"/>
    <w:rsid w:val="00F63284"/>
    <w:rsid w:val="00F73D95"/>
    <w:rsid w:val="00F95769"/>
    <w:rsid w:val="00FA18D7"/>
    <w:rsid w:val="00FC7F5D"/>
    <w:rsid w:val="00FE5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A554ED"/>
  <w15:docId w15:val="{34C78B9E-96B5-4EAC-A4B9-ADF7B787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semiHidden="1" w:uiPriority="0"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0"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5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9C0A06"/>
    <w:pPr>
      <w:spacing w:before="240"/>
    </w:pPr>
    <w:rPr>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6B2409"/>
    <w:pPr>
      <w:spacing w:before="240" w:after="240"/>
    </w:pPr>
    <w:rPr>
      <w:color w:val="000000" w:themeColor="text1"/>
      <w:sz w:val="32"/>
      <w:szCs w:val="40"/>
    </w:rPr>
  </w:style>
  <w:style w:type="character" w:customStyle="1" w:styleId="PublicationDateChar">
    <w:name w:val="Publication Date Char"/>
    <w:basedOn w:val="DefaultParagraphFont"/>
    <w:link w:val="PublicationDate"/>
    <w:rsid w:val="006B2409"/>
    <w:rPr>
      <w:color w:val="000000" w:themeColor="text1"/>
      <w:sz w:val="32"/>
      <w:szCs w:val="40"/>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DA0091"/>
    <w:pPr>
      <w:spacing w:before="120" w:after="120"/>
      <w:ind w:left="720"/>
      <w:contextualSpacing/>
    </w:pPr>
    <w:rPr>
      <w:rFonts w:ascii="Arial" w:hAnsi="Arial" w:cs="Arial"/>
      <w:lang w:eastAsia="en-US"/>
    </w:rPr>
  </w:style>
  <w:style w:type="character" w:styleId="CommentReference">
    <w:name w:val="annotation reference"/>
    <w:basedOn w:val="DefaultParagraphFont"/>
    <w:uiPriority w:val="98"/>
    <w:semiHidden/>
    <w:unhideWhenUsed/>
    <w:locked/>
    <w:rsid w:val="0003280A"/>
    <w:rPr>
      <w:sz w:val="16"/>
      <w:szCs w:val="16"/>
    </w:rPr>
  </w:style>
  <w:style w:type="paragraph" w:styleId="CommentText">
    <w:name w:val="annotation text"/>
    <w:basedOn w:val="Normal"/>
    <w:link w:val="CommentTextChar"/>
    <w:uiPriority w:val="98"/>
    <w:unhideWhenUsed/>
    <w:locked/>
    <w:rsid w:val="0003280A"/>
    <w:rPr>
      <w:sz w:val="20"/>
      <w:szCs w:val="20"/>
    </w:rPr>
  </w:style>
  <w:style w:type="character" w:customStyle="1" w:styleId="CommentTextChar">
    <w:name w:val="Comment Text Char"/>
    <w:basedOn w:val="DefaultParagraphFont"/>
    <w:link w:val="CommentText"/>
    <w:uiPriority w:val="98"/>
    <w:rsid w:val="0003280A"/>
    <w:rPr>
      <w:sz w:val="20"/>
      <w:szCs w:val="20"/>
    </w:rPr>
  </w:style>
  <w:style w:type="paragraph" w:styleId="CommentSubject">
    <w:name w:val="annotation subject"/>
    <w:basedOn w:val="CommentText"/>
    <w:next w:val="CommentText"/>
    <w:link w:val="CommentSubjectChar"/>
    <w:uiPriority w:val="98"/>
    <w:semiHidden/>
    <w:unhideWhenUsed/>
    <w:locked/>
    <w:rsid w:val="0003280A"/>
    <w:rPr>
      <w:b/>
      <w:bCs/>
    </w:rPr>
  </w:style>
  <w:style w:type="character" w:customStyle="1" w:styleId="CommentSubjectChar">
    <w:name w:val="Comment Subject Char"/>
    <w:basedOn w:val="CommentTextChar"/>
    <w:link w:val="CommentSubject"/>
    <w:uiPriority w:val="98"/>
    <w:semiHidden/>
    <w:rsid w:val="0003280A"/>
    <w:rPr>
      <w:b/>
      <w:bCs/>
      <w:sz w:val="20"/>
      <w:szCs w:val="20"/>
    </w:rPr>
  </w:style>
  <w:style w:type="character" w:styleId="UnresolvedMention">
    <w:name w:val="Unresolved Mention"/>
    <w:basedOn w:val="DefaultParagraphFont"/>
    <w:uiPriority w:val="99"/>
    <w:semiHidden/>
    <w:unhideWhenUsed/>
    <w:rsid w:val="009D37D6"/>
    <w:rPr>
      <w:color w:val="605E5C"/>
      <w:shd w:val="clear" w:color="auto" w:fill="E1DFDD"/>
    </w:rPr>
  </w:style>
  <w:style w:type="paragraph" w:styleId="NormalWeb">
    <w:name w:val="Normal (Web)"/>
    <w:basedOn w:val="Normal"/>
    <w:uiPriority w:val="99"/>
    <w:unhideWhenUsed/>
    <w:locked/>
    <w:rsid w:val="003F292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73170692">
      <w:bodyDiv w:val="1"/>
      <w:marLeft w:val="0"/>
      <w:marRight w:val="0"/>
      <w:marTop w:val="0"/>
      <w:marBottom w:val="0"/>
      <w:divBdr>
        <w:top w:val="none" w:sz="0" w:space="0" w:color="auto"/>
        <w:left w:val="none" w:sz="0" w:space="0" w:color="auto"/>
        <w:bottom w:val="none" w:sz="0" w:space="0" w:color="auto"/>
        <w:right w:val="none" w:sz="0" w:space="0" w:color="auto"/>
      </w:divBdr>
    </w:div>
    <w:div w:id="1041174334">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fetyandquality.gov.au/sites/default/files/2020-07/advisory_as1814_comprehensive_care_standard_screening_and_assessment_for_risk_of_harm_july_2020.pdf" TargetMode="External"/><Relationship Id="rId18" Type="http://schemas.openxmlformats.org/officeDocument/2006/relationships/hyperlink" Target="https://www.safetyandquality.gov.au/sites/default/files/2020-07/advisory_as1815_comprehensive_care_standard_developing_the_comprehensive_care_plan_july_2020.pdf" TargetMode="Externa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mailto:communications@safetyandquality.gov.au" TargetMode="External"/><Relationship Id="rId17" Type="http://schemas.openxmlformats.org/officeDocument/2006/relationships/chart" Target="charts/chart3.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hyperlink" Target="http://creativecommons.org/licenses/by-nc-nd/4.0/"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afetyandquality.gov.au/publications-and-resources/resource-library/as1815-comprehensive-care-standard-developing-comprehensive-care-plan" TargetMode="External"/><Relationship Id="rId22" Type="http://schemas.openxmlformats.org/officeDocument/2006/relationships/chart" Target="charts/chart7.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userenv\Users\User_10\MURGOM\Documents\mm%20version%20of%20web%20data%20(005).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Crinol\AppData\Local\Temp\1\7zOCC566A1B\Evaluation%20of%20the%20Comprehensive%20Care%20Standa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Public hospital</c:v>
                </c:pt>
                <c:pt idx="1">
                  <c:v>Private hospital </c:v>
                </c:pt>
                <c:pt idx="2">
                  <c:v>Day procedure</c:v>
                </c:pt>
                <c:pt idx="3">
                  <c:v>Community, Dental &amp; Other</c:v>
                </c:pt>
              </c:strCache>
            </c:strRef>
          </c:cat>
          <c:val>
            <c:numRef>
              <c:f>Sheet1!$B$2:$B$5</c:f>
              <c:numCache>
                <c:formatCode>General</c:formatCode>
                <c:ptCount val="4"/>
                <c:pt idx="0">
                  <c:v>60</c:v>
                </c:pt>
                <c:pt idx="1">
                  <c:v>18</c:v>
                </c:pt>
                <c:pt idx="2">
                  <c:v>12</c:v>
                </c:pt>
                <c:pt idx="3">
                  <c:v>13</c:v>
                </c:pt>
              </c:numCache>
            </c:numRef>
          </c:val>
          <c:extLst>
            <c:ext xmlns:c16="http://schemas.microsoft.com/office/drawing/2014/chart" uri="{C3380CC4-5D6E-409C-BE32-E72D297353CC}">
              <c16:uniqueId val="{00000000-C3B3-449E-91F0-916A6F9D114D}"/>
            </c:ext>
          </c:extLst>
        </c:ser>
        <c:dLbls>
          <c:dLblPos val="outEnd"/>
          <c:showLegendKey val="0"/>
          <c:showVal val="1"/>
          <c:showCatName val="0"/>
          <c:showSerName val="0"/>
          <c:showPercent val="0"/>
          <c:showBubbleSize val="0"/>
        </c:dLbls>
        <c:gapWidth val="219"/>
        <c:overlap val="-27"/>
        <c:axId val="600121248"/>
        <c:axId val="600121904"/>
      </c:barChart>
      <c:catAx>
        <c:axId val="60012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121904"/>
        <c:crosses val="autoZero"/>
        <c:auto val="1"/>
        <c:lblAlgn val="ctr"/>
        <c:lblOffset val="100"/>
        <c:noMultiLvlLbl val="0"/>
      </c:catAx>
      <c:valAx>
        <c:axId val="60012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121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[mm version of web data (005).XLSX]Graph2!PivotTable2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lumMod val="60000"/>
              <a:lumOff val="40000"/>
            </a:schemeClr>
          </a:solidFill>
          <a:ln>
            <a:solidFill>
              <a:sysClr val="windowText" lastClr="000000"/>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rgbClr val="00B050"/>
            </a:solidFill>
            <a:ln w="9525">
              <a:solidFill>
                <a:schemeClr val="accent2"/>
              </a:solidFill>
            </a:ln>
            <a:effectLst/>
          </c:spPr>
        </c:marker>
      </c:pivotFmt>
      <c:pivotFmt>
        <c:idx val="9"/>
        <c:spPr>
          <a:solidFill>
            <a:schemeClr val="accent1"/>
          </a:solidFill>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pivotFmt>
      <c:pivotFmt>
        <c:idx val="10"/>
        <c:spPr>
          <a:solidFill>
            <a:schemeClr val="accent1">
              <a:lumMod val="60000"/>
              <a:lumOff val="40000"/>
            </a:schemeClr>
          </a:solidFill>
          <a:ln>
            <a:solidFill>
              <a:sysClr val="windowText" lastClr="000000"/>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rgbClr val="00B050"/>
            </a:solidFill>
            <a:ln w="9525">
              <a:solidFill>
                <a:schemeClr val="accent2"/>
              </a:solidFill>
            </a:ln>
            <a:effectLst/>
          </c:spPr>
        </c:marker>
      </c:pivotFmt>
      <c:pivotFmt>
        <c:idx val="12"/>
        <c:spPr>
          <a:solidFill>
            <a:schemeClr val="accent1"/>
          </a:solidFill>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pivotFmt>
      <c:pivotFmt>
        <c:idx val="13"/>
        <c:spPr>
          <a:solidFill>
            <a:schemeClr val="accent1">
              <a:lumMod val="60000"/>
              <a:lumOff val="40000"/>
            </a:schemeClr>
          </a:solidFill>
          <a:ln>
            <a:solidFill>
              <a:sysClr val="windowText" lastClr="000000"/>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rgbClr val="00B050"/>
            </a:solidFill>
            <a:ln w="9525">
              <a:solidFill>
                <a:schemeClr val="accent2"/>
              </a:solidFill>
            </a:ln>
            <a:effectLst/>
          </c:spPr>
        </c:marker>
      </c:pivotFmt>
      <c:pivotFmt>
        <c:idx val="15"/>
        <c:spPr>
          <a:solidFill>
            <a:schemeClr val="accent1"/>
          </a:solidFill>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pivotFmt>
    </c:pivotFmts>
    <c:plotArea>
      <c:layout>
        <c:manualLayout>
          <c:layoutTarget val="inner"/>
          <c:xMode val="edge"/>
          <c:yMode val="edge"/>
          <c:x val="7.1554694801449076E-2"/>
          <c:y val="2.1915991002050252E-2"/>
          <c:w val="0.81661938665044131"/>
          <c:h val="0.85302010043077392"/>
        </c:manualLayout>
      </c:layout>
      <c:barChart>
        <c:barDir val="col"/>
        <c:grouping val="clustered"/>
        <c:varyColors val="0"/>
        <c:ser>
          <c:idx val="0"/>
          <c:order val="0"/>
          <c:tx>
            <c:strRef>
              <c:f>Graph2!$B$1</c:f>
              <c:strCache>
                <c:ptCount val="1"/>
                <c:pt idx="0">
                  <c:v>Number of resources</c:v>
                </c:pt>
              </c:strCache>
            </c:strRef>
          </c:tx>
          <c:spPr>
            <a:solidFill>
              <a:schemeClr val="accent1">
                <a:lumMod val="60000"/>
                <a:lumOff val="40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Graph2!$A$2:$A$17</c:f>
              <c:multiLvlStrCache>
                <c:ptCount val="12"/>
                <c:lvl>
                  <c:pt idx="0">
                    <c:v>2017</c:v>
                  </c:pt>
                  <c:pt idx="1">
                    <c:v>2018</c:v>
                  </c:pt>
                  <c:pt idx="2">
                    <c:v>2019</c:v>
                  </c:pt>
                  <c:pt idx="3">
                    <c:v>2020</c:v>
                  </c:pt>
                  <c:pt idx="4">
                    <c:v>2009</c:v>
                  </c:pt>
                  <c:pt idx="5">
                    <c:v>2010</c:v>
                  </c:pt>
                  <c:pt idx="6">
                    <c:v>2015</c:v>
                  </c:pt>
                  <c:pt idx="7">
                    <c:v>2016</c:v>
                  </c:pt>
                  <c:pt idx="8">
                    <c:v>2017</c:v>
                  </c:pt>
                  <c:pt idx="9">
                    <c:v>2018</c:v>
                  </c:pt>
                  <c:pt idx="10">
                    <c:v>2019</c:v>
                  </c:pt>
                  <c:pt idx="11">
                    <c:v>2020</c:v>
                  </c:pt>
                </c:lvl>
                <c:lvl>
                  <c:pt idx="0">
                    <c:v>CCS</c:v>
                  </c:pt>
                  <c:pt idx="1">
                    <c:v>CC resource</c:v>
                  </c:pt>
                  <c:pt idx="4">
                    <c:v>Related resource</c:v>
                  </c:pt>
                </c:lvl>
              </c:multiLvlStrCache>
            </c:multiLvlStrRef>
          </c:cat>
          <c:val>
            <c:numRef>
              <c:f>Graph2!$B$2:$B$17</c:f>
              <c:numCache>
                <c:formatCode>General</c:formatCode>
                <c:ptCount val="12"/>
                <c:pt idx="0">
                  <c:v>1</c:v>
                </c:pt>
                <c:pt idx="1">
                  <c:v>5</c:v>
                </c:pt>
                <c:pt idx="2">
                  <c:v>24</c:v>
                </c:pt>
                <c:pt idx="3">
                  <c:v>20</c:v>
                </c:pt>
                <c:pt idx="4">
                  <c:v>1</c:v>
                </c:pt>
                <c:pt idx="5">
                  <c:v>1</c:v>
                </c:pt>
                <c:pt idx="6">
                  <c:v>4</c:v>
                </c:pt>
                <c:pt idx="7">
                  <c:v>1</c:v>
                </c:pt>
                <c:pt idx="8">
                  <c:v>1</c:v>
                </c:pt>
                <c:pt idx="9">
                  <c:v>1</c:v>
                </c:pt>
                <c:pt idx="10">
                  <c:v>3</c:v>
                </c:pt>
                <c:pt idx="11">
                  <c:v>2</c:v>
                </c:pt>
              </c:numCache>
            </c:numRef>
          </c:val>
          <c:extLst>
            <c:ext xmlns:c16="http://schemas.microsoft.com/office/drawing/2014/chart" uri="{C3380CC4-5D6E-409C-BE32-E72D297353CC}">
              <c16:uniqueId val="{00000000-3A04-40A5-9F49-C48EE32C1874}"/>
            </c:ext>
          </c:extLst>
        </c:ser>
        <c:dLbls>
          <c:showLegendKey val="0"/>
          <c:showVal val="0"/>
          <c:showCatName val="0"/>
          <c:showSerName val="0"/>
          <c:showPercent val="0"/>
          <c:showBubbleSize val="0"/>
        </c:dLbls>
        <c:gapWidth val="219"/>
        <c:axId val="682287968"/>
        <c:axId val="682283704"/>
      </c:barChart>
      <c:lineChart>
        <c:grouping val="standard"/>
        <c:varyColors val="0"/>
        <c:ser>
          <c:idx val="1"/>
          <c:order val="1"/>
          <c:tx>
            <c:strRef>
              <c:f>Graph2!$C$1</c:f>
              <c:strCache>
                <c:ptCount val="1"/>
                <c:pt idx="0">
                  <c:v>Number of downloads</c:v>
                </c:pt>
              </c:strCache>
            </c:strRef>
          </c:tx>
          <c:spPr>
            <a:ln w="28575" cap="rnd">
              <a:solidFill>
                <a:schemeClr val="accent2"/>
              </a:solidFill>
              <a:round/>
            </a:ln>
            <a:effectLst/>
          </c:spPr>
          <c:marker>
            <c:symbol val="circle"/>
            <c:size val="5"/>
            <c:spPr>
              <a:solidFill>
                <a:srgbClr val="00B050"/>
              </a:solidFill>
              <a:ln w="9525">
                <a:solidFill>
                  <a:schemeClr val="accent2"/>
                </a:solidFill>
              </a:ln>
              <a:effectLst/>
            </c:spPr>
          </c:marker>
          <c:cat>
            <c:multiLvlStrRef>
              <c:f>Graph2!$A$2:$A$17</c:f>
              <c:multiLvlStrCache>
                <c:ptCount val="12"/>
                <c:lvl>
                  <c:pt idx="0">
                    <c:v>2017</c:v>
                  </c:pt>
                  <c:pt idx="1">
                    <c:v>2018</c:v>
                  </c:pt>
                  <c:pt idx="2">
                    <c:v>2019</c:v>
                  </c:pt>
                  <c:pt idx="3">
                    <c:v>2020</c:v>
                  </c:pt>
                  <c:pt idx="4">
                    <c:v>2009</c:v>
                  </c:pt>
                  <c:pt idx="5">
                    <c:v>2010</c:v>
                  </c:pt>
                  <c:pt idx="6">
                    <c:v>2015</c:v>
                  </c:pt>
                  <c:pt idx="7">
                    <c:v>2016</c:v>
                  </c:pt>
                  <c:pt idx="8">
                    <c:v>2017</c:v>
                  </c:pt>
                  <c:pt idx="9">
                    <c:v>2018</c:v>
                  </c:pt>
                  <c:pt idx="10">
                    <c:v>2019</c:v>
                  </c:pt>
                  <c:pt idx="11">
                    <c:v>2020</c:v>
                  </c:pt>
                </c:lvl>
                <c:lvl>
                  <c:pt idx="0">
                    <c:v>CCS</c:v>
                  </c:pt>
                  <c:pt idx="1">
                    <c:v>CC resource</c:v>
                  </c:pt>
                  <c:pt idx="4">
                    <c:v>Related resource</c:v>
                  </c:pt>
                </c:lvl>
              </c:multiLvlStrCache>
            </c:multiLvlStrRef>
          </c:cat>
          <c:val>
            <c:numRef>
              <c:f>Graph2!$C$2:$C$17</c:f>
              <c:numCache>
                <c:formatCode>General</c:formatCode>
                <c:ptCount val="12"/>
                <c:pt idx="1">
                  <c:v>4234</c:v>
                </c:pt>
                <c:pt idx="2">
                  <c:v>8667</c:v>
                </c:pt>
                <c:pt idx="3">
                  <c:v>529</c:v>
                </c:pt>
                <c:pt idx="5">
                  <c:v>6870</c:v>
                </c:pt>
                <c:pt idx="6">
                  <c:v>4653</c:v>
                </c:pt>
                <c:pt idx="7">
                  <c:v>378</c:v>
                </c:pt>
                <c:pt idx="8">
                  <c:v>2359</c:v>
                </c:pt>
                <c:pt idx="9">
                  <c:v>842</c:v>
                </c:pt>
                <c:pt idx="10">
                  <c:v>259</c:v>
                </c:pt>
              </c:numCache>
            </c:numRef>
          </c:val>
          <c:smooth val="0"/>
          <c:extLst>
            <c:ext xmlns:c16="http://schemas.microsoft.com/office/drawing/2014/chart" uri="{C3380CC4-5D6E-409C-BE32-E72D297353CC}">
              <c16:uniqueId val="{00000001-3A04-40A5-9F49-C48EE32C1874}"/>
            </c:ext>
          </c:extLst>
        </c:ser>
        <c:ser>
          <c:idx val="2"/>
          <c:order val="2"/>
          <c:tx>
            <c:strRef>
              <c:f>Graph2!$D$1</c:f>
              <c:strCache>
                <c:ptCount val="1"/>
                <c:pt idx="0">
                  <c:v>Number of views</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multiLvlStrRef>
              <c:f>Graph2!$A$2:$A$17</c:f>
              <c:multiLvlStrCache>
                <c:ptCount val="12"/>
                <c:lvl>
                  <c:pt idx="0">
                    <c:v>2017</c:v>
                  </c:pt>
                  <c:pt idx="1">
                    <c:v>2018</c:v>
                  </c:pt>
                  <c:pt idx="2">
                    <c:v>2019</c:v>
                  </c:pt>
                  <c:pt idx="3">
                    <c:v>2020</c:v>
                  </c:pt>
                  <c:pt idx="4">
                    <c:v>2009</c:v>
                  </c:pt>
                  <c:pt idx="5">
                    <c:v>2010</c:v>
                  </c:pt>
                  <c:pt idx="6">
                    <c:v>2015</c:v>
                  </c:pt>
                  <c:pt idx="7">
                    <c:v>2016</c:v>
                  </c:pt>
                  <c:pt idx="8">
                    <c:v>2017</c:v>
                  </c:pt>
                  <c:pt idx="9">
                    <c:v>2018</c:v>
                  </c:pt>
                  <c:pt idx="10">
                    <c:v>2019</c:v>
                  </c:pt>
                  <c:pt idx="11">
                    <c:v>2020</c:v>
                  </c:pt>
                </c:lvl>
                <c:lvl>
                  <c:pt idx="0">
                    <c:v>CCS</c:v>
                  </c:pt>
                  <c:pt idx="1">
                    <c:v>CC resource</c:v>
                  </c:pt>
                  <c:pt idx="4">
                    <c:v>Related resource</c:v>
                  </c:pt>
                </c:lvl>
              </c:multiLvlStrCache>
            </c:multiLvlStrRef>
          </c:cat>
          <c:val>
            <c:numRef>
              <c:f>Graph2!$D$2:$D$17</c:f>
              <c:numCache>
                <c:formatCode>General</c:formatCode>
                <c:ptCount val="12"/>
                <c:pt idx="0">
                  <c:v>277889</c:v>
                </c:pt>
                <c:pt idx="1">
                  <c:v>987</c:v>
                </c:pt>
                <c:pt idx="2">
                  <c:v>490</c:v>
                </c:pt>
                <c:pt idx="3">
                  <c:v>17649</c:v>
                </c:pt>
                <c:pt idx="4">
                  <c:v>12176</c:v>
                </c:pt>
                <c:pt idx="6">
                  <c:v>2307</c:v>
                </c:pt>
                <c:pt idx="7">
                  <c:v>108</c:v>
                </c:pt>
                <c:pt idx="8">
                  <c:v>2584</c:v>
                </c:pt>
                <c:pt idx="11">
                  <c:v>2367</c:v>
                </c:pt>
              </c:numCache>
            </c:numRef>
          </c:val>
          <c:smooth val="0"/>
          <c:extLst>
            <c:ext xmlns:c16="http://schemas.microsoft.com/office/drawing/2014/chart" uri="{C3380CC4-5D6E-409C-BE32-E72D297353CC}">
              <c16:uniqueId val="{00000002-3A04-40A5-9F49-C48EE32C1874}"/>
            </c:ext>
          </c:extLst>
        </c:ser>
        <c:dLbls>
          <c:showLegendKey val="0"/>
          <c:showVal val="0"/>
          <c:showCatName val="0"/>
          <c:showSerName val="0"/>
          <c:showPercent val="0"/>
          <c:showBubbleSize val="0"/>
        </c:dLbls>
        <c:marker val="1"/>
        <c:smooth val="0"/>
        <c:axId val="680780624"/>
        <c:axId val="680779640"/>
      </c:lineChart>
      <c:catAx>
        <c:axId val="68228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283704"/>
        <c:crosses val="autoZero"/>
        <c:auto val="1"/>
        <c:lblAlgn val="ctr"/>
        <c:lblOffset val="100"/>
        <c:noMultiLvlLbl val="0"/>
      </c:catAx>
      <c:valAx>
        <c:axId val="682283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a:t>Number</a:t>
                </a:r>
                <a:r>
                  <a:rPr lang="en-AU" sz="1400" baseline="0"/>
                  <a:t> </a:t>
                </a:r>
                <a:r>
                  <a:rPr lang="en-AU" sz="1400"/>
                  <a:t>of resources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287968"/>
        <c:crosses val="autoZero"/>
        <c:crossBetween val="between"/>
      </c:valAx>
      <c:valAx>
        <c:axId val="6807796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a:t>Number</a:t>
                </a:r>
                <a:r>
                  <a:rPr lang="en-AU" sz="1400" baseline="0"/>
                  <a:t> or views/downloads</a:t>
                </a:r>
                <a:endParaRPr lang="en-AU" sz="14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780624"/>
        <c:crosses val="max"/>
        <c:crossBetween val="between"/>
      </c:valAx>
      <c:catAx>
        <c:axId val="680780624"/>
        <c:scaling>
          <c:orientation val="minMax"/>
        </c:scaling>
        <c:delete val="1"/>
        <c:axPos val="b"/>
        <c:numFmt formatCode="General" sourceLinked="1"/>
        <c:majorTickMark val="out"/>
        <c:minorTickMark val="none"/>
        <c:tickLblPos val="nextTo"/>
        <c:crossAx val="680779640"/>
        <c:crosses val="autoZero"/>
        <c:auto val="1"/>
        <c:lblAlgn val="ctr"/>
        <c:lblOffset val="100"/>
        <c:noMultiLvlLbl val="0"/>
      </c:catAx>
      <c:spPr>
        <a:noFill/>
        <a:ln>
          <a:noFill/>
        </a:ln>
        <a:effectLst/>
      </c:spPr>
    </c:plotArea>
    <c:legend>
      <c:legendPos val="b"/>
      <c:layout>
        <c:manualLayout>
          <c:xMode val="edge"/>
          <c:yMode val="edge"/>
          <c:x val="2.3867955479621651E-2"/>
          <c:y val="0.94928190794332512"/>
          <c:w val="0.94042492909026942"/>
          <c:h val="4.85754695170875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Preference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Fact sheets </c:v>
                </c:pt>
                <c:pt idx="1">
                  <c:v>Case Studies</c:v>
                </c:pt>
                <c:pt idx="2">
                  <c:v>e-Learning Guide</c:v>
                </c:pt>
                <c:pt idx="3">
                  <c:v>Train-the-Trainer resources</c:v>
                </c:pt>
                <c:pt idx="4">
                  <c:v>Podcasts</c:v>
                </c:pt>
                <c:pt idx="5">
                  <c:v>Videos</c:v>
                </c:pt>
                <c:pt idx="6">
                  <c:v>Templates</c:v>
                </c:pt>
                <c:pt idx="7">
                  <c:v>Community of practice</c:v>
                </c:pt>
              </c:strCache>
            </c:strRef>
          </c:cat>
          <c:val>
            <c:numRef>
              <c:f>Sheet1!$B$2:$B$9</c:f>
              <c:numCache>
                <c:formatCode>0.00%</c:formatCode>
                <c:ptCount val="8"/>
                <c:pt idx="0">
                  <c:v>0.57350000000000001</c:v>
                </c:pt>
                <c:pt idx="1">
                  <c:v>0.61760000000000004</c:v>
                </c:pt>
                <c:pt idx="2">
                  <c:v>0.48530000000000001</c:v>
                </c:pt>
                <c:pt idx="3">
                  <c:v>0.39710000000000001</c:v>
                </c:pt>
                <c:pt idx="4">
                  <c:v>0.17649999999999999</c:v>
                </c:pt>
                <c:pt idx="5">
                  <c:v>0.36759999999999998</c:v>
                </c:pt>
                <c:pt idx="6">
                  <c:v>0.67649999999999999</c:v>
                </c:pt>
                <c:pt idx="7">
                  <c:v>0.27939999999999998</c:v>
                </c:pt>
              </c:numCache>
            </c:numRef>
          </c:val>
          <c:extLst>
            <c:ext xmlns:c16="http://schemas.microsoft.com/office/drawing/2014/chart" uri="{C3380CC4-5D6E-409C-BE32-E72D297353CC}">
              <c16:uniqueId val="{00000000-6F9B-457F-B514-DAC4909671ED}"/>
            </c:ext>
          </c:extLst>
        </c:ser>
        <c:dLbls>
          <c:dLblPos val="inEnd"/>
          <c:showLegendKey val="0"/>
          <c:showVal val="1"/>
          <c:showCatName val="0"/>
          <c:showSerName val="0"/>
          <c:showPercent val="0"/>
          <c:showBubbleSize val="0"/>
        </c:dLbls>
        <c:gapWidth val="182"/>
        <c:axId val="523665456"/>
        <c:axId val="523665784"/>
      </c:barChart>
      <c:catAx>
        <c:axId val="523665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665784"/>
        <c:crosses val="autoZero"/>
        <c:auto val="1"/>
        <c:lblAlgn val="ctr"/>
        <c:lblOffset val="100"/>
        <c:noMultiLvlLbl val="0"/>
      </c:catAx>
      <c:valAx>
        <c:axId val="523665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66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 of services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Metro</c:v>
                </c:pt>
                <c:pt idx="1">
                  <c:v>Regional</c:v>
                </c:pt>
                <c:pt idx="2">
                  <c:v>Rural </c:v>
                </c:pt>
                <c:pt idx="3">
                  <c:v>Remote</c:v>
                </c:pt>
              </c:strCache>
            </c:strRef>
          </c:cat>
          <c:val>
            <c:numRef>
              <c:f>Sheet1!$B$2:$B$5</c:f>
              <c:numCache>
                <c:formatCode>General</c:formatCode>
                <c:ptCount val="4"/>
                <c:pt idx="0">
                  <c:v>52</c:v>
                </c:pt>
                <c:pt idx="1">
                  <c:v>33</c:v>
                </c:pt>
                <c:pt idx="2">
                  <c:v>12</c:v>
                </c:pt>
                <c:pt idx="3">
                  <c:v>6</c:v>
                </c:pt>
              </c:numCache>
            </c:numRef>
          </c:val>
          <c:extLst>
            <c:ext xmlns:c16="http://schemas.microsoft.com/office/drawing/2014/chart" uri="{C3380CC4-5D6E-409C-BE32-E72D297353CC}">
              <c16:uniqueId val="{00000000-905E-4815-AFBD-8D1970B35DA7}"/>
            </c:ext>
          </c:extLst>
        </c:ser>
        <c:dLbls>
          <c:dLblPos val="outEnd"/>
          <c:showLegendKey val="0"/>
          <c:showVal val="1"/>
          <c:showCatName val="0"/>
          <c:showSerName val="0"/>
          <c:showPercent val="0"/>
          <c:showBubbleSize val="0"/>
        </c:dLbls>
        <c:gapWidth val="219"/>
        <c:overlap val="-27"/>
        <c:axId val="258850936"/>
        <c:axId val="258852248"/>
      </c:barChart>
      <c:catAx>
        <c:axId val="258850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852248"/>
        <c:crosses val="autoZero"/>
        <c:auto val="1"/>
        <c:lblAlgn val="ctr"/>
        <c:lblOffset val="100"/>
        <c:noMultiLvlLbl val="0"/>
      </c:catAx>
      <c:valAx>
        <c:axId val="258852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850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State 1</c:v>
                </c:pt>
                <c:pt idx="1">
                  <c:v>State 2</c:v>
                </c:pt>
                <c:pt idx="2">
                  <c:v>State 3</c:v>
                </c:pt>
                <c:pt idx="3">
                  <c:v>State 4</c:v>
                </c:pt>
                <c:pt idx="4">
                  <c:v>State 5</c:v>
                </c:pt>
                <c:pt idx="5">
                  <c:v>State 6</c:v>
                </c:pt>
                <c:pt idx="6">
                  <c:v>State 7</c:v>
                </c:pt>
                <c:pt idx="7">
                  <c:v>State 8</c:v>
                </c:pt>
              </c:strCache>
            </c:strRef>
          </c:cat>
          <c:val>
            <c:numRef>
              <c:f>Sheet1!$B$2:$B$9</c:f>
              <c:numCache>
                <c:formatCode>General</c:formatCode>
                <c:ptCount val="8"/>
                <c:pt idx="0">
                  <c:v>38</c:v>
                </c:pt>
                <c:pt idx="1">
                  <c:v>25</c:v>
                </c:pt>
                <c:pt idx="2">
                  <c:v>17</c:v>
                </c:pt>
                <c:pt idx="3">
                  <c:v>11</c:v>
                </c:pt>
                <c:pt idx="4">
                  <c:v>9</c:v>
                </c:pt>
                <c:pt idx="5">
                  <c:v>3</c:v>
                </c:pt>
                <c:pt idx="6">
                  <c:v>0</c:v>
                </c:pt>
                <c:pt idx="7">
                  <c:v>0</c:v>
                </c:pt>
              </c:numCache>
            </c:numRef>
          </c:val>
          <c:extLst>
            <c:ext xmlns:c16="http://schemas.microsoft.com/office/drawing/2014/chart" uri="{C3380CC4-5D6E-409C-BE32-E72D297353CC}">
              <c16:uniqueId val="{00000000-259B-4D2F-9877-BC43FB66E408}"/>
            </c:ext>
          </c:extLst>
        </c:ser>
        <c:dLbls>
          <c:dLblPos val="outEnd"/>
          <c:showLegendKey val="0"/>
          <c:showVal val="1"/>
          <c:showCatName val="0"/>
          <c:showSerName val="0"/>
          <c:showPercent val="0"/>
          <c:showBubbleSize val="0"/>
        </c:dLbls>
        <c:gapWidth val="219"/>
        <c:overlap val="-27"/>
        <c:axId val="552316056"/>
        <c:axId val="552313432"/>
      </c:barChart>
      <c:catAx>
        <c:axId val="55231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313432"/>
        <c:crosses val="autoZero"/>
        <c:auto val="1"/>
        <c:lblAlgn val="ctr"/>
        <c:lblOffset val="100"/>
        <c:noMultiLvlLbl val="0"/>
      </c:catAx>
      <c:valAx>
        <c:axId val="552313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316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Difficulty</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Criterion 1</c:v>
                </c:pt>
                <c:pt idx="1">
                  <c:v>Criterion 2</c:v>
                </c:pt>
                <c:pt idx="2">
                  <c:v>Criterion 3</c:v>
                </c:pt>
                <c:pt idx="3">
                  <c:v>Criterion 4</c:v>
                </c:pt>
              </c:strCache>
            </c:strRef>
          </c:cat>
          <c:val>
            <c:numRef>
              <c:f>Sheet1!$B$2:$B$5</c:f>
              <c:numCache>
                <c:formatCode>0.00%</c:formatCode>
                <c:ptCount val="4"/>
                <c:pt idx="0">
                  <c:v>0.125</c:v>
                </c:pt>
                <c:pt idx="1">
                  <c:v>0.57499999999999996</c:v>
                </c:pt>
                <c:pt idx="2">
                  <c:v>0.13750000000000001</c:v>
                </c:pt>
                <c:pt idx="3">
                  <c:v>0.16250000000000001</c:v>
                </c:pt>
              </c:numCache>
            </c:numRef>
          </c:val>
          <c:extLst>
            <c:ext xmlns:c16="http://schemas.microsoft.com/office/drawing/2014/chart" uri="{C3380CC4-5D6E-409C-BE32-E72D297353CC}">
              <c16:uniqueId val="{00000000-9663-41DF-8A75-F0758984097B}"/>
            </c:ext>
          </c:extLst>
        </c:ser>
        <c:dLbls>
          <c:showLegendKey val="0"/>
          <c:showVal val="1"/>
          <c:showCatName val="0"/>
          <c:showSerName val="0"/>
          <c:showPercent val="0"/>
          <c:showBubbleSize val="0"/>
        </c:dLbls>
        <c:gapWidth val="150"/>
        <c:axId val="452195664"/>
        <c:axId val="452171720"/>
      </c:barChart>
      <c:catAx>
        <c:axId val="45219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171720"/>
        <c:crosses val="autoZero"/>
        <c:auto val="1"/>
        <c:lblAlgn val="ctr"/>
        <c:lblOffset val="100"/>
        <c:noMultiLvlLbl val="0"/>
      </c:catAx>
      <c:valAx>
        <c:axId val="452171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19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Integrating clinical governance</c:v>
                </c:pt>
                <c:pt idx="1">
                  <c:v>Applying quality improvement systems</c:v>
                </c:pt>
                <c:pt idx="2">
                  <c:v>Partnering with consumers</c:v>
                </c:pt>
                <c:pt idx="3">
                  <c:v>Designing systems to deliver comprehensive care</c:v>
                </c:pt>
                <c:pt idx="4">
                  <c:v>Collaboration and teamwork</c:v>
                </c:pt>
              </c:strCache>
            </c:strRef>
          </c:cat>
          <c:val>
            <c:numRef>
              <c:f>Sheet1!$B$2:$B$6</c:f>
              <c:numCache>
                <c:formatCode>General</c:formatCode>
                <c:ptCount val="5"/>
                <c:pt idx="0">
                  <c:v>60</c:v>
                </c:pt>
                <c:pt idx="1">
                  <c:v>60</c:v>
                </c:pt>
                <c:pt idx="2">
                  <c:v>50</c:v>
                </c:pt>
                <c:pt idx="3">
                  <c:v>60</c:v>
                </c:pt>
                <c:pt idx="4">
                  <c:v>60</c:v>
                </c:pt>
              </c:numCache>
            </c:numRef>
          </c:val>
          <c:extLst>
            <c:ext xmlns:c16="http://schemas.microsoft.com/office/drawing/2014/chart" uri="{C3380CC4-5D6E-409C-BE32-E72D297353CC}">
              <c16:uniqueId val="{00000000-3954-4718-9361-F6682508FA68}"/>
            </c:ext>
          </c:extLst>
        </c:ser>
        <c:dLbls>
          <c:dLblPos val="outEnd"/>
          <c:showLegendKey val="0"/>
          <c:showVal val="1"/>
          <c:showCatName val="0"/>
          <c:showSerName val="0"/>
          <c:showPercent val="0"/>
          <c:showBubbleSize val="0"/>
        </c:dLbls>
        <c:gapWidth val="219"/>
        <c:overlap val="-27"/>
        <c:axId val="615368344"/>
        <c:axId val="615372280"/>
      </c:barChart>
      <c:catAx>
        <c:axId val="61536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72280"/>
        <c:crosses val="autoZero"/>
        <c:auto val="1"/>
        <c:lblAlgn val="ctr"/>
        <c:lblOffset val="100"/>
        <c:noMultiLvlLbl val="0"/>
      </c:catAx>
      <c:valAx>
        <c:axId val="61537228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68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Planning for comprehensive care</c:v>
                </c:pt>
                <c:pt idx="1">
                  <c:v>Screening of risk</c:v>
                </c:pt>
                <c:pt idx="2">
                  <c:v>Clinical assessment</c:v>
                </c:pt>
                <c:pt idx="3">
                  <c:v>Developing the comprehensive care plan</c:v>
                </c:pt>
              </c:strCache>
            </c:strRef>
          </c:cat>
          <c:val>
            <c:numRef>
              <c:f>Sheet1!$B$2:$B$5</c:f>
              <c:numCache>
                <c:formatCode>General</c:formatCode>
                <c:ptCount val="4"/>
                <c:pt idx="0">
                  <c:v>27.91</c:v>
                </c:pt>
                <c:pt idx="1">
                  <c:v>30.23</c:v>
                </c:pt>
                <c:pt idx="2">
                  <c:v>13.95</c:v>
                </c:pt>
                <c:pt idx="3">
                  <c:v>83.72</c:v>
                </c:pt>
              </c:numCache>
            </c:numRef>
          </c:val>
          <c:extLst>
            <c:ext xmlns:c16="http://schemas.microsoft.com/office/drawing/2014/chart" uri="{C3380CC4-5D6E-409C-BE32-E72D297353CC}">
              <c16:uniqueId val="{00000000-5C32-41FD-AF04-1AB9F7F69544}"/>
            </c:ext>
          </c:extLst>
        </c:ser>
        <c:dLbls>
          <c:dLblPos val="outEnd"/>
          <c:showLegendKey val="0"/>
          <c:showVal val="1"/>
          <c:showCatName val="0"/>
          <c:showSerName val="0"/>
          <c:showPercent val="0"/>
          <c:showBubbleSize val="0"/>
        </c:dLbls>
        <c:gapWidth val="219"/>
        <c:overlap val="-27"/>
        <c:axId val="615368344"/>
        <c:axId val="615372280"/>
      </c:barChart>
      <c:catAx>
        <c:axId val="61536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72280"/>
        <c:crosses val="autoZero"/>
        <c:auto val="1"/>
        <c:lblAlgn val="ctr"/>
        <c:lblOffset val="100"/>
        <c:noMultiLvlLbl val="0"/>
      </c:catAx>
      <c:valAx>
        <c:axId val="61537228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68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Using the comprehensive care plan</c:v>
                </c:pt>
                <c:pt idx="1">
                  <c:v>Comprehensive care at the end of life</c:v>
                </c:pt>
              </c:strCache>
            </c:strRef>
          </c:cat>
          <c:val>
            <c:numRef>
              <c:f>Sheet1!$B$2:$B$3</c:f>
              <c:numCache>
                <c:formatCode>General</c:formatCode>
                <c:ptCount val="2"/>
                <c:pt idx="0">
                  <c:v>66.67</c:v>
                </c:pt>
                <c:pt idx="1">
                  <c:v>44.44</c:v>
                </c:pt>
              </c:numCache>
            </c:numRef>
          </c:val>
          <c:extLst>
            <c:ext xmlns:c16="http://schemas.microsoft.com/office/drawing/2014/chart" uri="{C3380CC4-5D6E-409C-BE32-E72D297353CC}">
              <c16:uniqueId val="{00000000-B185-429C-B6CB-EC6D0AA0DB93}"/>
            </c:ext>
          </c:extLst>
        </c:ser>
        <c:dLbls>
          <c:dLblPos val="outEnd"/>
          <c:showLegendKey val="0"/>
          <c:showVal val="1"/>
          <c:showCatName val="0"/>
          <c:showSerName val="0"/>
          <c:showPercent val="0"/>
          <c:showBubbleSize val="0"/>
        </c:dLbls>
        <c:gapWidth val="219"/>
        <c:overlap val="-27"/>
        <c:axId val="615368344"/>
        <c:axId val="615372280"/>
      </c:barChart>
      <c:catAx>
        <c:axId val="61536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72280"/>
        <c:crosses val="autoZero"/>
        <c:auto val="1"/>
        <c:lblAlgn val="ctr"/>
        <c:lblOffset val="100"/>
        <c:noMultiLvlLbl val="0"/>
      </c:catAx>
      <c:valAx>
        <c:axId val="61537228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68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Pressure injuries </c:v>
                </c:pt>
                <c:pt idx="1">
                  <c:v>Falls</c:v>
                </c:pt>
                <c:pt idx="2">
                  <c:v>Nutrition and hydration</c:v>
                </c:pt>
                <c:pt idx="3">
                  <c:v>Delirium &amp; CI</c:v>
                </c:pt>
                <c:pt idx="4">
                  <c:v>Self-harm and sucicide</c:v>
                </c:pt>
                <c:pt idx="5">
                  <c:v>Aggression and voilence</c:v>
                </c:pt>
                <c:pt idx="6">
                  <c:v>Restraint </c:v>
                </c:pt>
                <c:pt idx="7">
                  <c:v>Seclusion </c:v>
                </c:pt>
              </c:strCache>
            </c:strRef>
          </c:cat>
          <c:val>
            <c:numRef>
              <c:f>Sheet1!$B$2:$B$9</c:f>
              <c:numCache>
                <c:formatCode>General</c:formatCode>
                <c:ptCount val="8"/>
                <c:pt idx="0">
                  <c:v>25</c:v>
                </c:pt>
                <c:pt idx="1">
                  <c:v>41.67</c:v>
                </c:pt>
                <c:pt idx="2">
                  <c:v>16.670000000000002</c:v>
                </c:pt>
                <c:pt idx="3">
                  <c:v>58.33</c:v>
                </c:pt>
                <c:pt idx="4">
                  <c:v>16.670000000000002</c:v>
                </c:pt>
                <c:pt idx="5">
                  <c:v>33.33</c:v>
                </c:pt>
                <c:pt idx="6">
                  <c:v>0</c:v>
                </c:pt>
                <c:pt idx="7">
                  <c:v>0</c:v>
                </c:pt>
              </c:numCache>
            </c:numRef>
          </c:val>
          <c:extLst>
            <c:ext xmlns:c16="http://schemas.microsoft.com/office/drawing/2014/chart" uri="{C3380CC4-5D6E-409C-BE32-E72D297353CC}">
              <c16:uniqueId val="{00000000-DC17-4ECF-8AE0-0566AFE3ED7A}"/>
            </c:ext>
          </c:extLst>
        </c:ser>
        <c:dLbls>
          <c:dLblPos val="outEnd"/>
          <c:showLegendKey val="0"/>
          <c:showVal val="1"/>
          <c:showCatName val="0"/>
          <c:showSerName val="0"/>
          <c:showPercent val="0"/>
          <c:showBubbleSize val="0"/>
        </c:dLbls>
        <c:gapWidth val="219"/>
        <c:overlap val="-27"/>
        <c:axId val="615368344"/>
        <c:axId val="615372280"/>
      </c:barChart>
      <c:catAx>
        <c:axId val="61536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72280"/>
        <c:crosses val="autoZero"/>
        <c:auto val="1"/>
        <c:lblAlgn val="ctr"/>
        <c:lblOffset val="100"/>
        <c:noMultiLvlLbl val="0"/>
      </c:catAx>
      <c:valAx>
        <c:axId val="61537228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68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6"/>
          <c:order val="6"/>
          <c:tx>
            <c:strRef>
              <c:f>'Question 18'!$H$3</c:f>
              <c:strCache>
                <c:ptCount val="1"/>
                <c:pt idx="0">
                  <c:v>Usefulness (combined)</c:v>
                </c:pt>
              </c:strCache>
            </c:strRef>
          </c:tx>
          <c:invertIfNegative val="0"/>
          <c:cat>
            <c:strRef>
              <c:f>'Question 18'!$A$4:$A$12</c:f>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f>'Question 18'!$H$4:$H$12</c:f>
              <c:numCache>
                <c:formatCode>0.00%</c:formatCode>
                <c:ptCount val="9"/>
                <c:pt idx="0">
                  <c:v>0.8234999999999999</c:v>
                </c:pt>
                <c:pt idx="1">
                  <c:v>0.39680000000000004</c:v>
                </c:pt>
                <c:pt idx="2">
                  <c:v>0.30299999999999999</c:v>
                </c:pt>
                <c:pt idx="3">
                  <c:v>0.8841</c:v>
                </c:pt>
                <c:pt idx="4">
                  <c:v>0.78790000000000004</c:v>
                </c:pt>
                <c:pt idx="5">
                  <c:v>0.71009999999999995</c:v>
                </c:pt>
                <c:pt idx="6">
                  <c:v>0.57969999999999999</c:v>
                </c:pt>
                <c:pt idx="7">
                  <c:v>0.43469999999999998</c:v>
                </c:pt>
                <c:pt idx="8">
                  <c:v>0.56519999999999992</c:v>
                </c:pt>
              </c:numCache>
            </c:numRef>
          </c:val>
          <c:extLst>
            <c:ext xmlns:c16="http://schemas.microsoft.com/office/drawing/2014/chart" uri="{C3380CC4-5D6E-409C-BE32-E72D297353CC}">
              <c16:uniqueId val="{00000000-8D7F-46E5-A6CF-BCE106FC4470}"/>
            </c:ext>
          </c:extLst>
        </c:ser>
        <c:ser>
          <c:idx val="11"/>
          <c:order val="11"/>
          <c:tx>
            <c:strRef>
              <c:f>'Question 18'!$M$3</c:f>
              <c:strCache>
                <c:ptCount val="1"/>
                <c:pt idx="0">
                  <c:v>Not useful (combined)</c:v>
                </c:pt>
              </c:strCache>
            </c:strRef>
          </c:tx>
          <c:invertIfNegative val="0"/>
          <c:cat>
            <c:strRef>
              <c:f>'Question 18'!$A$4:$A$12</c:f>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f>'Question 18'!$M$4:$M$12</c:f>
              <c:numCache>
                <c:formatCode>0.0000%</c:formatCode>
                <c:ptCount val="9"/>
                <c:pt idx="0">
                  <c:v>8.8200000000000001E-2</c:v>
                </c:pt>
                <c:pt idx="1">
                  <c:v>7.9399999999999998E-2</c:v>
                </c:pt>
                <c:pt idx="2">
                  <c:v>6.0699999999999997E-2</c:v>
                </c:pt>
                <c:pt idx="3">
                  <c:v>4.3499999999999997E-2</c:v>
                </c:pt>
                <c:pt idx="4">
                  <c:v>9.1000000000000011E-2</c:v>
                </c:pt>
                <c:pt idx="5">
                  <c:v>8.7000000000000008E-2</c:v>
                </c:pt>
                <c:pt idx="6">
                  <c:v>8.7000000000000008E-2</c:v>
                </c:pt>
                <c:pt idx="7">
                  <c:v>4.3500000000000004E-2</c:v>
                </c:pt>
                <c:pt idx="8">
                  <c:v>5.7999999999999996E-2</c:v>
                </c:pt>
              </c:numCache>
            </c:numRef>
          </c:val>
          <c:extLst>
            <c:ext xmlns:c16="http://schemas.microsoft.com/office/drawing/2014/chart" uri="{C3380CC4-5D6E-409C-BE32-E72D297353CC}">
              <c16:uniqueId val="{00000001-8D7F-46E5-A6CF-BCE106FC4470}"/>
            </c:ext>
          </c:extLst>
        </c:ser>
        <c:ser>
          <c:idx val="16"/>
          <c:order val="16"/>
          <c:tx>
            <c:strRef>
              <c:f>'Question 18'!$R$3</c:f>
              <c:strCache>
                <c:ptCount val="1"/>
                <c:pt idx="0">
                  <c:v>Not aware (combined)</c:v>
                </c:pt>
              </c:strCache>
            </c:strRef>
          </c:tx>
          <c:invertIfNegative val="0"/>
          <c:cat>
            <c:strRef>
              <c:f>'Question 18'!$A$4:$A$12</c:f>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f>'Question 18'!$R$4:$R$12</c:f>
              <c:numCache>
                <c:formatCode>0.00%</c:formatCode>
                <c:ptCount val="9"/>
                <c:pt idx="0">
                  <c:v>8.8200000000000001E-2</c:v>
                </c:pt>
                <c:pt idx="1">
                  <c:v>0.52380000000000004</c:v>
                </c:pt>
                <c:pt idx="2">
                  <c:v>0.63639999999999997</c:v>
                </c:pt>
                <c:pt idx="3">
                  <c:v>7.2499999999999995E-2</c:v>
                </c:pt>
                <c:pt idx="4">
                  <c:v>0.12130000000000001</c:v>
                </c:pt>
                <c:pt idx="5">
                  <c:v>0.20289999999999997</c:v>
                </c:pt>
                <c:pt idx="6">
                  <c:v>0.33329999999999999</c:v>
                </c:pt>
                <c:pt idx="7">
                  <c:v>0.52180000000000004</c:v>
                </c:pt>
                <c:pt idx="8">
                  <c:v>0.37680000000000002</c:v>
                </c:pt>
              </c:numCache>
            </c:numRef>
          </c:val>
          <c:extLst>
            <c:ext xmlns:c16="http://schemas.microsoft.com/office/drawing/2014/chart" uri="{C3380CC4-5D6E-409C-BE32-E72D297353CC}">
              <c16:uniqueId val="{00000002-8D7F-46E5-A6CF-BCE106FC4470}"/>
            </c:ext>
          </c:extLst>
        </c:ser>
        <c:dLbls>
          <c:showLegendKey val="0"/>
          <c:showVal val="0"/>
          <c:showCatName val="0"/>
          <c:showSerName val="0"/>
          <c:showPercent val="0"/>
          <c:showBubbleSize val="0"/>
        </c:dLbls>
        <c:gapWidth val="150"/>
        <c:overlap val="100"/>
        <c:axId val="10"/>
        <c:axId val="100"/>
        <c:extLst>
          <c:ext xmlns:c15="http://schemas.microsoft.com/office/drawing/2012/chart" uri="{02D57815-91ED-43cb-92C2-25804820EDAC}">
            <c15:filteredBarSeries>
              <c15:ser>
                <c:idx val="0"/>
                <c:order val="0"/>
                <c:tx>
                  <c:strRef>
                    <c:extLst>
                      <c:ext uri="{02D57815-91ED-43cb-92C2-25804820EDAC}">
                        <c15:formulaRef>
                          <c15:sqref>'Question 18'!$B$3</c15:sqref>
                        </c15:formulaRef>
                      </c:ext>
                    </c:extLst>
                    <c:strCache>
                      <c:ptCount val="1"/>
                      <c:pt idx="0">
                        <c:v>Extremely useful</c:v>
                      </c:pt>
                    </c:strCache>
                  </c:strRef>
                </c:tx>
                <c:spPr>
                  <a:solidFill>
                    <a:srgbClr val="00BF6F"/>
                  </a:solidFill>
                  <a:ln>
                    <a:prstDash val="solid"/>
                  </a:ln>
                </c:spPr>
                <c:invertIfNegative val="0"/>
                <c:cat>
                  <c:strRef>
                    <c:extLst>
                      <c:ex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c:ext uri="{02D57815-91ED-43cb-92C2-25804820EDAC}">
                        <c15:formulaRef>
                          <c15:sqref>'Question 18'!$B$4:$B$12</c15:sqref>
                        </c15:formulaRef>
                      </c:ext>
                    </c:extLst>
                    <c:numCache>
                      <c:formatCode>0.00%</c:formatCode>
                      <c:ptCount val="9"/>
                      <c:pt idx="0">
                        <c:v>0.22059999999999999</c:v>
                      </c:pt>
                      <c:pt idx="1">
                        <c:v>9.5199999999999993E-2</c:v>
                      </c:pt>
                      <c:pt idx="2">
                        <c:v>9.0899999999999995E-2</c:v>
                      </c:pt>
                      <c:pt idx="3">
                        <c:v>0.27539999999999998</c:v>
                      </c:pt>
                      <c:pt idx="4">
                        <c:v>0.1515</c:v>
                      </c:pt>
                      <c:pt idx="5">
                        <c:v>0.1159</c:v>
                      </c:pt>
                      <c:pt idx="6">
                        <c:v>0.13039999999999999</c:v>
                      </c:pt>
                      <c:pt idx="7">
                        <c:v>0.1014</c:v>
                      </c:pt>
                      <c:pt idx="8">
                        <c:v>0.1014</c:v>
                      </c:pt>
                    </c:numCache>
                  </c:numRef>
                </c:val>
                <c:extLst>
                  <c:ext xmlns:c16="http://schemas.microsoft.com/office/drawing/2014/chart" uri="{C3380CC4-5D6E-409C-BE32-E72D297353CC}">
                    <c16:uniqueId val="{00000003-8D7F-46E5-A6CF-BCE106FC447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'Question 18'!$C$3</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18'!$C$4:$C$12</c15:sqref>
                        </c15:formulaRef>
                      </c:ext>
                    </c:extLst>
                    <c:numCache>
                      <c:formatCode>General</c:formatCode>
                      <c:ptCount val="9"/>
                      <c:pt idx="0">
                        <c:v>15</c:v>
                      </c:pt>
                      <c:pt idx="1">
                        <c:v>6</c:v>
                      </c:pt>
                      <c:pt idx="2">
                        <c:v>6</c:v>
                      </c:pt>
                      <c:pt idx="3">
                        <c:v>19</c:v>
                      </c:pt>
                      <c:pt idx="4">
                        <c:v>10</c:v>
                      </c:pt>
                      <c:pt idx="5">
                        <c:v>8</c:v>
                      </c:pt>
                      <c:pt idx="6">
                        <c:v>9</c:v>
                      </c:pt>
                      <c:pt idx="7">
                        <c:v>7</c:v>
                      </c:pt>
                      <c:pt idx="8">
                        <c:v>7</c:v>
                      </c:pt>
                    </c:numCache>
                  </c:numRef>
                </c:val>
                <c:extLst xmlns:c15="http://schemas.microsoft.com/office/drawing/2012/chart">
                  <c:ext xmlns:c16="http://schemas.microsoft.com/office/drawing/2014/chart" uri="{C3380CC4-5D6E-409C-BE32-E72D297353CC}">
                    <c16:uniqueId val="{00000004-8D7F-46E5-A6CF-BCE106FC447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'Question 18'!$D$3</c15:sqref>
                        </c15:formulaRef>
                      </c:ext>
                    </c:extLst>
                    <c:strCache>
                      <c:ptCount val="1"/>
                      <c:pt idx="0">
                        <c:v>Very useful</c:v>
                      </c:pt>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18'!$D$4:$D$12</c15:sqref>
                        </c15:formulaRef>
                      </c:ext>
                    </c:extLst>
                    <c:numCache>
                      <c:formatCode>0.00%</c:formatCode>
                      <c:ptCount val="9"/>
                      <c:pt idx="0">
                        <c:v>0.36759999999999998</c:v>
                      </c:pt>
                      <c:pt idx="1">
                        <c:v>0.15870000000000001</c:v>
                      </c:pt>
                      <c:pt idx="2">
                        <c:v>9.0899999999999995E-2</c:v>
                      </c:pt>
                      <c:pt idx="3">
                        <c:v>0.3478</c:v>
                      </c:pt>
                      <c:pt idx="4">
                        <c:v>0.2576</c:v>
                      </c:pt>
                      <c:pt idx="5">
                        <c:v>0.26090000000000002</c:v>
                      </c:pt>
                      <c:pt idx="6">
                        <c:v>0.24640000000000001</c:v>
                      </c:pt>
                      <c:pt idx="7">
                        <c:v>0.1739</c:v>
                      </c:pt>
                      <c:pt idx="8">
                        <c:v>0.27539999999999998</c:v>
                      </c:pt>
                    </c:numCache>
                  </c:numRef>
                </c:val>
                <c:extLst xmlns:c15="http://schemas.microsoft.com/office/drawing/2012/chart">
                  <c:ext xmlns:c16="http://schemas.microsoft.com/office/drawing/2014/chart" uri="{C3380CC4-5D6E-409C-BE32-E72D297353CC}">
                    <c16:uniqueId val="{00000005-8D7F-46E5-A6CF-BCE106FC4470}"/>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'Question 18'!$E$3</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18'!$E$4:$E$12</c15:sqref>
                        </c15:formulaRef>
                      </c:ext>
                    </c:extLst>
                    <c:numCache>
                      <c:formatCode>General</c:formatCode>
                      <c:ptCount val="9"/>
                      <c:pt idx="0">
                        <c:v>25</c:v>
                      </c:pt>
                      <c:pt idx="1">
                        <c:v>10</c:v>
                      </c:pt>
                      <c:pt idx="2">
                        <c:v>6</c:v>
                      </c:pt>
                      <c:pt idx="3">
                        <c:v>24</c:v>
                      </c:pt>
                      <c:pt idx="4">
                        <c:v>17</c:v>
                      </c:pt>
                      <c:pt idx="5">
                        <c:v>18</c:v>
                      </c:pt>
                      <c:pt idx="6">
                        <c:v>17</c:v>
                      </c:pt>
                      <c:pt idx="7">
                        <c:v>12</c:v>
                      </c:pt>
                      <c:pt idx="8">
                        <c:v>19</c:v>
                      </c:pt>
                    </c:numCache>
                  </c:numRef>
                </c:val>
                <c:extLst xmlns:c15="http://schemas.microsoft.com/office/drawing/2012/chart">
                  <c:ext xmlns:c16="http://schemas.microsoft.com/office/drawing/2014/chart" uri="{C3380CC4-5D6E-409C-BE32-E72D297353CC}">
                    <c16:uniqueId val="{00000006-8D7F-46E5-A6CF-BCE106FC447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'Question 18'!$F$3</c15:sqref>
                        </c15:formulaRef>
                      </c:ext>
                    </c:extLst>
                    <c:strCache>
                      <c:ptCount val="1"/>
                      <c:pt idx="0">
                        <c:v>Somewhat useful</c:v>
                      </c:pt>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18'!$F$4:$F$12</c15:sqref>
                        </c15:formulaRef>
                      </c:ext>
                    </c:extLst>
                    <c:numCache>
                      <c:formatCode>0.00%</c:formatCode>
                      <c:ptCount val="9"/>
                      <c:pt idx="0">
                        <c:v>0.23530000000000001</c:v>
                      </c:pt>
                      <c:pt idx="1">
                        <c:v>0.1429</c:v>
                      </c:pt>
                      <c:pt idx="2">
                        <c:v>0.1212</c:v>
                      </c:pt>
                      <c:pt idx="3">
                        <c:v>0.26090000000000002</c:v>
                      </c:pt>
                      <c:pt idx="4">
                        <c:v>0.37880000000000003</c:v>
                      </c:pt>
                      <c:pt idx="5">
                        <c:v>0.33329999999999999</c:v>
                      </c:pt>
                      <c:pt idx="6">
                        <c:v>0.2029</c:v>
                      </c:pt>
                      <c:pt idx="7">
                        <c:v>0.15939999999999999</c:v>
                      </c:pt>
                      <c:pt idx="8">
                        <c:v>0.18840000000000001</c:v>
                      </c:pt>
                    </c:numCache>
                  </c:numRef>
                </c:val>
                <c:extLst xmlns:c15="http://schemas.microsoft.com/office/drawing/2012/chart">
                  <c:ext xmlns:c16="http://schemas.microsoft.com/office/drawing/2014/chart" uri="{C3380CC4-5D6E-409C-BE32-E72D297353CC}">
                    <c16:uniqueId val="{00000007-8D7F-46E5-A6CF-BCE106FC4470}"/>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'Question 18'!$G$3</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18'!$G$4:$G$12</c15:sqref>
                        </c15:formulaRef>
                      </c:ext>
                    </c:extLst>
                    <c:numCache>
                      <c:formatCode>General</c:formatCode>
                      <c:ptCount val="9"/>
                      <c:pt idx="0">
                        <c:v>16</c:v>
                      </c:pt>
                      <c:pt idx="1">
                        <c:v>9</c:v>
                      </c:pt>
                      <c:pt idx="2">
                        <c:v>8</c:v>
                      </c:pt>
                      <c:pt idx="3">
                        <c:v>18</c:v>
                      </c:pt>
                      <c:pt idx="4">
                        <c:v>25</c:v>
                      </c:pt>
                      <c:pt idx="5">
                        <c:v>23</c:v>
                      </c:pt>
                      <c:pt idx="6">
                        <c:v>14</c:v>
                      </c:pt>
                      <c:pt idx="7">
                        <c:v>11</c:v>
                      </c:pt>
                      <c:pt idx="8">
                        <c:v>13</c:v>
                      </c:pt>
                    </c:numCache>
                  </c:numRef>
                </c:val>
                <c:extLst xmlns:c15="http://schemas.microsoft.com/office/drawing/2012/chart">
                  <c:ext xmlns:c16="http://schemas.microsoft.com/office/drawing/2014/chart" uri="{C3380CC4-5D6E-409C-BE32-E72D297353CC}">
                    <c16:uniqueId val="{00000008-8D7F-46E5-A6CF-BCE106FC4470}"/>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'Question 18'!$I$3</c15:sqref>
                        </c15:formulaRef>
                      </c:ext>
                    </c:extLst>
                    <c:strCache>
                      <c:ptCount val="1"/>
                      <c:pt idx="0">
                        <c:v>Not so useful</c:v>
                      </c:pt>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18'!$I$4:$I$12</c15:sqref>
                        </c15:formulaRef>
                      </c:ext>
                    </c:extLst>
                    <c:numCache>
                      <c:formatCode>0.00%</c:formatCode>
                      <c:ptCount val="9"/>
                      <c:pt idx="0">
                        <c:v>8.8200000000000001E-2</c:v>
                      </c:pt>
                      <c:pt idx="1">
                        <c:v>7.9399999999999998E-2</c:v>
                      </c:pt>
                      <c:pt idx="2">
                        <c:v>4.5499999999999999E-2</c:v>
                      </c:pt>
                      <c:pt idx="3">
                        <c:v>4.3499999999999997E-2</c:v>
                      </c:pt>
                      <c:pt idx="4">
                        <c:v>7.5800000000000006E-2</c:v>
                      </c:pt>
                      <c:pt idx="5">
                        <c:v>5.8000000000000003E-2</c:v>
                      </c:pt>
                      <c:pt idx="6">
                        <c:v>5.8000000000000003E-2</c:v>
                      </c:pt>
                      <c:pt idx="7">
                        <c:v>1.4500000000000001E-2</c:v>
                      </c:pt>
                      <c:pt idx="8">
                        <c:v>4.3499999999999997E-2</c:v>
                      </c:pt>
                    </c:numCache>
                  </c:numRef>
                </c:val>
                <c:extLst xmlns:c15="http://schemas.microsoft.com/office/drawing/2012/chart">
                  <c:ext xmlns:c16="http://schemas.microsoft.com/office/drawing/2014/chart" uri="{C3380CC4-5D6E-409C-BE32-E72D297353CC}">
                    <c16:uniqueId val="{00000009-8D7F-46E5-A6CF-BCE106FC4470}"/>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'Question 18'!$J$3</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18'!$J$4:$J$12</c15:sqref>
                        </c15:formulaRef>
                      </c:ext>
                    </c:extLst>
                    <c:numCache>
                      <c:formatCode>General</c:formatCode>
                      <c:ptCount val="9"/>
                      <c:pt idx="0">
                        <c:v>6</c:v>
                      </c:pt>
                      <c:pt idx="1">
                        <c:v>5</c:v>
                      </c:pt>
                      <c:pt idx="2">
                        <c:v>3</c:v>
                      </c:pt>
                      <c:pt idx="3">
                        <c:v>3</c:v>
                      </c:pt>
                      <c:pt idx="4">
                        <c:v>5</c:v>
                      </c:pt>
                      <c:pt idx="5">
                        <c:v>4</c:v>
                      </c:pt>
                      <c:pt idx="6">
                        <c:v>4</c:v>
                      </c:pt>
                      <c:pt idx="7">
                        <c:v>1</c:v>
                      </c:pt>
                      <c:pt idx="8">
                        <c:v>3</c:v>
                      </c:pt>
                    </c:numCache>
                  </c:numRef>
                </c:val>
                <c:extLst xmlns:c15="http://schemas.microsoft.com/office/drawing/2012/chart">
                  <c:ext xmlns:c16="http://schemas.microsoft.com/office/drawing/2014/chart" uri="{C3380CC4-5D6E-409C-BE32-E72D297353CC}">
                    <c16:uniqueId val="{0000000A-8D7F-46E5-A6CF-BCE106FC4470}"/>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'Question 18'!$K$3</c15:sqref>
                        </c15:formulaRef>
                      </c:ext>
                    </c:extLst>
                    <c:strCache>
                      <c:ptCount val="1"/>
                      <c:pt idx="0">
                        <c:v>Not at all useful</c:v>
                      </c:pt>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18'!$K$4:$K$12</c15:sqref>
                        </c15:formulaRef>
                      </c:ext>
                    </c:extLst>
                    <c:numCache>
                      <c:formatCode>0.00%</c:formatCode>
                      <c:ptCount val="9"/>
                      <c:pt idx="0">
                        <c:v>0</c:v>
                      </c:pt>
                      <c:pt idx="1">
                        <c:v>0</c:v>
                      </c:pt>
                      <c:pt idx="2">
                        <c:v>1.52E-2</c:v>
                      </c:pt>
                      <c:pt idx="3">
                        <c:v>0</c:v>
                      </c:pt>
                      <c:pt idx="4">
                        <c:v>1.52E-2</c:v>
                      </c:pt>
                      <c:pt idx="5">
                        <c:v>2.9000000000000001E-2</c:v>
                      </c:pt>
                      <c:pt idx="6">
                        <c:v>2.9000000000000001E-2</c:v>
                      </c:pt>
                      <c:pt idx="7">
                        <c:v>2.9000000000000001E-2</c:v>
                      </c:pt>
                      <c:pt idx="8">
                        <c:v>1.4500000000000001E-2</c:v>
                      </c:pt>
                    </c:numCache>
                  </c:numRef>
                </c:val>
                <c:extLst xmlns:c15="http://schemas.microsoft.com/office/drawing/2012/chart">
                  <c:ext xmlns:c16="http://schemas.microsoft.com/office/drawing/2014/chart" uri="{C3380CC4-5D6E-409C-BE32-E72D297353CC}">
                    <c16:uniqueId val="{0000000B-8D7F-46E5-A6CF-BCE106FC4470}"/>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'Question 18'!$L$3</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18'!$L$4:$L$12</c15:sqref>
                        </c15:formulaRef>
                      </c:ext>
                    </c:extLst>
                    <c:numCache>
                      <c:formatCode>General</c:formatCode>
                      <c:ptCount val="9"/>
                      <c:pt idx="0">
                        <c:v>0</c:v>
                      </c:pt>
                      <c:pt idx="1">
                        <c:v>0</c:v>
                      </c:pt>
                      <c:pt idx="2">
                        <c:v>1</c:v>
                      </c:pt>
                      <c:pt idx="3">
                        <c:v>0</c:v>
                      </c:pt>
                      <c:pt idx="4">
                        <c:v>1</c:v>
                      </c:pt>
                      <c:pt idx="5">
                        <c:v>2</c:v>
                      </c:pt>
                      <c:pt idx="6">
                        <c:v>2</c:v>
                      </c:pt>
                      <c:pt idx="7">
                        <c:v>2</c:v>
                      </c:pt>
                      <c:pt idx="8">
                        <c:v>1</c:v>
                      </c:pt>
                    </c:numCache>
                  </c:numRef>
                </c:val>
                <c:extLst xmlns:c15="http://schemas.microsoft.com/office/drawing/2012/chart">
                  <c:ext xmlns:c16="http://schemas.microsoft.com/office/drawing/2014/chart" uri="{C3380CC4-5D6E-409C-BE32-E72D297353CC}">
                    <c16:uniqueId val="{0000000C-8D7F-46E5-A6CF-BCE106FC4470}"/>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'Question 18'!$N$3</c15:sqref>
                        </c15:formulaRef>
                      </c:ext>
                    </c:extLst>
                    <c:strCache>
                      <c:ptCount val="1"/>
                      <c:pt idx="0">
                        <c:v>Never used</c:v>
                      </c:pt>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18'!$N$4:$N$12</c15:sqref>
                        </c15:formulaRef>
                      </c:ext>
                    </c:extLst>
                    <c:numCache>
                      <c:formatCode>0.00%</c:formatCode>
                      <c:ptCount val="9"/>
                      <c:pt idx="0">
                        <c:v>5.8799999999999998E-2</c:v>
                      </c:pt>
                      <c:pt idx="1">
                        <c:v>0.36509999999999998</c:v>
                      </c:pt>
                      <c:pt idx="2">
                        <c:v>0.51519999999999999</c:v>
                      </c:pt>
                      <c:pt idx="3">
                        <c:v>2.9000000000000001E-2</c:v>
                      </c:pt>
                      <c:pt idx="4">
                        <c:v>4.5499999999999999E-2</c:v>
                      </c:pt>
                      <c:pt idx="5">
                        <c:v>0.13039999999999999</c:v>
                      </c:pt>
                      <c:pt idx="6">
                        <c:v>0.15939999999999999</c:v>
                      </c:pt>
                      <c:pt idx="7">
                        <c:v>0.26090000000000002</c:v>
                      </c:pt>
                      <c:pt idx="8">
                        <c:v>0.15939999999999999</c:v>
                      </c:pt>
                    </c:numCache>
                  </c:numRef>
                </c:val>
                <c:extLst xmlns:c15="http://schemas.microsoft.com/office/drawing/2012/chart">
                  <c:ext xmlns:c16="http://schemas.microsoft.com/office/drawing/2014/chart" uri="{C3380CC4-5D6E-409C-BE32-E72D297353CC}">
                    <c16:uniqueId val="{0000000D-8D7F-46E5-A6CF-BCE106FC4470}"/>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'Question 18'!$O$3</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18'!$O$4:$O$12</c15:sqref>
                        </c15:formulaRef>
                      </c:ext>
                    </c:extLst>
                    <c:numCache>
                      <c:formatCode>General</c:formatCode>
                      <c:ptCount val="9"/>
                      <c:pt idx="0">
                        <c:v>4</c:v>
                      </c:pt>
                      <c:pt idx="1">
                        <c:v>23</c:v>
                      </c:pt>
                      <c:pt idx="2">
                        <c:v>34</c:v>
                      </c:pt>
                      <c:pt idx="3">
                        <c:v>2</c:v>
                      </c:pt>
                      <c:pt idx="4">
                        <c:v>3</c:v>
                      </c:pt>
                      <c:pt idx="5">
                        <c:v>9</c:v>
                      </c:pt>
                      <c:pt idx="6">
                        <c:v>11</c:v>
                      </c:pt>
                      <c:pt idx="7">
                        <c:v>18</c:v>
                      </c:pt>
                      <c:pt idx="8">
                        <c:v>11</c:v>
                      </c:pt>
                    </c:numCache>
                  </c:numRef>
                </c:val>
                <c:extLst xmlns:c15="http://schemas.microsoft.com/office/drawing/2012/chart">
                  <c:ext xmlns:c16="http://schemas.microsoft.com/office/drawing/2014/chart" uri="{C3380CC4-5D6E-409C-BE32-E72D297353CC}">
                    <c16:uniqueId val="{0000000E-8D7F-46E5-A6CF-BCE106FC4470}"/>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'Question 18'!$P$3</c15:sqref>
                        </c15:formulaRef>
                      </c:ext>
                    </c:extLst>
                    <c:strCache>
                      <c:ptCount val="1"/>
                      <c:pt idx="0">
                        <c:v>Not aware</c:v>
                      </c:pt>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18'!$P$4:$P$12</c15:sqref>
                        </c15:formulaRef>
                      </c:ext>
                    </c:extLst>
                    <c:numCache>
                      <c:formatCode>0.00%</c:formatCode>
                      <c:ptCount val="9"/>
                      <c:pt idx="0">
                        <c:v>2.9399999999999999E-2</c:v>
                      </c:pt>
                      <c:pt idx="1">
                        <c:v>0.15870000000000001</c:v>
                      </c:pt>
                      <c:pt idx="2">
                        <c:v>0.1212</c:v>
                      </c:pt>
                      <c:pt idx="3">
                        <c:v>4.3499999999999997E-2</c:v>
                      </c:pt>
                      <c:pt idx="4">
                        <c:v>7.5800000000000006E-2</c:v>
                      </c:pt>
                      <c:pt idx="5">
                        <c:v>7.2499999999999995E-2</c:v>
                      </c:pt>
                      <c:pt idx="6">
                        <c:v>0.1739</c:v>
                      </c:pt>
                      <c:pt idx="7">
                        <c:v>0.26090000000000002</c:v>
                      </c:pt>
                      <c:pt idx="8">
                        <c:v>0.21740000000000001</c:v>
                      </c:pt>
                    </c:numCache>
                  </c:numRef>
                </c:val>
                <c:extLst xmlns:c15="http://schemas.microsoft.com/office/drawing/2012/chart">
                  <c:ext xmlns:c16="http://schemas.microsoft.com/office/drawing/2014/chart" uri="{C3380CC4-5D6E-409C-BE32-E72D297353CC}">
                    <c16:uniqueId val="{0000000F-8D7F-46E5-A6CF-BCE106FC4470}"/>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'Question 18'!$Q$3</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'Question 18'!$A$4:$A$12</c15:sqref>
                        </c15:formulaRef>
                      </c:ext>
                    </c:extLst>
                    <c:strCache>
                      <c:ptCount val="9"/>
                      <c:pt idx="0">
                        <c:v>NSQHS Standards-Guide for hospitals</c:v>
                      </c:pt>
                      <c:pt idx="1">
                        <c:v>NSQHS Standards-Multi-purpose Services and small hospitals</c:v>
                      </c:pt>
                      <c:pt idx="2">
                        <c:v>NSQHS Standards-Day Procedure Services</c:v>
                      </c:pt>
                      <c:pt idx="3">
                        <c:v>NSQHS Standards-Accreditation workbook</c:v>
                      </c:pt>
                      <c:pt idx="4">
                        <c:v>Comprehensive care web pages and associated resources</c:v>
                      </c:pt>
                      <c:pt idx="5">
                        <c:v>Comprehensive care FAQs</c:v>
                      </c:pt>
                      <c:pt idx="6">
                        <c:v>National Consensus Statement: Essential elements for safe high-quality end-of-life care</c:v>
                      </c:pt>
                      <c:pt idx="7">
                        <c:v>Mental Health webpages and associated resources</c:v>
                      </c:pt>
                      <c:pt idx="8">
                        <c:v>Cognitive impairment web pages and associated resources</c:v>
                      </c:pt>
                    </c:strCache>
                  </c:strRef>
                </c:cat>
                <c:val>
                  <c:numRef>
                    <c:extLst xmlns:c15="http://schemas.microsoft.com/office/drawing/2012/chart">
                      <c:ext xmlns:c15="http://schemas.microsoft.com/office/drawing/2012/chart" uri="{02D57815-91ED-43cb-92C2-25804820EDAC}">
                        <c15:formulaRef>
                          <c15:sqref>'Question 18'!$Q$4:$Q$12</c15:sqref>
                        </c15:formulaRef>
                      </c:ext>
                    </c:extLst>
                    <c:numCache>
                      <c:formatCode>General</c:formatCode>
                      <c:ptCount val="9"/>
                      <c:pt idx="0">
                        <c:v>2</c:v>
                      </c:pt>
                      <c:pt idx="1">
                        <c:v>10</c:v>
                      </c:pt>
                      <c:pt idx="2">
                        <c:v>8</c:v>
                      </c:pt>
                      <c:pt idx="3">
                        <c:v>3</c:v>
                      </c:pt>
                      <c:pt idx="4">
                        <c:v>5</c:v>
                      </c:pt>
                      <c:pt idx="5">
                        <c:v>5</c:v>
                      </c:pt>
                      <c:pt idx="6">
                        <c:v>12</c:v>
                      </c:pt>
                      <c:pt idx="7">
                        <c:v>18</c:v>
                      </c:pt>
                      <c:pt idx="8">
                        <c:v>15</c:v>
                      </c:pt>
                    </c:numCache>
                  </c:numRef>
                </c:val>
                <c:extLst xmlns:c15="http://schemas.microsoft.com/office/drawing/2012/chart">
                  <c:ext xmlns:c16="http://schemas.microsoft.com/office/drawing/2014/chart" uri="{C3380CC4-5D6E-409C-BE32-E72D297353CC}">
                    <c16:uniqueId val="{00000010-8D7F-46E5-A6CF-BCE106FC4470}"/>
                  </c:ext>
                </c:extLst>
              </c15:ser>
            </c15:filteredBarSeries>
          </c:ext>
        </c:extLst>
      </c:barChart>
      <c:valAx>
        <c:axId val="100"/>
        <c:scaling>
          <c:orientation val="minMax"/>
        </c:scaling>
        <c:delete val="0"/>
        <c:axPos val="b"/>
        <c:majorGridlines/>
        <c:numFmt formatCode="0%" sourceLinked="0"/>
        <c:majorTickMark val="out"/>
        <c:minorTickMark val="none"/>
        <c:tickLblPos val="nextTo"/>
        <c:crossAx val="10"/>
        <c:crosses val="autoZero"/>
        <c:crossBetween val="between"/>
      </c:valAx>
      <c:catAx>
        <c:axId val="10"/>
        <c:scaling>
          <c:orientation val="minMax"/>
        </c:scaling>
        <c:delete val="0"/>
        <c:axPos val="l"/>
        <c:numFmt formatCode="General" sourceLinked="1"/>
        <c:majorTickMark val="out"/>
        <c:minorTickMark val="none"/>
        <c:tickLblPos val="nextTo"/>
        <c:txPr>
          <a:bodyPr/>
          <a:lstStyle/>
          <a:p>
            <a:pPr>
              <a:defRPr sz="900"/>
            </a:pPr>
            <a:endParaRPr lang="en-US"/>
          </a:p>
        </c:txPr>
        <c:crossAx val="100"/>
        <c:crosses val="autoZero"/>
        <c:auto val="0"/>
        <c:lblAlgn val="ctr"/>
        <c:lblOffset val="100"/>
        <c:noMultiLvlLbl val="0"/>
      </c:catAx>
      <c:spPr>
        <a:noFill/>
        <a:ln w="25400">
          <a:noFill/>
        </a:ln>
      </c:spPr>
    </c:plotArea>
    <c:legend>
      <c:legendPos val="r"/>
      <c:overlay val="0"/>
    </c:legend>
    <c:plotVisOnly val="0"/>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C259-B640-4A0E-96D5-3E18CEC1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17</TotalTime>
  <Pages>21</Pages>
  <Words>4199</Words>
  <Characters>26067</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MURGO, Marghie</cp:lastModifiedBy>
  <cp:revision>4</cp:revision>
  <cp:lastPrinted>2022-08-11T03:23:00Z</cp:lastPrinted>
  <dcterms:created xsi:type="dcterms:W3CDTF">2022-08-11T03:13:00Z</dcterms:created>
  <dcterms:modified xsi:type="dcterms:W3CDTF">2022-08-11T03:23:00Z</dcterms:modified>
</cp:coreProperties>
</file>