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385A" w14:textId="2674C74E" w:rsidR="008104D7" w:rsidRDefault="00BA7D57" w:rsidP="009739AC">
      <w:pPr>
        <w:pStyle w:val="FactSheetType"/>
        <w:rPr>
          <w:lang w:val="en-GB"/>
        </w:rPr>
      </w:pPr>
      <w:bookmarkStart w:id="0" w:name="_Toc476822632"/>
      <w:bookmarkStart w:id="1" w:name="_Toc476822653"/>
      <w:r>
        <w:rPr>
          <w:b/>
          <w:bCs w:val="0"/>
        </w:rPr>
        <w:t>INFORMATION</w:t>
      </w:r>
      <w:r w:rsidR="00716FED" w:rsidRPr="0056304B">
        <w:br/>
      </w:r>
      <w:r w:rsidR="00B93CD5" w:rsidRPr="0056304B">
        <w:t>for</w:t>
      </w:r>
      <w:r w:rsidR="009739AC">
        <w:t xml:space="preserve"> </w:t>
      </w:r>
      <w:r>
        <w:rPr>
          <w:lang w:val="en-GB"/>
        </w:rPr>
        <w:t>clinicians</w:t>
      </w:r>
    </w:p>
    <w:p w14:paraId="70E7F488" w14:textId="77777777" w:rsidR="00463EA2" w:rsidRPr="00463EA2" w:rsidRDefault="00463EA2" w:rsidP="00463EA2">
      <w:pPr>
        <w:pStyle w:val="Title"/>
      </w:pPr>
      <w:r w:rsidRPr="00463EA2">
        <w:t>Low Back Pain</w:t>
      </w:r>
    </w:p>
    <w:p w14:paraId="5C59B0D3" w14:textId="7BA30F1F" w:rsidR="00D6069D" w:rsidRDefault="00463EA2" w:rsidP="00463EA2">
      <w:pPr>
        <w:pStyle w:val="Subtitle"/>
        <w:rPr>
          <w:lang w:val="en-GB"/>
        </w:rPr>
      </w:pPr>
      <w:r w:rsidRPr="00463EA2">
        <w:rPr>
          <w:lang w:val="en-GB"/>
        </w:rPr>
        <w:t>Clinical Care Standard</w:t>
      </w:r>
      <w:r w:rsidR="00D54898" w:rsidRPr="00D54898">
        <w:rPr>
          <w:lang w:val="en-GB"/>
        </w:rPr>
        <w:t xml:space="preserve"> </w:t>
      </w:r>
      <w:r w:rsidR="00D717D7" w:rsidRPr="00D717D7">
        <w:rPr>
          <w:lang w:val="en-GB"/>
        </w:rPr>
        <w:t xml:space="preserve"> </w:t>
      </w:r>
    </w:p>
    <w:bookmarkEnd w:id="0"/>
    <w:bookmarkEnd w:id="1"/>
    <w:p w14:paraId="141376DB" w14:textId="77777777" w:rsidR="00E07FA2" w:rsidRDefault="00E07FA2" w:rsidP="00E07FA2">
      <w:pPr>
        <w:pStyle w:val="Intro"/>
      </w:pPr>
      <w:r>
        <w:t xml:space="preserve">The </w:t>
      </w:r>
      <w:r>
        <w:rPr>
          <w:i/>
          <w:iCs/>
        </w:rPr>
        <w:t xml:space="preserve">Low Back Pain Clinical </w:t>
      </w:r>
      <w:r w:rsidRPr="00E07FA2">
        <w:t>Care</w:t>
      </w:r>
      <w:r>
        <w:rPr>
          <w:i/>
          <w:iCs/>
        </w:rPr>
        <w:t xml:space="preserve"> Standard</w:t>
      </w:r>
      <w:r>
        <w:t xml:space="preserve"> aims to improve the early assessment, management, review and referral of patients with low back pain, and to improve shared decision making about which tests and treatments are most effective.</w:t>
      </w:r>
    </w:p>
    <w:p w14:paraId="49C3716C" w14:textId="77777777" w:rsidR="00E07FA2" w:rsidRDefault="00E07FA2" w:rsidP="00E07FA2">
      <w:r>
        <w:t xml:space="preserve">It covers the early management of an acute presentation of low back pain that is new, a recurrence of an intermittent problem or, in patients with chronic low back pain, an exacerbation. </w:t>
      </w:r>
      <w:proofErr w:type="gramStart"/>
      <w:r>
        <w:t>However</w:t>
      </w:r>
      <w:proofErr w:type="gramEnd"/>
      <w:r>
        <w:t xml:space="preserve"> it does not describe the ongoing management of chronic low back pain.</w:t>
      </w:r>
    </w:p>
    <w:p w14:paraId="45E15EF3" w14:textId="640960F9" w:rsidR="00E07FA2" w:rsidRDefault="00E07FA2" w:rsidP="00E07FA2">
      <w:pPr>
        <w:pStyle w:val="Heading2"/>
      </w:pPr>
      <w:r>
        <w:t xml:space="preserve">1. </w:t>
      </w:r>
      <w:r>
        <w:t>Initial clinical assessment</w:t>
      </w:r>
    </w:p>
    <w:p w14:paraId="720459B4" w14:textId="77777777" w:rsidR="00E07FA2" w:rsidRPr="00EF5872" w:rsidRDefault="00E07FA2" w:rsidP="00EF5872">
      <w:pPr>
        <w:rPr>
          <w:b/>
          <w:bCs/>
        </w:rPr>
      </w:pPr>
      <w:r w:rsidRPr="00EF5872">
        <w:rPr>
          <w:b/>
          <w:bCs/>
        </w:rPr>
        <w:t xml:space="preserve">The assessment of a patient with a new presentation of low back pain symptoms, with or without leg pain or other neurological symptoms, focuses on screening for specific and/or serious pathology and consideration of psychosocial factors. It includes a targeted history and physical examination, with a focused neurological examination when appropriate. Arrangements are made for follow-up based on an evidence-based low back pain pathway. </w:t>
      </w:r>
    </w:p>
    <w:p w14:paraId="09C96E74" w14:textId="378F5E74" w:rsidR="00E07FA2" w:rsidRDefault="00E07FA2" w:rsidP="00E07FA2">
      <w:pPr>
        <w:pStyle w:val="Heading2"/>
      </w:pPr>
      <w:r>
        <w:t xml:space="preserve">2. </w:t>
      </w:r>
      <w:r>
        <w:t>Psychosocial assessment</w:t>
      </w:r>
    </w:p>
    <w:p w14:paraId="0F9F01A7" w14:textId="77777777" w:rsidR="00E07FA2" w:rsidRPr="00EF5872" w:rsidRDefault="00E07FA2" w:rsidP="00EF5872">
      <w:pPr>
        <w:rPr>
          <w:b/>
          <w:bCs/>
        </w:rPr>
      </w:pPr>
      <w:r w:rsidRPr="00EF5872">
        <w:rPr>
          <w:b/>
          <w:bCs/>
        </w:rPr>
        <w:t xml:space="preserve">Early in each new presentation, a patient with low back pain, with or without leg pain or other neurological symptoms, is screened </w:t>
      </w:r>
      <w:r w:rsidRPr="00EF5872">
        <w:rPr>
          <w:b/>
          <w:bCs/>
        </w:rPr>
        <w:t>and</w:t>
      </w:r>
      <w:r w:rsidRPr="00EF5872">
        <w:rPr>
          <w:b/>
          <w:bCs/>
        </w:rPr>
        <w:t xml:space="preserve"> assessed for psychosocial factors that may affect their recovery. This includes assessing their understanding of, and concerns about, diagnosis and pain, and the impact of pain on their life. The assessment is repeated at subsequent visits to measure progress. </w:t>
      </w:r>
    </w:p>
    <w:p w14:paraId="29F03AB8" w14:textId="0B73B108" w:rsidR="00E07FA2" w:rsidRDefault="00E07FA2" w:rsidP="00E07FA2">
      <w:pPr>
        <w:pStyle w:val="Heading2"/>
      </w:pPr>
      <w:r>
        <w:t xml:space="preserve">3. </w:t>
      </w:r>
      <w:r>
        <w:t>Reserve imaging for suspected serious pathology</w:t>
      </w:r>
    </w:p>
    <w:p w14:paraId="000978B1" w14:textId="77777777" w:rsidR="00E07FA2" w:rsidRPr="00EF5872" w:rsidRDefault="00E07FA2" w:rsidP="00EF5872">
      <w:pPr>
        <w:rPr>
          <w:b/>
          <w:bCs/>
        </w:rPr>
      </w:pPr>
      <w:r w:rsidRPr="00EF5872">
        <w:rPr>
          <w:b/>
          <w:bCs/>
        </w:rPr>
        <w:t xml:space="preserve">Expectations of imaging and its limited </w:t>
      </w:r>
      <w:r w:rsidRPr="00EF5872">
        <w:rPr>
          <w:b/>
          <w:bCs/>
        </w:rPr>
        <w:t>role</w:t>
      </w:r>
      <w:r w:rsidRPr="00EF5872">
        <w:rPr>
          <w:b/>
          <w:bCs/>
        </w:rPr>
        <w:t xml:space="preserve"> in diagnosing low back pain are discussed with a patient. Early and appropriate referral for imaging occurs when there are signs or symptoms of specific and/or serious pathology. The likelihood and significance of incidental findings are reported and discussed with the patient. </w:t>
      </w:r>
    </w:p>
    <w:p w14:paraId="201186D5" w14:textId="77777777" w:rsidR="00EA7030" w:rsidRDefault="00EA7030" w:rsidP="00E07FA2">
      <w:pPr>
        <w:pStyle w:val="Heading2"/>
      </w:pPr>
      <w:r>
        <w:br w:type="page"/>
      </w:r>
    </w:p>
    <w:p w14:paraId="59602006" w14:textId="1942505C" w:rsidR="00E07FA2" w:rsidRDefault="00E07FA2" w:rsidP="00E07FA2">
      <w:pPr>
        <w:pStyle w:val="Heading2"/>
      </w:pPr>
      <w:r>
        <w:lastRenderedPageBreak/>
        <w:t xml:space="preserve">4. </w:t>
      </w:r>
      <w:r>
        <w:t>Patient education and advice</w:t>
      </w:r>
    </w:p>
    <w:p w14:paraId="57B96A74" w14:textId="77777777" w:rsidR="00E07FA2" w:rsidRPr="00EF5872" w:rsidRDefault="00E07FA2" w:rsidP="00EF5872">
      <w:pPr>
        <w:rPr>
          <w:b/>
          <w:bCs/>
        </w:rPr>
      </w:pPr>
      <w:r w:rsidRPr="00EF5872">
        <w:rPr>
          <w:b/>
          <w:bCs/>
        </w:rPr>
        <w:t xml:space="preserve">A patient with low back pain is provided with information about their condition and receives targeted advice to increase their understanding, </w:t>
      </w:r>
      <w:r w:rsidRPr="00EF5872">
        <w:rPr>
          <w:b/>
          <w:bCs/>
        </w:rPr>
        <w:t>and</w:t>
      </w:r>
      <w:r w:rsidRPr="00EF5872">
        <w:rPr>
          <w:b/>
          <w:bCs/>
        </w:rPr>
        <w:t xml:space="preserve"> address their concerns and expectations. The potential benefits, risks and costs of medicines and other treatment options are discussed, and the patient is supported to ask questions and share in decisions about their care. </w:t>
      </w:r>
    </w:p>
    <w:p w14:paraId="0FA0098A" w14:textId="1B658A32" w:rsidR="00E07FA2" w:rsidRDefault="00E07FA2" w:rsidP="00E07FA2">
      <w:pPr>
        <w:pStyle w:val="Heading2"/>
      </w:pPr>
      <w:r>
        <w:t xml:space="preserve">5. </w:t>
      </w:r>
      <w:r>
        <w:t xml:space="preserve">Encourage self-management and physical activity </w:t>
      </w:r>
    </w:p>
    <w:p w14:paraId="099AA7BC" w14:textId="77777777" w:rsidR="00E07FA2" w:rsidRPr="00EF5872" w:rsidRDefault="00E07FA2" w:rsidP="00EF5872">
      <w:pPr>
        <w:rPr>
          <w:b/>
          <w:bCs/>
        </w:rPr>
      </w:pPr>
      <w:r w:rsidRPr="00EF5872">
        <w:rPr>
          <w:b/>
          <w:bCs/>
        </w:rPr>
        <w:t xml:space="preserve">A patient with low back pain is encouraged to stay active and continue, or return to, usual activity, including work, as soon as possible or feasible. </w:t>
      </w:r>
      <w:proofErr w:type="spellStart"/>
      <w:r w:rsidRPr="00EF5872">
        <w:rPr>
          <w:b/>
          <w:bCs/>
        </w:rPr>
        <w:t>Self </w:t>
      </w:r>
      <w:r w:rsidRPr="00EF5872">
        <w:rPr>
          <w:b/>
          <w:bCs/>
        </w:rPr>
        <w:t>management</w:t>
      </w:r>
      <w:proofErr w:type="spellEnd"/>
      <w:r w:rsidRPr="00EF5872">
        <w:rPr>
          <w:b/>
          <w:bCs/>
        </w:rPr>
        <w:t xml:space="preserve"> strategies are discussed. The patient and clinician develop a plan together that includes practical advice to maximise function, and limit the impact of pain and other symptoms on daily life. The plan addresses individual needs and preferences. </w:t>
      </w:r>
    </w:p>
    <w:p w14:paraId="5DC6BDB7" w14:textId="62BB10F6" w:rsidR="00E07FA2" w:rsidRDefault="00E07FA2" w:rsidP="00E07FA2">
      <w:pPr>
        <w:pStyle w:val="Heading2"/>
      </w:pPr>
      <w:r>
        <w:t xml:space="preserve">6. </w:t>
      </w:r>
      <w:r>
        <w:t xml:space="preserve">Physical and/or psychological interventions </w:t>
      </w:r>
    </w:p>
    <w:p w14:paraId="2C690FB1" w14:textId="77777777" w:rsidR="00E07FA2" w:rsidRPr="00EF5872" w:rsidRDefault="00E07FA2" w:rsidP="00EF5872">
      <w:pPr>
        <w:rPr>
          <w:b/>
          <w:bCs/>
        </w:rPr>
      </w:pPr>
      <w:r w:rsidRPr="00EF5872">
        <w:rPr>
          <w:b/>
          <w:bCs/>
        </w:rPr>
        <w:t xml:space="preserve">A patient with low back pain is offered physical and/or psychological interventions based on their clinical and psychosocial assessment findings. Therapy is targeted at overcoming identified barriers to recovery. </w:t>
      </w:r>
    </w:p>
    <w:p w14:paraId="588F4FCC" w14:textId="6ED81896" w:rsidR="00E07FA2" w:rsidRDefault="00E07FA2" w:rsidP="00E07FA2">
      <w:pPr>
        <w:pStyle w:val="Heading2"/>
      </w:pPr>
      <w:r>
        <w:t xml:space="preserve">7. </w:t>
      </w:r>
      <w:r>
        <w:t>Judicious use of pain medicines</w:t>
      </w:r>
    </w:p>
    <w:p w14:paraId="0CF51E0D" w14:textId="77777777" w:rsidR="00E07FA2" w:rsidRPr="00EF5872" w:rsidRDefault="00E07FA2" w:rsidP="00EF5872">
      <w:pPr>
        <w:rPr>
          <w:b/>
          <w:bCs/>
        </w:rPr>
      </w:pPr>
      <w:r w:rsidRPr="00EF5872">
        <w:rPr>
          <w:b/>
          <w:bCs/>
        </w:rPr>
        <w:t xml:space="preserve">A patient is advised that the goal of pain medicines is to enable physical activity, not to eliminate pain. If a medicine is </w:t>
      </w:r>
      <w:r w:rsidRPr="00EF5872">
        <w:rPr>
          <w:b/>
          <w:bCs/>
        </w:rPr>
        <w:t>prescribed</w:t>
      </w:r>
      <w:r w:rsidRPr="00EF5872">
        <w:rPr>
          <w:b/>
          <w:bCs/>
        </w:rPr>
        <w:t xml:space="preserve">, it is in accordance with the current Therapeutic Guidelines, with ongoing review of benefit and clear stopping goals. Anticonvulsants, benzodiazepines and antidepressants are avoided, because their risks often outweigh potential benefits, and there is evidence of limited effectiveness. Opioid analgesics are considered only in carefully selected patients, at the lowest dose for the shortest duration possible. </w:t>
      </w:r>
    </w:p>
    <w:p w14:paraId="252349FB" w14:textId="304DF93E" w:rsidR="00E07FA2" w:rsidRDefault="00E07FA2" w:rsidP="00E07FA2">
      <w:pPr>
        <w:pStyle w:val="Heading2"/>
      </w:pPr>
      <w:r>
        <w:t xml:space="preserve">8. </w:t>
      </w:r>
      <w:r>
        <w:t>Review and referral</w:t>
      </w:r>
    </w:p>
    <w:p w14:paraId="59D323DB" w14:textId="3F993034" w:rsidR="00E07FA2" w:rsidRPr="00EF5872" w:rsidRDefault="00E07FA2" w:rsidP="00EF5872">
      <w:pPr>
        <w:rPr>
          <w:b/>
          <w:bCs/>
        </w:rPr>
      </w:pPr>
      <w:r w:rsidRPr="00EF5872">
        <w:rPr>
          <w:b/>
          <w:bCs/>
        </w:rPr>
        <w:t xml:space="preserve">A patient with persisting or worsening symptoms, signs or function is reassessed at an early stage to determine the barriers to improvement. Referral for a multidisciplinary approach is considered. Specialist medical or surgical review is indicated for severe or progressive back or leg pain that is unresponsive to other therapy, progressive neurological deficits, or other signs of specific and/or serious pathology. </w:t>
      </w:r>
    </w:p>
    <w:p w14:paraId="78FDE990" w14:textId="77777777" w:rsidR="003422F3" w:rsidRDefault="003422F3" w:rsidP="00986415">
      <w:pPr>
        <w:pStyle w:val="Heading2"/>
        <w:spacing w:after="360"/>
      </w:pPr>
      <w:r>
        <w:br w:type="page"/>
      </w:r>
    </w:p>
    <w:p w14:paraId="3964476D" w14:textId="651BDD19" w:rsidR="00DC1269" w:rsidRDefault="00DC1269" w:rsidP="00986415">
      <w:pPr>
        <w:pStyle w:val="Heading2"/>
        <w:spacing w:after="360"/>
      </w:pPr>
      <w:r w:rsidRPr="0079393B">
        <w:rPr>
          <w:noProof/>
        </w:rPr>
        <w:lastRenderedPageBreak/>
        <w:drawing>
          <wp:anchor distT="0" distB="0" distL="114300" distR="114300" simplePos="0" relativeHeight="251665408" behindDoc="0" locked="0" layoutInCell="1" allowOverlap="1" wp14:anchorId="58E162FD" wp14:editId="6D3154D7">
            <wp:simplePos x="0" y="0"/>
            <wp:positionH relativeFrom="column">
              <wp:posOffset>-2540</wp:posOffset>
            </wp:positionH>
            <wp:positionV relativeFrom="paragraph">
              <wp:posOffset>332595</wp:posOffset>
            </wp:positionV>
            <wp:extent cx="914400" cy="914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t xml:space="preserve">Questions? </w:t>
      </w:r>
    </w:p>
    <w:p w14:paraId="715B2226" w14:textId="77777777" w:rsidR="00DC1269" w:rsidRPr="00DC1269" w:rsidRDefault="00DC1269" w:rsidP="00DC1269">
      <w:r w:rsidRPr="00DC1269">
        <w:t xml:space="preserve">Find out more about the </w:t>
      </w:r>
      <w:r w:rsidRPr="00DC1269">
        <w:rPr>
          <w:i/>
          <w:iCs/>
        </w:rPr>
        <w:t>Low Back Pain Clinical Care Standard</w:t>
      </w:r>
      <w:r w:rsidRPr="00DC1269">
        <w:t xml:space="preserve"> and other resources. Scan the QR code or use the link </w:t>
      </w:r>
      <w:hyperlink r:id="rId9" w:history="1">
        <w:r w:rsidRPr="00DC1269">
          <w:rPr>
            <w:rStyle w:val="Hyperlink"/>
          </w:rPr>
          <w:t>safetyandquality.gov.au/</w:t>
        </w:r>
        <w:proofErr w:type="spellStart"/>
        <w:r w:rsidRPr="00DC1269">
          <w:rPr>
            <w:rStyle w:val="Hyperlink"/>
          </w:rPr>
          <w:t>lowbackpain</w:t>
        </w:r>
        <w:proofErr w:type="spellEnd"/>
        <w:r w:rsidRPr="00DC1269">
          <w:rPr>
            <w:rStyle w:val="Hyperlink"/>
          </w:rPr>
          <w:t>-ccs</w:t>
        </w:r>
      </w:hyperlink>
      <w:r w:rsidRPr="00DC1269">
        <w:t xml:space="preserve">. </w:t>
      </w:r>
    </w:p>
    <w:p w14:paraId="5714ED53" w14:textId="5EF9AE51" w:rsidR="00DC1269" w:rsidRDefault="00DC1269" w:rsidP="00DC1269"/>
    <w:p w14:paraId="6EB7BA2E" w14:textId="21FF5DC5" w:rsidR="00E07FA2" w:rsidRPr="00E07FA2" w:rsidRDefault="00E07FA2" w:rsidP="00E07FA2">
      <w:pPr>
        <w:pStyle w:val="FootnoteText"/>
        <w:spacing w:before="600"/>
        <w:rPr>
          <w:lang w:val="en-GB"/>
        </w:rPr>
      </w:pPr>
      <w:r w:rsidRPr="00E07FA2">
        <w:rPr>
          <w:lang w:val="en-GB"/>
        </w:rPr>
        <w:t>The Australian Commission on Safety and Quality in Health Care has produced this clinical care standard to support the delivery of appropriate care for a defined condition. The clinical care standard is based on the best evidence available at the time of development. Healthcare professionals are advised to use clinical discretion and consideration of the circumstances of the individual patient, in consultation with the patient and/or their carer or guardian, when applying information contained within the clinical care standard. Consumers should use the information in the clinical care standard as a guide to inform discussions with their healthcare professional about the applicability of the clinical care standard to their individual condition.</w:t>
      </w:r>
    </w:p>
    <w:p w14:paraId="1F64B81D" w14:textId="23F14B2D" w:rsidR="00195458" w:rsidRPr="00837A90" w:rsidRDefault="00037C8A" w:rsidP="00D54898">
      <w:pPr>
        <w:spacing w:before="480" w:after="60"/>
        <w:rPr>
          <w:b/>
          <w:bCs/>
          <w:sz w:val="26"/>
          <w:szCs w:val="26"/>
        </w:rPr>
      </w:pPr>
      <w:hyperlink r:id="rId10" w:history="1">
        <w:r w:rsidR="00195458" w:rsidRPr="00837A90">
          <w:rPr>
            <w:rStyle w:val="Hyperlink"/>
            <w:b/>
            <w:bCs/>
            <w:sz w:val="26"/>
            <w:szCs w:val="26"/>
          </w:rPr>
          <w:t>safetyandquality.gov.au</w:t>
        </w:r>
      </w:hyperlink>
    </w:p>
    <w:p w14:paraId="097EDF5C" w14:textId="0A71319F" w:rsidR="00095C33" w:rsidRPr="00B11A0A" w:rsidRDefault="001918F7" w:rsidP="00727AFA">
      <w:pPr>
        <w:pStyle w:val="FootnoteText"/>
        <w:tabs>
          <w:tab w:val="right" w:pos="8931"/>
        </w:tabs>
        <w:spacing w:before="180" w:after="0"/>
        <w:rPr>
          <w:rFonts w:eastAsiaTheme="majorEastAsia"/>
        </w:rPr>
      </w:pPr>
      <w:r w:rsidRPr="006A2587">
        <w:rPr>
          <w:noProof/>
          <w:lang w:val="en-US" w:eastAsia="en-US"/>
        </w:rPr>
        <w:drawing>
          <wp:anchor distT="0" distB="0" distL="114300" distR="114300" simplePos="0" relativeHeight="251663360" behindDoc="0" locked="0" layoutInCell="1" allowOverlap="1" wp14:anchorId="52E40C1F" wp14:editId="3B708858">
            <wp:simplePos x="0" y="0"/>
            <wp:positionH relativeFrom="column">
              <wp:posOffset>0</wp:posOffset>
            </wp:positionH>
            <wp:positionV relativeFrom="paragraph">
              <wp:posOffset>62702</wp:posOffset>
            </wp:positionV>
            <wp:extent cx="840105" cy="297815"/>
            <wp:effectExtent l="0" t="0" r="0" b="0"/>
            <wp:wrapSquare wrapText="bothSides"/>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4FD">
        <w:rPr>
          <w:rStyle w:val="Roman"/>
          <w:rFonts w:eastAsiaTheme="majorEastAsia"/>
        </w:rPr>
        <w:t xml:space="preserve">© Australian Commission on Safety </w:t>
      </w:r>
      <w:r w:rsidR="0099343F">
        <w:rPr>
          <w:rStyle w:val="Roman"/>
          <w:rFonts w:eastAsiaTheme="majorEastAsia"/>
        </w:rPr>
        <w:br/>
      </w:r>
      <w:r w:rsidRPr="00E304FD">
        <w:rPr>
          <w:rStyle w:val="Roman"/>
          <w:rFonts w:eastAsiaTheme="majorEastAsia"/>
        </w:rPr>
        <w:t>and Quality in Health Care 20</w:t>
      </w:r>
      <w:r w:rsidR="003A70CE">
        <w:rPr>
          <w:rStyle w:val="Roman"/>
          <w:rFonts w:eastAsiaTheme="majorEastAsia"/>
        </w:rPr>
        <w:t>2</w:t>
      </w:r>
      <w:r w:rsidR="00EB7D44">
        <w:rPr>
          <w:rStyle w:val="Roman"/>
          <w:rFonts w:eastAsiaTheme="majorEastAsia"/>
        </w:rPr>
        <w:t>2</w:t>
      </w:r>
      <w:r w:rsidR="007B5D1E" w:rsidRPr="007B5D1E" w:rsidDel="00174535">
        <w:rPr>
          <w:rStyle w:val="Roman"/>
          <w:rFonts w:eastAsiaTheme="majorEastAsia"/>
        </w:rPr>
        <w:t xml:space="preserve"> </w:t>
      </w:r>
    </w:p>
    <w:sectPr w:rsidR="00095C33" w:rsidRPr="00B11A0A" w:rsidSect="001B5FA5">
      <w:headerReference w:type="even" r:id="rId12"/>
      <w:headerReference w:type="default" r:id="rId13"/>
      <w:footerReference w:type="even" r:id="rId14"/>
      <w:footerReference w:type="default" r:id="rId15"/>
      <w:headerReference w:type="first" r:id="rId16"/>
      <w:footerReference w:type="first" r:id="rId17"/>
      <w:pgSz w:w="11906" w:h="16838"/>
      <w:pgMar w:top="2126" w:right="1134" w:bottom="1418" w:left="1134" w:header="709" w:footer="709"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3240A" w14:textId="77777777" w:rsidR="00037C8A" w:rsidRDefault="00037C8A" w:rsidP="000B0274">
      <w:r>
        <w:separator/>
      </w:r>
    </w:p>
    <w:p w14:paraId="43FA489B" w14:textId="77777777" w:rsidR="00037C8A" w:rsidRDefault="00037C8A"/>
    <w:p w14:paraId="73C04C41" w14:textId="77777777" w:rsidR="00037C8A" w:rsidRDefault="00037C8A"/>
    <w:p w14:paraId="333A53AC" w14:textId="77777777" w:rsidR="00037C8A" w:rsidRDefault="00037C8A"/>
    <w:p w14:paraId="5FA8C347" w14:textId="77777777" w:rsidR="00037C8A" w:rsidRDefault="00037C8A"/>
  </w:endnote>
  <w:endnote w:type="continuationSeparator" w:id="0">
    <w:p w14:paraId="1F93FDF3" w14:textId="77777777" w:rsidR="00037C8A" w:rsidRDefault="00037C8A" w:rsidP="000B0274">
      <w:r>
        <w:continuationSeparator/>
      </w:r>
    </w:p>
    <w:p w14:paraId="0B820D46" w14:textId="77777777" w:rsidR="00037C8A" w:rsidRDefault="00037C8A"/>
    <w:p w14:paraId="17440089" w14:textId="77777777" w:rsidR="00037C8A" w:rsidRDefault="00037C8A"/>
    <w:p w14:paraId="26D553E6" w14:textId="77777777" w:rsidR="00037C8A" w:rsidRDefault="00037C8A"/>
    <w:p w14:paraId="61006702" w14:textId="77777777" w:rsidR="00037C8A" w:rsidRDefault="00037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Gotham Medium">
    <w:altName w:val="Arial"/>
    <w:panose1 w:val="020B0604020202020204"/>
    <w:charset w:val="00"/>
    <w:family w:val="auto"/>
    <w:notTrueType/>
    <w:pitch w:val="variable"/>
    <w:sig w:usb0="00000003" w:usb1="00000000" w:usb2="00000000" w:usb3="00000000" w:csb0="0000000B" w:csb1="00000000"/>
  </w:font>
  <w:font w:name="Lucida Grande">
    <w:panose1 w:val="020B0600040502020204"/>
    <w:charset w:val="00"/>
    <w:family w:val="swiss"/>
    <w:pitch w:val="variable"/>
    <w:sig w:usb0="E1000AEF" w:usb1="5000A1FF" w:usb2="00000000" w:usb3="00000000" w:csb0="000001BF" w:csb1="00000000"/>
  </w:font>
  <w:font w:name="Minion Pro">
    <w:panose1 w:val="02040503050306020203"/>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panose1 w:val="020B0606030504020204"/>
    <w:charset w:val="00"/>
    <w:family w:val="swiss"/>
    <w:pitch w:val="variable"/>
    <w:sig w:usb0="E00002EF" w:usb1="4000205B" w:usb2="00000028" w:usb3="00000000" w:csb0="0000019F" w:csb1="00000000"/>
  </w:font>
  <w:font w:name="Proxima Nova">
    <w:panose1 w:val="02000506030000020004"/>
    <w:charset w:val="00"/>
    <w:family w:val="auto"/>
    <w:notTrueType/>
    <w:pitch w:val="variable"/>
    <w:sig w:usb0="20000287" w:usb1="00000001" w:usb2="00000000" w:usb3="00000000" w:csb0="0000019F" w:csb1="00000000"/>
  </w:font>
  <w:font w:name="Proxima Nova Extrabold">
    <w:panose1 w:val="02000506030000020004"/>
    <w:charset w:val="00"/>
    <w:family w:val="auto"/>
    <w:notTrueType/>
    <w:pitch w:val="variable"/>
    <w:sig w:usb0="20000287" w:usb1="00000001" w:usb2="00000000"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00FC" w14:textId="37E2D28D" w:rsidR="00A5694A" w:rsidRDefault="00A5694A" w:rsidP="00D84622">
    <w:pPr>
      <w:pStyle w:val="Footer"/>
    </w:pPr>
  </w:p>
  <w:p w14:paraId="15F8C43E" w14:textId="77777777" w:rsidR="00070812" w:rsidRDefault="00070812"/>
  <w:p w14:paraId="4AAAE6F7" w14:textId="77777777" w:rsidR="008B014E" w:rsidRDefault="008B014E"/>
  <w:p w14:paraId="38254C0D"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A54C" w14:textId="62F7FEF5" w:rsidR="008B014E" w:rsidRPr="003D6BB4" w:rsidRDefault="003D6BB4" w:rsidP="00E40FD7">
    <w:pPr>
      <w:pStyle w:val="Footer"/>
      <w:rPr>
        <w:b/>
        <w:bCs/>
        <w:iCs/>
        <w:lang w:val="en-GB"/>
      </w:rPr>
    </w:pPr>
    <w:r w:rsidRPr="003D6BB4">
      <w:t xml:space="preserve">Low Back Pain </w:t>
    </w:r>
    <w:r w:rsidRPr="003D6BB4">
      <w:rPr>
        <w:iCs/>
        <w:lang w:val="en-GB"/>
      </w:rPr>
      <w:t>Clinical Care Standard 2022</w:t>
    </w:r>
    <w:r w:rsidR="00025FA6" w:rsidRPr="00025FA6">
      <w:rPr>
        <w:lang w:val="en-GB"/>
      </w:rPr>
      <w:t xml:space="preserve"> </w:t>
    </w:r>
    <w:r w:rsidR="00A5694A" w:rsidRPr="001D3465">
      <w:tab/>
    </w:r>
    <w:r w:rsidR="0036588B" w:rsidRPr="001D3465">
      <w:fldChar w:fldCharType="begin"/>
    </w:r>
    <w:r w:rsidR="0036588B" w:rsidRPr="001D3465">
      <w:instrText xml:space="preserve"> PAGE   \* MERGEFORMAT </w:instrText>
    </w:r>
    <w:r w:rsidR="0036588B" w:rsidRPr="001D3465">
      <w:fldChar w:fldCharType="separate"/>
    </w:r>
    <w:r w:rsidR="006A2587" w:rsidRPr="001D3465">
      <w:t>4</w:t>
    </w:r>
    <w:r w:rsidR="0036588B" w:rsidRPr="001D346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581A" w14:textId="77777777" w:rsidR="008A0FD3" w:rsidRDefault="008A0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A6DEF" w14:textId="77777777" w:rsidR="00037C8A" w:rsidRDefault="00037C8A">
      <w:r>
        <w:separator/>
      </w:r>
    </w:p>
  </w:footnote>
  <w:footnote w:type="continuationSeparator" w:id="0">
    <w:p w14:paraId="06B34A44" w14:textId="77777777" w:rsidR="00037C8A" w:rsidRDefault="00037C8A" w:rsidP="000B0274">
      <w:r>
        <w:continuationSeparator/>
      </w:r>
    </w:p>
    <w:p w14:paraId="2734C907" w14:textId="77777777" w:rsidR="00037C8A" w:rsidRDefault="00037C8A"/>
    <w:p w14:paraId="2F10DF78" w14:textId="77777777" w:rsidR="00037C8A" w:rsidRDefault="00037C8A"/>
    <w:p w14:paraId="3559D4D6" w14:textId="77777777" w:rsidR="00037C8A" w:rsidRDefault="00037C8A"/>
    <w:p w14:paraId="5246F234" w14:textId="77777777" w:rsidR="00037C8A" w:rsidRDefault="00037C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3CD3" w14:textId="0F215348" w:rsidR="00A5694A" w:rsidRDefault="00A5694A"/>
  <w:p w14:paraId="42D3D454" w14:textId="77777777" w:rsidR="00070812" w:rsidRDefault="00070812"/>
  <w:p w14:paraId="17E2483B" w14:textId="77777777" w:rsidR="008B014E" w:rsidRDefault="008B014E"/>
  <w:p w14:paraId="54BD02E6"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BB51" w14:textId="3F8FF3F9" w:rsidR="008B014E" w:rsidRDefault="0036588B" w:rsidP="00526689">
    <w:pPr>
      <w:tabs>
        <w:tab w:val="right" w:pos="9638"/>
      </w:tabs>
      <w:spacing w:before="0" w:after="0"/>
      <w:ind w:left="-142"/>
    </w:pPr>
    <w:r w:rsidRPr="00FB375B">
      <w:rPr>
        <w:rFonts w:eastAsiaTheme="majorEastAsia"/>
        <w:noProof/>
        <w:lang w:val="en-US" w:eastAsia="en-US"/>
      </w:rPr>
      <w:drawing>
        <wp:inline distT="0" distB="0" distL="0" distR="0" wp14:anchorId="752AEEBE" wp14:editId="5015BC25">
          <wp:extent cx="4307149" cy="543600"/>
          <wp:effectExtent l="0" t="0" r="0" b="2540"/>
          <wp:docPr id="24" name="Picture 24"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r w:rsidR="00A139AB">
      <w:tab/>
    </w:r>
    <w:r w:rsidR="00526689" w:rsidRPr="00526689">
      <w:rPr>
        <w:noProof/>
      </w:rPr>
      <w:drawing>
        <wp:inline distT="0" distB="0" distL="0" distR="0" wp14:anchorId="108F7AF7" wp14:editId="14228807">
          <wp:extent cx="1569720" cy="441325"/>
          <wp:effectExtent l="0" t="0" r="5080" b="3175"/>
          <wp:docPr id="25" name="Picture 25" descr="Clinical Care Stand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inical Care Standard logo"/>
                  <pic:cNvPicPr/>
                </pic:nvPicPr>
                <pic:blipFill rotWithShape="1">
                  <a:blip r:embed="rId2"/>
                  <a:srcRect t="8116" r="2365" b="8832"/>
                  <a:stretch/>
                </pic:blipFill>
                <pic:spPr bwMode="auto">
                  <a:xfrm>
                    <a:off x="0" y="0"/>
                    <a:ext cx="1589194" cy="446800"/>
                  </a:xfrm>
                  <a:prstGeom prst="rect">
                    <a:avLst/>
                  </a:prstGeom>
                  <a:ln>
                    <a:noFill/>
                  </a:ln>
                  <a:extLst>
                    <a:ext uri="{53640926-AAD7-44D8-BBD7-CCE9431645EC}">
                      <a14:shadowObscured xmlns:a14="http://schemas.microsoft.com/office/drawing/2010/main"/>
                    </a:ext>
                  </a:extLst>
                </pic:spPr>
              </pic:pic>
            </a:graphicData>
          </a:graphic>
        </wp:inline>
      </w:drawing>
    </w:r>
  </w:p>
  <w:p w14:paraId="18F126EA" w14:textId="77777777" w:rsidR="008B014E" w:rsidRDefault="008B01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E0B9" w14:textId="77777777" w:rsidR="008A0FD3" w:rsidRDefault="008A0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19C"/>
    <w:multiLevelType w:val="hybridMultilevel"/>
    <w:tmpl w:val="3D846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10F98"/>
    <w:multiLevelType w:val="hybridMultilevel"/>
    <w:tmpl w:val="FBA6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376EB3"/>
    <w:multiLevelType w:val="hybridMultilevel"/>
    <w:tmpl w:val="12664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955B9C"/>
    <w:multiLevelType w:val="hybridMultilevel"/>
    <w:tmpl w:val="94586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C1C4D"/>
    <w:multiLevelType w:val="hybridMultilevel"/>
    <w:tmpl w:val="C008A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70028C"/>
    <w:multiLevelType w:val="hybridMultilevel"/>
    <w:tmpl w:val="E7124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4A077F"/>
    <w:multiLevelType w:val="hybridMultilevel"/>
    <w:tmpl w:val="A2C4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E25586"/>
    <w:multiLevelType w:val="hybridMultilevel"/>
    <w:tmpl w:val="980A6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5E06A4"/>
    <w:multiLevelType w:val="hybridMultilevel"/>
    <w:tmpl w:val="E530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FB41AAC"/>
    <w:multiLevelType w:val="hybridMultilevel"/>
    <w:tmpl w:val="EF26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0818E6"/>
    <w:multiLevelType w:val="hybridMultilevel"/>
    <w:tmpl w:val="ECA63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4C44A6"/>
    <w:multiLevelType w:val="hybridMultilevel"/>
    <w:tmpl w:val="A0B4A05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15C729CD"/>
    <w:multiLevelType w:val="hybridMultilevel"/>
    <w:tmpl w:val="8BC21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7F36E4"/>
    <w:multiLevelType w:val="hybridMultilevel"/>
    <w:tmpl w:val="351E4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DF4B3E"/>
    <w:multiLevelType w:val="hybridMultilevel"/>
    <w:tmpl w:val="550CF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EA43260"/>
    <w:multiLevelType w:val="hybridMultilevel"/>
    <w:tmpl w:val="AEC4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2DDB6CBE"/>
    <w:multiLevelType w:val="hybridMultilevel"/>
    <w:tmpl w:val="0650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E6081E"/>
    <w:multiLevelType w:val="hybridMultilevel"/>
    <w:tmpl w:val="3BF6C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6048AD"/>
    <w:multiLevelType w:val="hybridMultilevel"/>
    <w:tmpl w:val="B69AE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B169BB"/>
    <w:multiLevelType w:val="hybridMultilevel"/>
    <w:tmpl w:val="D520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932D9C"/>
    <w:multiLevelType w:val="hybridMultilevel"/>
    <w:tmpl w:val="F0D48C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CCD0E79"/>
    <w:multiLevelType w:val="hybridMultilevel"/>
    <w:tmpl w:val="EEFE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4B1B70"/>
    <w:multiLevelType w:val="hybridMultilevel"/>
    <w:tmpl w:val="80001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6E4D48"/>
    <w:multiLevelType w:val="hybridMultilevel"/>
    <w:tmpl w:val="05E8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2B5BFA"/>
    <w:multiLevelType w:val="hybridMultilevel"/>
    <w:tmpl w:val="92B6B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CA6941"/>
    <w:multiLevelType w:val="hybridMultilevel"/>
    <w:tmpl w:val="51D0F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A61E6D"/>
    <w:multiLevelType w:val="hybridMultilevel"/>
    <w:tmpl w:val="CD1A0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C63A2F"/>
    <w:multiLevelType w:val="hybridMultilevel"/>
    <w:tmpl w:val="DDB4C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F500B7"/>
    <w:multiLevelType w:val="hybridMultilevel"/>
    <w:tmpl w:val="25164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1F04FC"/>
    <w:multiLevelType w:val="hybridMultilevel"/>
    <w:tmpl w:val="C708E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7C1943"/>
    <w:multiLevelType w:val="hybridMultilevel"/>
    <w:tmpl w:val="91E0C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000A4E"/>
    <w:multiLevelType w:val="hybridMultilevel"/>
    <w:tmpl w:val="FEC8C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8D2C6A"/>
    <w:multiLevelType w:val="hybridMultilevel"/>
    <w:tmpl w:val="3ABE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D43FCE"/>
    <w:multiLevelType w:val="hybridMultilevel"/>
    <w:tmpl w:val="04A6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A9532E"/>
    <w:multiLevelType w:val="hybridMultilevel"/>
    <w:tmpl w:val="AC22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B46A41"/>
    <w:multiLevelType w:val="hybridMultilevel"/>
    <w:tmpl w:val="28B8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8"/>
  </w:num>
  <w:num w:numId="4">
    <w:abstractNumId w:val="24"/>
  </w:num>
  <w:num w:numId="5">
    <w:abstractNumId w:val="27"/>
  </w:num>
  <w:num w:numId="6">
    <w:abstractNumId w:val="12"/>
  </w:num>
  <w:num w:numId="7">
    <w:abstractNumId w:val="22"/>
  </w:num>
  <w:num w:numId="8">
    <w:abstractNumId w:val="11"/>
  </w:num>
  <w:num w:numId="9">
    <w:abstractNumId w:val="39"/>
  </w:num>
  <w:num w:numId="10">
    <w:abstractNumId w:val="20"/>
  </w:num>
  <w:num w:numId="11">
    <w:abstractNumId w:val="30"/>
  </w:num>
  <w:num w:numId="12">
    <w:abstractNumId w:val="17"/>
  </w:num>
  <w:num w:numId="13">
    <w:abstractNumId w:val="31"/>
  </w:num>
  <w:num w:numId="14">
    <w:abstractNumId w:val="19"/>
  </w:num>
  <w:num w:numId="15">
    <w:abstractNumId w:val="25"/>
  </w:num>
  <w:num w:numId="16">
    <w:abstractNumId w:val="16"/>
  </w:num>
  <w:num w:numId="17">
    <w:abstractNumId w:val="35"/>
  </w:num>
  <w:num w:numId="18">
    <w:abstractNumId w:val="26"/>
  </w:num>
  <w:num w:numId="19">
    <w:abstractNumId w:val="6"/>
  </w:num>
  <w:num w:numId="20">
    <w:abstractNumId w:val="38"/>
  </w:num>
  <w:num w:numId="21">
    <w:abstractNumId w:val="37"/>
  </w:num>
  <w:num w:numId="22">
    <w:abstractNumId w:val="33"/>
  </w:num>
  <w:num w:numId="23">
    <w:abstractNumId w:val="4"/>
  </w:num>
  <w:num w:numId="24">
    <w:abstractNumId w:val="13"/>
  </w:num>
  <w:num w:numId="25">
    <w:abstractNumId w:val="28"/>
  </w:num>
  <w:num w:numId="26">
    <w:abstractNumId w:val="1"/>
  </w:num>
  <w:num w:numId="27">
    <w:abstractNumId w:val="36"/>
  </w:num>
  <w:num w:numId="28">
    <w:abstractNumId w:val="14"/>
  </w:num>
  <w:num w:numId="29">
    <w:abstractNumId w:val="23"/>
  </w:num>
  <w:num w:numId="30">
    <w:abstractNumId w:val="7"/>
  </w:num>
  <w:num w:numId="31">
    <w:abstractNumId w:val="29"/>
  </w:num>
  <w:num w:numId="32">
    <w:abstractNumId w:val="5"/>
  </w:num>
  <w:num w:numId="33">
    <w:abstractNumId w:val="0"/>
  </w:num>
  <w:num w:numId="34">
    <w:abstractNumId w:val="21"/>
  </w:num>
  <w:num w:numId="35">
    <w:abstractNumId w:val="15"/>
  </w:num>
  <w:num w:numId="36">
    <w:abstractNumId w:val="8"/>
  </w:num>
  <w:num w:numId="37">
    <w:abstractNumId w:val="34"/>
  </w:num>
  <w:num w:numId="38">
    <w:abstractNumId w:val="32"/>
  </w:num>
  <w:num w:numId="39">
    <w:abstractNumId w:val="3"/>
  </w:num>
  <w:num w:numId="4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TableGrid"/>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E"/>
    <w:rsid w:val="00001564"/>
    <w:rsid w:val="00002668"/>
    <w:rsid w:val="00003743"/>
    <w:rsid w:val="000077FA"/>
    <w:rsid w:val="00007FBA"/>
    <w:rsid w:val="0001053B"/>
    <w:rsid w:val="00011096"/>
    <w:rsid w:val="00012782"/>
    <w:rsid w:val="00020DBD"/>
    <w:rsid w:val="00025A92"/>
    <w:rsid w:val="00025FA6"/>
    <w:rsid w:val="00030296"/>
    <w:rsid w:val="0003073D"/>
    <w:rsid w:val="0003162D"/>
    <w:rsid w:val="00036F5E"/>
    <w:rsid w:val="00037C8A"/>
    <w:rsid w:val="000406F8"/>
    <w:rsid w:val="00043671"/>
    <w:rsid w:val="00050775"/>
    <w:rsid w:val="00051DB6"/>
    <w:rsid w:val="00054B74"/>
    <w:rsid w:val="00057F46"/>
    <w:rsid w:val="00067456"/>
    <w:rsid w:val="00067CE9"/>
    <w:rsid w:val="00070812"/>
    <w:rsid w:val="0008065C"/>
    <w:rsid w:val="00090EFF"/>
    <w:rsid w:val="00091FC5"/>
    <w:rsid w:val="00092229"/>
    <w:rsid w:val="00095C33"/>
    <w:rsid w:val="00095DA6"/>
    <w:rsid w:val="00095DC5"/>
    <w:rsid w:val="000A3F0D"/>
    <w:rsid w:val="000A4C01"/>
    <w:rsid w:val="000A6B18"/>
    <w:rsid w:val="000B0274"/>
    <w:rsid w:val="000B0BFE"/>
    <w:rsid w:val="000B4610"/>
    <w:rsid w:val="000B6D05"/>
    <w:rsid w:val="000B79D3"/>
    <w:rsid w:val="000C1417"/>
    <w:rsid w:val="000C1722"/>
    <w:rsid w:val="000C1DD4"/>
    <w:rsid w:val="000C5B0F"/>
    <w:rsid w:val="000C7A69"/>
    <w:rsid w:val="000C7CB6"/>
    <w:rsid w:val="000D017D"/>
    <w:rsid w:val="000D5D2D"/>
    <w:rsid w:val="000D6405"/>
    <w:rsid w:val="000D6E27"/>
    <w:rsid w:val="000E2F2E"/>
    <w:rsid w:val="000E642E"/>
    <w:rsid w:val="000F0D77"/>
    <w:rsid w:val="000F29C7"/>
    <w:rsid w:val="0010673D"/>
    <w:rsid w:val="00106CF5"/>
    <w:rsid w:val="0011241A"/>
    <w:rsid w:val="001130E8"/>
    <w:rsid w:val="00114927"/>
    <w:rsid w:val="00115403"/>
    <w:rsid w:val="00115E61"/>
    <w:rsid w:val="00120FCB"/>
    <w:rsid w:val="00131E52"/>
    <w:rsid w:val="00140002"/>
    <w:rsid w:val="001408DB"/>
    <w:rsid w:val="00142304"/>
    <w:rsid w:val="00143A76"/>
    <w:rsid w:val="00145BE3"/>
    <w:rsid w:val="00146A66"/>
    <w:rsid w:val="001507C6"/>
    <w:rsid w:val="00156F18"/>
    <w:rsid w:val="00157B31"/>
    <w:rsid w:val="00160453"/>
    <w:rsid w:val="00162146"/>
    <w:rsid w:val="00163996"/>
    <w:rsid w:val="001652A9"/>
    <w:rsid w:val="0017070B"/>
    <w:rsid w:val="00174141"/>
    <w:rsid w:val="00174535"/>
    <w:rsid w:val="00174F1E"/>
    <w:rsid w:val="0017675C"/>
    <w:rsid w:val="00182B74"/>
    <w:rsid w:val="00183675"/>
    <w:rsid w:val="00184C86"/>
    <w:rsid w:val="001852DE"/>
    <w:rsid w:val="001859B5"/>
    <w:rsid w:val="001860B2"/>
    <w:rsid w:val="001918F7"/>
    <w:rsid w:val="001921ED"/>
    <w:rsid w:val="00195458"/>
    <w:rsid w:val="001962DE"/>
    <w:rsid w:val="00196AC8"/>
    <w:rsid w:val="001A11A5"/>
    <w:rsid w:val="001A1EBD"/>
    <w:rsid w:val="001A236C"/>
    <w:rsid w:val="001A352F"/>
    <w:rsid w:val="001A4A68"/>
    <w:rsid w:val="001B15D1"/>
    <w:rsid w:val="001B3443"/>
    <w:rsid w:val="001B5FA5"/>
    <w:rsid w:val="001B7C8B"/>
    <w:rsid w:val="001C12FD"/>
    <w:rsid w:val="001D0D87"/>
    <w:rsid w:val="001D3465"/>
    <w:rsid w:val="001D709F"/>
    <w:rsid w:val="001E1042"/>
    <w:rsid w:val="001E2400"/>
    <w:rsid w:val="001E38B8"/>
    <w:rsid w:val="001E6C6D"/>
    <w:rsid w:val="001E77C4"/>
    <w:rsid w:val="001E7B2D"/>
    <w:rsid w:val="001F6D10"/>
    <w:rsid w:val="002255F7"/>
    <w:rsid w:val="0023112B"/>
    <w:rsid w:val="0023231A"/>
    <w:rsid w:val="00235C90"/>
    <w:rsid w:val="00237ADF"/>
    <w:rsid w:val="002416A9"/>
    <w:rsid w:val="00245D81"/>
    <w:rsid w:val="00246CC1"/>
    <w:rsid w:val="0024767D"/>
    <w:rsid w:val="002503C3"/>
    <w:rsid w:val="00251167"/>
    <w:rsid w:val="002519CF"/>
    <w:rsid w:val="00252B7D"/>
    <w:rsid w:val="002550A7"/>
    <w:rsid w:val="00255596"/>
    <w:rsid w:val="00255DCB"/>
    <w:rsid w:val="00261F43"/>
    <w:rsid w:val="002625FB"/>
    <w:rsid w:val="00263A63"/>
    <w:rsid w:val="00264387"/>
    <w:rsid w:val="00264A5A"/>
    <w:rsid w:val="00265595"/>
    <w:rsid w:val="002662B4"/>
    <w:rsid w:val="0026675D"/>
    <w:rsid w:val="00267635"/>
    <w:rsid w:val="00277A59"/>
    <w:rsid w:val="00280BD7"/>
    <w:rsid w:val="0028150E"/>
    <w:rsid w:val="00281FD4"/>
    <w:rsid w:val="00284560"/>
    <w:rsid w:val="002851F2"/>
    <w:rsid w:val="00291EBD"/>
    <w:rsid w:val="00293CDE"/>
    <w:rsid w:val="002A36BF"/>
    <w:rsid w:val="002A48DC"/>
    <w:rsid w:val="002C1CA0"/>
    <w:rsid w:val="002C6AF0"/>
    <w:rsid w:val="002C6E07"/>
    <w:rsid w:val="002D0EB0"/>
    <w:rsid w:val="002D247E"/>
    <w:rsid w:val="002E195D"/>
    <w:rsid w:val="002E2DBA"/>
    <w:rsid w:val="002E3986"/>
    <w:rsid w:val="002E6A48"/>
    <w:rsid w:val="002E6BEC"/>
    <w:rsid w:val="002E7082"/>
    <w:rsid w:val="002F0171"/>
    <w:rsid w:val="002F3AE3"/>
    <w:rsid w:val="002F7E6F"/>
    <w:rsid w:val="0030786C"/>
    <w:rsid w:val="00307ECE"/>
    <w:rsid w:val="00312A62"/>
    <w:rsid w:val="00316683"/>
    <w:rsid w:val="00316F58"/>
    <w:rsid w:val="00331C34"/>
    <w:rsid w:val="00341A36"/>
    <w:rsid w:val="00341BEE"/>
    <w:rsid w:val="003422F3"/>
    <w:rsid w:val="00342360"/>
    <w:rsid w:val="00343286"/>
    <w:rsid w:val="0034680F"/>
    <w:rsid w:val="0035066E"/>
    <w:rsid w:val="00350BE1"/>
    <w:rsid w:val="00352A93"/>
    <w:rsid w:val="00355D11"/>
    <w:rsid w:val="003610EF"/>
    <w:rsid w:val="003657DB"/>
    <w:rsid w:val="0036588B"/>
    <w:rsid w:val="00370326"/>
    <w:rsid w:val="00375A2E"/>
    <w:rsid w:val="00380792"/>
    <w:rsid w:val="003808E4"/>
    <w:rsid w:val="0038248B"/>
    <w:rsid w:val="00383617"/>
    <w:rsid w:val="00386683"/>
    <w:rsid w:val="003873C6"/>
    <w:rsid w:val="00392002"/>
    <w:rsid w:val="00392A85"/>
    <w:rsid w:val="00396AFB"/>
    <w:rsid w:val="003A0131"/>
    <w:rsid w:val="003A2D7B"/>
    <w:rsid w:val="003A70CE"/>
    <w:rsid w:val="003B216B"/>
    <w:rsid w:val="003B35D0"/>
    <w:rsid w:val="003B6F31"/>
    <w:rsid w:val="003C297A"/>
    <w:rsid w:val="003C540E"/>
    <w:rsid w:val="003C5F0C"/>
    <w:rsid w:val="003C7AAA"/>
    <w:rsid w:val="003D17F9"/>
    <w:rsid w:val="003D3806"/>
    <w:rsid w:val="003D437B"/>
    <w:rsid w:val="003D4829"/>
    <w:rsid w:val="003D6B6A"/>
    <w:rsid w:val="003D6BB4"/>
    <w:rsid w:val="003E197F"/>
    <w:rsid w:val="003E254A"/>
    <w:rsid w:val="003E6E73"/>
    <w:rsid w:val="003E76C8"/>
    <w:rsid w:val="003F0D94"/>
    <w:rsid w:val="003F2E19"/>
    <w:rsid w:val="003F3F0B"/>
    <w:rsid w:val="003F4A43"/>
    <w:rsid w:val="0040152C"/>
    <w:rsid w:val="00402CBA"/>
    <w:rsid w:val="00412E9D"/>
    <w:rsid w:val="00414952"/>
    <w:rsid w:val="00420F98"/>
    <w:rsid w:val="004223BB"/>
    <w:rsid w:val="00423210"/>
    <w:rsid w:val="0042544C"/>
    <w:rsid w:val="00425504"/>
    <w:rsid w:val="0042727E"/>
    <w:rsid w:val="0043052C"/>
    <w:rsid w:val="004305D6"/>
    <w:rsid w:val="0043236E"/>
    <w:rsid w:val="004361F9"/>
    <w:rsid w:val="004377EE"/>
    <w:rsid w:val="00437E1A"/>
    <w:rsid w:val="00440CC0"/>
    <w:rsid w:val="00440D73"/>
    <w:rsid w:val="004428EA"/>
    <w:rsid w:val="004437F3"/>
    <w:rsid w:val="00447D31"/>
    <w:rsid w:val="00452849"/>
    <w:rsid w:val="00455560"/>
    <w:rsid w:val="00456385"/>
    <w:rsid w:val="0045769C"/>
    <w:rsid w:val="00463EA2"/>
    <w:rsid w:val="00465A19"/>
    <w:rsid w:val="00465AB0"/>
    <w:rsid w:val="004706FF"/>
    <w:rsid w:val="00470AB8"/>
    <w:rsid w:val="00471D0B"/>
    <w:rsid w:val="004720D5"/>
    <w:rsid w:val="00473C16"/>
    <w:rsid w:val="00477E9B"/>
    <w:rsid w:val="00482ECA"/>
    <w:rsid w:val="004832A0"/>
    <w:rsid w:val="00485776"/>
    <w:rsid w:val="00485794"/>
    <w:rsid w:val="004867E2"/>
    <w:rsid w:val="00486826"/>
    <w:rsid w:val="0048784D"/>
    <w:rsid w:val="00493AA0"/>
    <w:rsid w:val="00494603"/>
    <w:rsid w:val="00495CA7"/>
    <w:rsid w:val="004A0670"/>
    <w:rsid w:val="004A20B7"/>
    <w:rsid w:val="004A4851"/>
    <w:rsid w:val="004A5C81"/>
    <w:rsid w:val="004B0417"/>
    <w:rsid w:val="004B1464"/>
    <w:rsid w:val="004B2999"/>
    <w:rsid w:val="004B79B3"/>
    <w:rsid w:val="004C04EB"/>
    <w:rsid w:val="004C1050"/>
    <w:rsid w:val="004C3664"/>
    <w:rsid w:val="004C4927"/>
    <w:rsid w:val="004C6833"/>
    <w:rsid w:val="004E067A"/>
    <w:rsid w:val="004E179B"/>
    <w:rsid w:val="004E2389"/>
    <w:rsid w:val="004E50C2"/>
    <w:rsid w:val="004E58C1"/>
    <w:rsid w:val="004F412D"/>
    <w:rsid w:val="005008B6"/>
    <w:rsid w:val="00504D1E"/>
    <w:rsid w:val="00505824"/>
    <w:rsid w:val="0051563D"/>
    <w:rsid w:val="005179C7"/>
    <w:rsid w:val="0052107C"/>
    <w:rsid w:val="005221B7"/>
    <w:rsid w:val="00526689"/>
    <w:rsid w:val="00530100"/>
    <w:rsid w:val="005334BA"/>
    <w:rsid w:val="00536E0C"/>
    <w:rsid w:val="005408C7"/>
    <w:rsid w:val="005422E7"/>
    <w:rsid w:val="005437FD"/>
    <w:rsid w:val="00544A4E"/>
    <w:rsid w:val="00547B76"/>
    <w:rsid w:val="005507F4"/>
    <w:rsid w:val="00553E33"/>
    <w:rsid w:val="005551C5"/>
    <w:rsid w:val="00555C4C"/>
    <w:rsid w:val="00555D6E"/>
    <w:rsid w:val="00562F72"/>
    <w:rsid w:val="0056304B"/>
    <w:rsid w:val="00563F9E"/>
    <w:rsid w:val="00565356"/>
    <w:rsid w:val="00566B97"/>
    <w:rsid w:val="00570C6C"/>
    <w:rsid w:val="00584334"/>
    <w:rsid w:val="005852A1"/>
    <w:rsid w:val="00587F42"/>
    <w:rsid w:val="00591A14"/>
    <w:rsid w:val="0059380A"/>
    <w:rsid w:val="0059724C"/>
    <w:rsid w:val="005A1AA7"/>
    <w:rsid w:val="005A4D0B"/>
    <w:rsid w:val="005A61B4"/>
    <w:rsid w:val="005A65E0"/>
    <w:rsid w:val="005A735B"/>
    <w:rsid w:val="005B04D8"/>
    <w:rsid w:val="005B12E4"/>
    <w:rsid w:val="005B1BF8"/>
    <w:rsid w:val="005B60F9"/>
    <w:rsid w:val="005B7FD0"/>
    <w:rsid w:val="005C1496"/>
    <w:rsid w:val="005C5EF4"/>
    <w:rsid w:val="005C6AAE"/>
    <w:rsid w:val="005D1073"/>
    <w:rsid w:val="005D1804"/>
    <w:rsid w:val="005D2770"/>
    <w:rsid w:val="005D35C9"/>
    <w:rsid w:val="005D5D06"/>
    <w:rsid w:val="005D62B5"/>
    <w:rsid w:val="005E2614"/>
    <w:rsid w:val="005E7144"/>
    <w:rsid w:val="005F1E4A"/>
    <w:rsid w:val="00604583"/>
    <w:rsid w:val="00607B0B"/>
    <w:rsid w:val="00611870"/>
    <w:rsid w:val="00613219"/>
    <w:rsid w:val="00614E29"/>
    <w:rsid w:val="00621CD6"/>
    <w:rsid w:val="0062216A"/>
    <w:rsid w:val="00625634"/>
    <w:rsid w:val="00625EC1"/>
    <w:rsid w:val="00626F7D"/>
    <w:rsid w:val="00630199"/>
    <w:rsid w:val="006317C9"/>
    <w:rsid w:val="00632475"/>
    <w:rsid w:val="00632C35"/>
    <w:rsid w:val="006340B0"/>
    <w:rsid w:val="00635FC3"/>
    <w:rsid w:val="00641773"/>
    <w:rsid w:val="00641CB0"/>
    <w:rsid w:val="0064239F"/>
    <w:rsid w:val="006456F1"/>
    <w:rsid w:val="00656A90"/>
    <w:rsid w:val="00657DD2"/>
    <w:rsid w:val="00663BBD"/>
    <w:rsid w:val="00664B6D"/>
    <w:rsid w:val="00664F67"/>
    <w:rsid w:val="006655E2"/>
    <w:rsid w:val="00667658"/>
    <w:rsid w:val="00670F54"/>
    <w:rsid w:val="006728F9"/>
    <w:rsid w:val="006741D0"/>
    <w:rsid w:val="006746DA"/>
    <w:rsid w:val="006765C3"/>
    <w:rsid w:val="006767BC"/>
    <w:rsid w:val="006803BA"/>
    <w:rsid w:val="00683E87"/>
    <w:rsid w:val="0069078B"/>
    <w:rsid w:val="00692026"/>
    <w:rsid w:val="006922F5"/>
    <w:rsid w:val="006947D9"/>
    <w:rsid w:val="006A16DD"/>
    <w:rsid w:val="006A2587"/>
    <w:rsid w:val="006B226D"/>
    <w:rsid w:val="006B3CFC"/>
    <w:rsid w:val="006B7785"/>
    <w:rsid w:val="006C0CD8"/>
    <w:rsid w:val="006C5AEE"/>
    <w:rsid w:val="006C5B8D"/>
    <w:rsid w:val="006C679A"/>
    <w:rsid w:val="006C68E8"/>
    <w:rsid w:val="006D09FE"/>
    <w:rsid w:val="006D0C40"/>
    <w:rsid w:val="006D0E98"/>
    <w:rsid w:val="006D15C1"/>
    <w:rsid w:val="006D732F"/>
    <w:rsid w:val="006E15A8"/>
    <w:rsid w:val="006E4597"/>
    <w:rsid w:val="006E688D"/>
    <w:rsid w:val="006E77DC"/>
    <w:rsid w:val="006F1432"/>
    <w:rsid w:val="006F7964"/>
    <w:rsid w:val="0070131E"/>
    <w:rsid w:val="007028EC"/>
    <w:rsid w:val="007035D8"/>
    <w:rsid w:val="0070703E"/>
    <w:rsid w:val="00707D22"/>
    <w:rsid w:val="007103BE"/>
    <w:rsid w:val="00711E21"/>
    <w:rsid w:val="00712582"/>
    <w:rsid w:val="00712832"/>
    <w:rsid w:val="00713F05"/>
    <w:rsid w:val="00715168"/>
    <w:rsid w:val="0071637F"/>
    <w:rsid w:val="00716597"/>
    <w:rsid w:val="00716FED"/>
    <w:rsid w:val="00722691"/>
    <w:rsid w:val="007238E8"/>
    <w:rsid w:val="00723CF3"/>
    <w:rsid w:val="0072413F"/>
    <w:rsid w:val="00725FB9"/>
    <w:rsid w:val="00727AFA"/>
    <w:rsid w:val="00730020"/>
    <w:rsid w:val="007333AD"/>
    <w:rsid w:val="007360BF"/>
    <w:rsid w:val="00737D4D"/>
    <w:rsid w:val="007406E6"/>
    <w:rsid w:val="007441A7"/>
    <w:rsid w:val="00746CCD"/>
    <w:rsid w:val="00747CE1"/>
    <w:rsid w:val="007513D6"/>
    <w:rsid w:val="007517A6"/>
    <w:rsid w:val="007545C7"/>
    <w:rsid w:val="00754F04"/>
    <w:rsid w:val="007551C0"/>
    <w:rsid w:val="00756EB9"/>
    <w:rsid w:val="0076005C"/>
    <w:rsid w:val="0076111D"/>
    <w:rsid w:val="00761AEB"/>
    <w:rsid w:val="007635C1"/>
    <w:rsid w:val="0076410D"/>
    <w:rsid w:val="00766B42"/>
    <w:rsid w:val="0076731D"/>
    <w:rsid w:val="00767650"/>
    <w:rsid w:val="00767A90"/>
    <w:rsid w:val="00770588"/>
    <w:rsid w:val="00770EDE"/>
    <w:rsid w:val="0078070C"/>
    <w:rsid w:val="00784541"/>
    <w:rsid w:val="007857BF"/>
    <w:rsid w:val="00787790"/>
    <w:rsid w:val="007907DF"/>
    <w:rsid w:val="00793E5D"/>
    <w:rsid w:val="00794DF2"/>
    <w:rsid w:val="007968CC"/>
    <w:rsid w:val="00796FB7"/>
    <w:rsid w:val="0079708B"/>
    <w:rsid w:val="007A0E50"/>
    <w:rsid w:val="007B04A9"/>
    <w:rsid w:val="007B16AC"/>
    <w:rsid w:val="007B1D5C"/>
    <w:rsid w:val="007B3212"/>
    <w:rsid w:val="007B5D05"/>
    <w:rsid w:val="007B5D1E"/>
    <w:rsid w:val="007C2217"/>
    <w:rsid w:val="007C26F7"/>
    <w:rsid w:val="007C2E29"/>
    <w:rsid w:val="007C471C"/>
    <w:rsid w:val="007C52D3"/>
    <w:rsid w:val="007C7042"/>
    <w:rsid w:val="007D3759"/>
    <w:rsid w:val="007D4258"/>
    <w:rsid w:val="007E000D"/>
    <w:rsid w:val="007E04F8"/>
    <w:rsid w:val="007E175B"/>
    <w:rsid w:val="007E3F8A"/>
    <w:rsid w:val="007F3645"/>
    <w:rsid w:val="007F58DD"/>
    <w:rsid w:val="007F6791"/>
    <w:rsid w:val="007F6C8D"/>
    <w:rsid w:val="00802131"/>
    <w:rsid w:val="00802B91"/>
    <w:rsid w:val="00805E44"/>
    <w:rsid w:val="008104D7"/>
    <w:rsid w:val="00811C26"/>
    <w:rsid w:val="00812A44"/>
    <w:rsid w:val="00813F63"/>
    <w:rsid w:val="00820059"/>
    <w:rsid w:val="00824FE5"/>
    <w:rsid w:val="008264EB"/>
    <w:rsid w:val="00827924"/>
    <w:rsid w:val="00830756"/>
    <w:rsid w:val="00837A90"/>
    <w:rsid w:val="00842182"/>
    <w:rsid w:val="0085566A"/>
    <w:rsid w:val="00855A49"/>
    <w:rsid w:val="00856DF5"/>
    <w:rsid w:val="00857E76"/>
    <w:rsid w:val="0086059A"/>
    <w:rsid w:val="00865932"/>
    <w:rsid w:val="00872059"/>
    <w:rsid w:val="00873673"/>
    <w:rsid w:val="008803A1"/>
    <w:rsid w:val="0088122A"/>
    <w:rsid w:val="008839CD"/>
    <w:rsid w:val="008926E7"/>
    <w:rsid w:val="00892AC8"/>
    <w:rsid w:val="00893261"/>
    <w:rsid w:val="0089369D"/>
    <w:rsid w:val="00897E5A"/>
    <w:rsid w:val="008A07AF"/>
    <w:rsid w:val="008A0FD3"/>
    <w:rsid w:val="008A4580"/>
    <w:rsid w:val="008A4AC8"/>
    <w:rsid w:val="008A4E8B"/>
    <w:rsid w:val="008A58F9"/>
    <w:rsid w:val="008B014E"/>
    <w:rsid w:val="008C2348"/>
    <w:rsid w:val="008D00AE"/>
    <w:rsid w:val="008D09DE"/>
    <w:rsid w:val="008D2FF8"/>
    <w:rsid w:val="008D5AFD"/>
    <w:rsid w:val="008E3658"/>
    <w:rsid w:val="008E59EB"/>
    <w:rsid w:val="008E5D6A"/>
    <w:rsid w:val="008F26C0"/>
    <w:rsid w:val="00901462"/>
    <w:rsid w:val="00901D6C"/>
    <w:rsid w:val="00902A76"/>
    <w:rsid w:val="0090304F"/>
    <w:rsid w:val="00904474"/>
    <w:rsid w:val="0091137C"/>
    <w:rsid w:val="00913727"/>
    <w:rsid w:val="0091384C"/>
    <w:rsid w:val="009213F3"/>
    <w:rsid w:val="0092204C"/>
    <w:rsid w:val="00922DEE"/>
    <w:rsid w:val="009238AA"/>
    <w:rsid w:val="009244B8"/>
    <w:rsid w:val="00925748"/>
    <w:rsid w:val="00932407"/>
    <w:rsid w:val="00933B21"/>
    <w:rsid w:val="00933EC2"/>
    <w:rsid w:val="0094021E"/>
    <w:rsid w:val="00941048"/>
    <w:rsid w:val="009421F2"/>
    <w:rsid w:val="009424A5"/>
    <w:rsid w:val="00943A18"/>
    <w:rsid w:val="009454FE"/>
    <w:rsid w:val="00947DFF"/>
    <w:rsid w:val="00950089"/>
    <w:rsid w:val="00954D41"/>
    <w:rsid w:val="0095539D"/>
    <w:rsid w:val="00955408"/>
    <w:rsid w:val="00957AD0"/>
    <w:rsid w:val="00957E88"/>
    <w:rsid w:val="00960BD7"/>
    <w:rsid w:val="00961B39"/>
    <w:rsid w:val="00961FBE"/>
    <w:rsid w:val="00964277"/>
    <w:rsid w:val="0097100F"/>
    <w:rsid w:val="009739AC"/>
    <w:rsid w:val="0097582E"/>
    <w:rsid w:val="00977D26"/>
    <w:rsid w:val="00977E26"/>
    <w:rsid w:val="009805EC"/>
    <w:rsid w:val="0098149F"/>
    <w:rsid w:val="00984227"/>
    <w:rsid w:val="00984799"/>
    <w:rsid w:val="00986415"/>
    <w:rsid w:val="009904EA"/>
    <w:rsid w:val="00991AF5"/>
    <w:rsid w:val="0099343F"/>
    <w:rsid w:val="0099497F"/>
    <w:rsid w:val="00995094"/>
    <w:rsid w:val="009A007B"/>
    <w:rsid w:val="009A0425"/>
    <w:rsid w:val="009A263C"/>
    <w:rsid w:val="009A3282"/>
    <w:rsid w:val="009B053D"/>
    <w:rsid w:val="009B3E5D"/>
    <w:rsid w:val="009B64E3"/>
    <w:rsid w:val="009C5964"/>
    <w:rsid w:val="009C672E"/>
    <w:rsid w:val="009C77A3"/>
    <w:rsid w:val="009D0B90"/>
    <w:rsid w:val="009D3768"/>
    <w:rsid w:val="009D3827"/>
    <w:rsid w:val="009D6852"/>
    <w:rsid w:val="009E0725"/>
    <w:rsid w:val="009E0D48"/>
    <w:rsid w:val="009E1F38"/>
    <w:rsid w:val="009E5D18"/>
    <w:rsid w:val="009E6B78"/>
    <w:rsid w:val="009E6D37"/>
    <w:rsid w:val="009F1EC9"/>
    <w:rsid w:val="009F33F8"/>
    <w:rsid w:val="009F41E6"/>
    <w:rsid w:val="009F4ACF"/>
    <w:rsid w:val="009F5557"/>
    <w:rsid w:val="009F7864"/>
    <w:rsid w:val="00A00906"/>
    <w:rsid w:val="00A02BFF"/>
    <w:rsid w:val="00A03A69"/>
    <w:rsid w:val="00A0554C"/>
    <w:rsid w:val="00A06D27"/>
    <w:rsid w:val="00A1015B"/>
    <w:rsid w:val="00A135F1"/>
    <w:rsid w:val="00A139AB"/>
    <w:rsid w:val="00A15082"/>
    <w:rsid w:val="00A16AEE"/>
    <w:rsid w:val="00A16B43"/>
    <w:rsid w:val="00A243E8"/>
    <w:rsid w:val="00A27285"/>
    <w:rsid w:val="00A369E8"/>
    <w:rsid w:val="00A4199A"/>
    <w:rsid w:val="00A4512D"/>
    <w:rsid w:val="00A51947"/>
    <w:rsid w:val="00A541E1"/>
    <w:rsid w:val="00A54775"/>
    <w:rsid w:val="00A5502C"/>
    <w:rsid w:val="00A564A6"/>
    <w:rsid w:val="00A5694A"/>
    <w:rsid w:val="00A65795"/>
    <w:rsid w:val="00A6672E"/>
    <w:rsid w:val="00A705AF"/>
    <w:rsid w:val="00A70F23"/>
    <w:rsid w:val="00A7126D"/>
    <w:rsid w:val="00A7363D"/>
    <w:rsid w:val="00A73C2F"/>
    <w:rsid w:val="00A75B58"/>
    <w:rsid w:val="00A77349"/>
    <w:rsid w:val="00A81D72"/>
    <w:rsid w:val="00A83572"/>
    <w:rsid w:val="00A931E2"/>
    <w:rsid w:val="00A93A18"/>
    <w:rsid w:val="00A964DB"/>
    <w:rsid w:val="00A96DED"/>
    <w:rsid w:val="00AA0055"/>
    <w:rsid w:val="00AA0A90"/>
    <w:rsid w:val="00AA3A3E"/>
    <w:rsid w:val="00AA405D"/>
    <w:rsid w:val="00AA603A"/>
    <w:rsid w:val="00AA6DC2"/>
    <w:rsid w:val="00AA7B58"/>
    <w:rsid w:val="00AB0A6E"/>
    <w:rsid w:val="00AB40AB"/>
    <w:rsid w:val="00AB64E5"/>
    <w:rsid w:val="00AB6E76"/>
    <w:rsid w:val="00AB6ED9"/>
    <w:rsid w:val="00AB6F9B"/>
    <w:rsid w:val="00AC5816"/>
    <w:rsid w:val="00AC637F"/>
    <w:rsid w:val="00AC7883"/>
    <w:rsid w:val="00AD01B4"/>
    <w:rsid w:val="00AD055C"/>
    <w:rsid w:val="00AD52A0"/>
    <w:rsid w:val="00AD5717"/>
    <w:rsid w:val="00AE05BB"/>
    <w:rsid w:val="00AE0BA6"/>
    <w:rsid w:val="00AE3267"/>
    <w:rsid w:val="00AE4325"/>
    <w:rsid w:val="00AF6154"/>
    <w:rsid w:val="00B07615"/>
    <w:rsid w:val="00B11A0A"/>
    <w:rsid w:val="00B11D5A"/>
    <w:rsid w:val="00B13F6A"/>
    <w:rsid w:val="00B15ACE"/>
    <w:rsid w:val="00B163F6"/>
    <w:rsid w:val="00B20701"/>
    <w:rsid w:val="00B213FD"/>
    <w:rsid w:val="00B24DF4"/>
    <w:rsid w:val="00B2665E"/>
    <w:rsid w:val="00B30753"/>
    <w:rsid w:val="00B328AF"/>
    <w:rsid w:val="00B32DD1"/>
    <w:rsid w:val="00B37148"/>
    <w:rsid w:val="00B3720C"/>
    <w:rsid w:val="00B37974"/>
    <w:rsid w:val="00B41409"/>
    <w:rsid w:val="00B42851"/>
    <w:rsid w:val="00B42FC9"/>
    <w:rsid w:val="00B456E0"/>
    <w:rsid w:val="00B459E9"/>
    <w:rsid w:val="00B47076"/>
    <w:rsid w:val="00B5113E"/>
    <w:rsid w:val="00B56B37"/>
    <w:rsid w:val="00B57759"/>
    <w:rsid w:val="00B60D44"/>
    <w:rsid w:val="00B60D86"/>
    <w:rsid w:val="00B7316F"/>
    <w:rsid w:val="00B732F1"/>
    <w:rsid w:val="00B73424"/>
    <w:rsid w:val="00B76CF6"/>
    <w:rsid w:val="00B77209"/>
    <w:rsid w:val="00B774A4"/>
    <w:rsid w:val="00B84831"/>
    <w:rsid w:val="00B86F48"/>
    <w:rsid w:val="00B8702B"/>
    <w:rsid w:val="00B904EC"/>
    <w:rsid w:val="00B91269"/>
    <w:rsid w:val="00B91454"/>
    <w:rsid w:val="00B936AD"/>
    <w:rsid w:val="00B93CD5"/>
    <w:rsid w:val="00B9432A"/>
    <w:rsid w:val="00B95A67"/>
    <w:rsid w:val="00B96A84"/>
    <w:rsid w:val="00BA0015"/>
    <w:rsid w:val="00BA2A5D"/>
    <w:rsid w:val="00BA2DE8"/>
    <w:rsid w:val="00BA34A0"/>
    <w:rsid w:val="00BA4AEE"/>
    <w:rsid w:val="00BA7D57"/>
    <w:rsid w:val="00BB2D0A"/>
    <w:rsid w:val="00BB375F"/>
    <w:rsid w:val="00BC07E4"/>
    <w:rsid w:val="00BC4293"/>
    <w:rsid w:val="00BC4D09"/>
    <w:rsid w:val="00BD0B57"/>
    <w:rsid w:val="00BD5403"/>
    <w:rsid w:val="00BD5F76"/>
    <w:rsid w:val="00BD649D"/>
    <w:rsid w:val="00BE0DE7"/>
    <w:rsid w:val="00BE2B3A"/>
    <w:rsid w:val="00BE6832"/>
    <w:rsid w:val="00BF0D0B"/>
    <w:rsid w:val="00BF2561"/>
    <w:rsid w:val="00BF5905"/>
    <w:rsid w:val="00BF6152"/>
    <w:rsid w:val="00C0059F"/>
    <w:rsid w:val="00C025A9"/>
    <w:rsid w:val="00C06314"/>
    <w:rsid w:val="00C075F6"/>
    <w:rsid w:val="00C10135"/>
    <w:rsid w:val="00C123DF"/>
    <w:rsid w:val="00C206EE"/>
    <w:rsid w:val="00C23604"/>
    <w:rsid w:val="00C270A6"/>
    <w:rsid w:val="00C27BDD"/>
    <w:rsid w:val="00C308FA"/>
    <w:rsid w:val="00C31839"/>
    <w:rsid w:val="00C31A7F"/>
    <w:rsid w:val="00C32280"/>
    <w:rsid w:val="00C33D29"/>
    <w:rsid w:val="00C35287"/>
    <w:rsid w:val="00C35DEC"/>
    <w:rsid w:val="00C35F32"/>
    <w:rsid w:val="00C37666"/>
    <w:rsid w:val="00C436EE"/>
    <w:rsid w:val="00C4456C"/>
    <w:rsid w:val="00C45877"/>
    <w:rsid w:val="00C477AC"/>
    <w:rsid w:val="00C50FAC"/>
    <w:rsid w:val="00C51BE7"/>
    <w:rsid w:val="00C53C65"/>
    <w:rsid w:val="00C565EF"/>
    <w:rsid w:val="00C57614"/>
    <w:rsid w:val="00C57EC0"/>
    <w:rsid w:val="00C618D7"/>
    <w:rsid w:val="00C624CC"/>
    <w:rsid w:val="00C63431"/>
    <w:rsid w:val="00C63C14"/>
    <w:rsid w:val="00C64BBB"/>
    <w:rsid w:val="00C64D00"/>
    <w:rsid w:val="00C70804"/>
    <w:rsid w:val="00C74935"/>
    <w:rsid w:val="00C753E9"/>
    <w:rsid w:val="00C7543A"/>
    <w:rsid w:val="00C83426"/>
    <w:rsid w:val="00C83B4F"/>
    <w:rsid w:val="00C84B06"/>
    <w:rsid w:val="00C85E91"/>
    <w:rsid w:val="00C911AD"/>
    <w:rsid w:val="00C933E5"/>
    <w:rsid w:val="00CA04C6"/>
    <w:rsid w:val="00CA43C2"/>
    <w:rsid w:val="00CA6481"/>
    <w:rsid w:val="00CB0684"/>
    <w:rsid w:val="00CB2190"/>
    <w:rsid w:val="00CB3E7C"/>
    <w:rsid w:val="00CB4662"/>
    <w:rsid w:val="00CB5999"/>
    <w:rsid w:val="00CB5B1A"/>
    <w:rsid w:val="00CB733F"/>
    <w:rsid w:val="00CC36EF"/>
    <w:rsid w:val="00CC4B4F"/>
    <w:rsid w:val="00CC4B8E"/>
    <w:rsid w:val="00CC697B"/>
    <w:rsid w:val="00CC7207"/>
    <w:rsid w:val="00CD3457"/>
    <w:rsid w:val="00CE16CC"/>
    <w:rsid w:val="00CE1712"/>
    <w:rsid w:val="00CE3387"/>
    <w:rsid w:val="00CE3619"/>
    <w:rsid w:val="00CE3A39"/>
    <w:rsid w:val="00CE7355"/>
    <w:rsid w:val="00CF4118"/>
    <w:rsid w:val="00CF702F"/>
    <w:rsid w:val="00D05C26"/>
    <w:rsid w:val="00D05CB2"/>
    <w:rsid w:val="00D07C0D"/>
    <w:rsid w:val="00D10D90"/>
    <w:rsid w:val="00D116AD"/>
    <w:rsid w:val="00D13C42"/>
    <w:rsid w:val="00D13C6E"/>
    <w:rsid w:val="00D166CE"/>
    <w:rsid w:val="00D16B25"/>
    <w:rsid w:val="00D20AD1"/>
    <w:rsid w:val="00D24922"/>
    <w:rsid w:val="00D301EA"/>
    <w:rsid w:val="00D31DC2"/>
    <w:rsid w:val="00D41AE5"/>
    <w:rsid w:val="00D429E0"/>
    <w:rsid w:val="00D42B9A"/>
    <w:rsid w:val="00D446AF"/>
    <w:rsid w:val="00D469E4"/>
    <w:rsid w:val="00D4728F"/>
    <w:rsid w:val="00D50F47"/>
    <w:rsid w:val="00D5354B"/>
    <w:rsid w:val="00D54898"/>
    <w:rsid w:val="00D563D0"/>
    <w:rsid w:val="00D6069D"/>
    <w:rsid w:val="00D62AEF"/>
    <w:rsid w:val="00D717BC"/>
    <w:rsid w:val="00D717D7"/>
    <w:rsid w:val="00D72B6D"/>
    <w:rsid w:val="00D738DB"/>
    <w:rsid w:val="00D73FE2"/>
    <w:rsid w:val="00D7465B"/>
    <w:rsid w:val="00D77741"/>
    <w:rsid w:val="00D81026"/>
    <w:rsid w:val="00D812BD"/>
    <w:rsid w:val="00D84622"/>
    <w:rsid w:val="00D87CBD"/>
    <w:rsid w:val="00D9306A"/>
    <w:rsid w:val="00D944BF"/>
    <w:rsid w:val="00D9561F"/>
    <w:rsid w:val="00D957DE"/>
    <w:rsid w:val="00D96327"/>
    <w:rsid w:val="00DA573F"/>
    <w:rsid w:val="00DB07A4"/>
    <w:rsid w:val="00DB5454"/>
    <w:rsid w:val="00DB5911"/>
    <w:rsid w:val="00DC0477"/>
    <w:rsid w:val="00DC0D24"/>
    <w:rsid w:val="00DC1269"/>
    <w:rsid w:val="00DC1DAC"/>
    <w:rsid w:val="00DD047B"/>
    <w:rsid w:val="00DD54BA"/>
    <w:rsid w:val="00DD5D99"/>
    <w:rsid w:val="00DD6F15"/>
    <w:rsid w:val="00DE3225"/>
    <w:rsid w:val="00DE3C4E"/>
    <w:rsid w:val="00DE5D9E"/>
    <w:rsid w:val="00DE75D8"/>
    <w:rsid w:val="00DF0B12"/>
    <w:rsid w:val="00DF1D4A"/>
    <w:rsid w:val="00DF3751"/>
    <w:rsid w:val="00DF515C"/>
    <w:rsid w:val="00DF5399"/>
    <w:rsid w:val="00DF5695"/>
    <w:rsid w:val="00E00CD6"/>
    <w:rsid w:val="00E015E6"/>
    <w:rsid w:val="00E05B44"/>
    <w:rsid w:val="00E066B4"/>
    <w:rsid w:val="00E07FA2"/>
    <w:rsid w:val="00E13C5C"/>
    <w:rsid w:val="00E209BF"/>
    <w:rsid w:val="00E236C6"/>
    <w:rsid w:val="00E26FD5"/>
    <w:rsid w:val="00E3057D"/>
    <w:rsid w:val="00E3115C"/>
    <w:rsid w:val="00E341E9"/>
    <w:rsid w:val="00E34F33"/>
    <w:rsid w:val="00E35CBB"/>
    <w:rsid w:val="00E35DC5"/>
    <w:rsid w:val="00E40F95"/>
    <w:rsid w:val="00E40FD7"/>
    <w:rsid w:val="00E41CF8"/>
    <w:rsid w:val="00E4269D"/>
    <w:rsid w:val="00E4312B"/>
    <w:rsid w:val="00E513FF"/>
    <w:rsid w:val="00E57576"/>
    <w:rsid w:val="00E60190"/>
    <w:rsid w:val="00E604B3"/>
    <w:rsid w:val="00E60650"/>
    <w:rsid w:val="00E60EE1"/>
    <w:rsid w:val="00E6109E"/>
    <w:rsid w:val="00E708F6"/>
    <w:rsid w:val="00E70AD3"/>
    <w:rsid w:val="00E716B4"/>
    <w:rsid w:val="00E7210E"/>
    <w:rsid w:val="00E7251D"/>
    <w:rsid w:val="00E86B67"/>
    <w:rsid w:val="00E87E9B"/>
    <w:rsid w:val="00E9314D"/>
    <w:rsid w:val="00E94BED"/>
    <w:rsid w:val="00E95DFC"/>
    <w:rsid w:val="00EA33D5"/>
    <w:rsid w:val="00EA4519"/>
    <w:rsid w:val="00EA5E02"/>
    <w:rsid w:val="00EA5FD0"/>
    <w:rsid w:val="00EA5FE5"/>
    <w:rsid w:val="00EA63B1"/>
    <w:rsid w:val="00EA7030"/>
    <w:rsid w:val="00EB0020"/>
    <w:rsid w:val="00EB2CCB"/>
    <w:rsid w:val="00EB7D44"/>
    <w:rsid w:val="00EC3D5D"/>
    <w:rsid w:val="00EC4343"/>
    <w:rsid w:val="00EC6FEC"/>
    <w:rsid w:val="00EC7D3F"/>
    <w:rsid w:val="00ED0468"/>
    <w:rsid w:val="00ED0DD3"/>
    <w:rsid w:val="00ED4B8E"/>
    <w:rsid w:val="00ED648B"/>
    <w:rsid w:val="00EE16DD"/>
    <w:rsid w:val="00EE2AE5"/>
    <w:rsid w:val="00EE31B0"/>
    <w:rsid w:val="00EE356F"/>
    <w:rsid w:val="00EE397E"/>
    <w:rsid w:val="00EE65B1"/>
    <w:rsid w:val="00EF1C55"/>
    <w:rsid w:val="00EF1C95"/>
    <w:rsid w:val="00EF23C0"/>
    <w:rsid w:val="00EF2774"/>
    <w:rsid w:val="00EF4059"/>
    <w:rsid w:val="00EF5586"/>
    <w:rsid w:val="00EF5872"/>
    <w:rsid w:val="00F00403"/>
    <w:rsid w:val="00F067A6"/>
    <w:rsid w:val="00F078B7"/>
    <w:rsid w:val="00F07B77"/>
    <w:rsid w:val="00F100D6"/>
    <w:rsid w:val="00F1278D"/>
    <w:rsid w:val="00F14BFD"/>
    <w:rsid w:val="00F17566"/>
    <w:rsid w:val="00F20F35"/>
    <w:rsid w:val="00F20F84"/>
    <w:rsid w:val="00F236FF"/>
    <w:rsid w:val="00F238F2"/>
    <w:rsid w:val="00F25705"/>
    <w:rsid w:val="00F332B3"/>
    <w:rsid w:val="00F34D63"/>
    <w:rsid w:val="00F35F7A"/>
    <w:rsid w:val="00F41C35"/>
    <w:rsid w:val="00F4438C"/>
    <w:rsid w:val="00F46ED7"/>
    <w:rsid w:val="00F549D7"/>
    <w:rsid w:val="00F556DB"/>
    <w:rsid w:val="00F55939"/>
    <w:rsid w:val="00F560D5"/>
    <w:rsid w:val="00F56325"/>
    <w:rsid w:val="00F56D4A"/>
    <w:rsid w:val="00F7020E"/>
    <w:rsid w:val="00F718D6"/>
    <w:rsid w:val="00F73D95"/>
    <w:rsid w:val="00F77044"/>
    <w:rsid w:val="00F8015E"/>
    <w:rsid w:val="00F81DF5"/>
    <w:rsid w:val="00F83598"/>
    <w:rsid w:val="00F85766"/>
    <w:rsid w:val="00F866FA"/>
    <w:rsid w:val="00F91869"/>
    <w:rsid w:val="00F91CCA"/>
    <w:rsid w:val="00F931D3"/>
    <w:rsid w:val="00F95769"/>
    <w:rsid w:val="00FA289A"/>
    <w:rsid w:val="00FA3C5E"/>
    <w:rsid w:val="00FA4197"/>
    <w:rsid w:val="00FA52BB"/>
    <w:rsid w:val="00FB2DA9"/>
    <w:rsid w:val="00FB375B"/>
    <w:rsid w:val="00FB5698"/>
    <w:rsid w:val="00FB6425"/>
    <w:rsid w:val="00FB722E"/>
    <w:rsid w:val="00FC5F10"/>
    <w:rsid w:val="00FC7F5D"/>
    <w:rsid w:val="00FD1BC7"/>
    <w:rsid w:val="00FD1D84"/>
    <w:rsid w:val="00FD3752"/>
    <w:rsid w:val="00FD4E9C"/>
    <w:rsid w:val="00FD50A4"/>
    <w:rsid w:val="00FD744A"/>
    <w:rsid w:val="00FE58D5"/>
    <w:rsid w:val="00FE5CA3"/>
    <w:rsid w:val="00FF08C3"/>
    <w:rsid w:val="00FF4069"/>
    <w:rsid w:val="00FF4983"/>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0184B"/>
  <w15:docId w15:val="{DBBBFE20-0334-E74A-B88B-7CB72E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99"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37148"/>
    <w:pPr>
      <w:spacing w:before="120" w:after="120"/>
    </w:pPr>
  </w:style>
  <w:style w:type="paragraph" w:styleId="Heading1">
    <w:name w:val="heading 1"/>
    <w:basedOn w:val="Normal"/>
    <w:next w:val="Normal"/>
    <w:qFormat/>
    <w:rsid w:val="00307ECE"/>
    <w:pPr>
      <w:keepNext/>
      <w:keepLines/>
      <w:pageBreakBefore/>
      <w:spacing w:before="480" w:after="240"/>
      <w:outlineLvl w:val="0"/>
    </w:pPr>
    <w:rPr>
      <w:rFonts w:cs="Arial"/>
      <w:b/>
      <w:bCs/>
      <w:color w:val="000000" w:themeColor="text1"/>
      <w:kern w:val="28"/>
      <w:sz w:val="40"/>
      <w:szCs w:val="32"/>
    </w:rPr>
  </w:style>
  <w:style w:type="paragraph" w:styleId="Heading2">
    <w:name w:val="heading 2"/>
    <w:basedOn w:val="Heading1"/>
    <w:next w:val="Normal"/>
    <w:link w:val="Heading2Char"/>
    <w:qFormat/>
    <w:rsid w:val="00307ECE"/>
    <w:pPr>
      <w:pageBreakBefore w:val="0"/>
      <w:spacing w:before="360"/>
      <w:outlineLvl w:val="1"/>
    </w:pPr>
    <w:rPr>
      <w:bCs w:val="0"/>
      <w:iCs/>
      <w:color w:val="007978"/>
      <w:sz w:val="32"/>
      <w:szCs w:val="28"/>
    </w:rPr>
  </w:style>
  <w:style w:type="paragraph" w:styleId="Heading3">
    <w:name w:val="heading 3"/>
    <w:basedOn w:val="Heading2"/>
    <w:next w:val="Normal"/>
    <w:link w:val="Heading3Char"/>
    <w:qFormat/>
    <w:rsid w:val="00307ECE"/>
    <w:pPr>
      <w:spacing w:before="300" w:after="180"/>
      <w:outlineLvl w:val="2"/>
    </w:pPr>
    <w:rPr>
      <w:bCs/>
      <w:color w:val="000000" w:themeColor="text1"/>
      <w:sz w:val="28"/>
      <w:szCs w:val="26"/>
    </w:rPr>
  </w:style>
  <w:style w:type="paragraph" w:styleId="Heading4">
    <w:name w:val="heading 4"/>
    <w:basedOn w:val="Normal"/>
    <w:next w:val="Normal"/>
    <w:qFormat/>
    <w:rsid w:val="001A1EBD"/>
    <w:pPr>
      <w:keepNext/>
      <w:spacing w:before="240"/>
      <w:outlineLvl w:val="3"/>
    </w:pPr>
    <w:rPr>
      <w:b/>
      <w:bCs/>
      <w:color w:val="000000" w:themeColor="text1"/>
      <w:sz w:val="24"/>
      <w:szCs w:val="26"/>
    </w:rPr>
  </w:style>
  <w:style w:type="paragraph" w:styleId="Heading5">
    <w:name w:val="heading 5"/>
    <w:basedOn w:val="Normal"/>
    <w:next w:val="Normal"/>
    <w:qFormat/>
    <w:rsid w:val="001A1EBD"/>
    <w:pPr>
      <w:keepNext/>
      <w:spacing w:before="240"/>
      <w:outlineLvl w:val="4"/>
    </w:pPr>
    <w:rPr>
      <w:b/>
      <w:bCs/>
      <w:iCs/>
      <w:color w:val="404040" w:themeColor="text1" w:themeTint="BF"/>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7C7042"/>
    <w:pPr>
      <w:numPr>
        <w:ilvl w:val="1"/>
      </w:numPr>
      <w:spacing w:after="480"/>
      <w:ind w:right="397"/>
    </w:pPr>
    <w:rPr>
      <w:rFonts w:asciiTheme="majorHAnsi" w:eastAsiaTheme="majorEastAsia" w:hAnsiTheme="majorHAnsi" w:cs="Times New Roman (Headings CS)"/>
      <w:b/>
      <w:iCs/>
      <w:color w:val="000000" w:themeColor="text1"/>
      <w:sz w:val="40"/>
    </w:rPr>
  </w:style>
  <w:style w:type="character" w:customStyle="1" w:styleId="SubtitleChar">
    <w:name w:val="Subtitle Char"/>
    <w:basedOn w:val="DefaultParagraphFont"/>
    <w:link w:val="Subtitle"/>
    <w:uiPriority w:val="98"/>
    <w:rsid w:val="007C7042"/>
    <w:rPr>
      <w:rFonts w:asciiTheme="majorHAnsi" w:eastAsiaTheme="majorEastAsia" w:hAnsiTheme="majorHAnsi" w:cs="Times New Roman (Headings CS)"/>
      <w:b/>
      <w:iCs/>
      <w:color w:val="000000" w:themeColor="text1"/>
      <w:sz w:val="40"/>
    </w:rPr>
  </w:style>
  <w:style w:type="paragraph" w:styleId="Title">
    <w:name w:val="Title"/>
    <w:basedOn w:val="Normal"/>
    <w:next w:val="Normal"/>
    <w:link w:val="TitleChar"/>
    <w:uiPriority w:val="99"/>
    <w:qFormat/>
    <w:rsid w:val="00B84831"/>
    <w:pPr>
      <w:spacing w:after="240"/>
      <w:contextualSpacing/>
    </w:pPr>
    <w:rPr>
      <w:rFonts w:asciiTheme="majorHAnsi" w:eastAsiaTheme="majorEastAsia" w:hAnsiTheme="majorHAnsi" w:cs="Times New Roman (Headings CS)"/>
      <w:b/>
      <w:color w:val="006C68"/>
      <w:spacing w:val="-6"/>
      <w:kern w:val="28"/>
      <w:sz w:val="60"/>
      <w:szCs w:val="56"/>
    </w:rPr>
  </w:style>
  <w:style w:type="character" w:customStyle="1" w:styleId="TitleChar">
    <w:name w:val="Title Char"/>
    <w:basedOn w:val="DefaultParagraphFont"/>
    <w:link w:val="Title"/>
    <w:uiPriority w:val="99"/>
    <w:rsid w:val="00B84831"/>
    <w:rPr>
      <w:rFonts w:asciiTheme="majorHAnsi" w:eastAsiaTheme="majorEastAsia" w:hAnsiTheme="majorHAnsi" w:cs="Times New Roman (Headings CS)"/>
      <w:b/>
      <w:color w:val="006C68"/>
      <w:spacing w:val="-6"/>
      <w:kern w:val="28"/>
      <w:sz w:val="60"/>
      <w:szCs w:val="56"/>
    </w:rPr>
  </w:style>
  <w:style w:type="paragraph" w:customStyle="1" w:styleId="PulloutTextHead">
    <w:name w:val="Pullout Text Head"/>
    <w:basedOn w:val="Heading3"/>
    <w:qFormat/>
    <w:rsid w:val="00FF4069"/>
    <w:pPr>
      <w:pBdr>
        <w:left w:val="single" w:sz="48" w:space="8" w:color="BAC736"/>
      </w:pBdr>
      <w:ind w:left="284"/>
    </w:pPr>
    <w:rPr>
      <w:caps/>
      <w:color w:val="006C68"/>
      <w:sz w:val="22"/>
      <w:lang w:val="en-GB"/>
    </w:rPr>
  </w:style>
  <w:style w:type="paragraph" w:styleId="TOC1">
    <w:name w:val="toc 1"/>
    <w:basedOn w:val="Normal"/>
    <w:next w:val="Normal"/>
    <w:autoRedefine/>
    <w:uiPriority w:val="39"/>
    <w:qFormat/>
    <w:rsid w:val="005C1496"/>
    <w:rPr>
      <w:rFonts w:cstheme="minorHAnsi"/>
      <w:b/>
      <w:bCs/>
      <w:color w:val="005370" w:themeColor="text2"/>
      <w:sz w:val="24"/>
      <w:szCs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5852A1"/>
    <w:pPr>
      <w:keepLines/>
      <w:contextualSpacing/>
    </w:pPr>
    <w:rPr>
      <w:sz w:val="18"/>
      <w:szCs w:val="20"/>
    </w:rPr>
  </w:style>
  <w:style w:type="character" w:customStyle="1" w:styleId="FootnoteTextChar">
    <w:name w:val="Footnote Text Char"/>
    <w:basedOn w:val="DefaultParagraphFont"/>
    <w:link w:val="FootnoteText"/>
    <w:rsid w:val="005852A1"/>
    <w:rPr>
      <w:sz w:val="18"/>
      <w:szCs w:val="20"/>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Light Heading"/>
    <w:basedOn w:val="TableNormal"/>
    <w:locked/>
    <w:rsid w:val="00FF4069"/>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FFFFFF" w:themeColor="background1"/>
        <w:sz w:val="20"/>
      </w:rPr>
      <w:tblPr/>
      <w:tcPr>
        <w:shd w:val="clear" w:color="auto" w:fill="006C68"/>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basedOn w:val="DefaultParagraphFont"/>
    <w:uiPriority w:val="99"/>
    <w:rsid w:val="00505824"/>
    <w:rPr>
      <w:color w:val="1178A0" w:themeColor="background2"/>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basedOn w:val="DefaultParagraphFont"/>
    <w:link w:val="Footer"/>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nhideWhenUsed/>
    <w:qFormat/>
    <w:rsid w:val="00255596"/>
    <w:pPr>
      <w:spacing w:after="0" w:line="276" w:lineRule="auto"/>
      <w:outlineLvl w:val="9"/>
    </w:pPr>
    <w:rPr>
      <w:rFonts w:asciiTheme="majorHAnsi" w:eastAsiaTheme="majorEastAsia" w:hAnsiTheme="majorHAnsi" w:cstheme="majorBidi"/>
      <w:color w:val="007CAB"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F866FA"/>
    <w:pPr>
      <w:spacing w:before="240" w:after="0"/>
    </w:pPr>
    <w:rPr>
      <w:b/>
      <w:color w:val="00A7E5" w:themeColor="accent1"/>
      <w:sz w:val="28"/>
      <w:szCs w:val="40"/>
    </w:rPr>
  </w:style>
  <w:style w:type="character" w:customStyle="1" w:styleId="PublicationDateChar">
    <w:name w:val="Publication Date Char"/>
    <w:basedOn w:val="DefaultParagraphFont"/>
    <w:link w:val="PublicationDate"/>
    <w:uiPriority w:val="99"/>
    <w:rsid w:val="00F866FA"/>
    <w:rPr>
      <w:b/>
      <w:color w:val="00A7E5" w:themeColor="accent1"/>
      <w:sz w:val="28"/>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7F6C8D"/>
    <w:pPr>
      <w:spacing w:after="0"/>
    </w:p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FFFFFF" w:themeColor="background1"/>
      </w:rPr>
      <w:tblPr/>
      <w:trPr>
        <w:tblHeader/>
      </w:trPr>
      <w:tcPr>
        <w:shd w:val="clear" w:color="auto" w:fill="006C68"/>
      </w:tcPr>
    </w:tblStylePr>
    <w:tblStylePr w:type="band2Horz">
      <w:tblPr/>
      <w:tcPr>
        <w:shd w:val="clear" w:color="auto" w:fill="D5E6E1"/>
      </w:tcPr>
    </w:tblStylePr>
  </w:style>
  <w:style w:type="paragraph" w:customStyle="1" w:styleId="PulloutBoxHeading">
    <w:name w:val="Pullout Box Heading"/>
    <w:basedOn w:val="Heading3"/>
    <w:qFormat/>
    <w:rsid w:val="0043052C"/>
    <w:pPr>
      <w:spacing w:before="60"/>
    </w:pPr>
    <w:rPr>
      <w:color w:val="006C68"/>
    </w:rPr>
  </w:style>
  <w:style w:type="table" w:customStyle="1" w:styleId="PulloutBox">
    <w:name w:val="Pullout Box"/>
    <w:basedOn w:val="TableNormal"/>
    <w:uiPriority w:val="99"/>
    <w:rsid w:val="00DD54BA"/>
    <w:pPr>
      <w:spacing w:after="0"/>
    </w:pPr>
    <w:tblPr>
      <w:tblCellMar>
        <w:top w:w="142" w:type="dxa"/>
        <w:left w:w="284" w:type="dxa"/>
        <w:right w:w="284" w:type="dxa"/>
      </w:tblCellMar>
    </w:tblPr>
    <w:trPr>
      <w:cantSplit/>
    </w:trPr>
    <w:tcPr>
      <w:shd w:val="clear" w:color="auto" w:fill="F4F4D8"/>
    </w:tcPr>
    <w:tblStylePr w:type="firstRow">
      <w:tblPr/>
      <w:trPr>
        <w:tblHeader/>
      </w:trPr>
    </w:tblStyle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FF4069"/>
    <w:pPr>
      <w:pBdr>
        <w:left w:val="single" w:sz="48" w:space="8" w:color="BAC736"/>
      </w:pBdr>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Intro">
    <w:name w:val="Intro"/>
    <w:basedOn w:val="Normal"/>
    <w:qFormat/>
    <w:rsid w:val="00621CD6"/>
    <w:pPr>
      <w:spacing w:before="360" w:after="240"/>
    </w:pPr>
    <w:rPr>
      <w:b/>
      <w:bCs/>
      <w:color w:val="006C68"/>
      <w:sz w:val="24"/>
    </w:rPr>
  </w:style>
  <w:style w:type="paragraph" w:customStyle="1" w:styleId="NoParagraphStyle">
    <w:name w:val="[No Paragraph Style]"/>
    <w:rsid w:val="008104D7"/>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en-GB"/>
    </w:rPr>
  </w:style>
  <w:style w:type="paragraph" w:customStyle="1" w:styleId="BoxTextBoxes">
    <w:name w:val="Box Text (Boxes)"/>
    <w:basedOn w:val="Normal"/>
    <w:uiPriority w:val="99"/>
    <w:rsid w:val="008104D7"/>
    <w:pPr>
      <w:widowControl w:val="0"/>
      <w:shd w:val="clear" w:color="auto" w:fill="C6FF00"/>
      <w:autoSpaceDE w:val="0"/>
      <w:autoSpaceDN w:val="0"/>
      <w:adjustRightInd w:val="0"/>
      <w:spacing w:after="142" w:line="288" w:lineRule="auto"/>
      <w:ind w:left="283" w:right="170"/>
      <w:textAlignment w:val="center"/>
    </w:pPr>
    <w:rPr>
      <w:rFonts w:ascii="Arial" w:eastAsiaTheme="minorEastAsia" w:hAnsi="Arial" w:cs="Arial"/>
      <w:color w:val="000000"/>
      <w:lang w:val="en-US" w:eastAsia="en-GB"/>
    </w:rPr>
  </w:style>
  <w:style w:type="paragraph" w:customStyle="1" w:styleId="BulletBulletandNumberlists">
    <w:name w:val="Bullet (Bullet and Number lists)"/>
    <w:basedOn w:val="Normal"/>
    <w:uiPriority w:val="99"/>
    <w:rsid w:val="008104D7"/>
    <w:pPr>
      <w:widowControl w:val="0"/>
      <w:tabs>
        <w:tab w:val="left" w:pos="283"/>
      </w:tabs>
      <w:autoSpaceDE w:val="0"/>
      <w:autoSpaceDN w:val="0"/>
      <w:adjustRightInd w:val="0"/>
      <w:spacing w:after="57" w:line="288" w:lineRule="auto"/>
      <w:ind w:left="283" w:hanging="283"/>
      <w:textAlignment w:val="center"/>
    </w:pPr>
    <w:rPr>
      <w:rFonts w:ascii="Arial" w:eastAsiaTheme="minorEastAsia" w:hAnsi="Arial" w:cs="Arial"/>
      <w:color w:val="000000"/>
      <w:lang w:val="en-US" w:eastAsia="en-GB"/>
    </w:rPr>
  </w:style>
  <w:style w:type="paragraph" w:customStyle="1" w:styleId="BulletLastBulletandNumberlists">
    <w:name w:val="Bullet Last (Bullet and Number lists)"/>
    <w:basedOn w:val="BulletBulletandNumberlists"/>
    <w:uiPriority w:val="99"/>
    <w:rsid w:val="008104D7"/>
    <w:pPr>
      <w:spacing w:after="170"/>
    </w:pPr>
  </w:style>
  <w:style w:type="paragraph" w:customStyle="1" w:styleId="DisclaimerMisc">
    <w:name w:val="Disclaimer (Misc)"/>
    <w:basedOn w:val="Normal"/>
    <w:uiPriority w:val="99"/>
    <w:rsid w:val="008104D7"/>
    <w:pPr>
      <w:widowControl w:val="0"/>
      <w:suppressAutoHyphens/>
      <w:autoSpaceDE w:val="0"/>
      <w:autoSpaceDN w:val="0"/>
      <w:adjustRightInd w:val="0"/>
      <w:spacing w:before="0" w:after="28" w:line="230" w:lineRule="atLeast"/>
      <w:textAlignment w:val="center"/>
    </w:pPr>
    <w:rPr>
      <w:rFonts w:ascii="Open Sans" w:eastAsiaTheme="minorEastAsia" w:hAnsi="Open Sans" w:cs="Open Sans"/>
      <w:color w:val="000000"/>
      <w:sz w:val="17"/>
      <w:szCs w:val="17"/>
      <w:lang w:val="en-GB" w:eastAsia="en-GB"/>
    </w:rPr>
  </w:style>
  <w:style w:type="character" w:customStyle="1" w:styleId="DropcapnumberH2">
    <w:name w:val="Drop cap number (H2)"/>
    <w:uiPriority w:val="99"/>
    <w:rsid w:val="008104D7"/>
    <w:rPr>
      <w:rFonts w:asciiTheme="minorHAnsi" w:hAnsiTheme="minorHAnsi" w:cs="Proxima Nova"/>
      <w:b/>
      <w:bCs/>
      <w:i w:val="0"/>
      <w:caps w:val="0"/>
      <w:smallCaps w:val="0"/>
      <w:strike w:val="0"/>
      <w:dstrike w:val="0"/>
      <w:vanish w:val="0"/>
      <w:color w:val="009838"/>
      <w:spacing w:val="14"/>
      <w:position w:val="10"/>
      <w:sz w:val="32"/>
      <w:szCs w:val="28"/>
      <w:u w:val="thick" w:color="C6FF00"/>
      <w:vertAlign w:val="baseline"/>
    </w:rPr>
  </w:style>
  <w:style w:type="table" w:customStyle="1" w:styleId="Style1">
    <w:name w:val="Style1"/>
    <w:basedOn w:val="TableNormal"/>
    <w:uiPriority w:val="99"/>
    <w:rsid w:val="008104D7"/>
    <w:pPr>
      <w:spacing w:after="0"/>
    </w:pPr>
    <w:tblPr>
      <w:tblBorders>
        <w:top w:val="single" w:sz="24" w:space="0" w:color="BAC736"/>
        <w:left w:val="single" w:sz="24" w:space="0" w:color="BAC736"/>
        <w:bottom w:val="single" w:sz="24" w:space="0" w:color="BAC736"/>
        <w:right w:val="single" w:sz="24" w:space="0" w:color="BAC736"/>
      </w:tblBorders>
    </w:tblPr>
    <w:tcPr>
      <w:tcMar>
        <w:top w:w="57" w:type="dxa"/>
        <w:left w:w="397" w:type="dxa"/>
        <w:bottom w:w="284" w:type="dxa"/>
        <w:right w:w="397" w:type="dxa"/>
      </w:tcMar>
    </w:tcPr>
  </w:style>
  <w:style w:type="character" w:customStyle="1" w:styleId="Heading3Char">
    <w:name w:val="Heading 3 Char"/>
    <w:basedOn w:val="DefaultParagraphFont"/>
    <w:link w:val="Heading3"/>
    <w:rsid w:val="00307ECE"/>
    <w:rPr>
      <w:rFonts w:cs="Arial"/>
      <w:b/>
      <w:bCs/>
      <w:iCs/>
      <w:color w:val="000000" w:themeColor="text1"/>
      <w:kern w:val="28"/>
      <w:sz w:val="28"/>
      <w:szCs w:val="26"/>
    </w:rPr>
  </w:style>
  <w:style w:type="paragraph" w:styleId="BodyText">
    <w:name w:val="Body Text"/>
    <w:basedOn w:val="Normal"/>
    <w:link w:val="BodyTextChar"/>
    <w:uiPriority w:val="99"/>
    <w:locked/>
    <w:rsid w:val="00957AD0"/>
    <w:pPr>
      <w:widowControl w:val="0"/>
      <w:autoSpaceDE w:val="0"/>
      <w:autoSpaceDN w:val="0"/>
      <w:adjustRightInd w:val="0"/>
      <w:spacing w:line="288" w:lineRule="auto"/>
      <w:textAlignment w:val="center"/>
    </w:pPr>
    <w:rPr>
      <w:rFonts w:ascii="Arial" w:eastAsiaTheme="minorEastAsia" w:hAnsi="Arial" w:cs="Arial"/>
      <w:color w:val="000000"/>
      <w:lang w:val="en-US" w:eastAsia="en-GB"/>
    </w:rPr>
  </w:style>
  <w:style w:type="character" w:customStyle="1" w:styleId="BodyTextChar">
    <w:name w:val="Body Text Char"/>
    <w:basedOn w:val="DefaultParagraphFont"/>
    <w:link w:val="BodyText"/>
    <w:uiPriority w:val="99"/>
    <w:rsid w:val="00957AD0"/>
    <w:rPr>
      <w:rFonts w:ascii="Arial" w:eastAsiaTheme="minorEastAsia" w:hAnsi="Arial" w:cs="Arial"/>
      <w:color w:val="000000"/>
      <w:lang w:val="en-US" w:eastAsia="en-GB"/>
    </w:rPr>
  </w:style>
  <w:style w:type="character" w:customStyle="1" w:styleId="a">
    <w:name w:val="*"/>
    <w:aliases w:val="†,§,#"/>
    <w:uiPriority w:val="99"/>
    <w:rsid w:val="00957AD0"/>
    <w:rPr>
      <w:position w:val="3"/>
      <w:sz w:val="16"/>
      <w:szCs w:val="16"/>
    </w:rPr>
  </w:style>
  <w:style w:type="paragraph" w:customStyle="1" w:styleId="Heading1SmallaboveH1Headings">
    <w:name w:val="Heading 1 Small (above H1) (Headings)"/>
    <w:basedOn w:val="Normal"/>
    <w:uiPriority w:val="99"/>
    <w:rsid w:val="00D6069D"/>
    <w:pPr>
      <w:widowControl w:val="0"/>
      <w:suppressAutoHyphens/>
      <w:autoSpaceDE w:val="0"/>
      <w:autoSpaceDN w:val="0"/>
      <w:adjustRightInd w:val="0"/>
      <w:spacing w:before="0" w:after="0" w:line="440" w:lineRule="atLeast"/>
      <w:textAlignment w:val="center"/>
    </w:pPr>
    <w:rPr>
      <w:rFonts w:ascii="Proxima Nova" w:eastAsiaTheme="minorEastAsia" w:hAnsi="Proxima Nova" w:cs="Proxima Nova"/>
      <w:b/>
      <w:bCs/>
      <w:color w:val="000000"/>
      <w:sz w:val="40"/>
      <w:szCs w:val="40"/>
      <w:lang w:val="en-GB" w:eastAsia="en-GB"/>
    </w:rPr>
  </w:style>
  <w:style w:type="paragraph" w:customStyle="1" w:styleId="TitleHeading1Headings">
    <w:name w:val="Title / Heading 1 (Headings)"/>
    <w:basedOn w:val="Normal"/>
    <w:next w:val="NormalBodystyles"/>
    <w:uiPriority w:val="99"/>
    <w:rsid w:val="00D6069D"/>
    <w:pPr>
      <w:keepNext/>
      <w:keepLines/>
      <w:widowControl w:val="0"/>
      <w:tabs>
        <w:tab w:val="left" w:pos="850"/>
      </w:tabs>
      <w:suppressAutoHyphens/>
      <w:autoSpaceDE w:val="0"/>
      <w:autoSpaceDN w:val="0"/>
      <w:adjustRightInd w:val="0"/>
      <w:spacing w:before="0" w:after="680" w:line="700" w:lineRule="atLeast"/>
      <w:textAlignment w:val="center"/>
    </w:pPr>
    <w:rPr>
      <w:rFonts w:ascii="Proxima Nova Extrabold" w:eastAsiaTheme="minorEastAsia" w:hAnsi="Proxima Nova Extrabold" w:cs="Proxima Nova Extrabold"/>
      <w:b/>
      <w:bCs/>
      <w:color w:val="009838"/>
      <w:sz w:val="68"/>
      <w:szCs w:val="68"/>
      <w:lang w:val="en-GB" w:eastAsia="en-GB"/>
    </w:rPr>
  </w:style>
  <w:style w:type="paragraph" w:customStyle="1" w:styleId="NormalBodystyles">
    <w:name w:val="Normal • (Body styles)"/>
    <w:basedOn w:val="Normal"/>
    <w:uiPriority w:val="99"/>
    <w:rsid w:val="00D6069D"/>
    <w:pPr>
      <w:widowControl w:val="0"/>
      <w:suppressAutoHyphens/>
      <w:autoSpaceDE w:val="0"/>
      <w:autoSpaceDN w:val="0"/>
      <w:adjustRightInd w:val="0"/>
      <w:spacing w:before="0" w:after="142" w:line="250" w:lineRule="atLeast"/>
      <w:textAlignment w:val="center"/>
    </w:pPr>
    <w:rPr>
      <w:rFonts w:ascii="Open Sans" w:eastAsiaTheme="minorEastAsia" w:hAnsi="Open Sans" w:cs="Open Sans"/>
      <w:color w:val="000000"/>
      <w:sz w:val="19"/>
      <w:szCs w:val="19"/>
      <w:lang w:val="en-GB" w:eastAsia="en-GB"/>
    </w:rPr>
  </w:style>
  <w:style w:type="paragraph" w:customStyle="1" w:styleId="IntroBodystyles">
    <w:name w:val="Intro (Body styles)"/>
    <w:basedOn w:val="NormalBodystyles"/>
    <w:uiPriority w:val="99"/>
    <w:rsid w:val="00D6069D"/>
    <w:pPr>
      <w:spacing w:after="283" w:line="320" w:lineRule="atLeast"/>
    </w:pPr>
    <w:rPr>
      <w:b/>
      <w:bCs/>
      <w:color w:val="005130"/>
      <w:sz w:val="24"/>
      <w:szCs w:val="24"/>
    </w:rPr>
  </w:style>
  <w:style w:type="paragraph" w:customStyle="1" w:styleId="YellowBoxHeading">
    <w:name w:val="Yellow Box Heading"/>
    <w:basedOn w:val="Heading2"/>
    <w:next w:val="Normal"/>
    <w:uiPriority w:val="99"/>
    <w:rsid w:val="00D6069D"/>
    <w:pPr>
      <w:framePr w:wrap="around" w:vAnchor="text" w:hAnchor="text" w:y="1"/>
      <w:widowControl w:val="0"/>
      <w:shd w:val="clear" w:color="auto" w:fill="F5F8DE"/>
      <w:suppressAutoHyphens/>
      <w:autoSpaceDE w:val="0"/>
      <w:autoSpaceDN w:val="0"/>
      <w:adjustRightInd w:val="0"/>
      <w:spacing w:before="454" w:after="170" w:line="280" w:lineRule="atLeast"/>
      <w:ind w:left="283" w:right="170"/>
      <w:textAlignment w:val="center"/>
    </w:pPr>
    <w:rPr>
      <w:rFonts w:ascii="Open Sans" w:eastAsiaTheme="minorEastAsia" w:hAnsi="Open Sans" w:cs="Open Sans"/>
      <w:b w:val="0"/>
      <w:bCs/>
      <w:color w:val="009838"/>
      <w:sz w:val="25"/>
      <w:szCs w:val="25"/>
      <w:lang w:val="en-GB" w:eastAsia="en-GB"/>
    </w:rPr>
  </w:style>
  <w:style w:type="paragraph" w:customStyle="1" w:styleId="YellowBoxTextBeforeBulletPullouts">
    <w:name w:val="Yellow Box Text Before Bullet (Pullouts)"/>
    <w:basedOn w:val="Normal"/>
    <w:uiPriority w:val="99"/>
    <w:rsid w:val="00D6069D"/>
    <w:pPr>
      <w:pBdr>
        <w:top w:val="single" w:sz="8" w:space="8" w:color="F5F8DE"/>
        <w:left w:val="single" w:sz="8" w:space="8" w:color="F5F8DE"/>
        <w:bottom w:val="single" w:sz="8" w:space="8" w:color="F5F8DE"/>
        <w:right w:val="single" w:sz="8" w:space="8" w:color="F5F8DE"/>
      </w:pBdr>
      <w:shd w:val="clear" w:color="auto" w:fill="F5F8DE"/>
      <w:spacing w:after="57"/>
      <w:ind w:left="283" w:right="170"/>
    </w:pPr>
  </w:style>
  <w:style w:type="paragraph" w:customStyle="1" w:styleId="YellowBoxBulletPullouts">
    <w:name w:val="Yellow Box Bullet (Pullouts)"/>
    <w:basedOn w:val="YellowBoxTextBeforeBulletPullouts"/>
    <w:uiPriority w:val="99"/>
    <w:rsid w:val="00D6069D"/>
    <w:pPr>
      <w:ind w:left="567" w:hanging="283"/>
    </w:pPr>
  </w:style>
  <w:style w:type="paragraph" w:customStyle="1" w:styleId="YellowBoxBulletLastPullouts">
    <w:name w:val="Yellow Box Bullet Last (Pullouts)"/>
    <w:basedOn w:val="YellowBoxBulletPullouts"/>
    <w:uiPriority w:val="99"/>
    <w:rsid w:val="00D6069D"/>
    <w:pPr>
      <w:spacing w:after="142"/>
    </w:pPr>
  </w:style>
  <w:style w:type="paragraph" w:customStyle="1" w:styleId="YellowBoxTextFinalPullouts">
    <w:name w:val="Yellow Box Text Final (Pullouts)"/>
    <w:basedOn w:val="Normal"/>
    <w:uiPriority w:val="99"/>
    <w:rsid w:val="00D6069D"/>
    <w:pPr>
      <w:widowControl w:val="0"/>
      <w:shd w:val="clear" w:color="auto" w:fill="C6FF00"/>
      <w:suppressAutoHyphens/>
      <w:autoSpaceDE w:val="0"/>
      <w:autoSpaceDN w:val="0"/>
      <w:adjustRightInd w:val="0"/>
      <w:spacing w:before="0" w:after="510" w:line="250" w:lineRule="atLeast"/>
      <w:ind w:left="283" w:right="170"/>
      <w:textAlignment w:val="center"/>
    </w:pPr>
    <w:rPr>
      <w:rFonts w:ascii="Open Sans" w:eastAsiaTheme="minorEastAsia" w:hAnsi="Open Sans" w:cs="Open Sans"/>
      <w:color w:val="000000"/>
      <w:sz w:val="19"/>
      <w:szCs w:val="19"/>
      <w:lang w:val="en-GB" w:eastAsia="en-GB"/>
    </w:rPr>
  </w:style>
  <w:style w:type="paragraph" w:customStyle="1" w:styleId="Heading2Headings">
    <w:name w:val="Heading 2 (Headings)"/>
    <w:basedOn w:val="Normal"/>
    <w:next w:val="NormalBodystyles"/>
    <w:uiPriority w:val="99"/>
    <w:rsid w:val="00D6069D"/>
    <w:pPr>
      <w:widowControl w:val="0"/>
      <w:suppressAutoHyphens/>
      <w:autoSpaceDE w:val="0"/>
      <w:autoSpaceDN w:val="0"/>
      <w:adjustRightInd w:val="0"/>
      <w:spacing w:before="227" w:after="170" w:line="360" w:lineRule="atLeast"/>
      <w:textAlignment w:val="center"/>
    </w:pPr>
    <w:rPr>
      <w:rFonts w:ascii="Proxima Nova" w:eastAsiaTheme="minorEastAsia" w:hAnsi="Proxima Nova" w:cs="Proxima Nova"/>
      <w:b/>
      <w:bCs/>
      <w:color w:val="000000"/>
      <w:sz w:val="32"/>
      <w:szCs w:val="32"/>
      <w:lang w:val="en-GB" w:eastAsia="en-GB"/>
    </w:rPr>
  </w:style>
  <w:style w:type="paragraph" w:customStyle="1" w:styleId="NormalBeforeBulletBodystyles">
    <w:name w:val="Normal Before Bullet (Body styles)"/>
    <w:basedOn w:val="NormalBodystyles"/>
    <w:next w:val="BulletLists"/>
    <w:uiPriority w:val="99"/>
    <w:rsid w:val="00D6069D"/>
    <w:pPr>
      <w:keepNext/>
      <w:spacing w:after="57"/>
    </w:pPr>
  </w:style>
  <w:style w:type="paragraph" w:customStyle="1" w:styleId="BulletLists">
    <w:name w:val="Bullet (Lists)"/>
    <w:basedOn w:val="NormalBodystyles"/>
    <w:uiPriority w:val="99"/>
    <w:rsid w:val="00D6069D"/>
    <w:pPr>
      <w:tabs>
        <w:tab w:val="left" w:pos="283"/>
      </w:tabs>
      <w:spacing w:after="57"/>
      <w:ind w:left="283" w:hanging="283"/>
    </w:pPr>
  </w:style>
  <w:style w:type="paragraph" w:customStyle="1" w:styleId="YellowBoxH3Pullouts">
    <w:name w:val="Yellow Box H3 (Pullouts)"/>
    <w:basedOn w:val="Normal"/>
    <w:next w:val="Normal"/>
    <w:uiPriority w:val="99"/>
    <w:rsid w:val="00D6069D"/>
    <w:pPr>
      <w:keepNext/>
      <w:keepLines/>
      <w:widowControl w:val="0"/>
      <w:shd w:val="clear" w:color="auto" w:fill="C6FF00"/>
      <w:tabs>
        <w:tab w:val="left" w:pos="680"/>
      </w:tabs>
      <w:suppressAutoHyphens/>
      <w:autoSpaceDE w:val="0"/>
      <w:autoSpaceDN w:val="0"/>
      <w:adjustRightInd w:val="0"/>
      <w:spacing w:before="397" w:after="170" w:line="288" w:lineRule="auto"/>
      <w:ind w:left="283" w:right="170"/>
      <w:textAlignment w:val="center"/>
    </w:pPr>
    <w:rPr>
      <w:rFonts w:ascii="Proxima Nova" w:eastAsiaTheme="minorEastAsia" w:hAnsi="Proxima Nova" w:cs="Proxima Nova"/>
      <w:b/>
      <w:bCs/>
      <w:color w:val="000000"/>
      <w:sz w:val="24"/>
      <w:szCs w:val="24"/>
      <w:lang w:val="en-GB" w:eastAsia="en-GB"/>
    </w:rPr>
  </w:style>
  <w:style w:type="paragraph" w:customStyle="1" w:styleId="YellowBoxBulletFinalPullouts">
    <w:name w:val="Yellow Box Bullet Final (Pullouts)"/>
    <w:basedOn w:val="YellowBoxBulletLastPullouts"/>
    <w:uiPriority w:val="99"/>
    <w:rsid w:val="00D6069D"/>
    <w:pPr>
      <w:spacing w:after="510"/>
    </w:pPr>
  </w:style>
  <w:style w:type="paragraph" w:customStyle="1" w:styleId="BulletLastLists">
    <w:name w:val="Bullet Last (Lists)"/>
    <w:basedOn w:val="BulletLists"/>
    <w:uiPriority w:val="99"/>
    <w:rsid w:val="00D6069D"/>
    <w:pPr>
      <w:spacing w:after="142"/>
    </w:pPr>
  </w:style>
  <w:style w:type="paragraph" w:customStyle="1" w:styleId="BulletBeforeDashLists">
    <w:name w:val="Bullet Before Dash (Lists)"/>
    <w:basedOn w:val="BulletLists"/>
    <w:uiPriority w:val="99"/>
    <w:rsid w:val="00D6069D"/>
    <w:pPr>
      <w:spacing w:after="28"/>
    </w:pPr>
  </w:style>
  <w:style w:type="paragraph" w:customStyle="1" w:styleId="DashLists">
    <w:name w:val="Dash (Lists)"/>
    <w:basedOn w:val="Normal"/>
    <w:uiPriority w:val="99"/>
    <w:rsid w:val="00D6069D"/>
    <w:pPr>
      <w:widowControl w:val="0"/>
      <w:tabs>
        <w:tab w:val="left" w:pos="0"/>
        <w:tab w:val="left" w:pos="227"/>
      </w:tabs>
      <w:suppressAutoHyphens/>
      <w:autoSpaceDE w:val="0"/>
      <w:autoSpaceDN w:val="0"/>
      <w:adjustRightInd w:val="0"/>
      <w:spacing w:before="0" w:after="28" w:line="250" w:lineRule="atLeast"/>
      <w:ind w:left="510" w:hanging="227"/>
      <w:textAlignment w:val="center"/>
    </w:pPr>
    <w:rPr>
      <w:rFonts w:ascii="Open Sans" w:eastAsiaTheme="minorEastAsia" w:hAnsi="Open Sans" w:cs="Open Sans"/>
      <w:color w:val="000000"/>
      <w:sz w:val="19"/>
      <w:szCs w:val="19"/>
      <w:lang w:val="en-GB" w:eastAsia="en-GB"/>
    </w:rPr>
  </w:style>
  <w:style w:type="paragraph" w:customStyle="1" w:styleId="NormalBodystyles0">
    <w:name w:val="Normal (Body styles)"/>
    <w:basedOn w:val="Normal"/>
    <w:uiPriority w:val="99"/>
    <w:rsid w:val="00D6069D"/>
    <w:pPr>
      <w:widowControl w:val="0"/>
      <w:suppressAutoHyphens/>
      <w:autoSpaceDE w:val="0"/>
      <w:autoSpaceDN w:val="0"/>
      <w:adjustRightInd w:val="0"/>
      <w:spacing w:before="0" w:after="142" w:line="250" w:lineRule="atLeast"/>
      <w:textAlignment w:val="center"/>
    </w:pPr>
    <w:rPr>
      <w:rFonts w:ascii="Open Sans" w:eastAsiaTheme="minorEastAsia" w:hAnsi="Open Sans" w:cs="Open Sans"/>
      <w:color w:val="000000"/>
      <w:sz w:val="19"/>
      <w:szCs w:val="19"/>
      <w:lang w:val="en-GB" w:eastAsia="en-GB"/>
    </w:rPr>
  </w:style>
  <w:style w:type="paragraph" w:customStyle="1" w:styleId="TFHolderBodystyles">
    <w:name w:val="TF Holder • (Body styles)"/>
    <w:basedOn w:val="NormalBodystyles"/>
    <w:uiPriority w:val="99"/>
    <w:rsid w:val="00D6069D"/>
    <w:pPr>
      <w:spacing w:before="113" w:after="170" w:line="288" w:lineRule="auto"/>
    </w:pPr>
  </w:style>
  <w:style w:type="paragraph" w:customStyle="1" w:styleId="Bullet1">
    <w:name w:val="Bullet 1"/>
    <w:basedOn w:val="NormalBodystyles"/>
    <w:uiPriority w:val="99"/>
    <w:rsid w:val="00D6069D"/>
    <w:pPr>
      <w:spacing w:before="80" w:after="60"/>
    </w:pPr>
  </w:style>
  <w:style w:type="paragraph" w:customStyle="1" w:styleId="Heading2ChecklistToolHeadings">
    <w:name w:val="Heading 2 (Checklist/Tool) (Headings)"/>
    <w:basedOn w:val="Normal"/>
    <w:uiPriority w:val="99"/>
    <w:rsid w:val="00D6069D"/>
    <w:pPr>
      <w:widowControl w:val="0"/>
      <w:suppressAutoHyphens/>
      <w:autoSpaceDE w:val="0"/>
      <w:autoSpaceDN w:val="0"/>
      <w:adjustRightInd w:val="0"/>
      <w:spacing w:before="227" w:after="170" w:line="360" w:lineRule="atLeast"/>
      <w:textAlignment w:val="center"/>
    </w:pPr>
    <w:rPr>
      <w:rFonts w:ascii="Proxima Nova" w:eastAsiaTheme="minorEastAsia" w:hAnsi="Proxima Nova" w:cs="Proxima Nova"/>
      <w:b/>
      <w:bCs/>
      <w:color w:val="005130"/>
      <w:sz w:val="36"/>
      <w:szCs w:val="36"/>
      <w:lang w:val="en-GB" w:eastAsia="en-GB"/>
    </w:rPr>
  </w:style>
  <w:style w:type="paragraph" w:customStyle="1" w:styleId="TFIHolderspanBodystyles">
    <w:name w:val="TFIHolder (span) (Body styles)"/>
    <w:basedOn w:val="Normal"/>
    <w:uiPriority w:val="99"/>
    <w:rsid w:val="00D6069D"/>
    <w:pPr>
      <w:widowControl w:val="0"/>
      <w:suppressAutoHyphens/>
      <w:autoSpaceDE w:val="0"/>
      <w:autoSpaceDN w:val="0"/>
      <w:adjustRightInd w:val="0"/>
      <w:spacing w:before="113" w:after="227" w:line="288" w:lineRule="auto"/>
      <w:textAlignment w:val="center"/>
    </w:pPr>
    <w:rPr>
      <w:rFonts w:ascii="Open Sans" w:eastAsiaTheme="minorEastAsia" w:hAnsi="Open Sans" w:cs="Open Sans"/>
      <w:color w:val="000000"/>
      <w:sz w:val="19"/>
      <w:szCs w:val="19"/>
      <w:lang w:val="en-GB" w:eastAsia="en-GB"/>
    </w:rPr>
  </w:style>
  <w:style w:type="paragraph" w:customStyle="1" w:styleId="DisclaimerspanBodystyles">
    <w:name w:val="Disclaimer (span) (Body styles)"/>
    <w:basedOn w:val="Normal"/>
    <w:uiPriority w:val="99"/>
    <w:rsid w:val="00D6069D"/>
    <w:pPr>
      <w:widowControl w:val="0"/>
      <w:suppressAutoHyphens/>
      <w:autoSpaceDE w:val="0"/>
      <w:autoSpaceDN w:val="0"/>
      <w:adjustRightInd w:val="0"/>
      <w:spacing w:before="170" w:after="28" w:line="312" w:lineRule="auto"/>
      <w:ind w:left="227" w:hanging="227"/>
      <w:textAlignment w:val="center"/>
    </w:pPr>
    <w:rPr>
      <w:rFonts w:ascii="Open Sans" w:eastAsiaTheme="minorEastAsia" w:hAnsi="Open Sans" w:cs="Open Sans"/>
      <w:color w:val="000000"/>
      <w:sz w:val="17"/>
      <w:szCs w:val="17"/>
      <w:lang w:val="en-GB" w:eastAsia="en-GB"/>
    </w:rPr>
  </w:style>
  <w:style w:type="paragraph" w:customStyle="1" w:styleId="TableHeadingwhiteTables">
    <w:name w:val="Table Heading (white) (Tables)"/>
    <w:basedOn w:val="Normal"/>
    <w:uiPriority w:val="99"/>
    <w:rsid w:val="00D6069D"/>
    <w:pPr>
      <w:widowControl w:val="0"/>
      <w:suppressAutoHyphens/>
      <w:autoSpaceDE w:val="0"/>
      <w:autoSpaceDN w:val="0"/>
      <w:adjustRightInd w:val="0"/>
      <w:spacing w:before="0" w:after="57" w:line="250" w:lineRule="atLeast"/>
      <w:textAlignment w:val="center"/>
    </w:pPr>
    <w:rPr>
      <w:rFonts w:ascii="Open Sans" w:eastAsiaTheme="minorEastAsia" w:hAnsi="Open Sans" w:cs="Open Sans"/>
      <w:b/>
      <w:bCs/>
      <w:color w:val="FFFFFF"/>
      <w:sz w:val="20"/>
      <w:szCs w:val="20"/>
      <w:lang w:val="en-GB" w:eastAsia="en-GB"/>
    </w:rPr>
  </w:style>
  <w:style w:type="paragraph" w:customStyle="1" w:styleId="TableHeadingTables">
    <w:name w:val="Table Heading (Tables)"/>
    <w:basedOn w:val="Normal"/>
    <w:uiPriority w:val="99"/>
    <w:rsid w:val="00D6069D"/>
    <w:pPr>
      <w:widowControl w:val="0"/>
      <w:suppressAutoHyphens/>
      <w:autoSpaceDE w:val="0"/>
      <w:autoSpaceDN w:val="0"/>
      <w:adjustRightInd w:val="0"/>
      <w:spacing w:before="0" w:after="0" w:line="250" w:lineRule="atLeast"/>
      <w:textAlignment w:val="center"/>
    </w:pPr>
    <w:rPr>
      <w:rFonts w:ascii="Open Sans Semibold" w:eastAsiaTheme="minorEastAsia" w:hAnsi="Open Sans Semibold" w:cs="Open Sans Semibold"/>
      <w:color w:val="000000"/>
      <w:sz w:val="20"/>
      <w:szCs w:val="20"/>
      <w:lang w:val="en-GB" w:eastAsia="en-GB"/>
    </w:rPr>
  </w:style>
  <w:style w:type="paragraph" w:customStyle="1" w:styleId="ChecklistTableTextTables">
    <w:name w:val="Checklist Table Text (Tables)"/>
    <w:basedOn w:val="Normal"/>
    <w:uiPriority w:val="99"/>
    <w:rsid w:val="00D6069D"/>
    <w:pPr>
      <w:widowControl w:val="0"/>
      <w:suppressAutoHyphens/>
      <w:autoSpaceDE w:val="0"/>
      <w:autoSpaceDN w:val="0"/>
      <w:adjustRightInd w:val="0"/>
      <w:spacing w:before="0" w:after="57" w:line="250" w:lineRule="atLeast"/>
      <w:textAlignment w:val="center"/>
    </w:pPr>
    <w:rPr>
      <w:rFonts w:ascii="Open Sans" w:eastAsiaTheme="minorEastAsia" w:hAnsi="Open Sans" w:cs="Open Sans"/>
      <w:color w:val="000000"/>
      <w:sz w:val="19"/>
      <w:szCs w:val="19"/>
      <w:lang w:val="en-US" w:eastAsia="en-GB"/>
    </w:rPr>
  </w:style>
  <w:style w:type="paragraph" w:customStyle="1" w:styleId="TableBulletTables">
    <w:name w:val="Table Bullet (Tables)"/>
    <w:basedOn w:val="ChecklistTableTextTables"/>
    <w:uiPriority w:val="99"/>
    <w:rsid w:val="00D6069D"/>
    <w:pPr>
      <w:tabs>
        <w:tab w:val="left" w:pos="255"/>
      </w:tabs>
      <w:ind w:left="255" w:hanging="227"/>
    </w:pPr>
  </w:style>
  <w:style w:type="paragraph" w:customStyle="1" w:styleId="TableTextBeforeBulletTables">
    <w:name w:val="Table Text Before Bullet (Tables)"/>
    <w:basedOn w:val="ChecklistTableTextTables"/>
    <w:uiPriority w:val="99"/>
    <w:rsid w:val="00D6069D"/>
  </w:style>
  <w:style w:type="character" w:customStyle="1" w:styleId="StrongSemibold">
    <w:name w:val="Strong (Semibold)"/>
    <w:basedOn w:val="Strong"/>
    <w:uiPriority w:val="99"/>
    <w:rsid w:val="00D6069D"/>
    <w:rPr>
      <w:rFonts w:ascii="Open Sans Semibold" w:hAnsi="Open Sans Semibold" w:cs="Open Sans Semibold"/>
      <w:b w:val="0"/>
      <w:bCs w:val="0"/>
    </w:rPr>
  </w:style>
  <w:style w:type="character" w:customStyle="1" w:styleId="Hyperlinkitalics">
    <w:name w:val="Hyperlink (italics)"/>
    <w:basedOn w:val="Hyperlink"/>
    <w:uiPriority w:val="99"/>
    <w:rsid w:val="00D6069D"/>
    <w:rPr>
      <w:i/>
      <w:iCs/>
      <w:color w:val="000000"/>
      <w:u w:val="thick" w:color="26FFFF"/>
    </w:rPr>
  </w:style>
  <w:style w:type="character" w:customStyle="1" w:styleId="DesignerNotes">
    <w:name w:val="Designer Notes"/>
    <w:uiPriority w:val="99"/>
    <w:rsid w:val="00D6069D"/>
    <w:rPr>
      <w:color w:val="C90C88"/>
      <w:sz w:val="19"/>
      <w:szCs w:val="19"/>
      <w:u w:val="thick" w:color="FFFF00"/>
    </w:rPr>
  </w:style>
  <w:style w:type="paragraph" w:customStyle="1" w:styleId="Surtitle">
    <w:name w:val="Surtitle"/>
    <w:basedOn w:val="Subtitle"/>
    <w:qFormat/>
    <w:rsid w:val="00D6069D"/>
    <w:pPr>
      <w:spacing w:after="120"/>
    </w:pPr>
  </w:style>
  <w:style w:type="paragraph" w:customStyle="1" w:styleId="YellowBoxH2Pullouts">
    <w:name w:val="Yellow Box H2 (Pullouts)"/>
    <w:basedOn w:val="Normal"/>
    <w:next w:val="Normal"/>
    <w:uiPriority w:val="99"/>
    <w:rsid w:val="00D717D7"/>
    <w:pPr>
      <w:keepNext/>
      <w:keepLines/>
      <w:widowControl w:val="0"/>
      <w:shd w:val="clear" w:color="auto" w:fill="C6FF00"/>
      <w:tabs>
        <w:tab w:val="left" w:pos="680"/>
      </w:tabs>
      <w:suppressAutoHyphens/>
      <w:autoSpaceDE w:val="0"/>
      <w:autoSpaceDN w:val="0"/>
      <w:adjustRightInd w:val="0"/>
      <w:spacing w:before="397" w:after="170" w:line="360" w:lineRule="atLeast"/>
      <w:ind w:left="283" w:right="170"/>
      <w:textAlignment w:val="center"/>
    </w:pPr>
    <w:rPr>
      <w:rFonts w:ascii="Proxima Nova" w:eastAsiaTheme="minorEastAsia" w:hAnsi="Proxima Nova" w:cs="Proxima Nova"/>
      <w:b/>
      <w:bCs/>
      <w:color w:val="000000"/>
      <w:sz w:val="32"/>
      <w:szCs w:val="32"/>
      <w:lang w:val="en-GB" w:eastAsia="en-GB"/>
    </w:rPr>
  </w:style>
  <w:style w:type="paragraph" w:customStyle="1" w:styleId="YellowBoxTextPullouts">
    <w:name w:val="Yellow Box Text (Pullouts)"/>
    <w:basedOn w:val="Normal"/>
    <w:uiPriority w:val="99"/>
    <w:rsid w:val="00D717D7"/>
    <w:pPr>
      <w:widowControl w:val="0"/>
      <w:shd w:val="clear" w:color="auto" w:fill="C6FF00"/>
      <w:suppressAutoHyphens/>
      <w:autoSpaceDE w:val="0"/>
      <w:autoSpaceDN w:val="0"/>
      <w:adjustRightInd w:val="0"/>
      <w:spacing w:before="0" w:after="142" w:line="250" w:lineRule="atLeast"/>
      <w:ind w:left="283" w:right="170"/>
      <w:textAlignment w:val="center"/>
    </w:pPr>
    <w:rPr>
      <w:rFonts w:ascii="Open Sans" w:eastAsiaTheme="minorEastAsia" w:hAnsi="Open Sans" w:cs="Open Sans"/>
      <w:color w:val="000000"/>
      <w:sz w:val="19"/>
      <w:szCs w:val="19"/>
      <w:lang w:val="en-GB" w:eastAsia="en-GB"/>
    </w:rPr>
  </w:style>
  <w:style w:type="paragraph" w:customStyle="1" w:styleId="YellowBoxTextFirstPullouts">
    <w:name w:val="Yellow Box Text First (Pullouts)"/>
    <w:basedOn w:val="Normal"/>
    <w:uiPriority w:val="99"/>
    <w:rsid w:val="00D717D7"/>
    <w:pPr>
      <w:widowControl w:val="0"/>
      <w:shd w:val="clear" w:color="auto" w:fill="C6FF00"/>
      <w:suppressAutoHyphens/>
      <w:autoSpaceDE w:val="0"/>
      <w:autoSpaceDN w:val="0"/>
      <w:adjustRightInd w:val="0"/>
      <w:spacing w:before="283" w:after="57" w:line="250" w:lineRule="atLeast"/>
      <w:ind w:left="283" w:right="170"/>
      <w:textAlignment w:val="center"/>
    </w:pPr>
    <w:rPr>
      <w:rFonts w:ascii="Open Sans" w:eastAsiaTheme="minorEastAsia" w:hAnsi="Open Sans" w:cs="Open Sans"/>
      <w:color w:val="000000"/>
      <w:sz w:val="19"/>
      <w:szCs w:val="19"/>
      <w:lang w:val="en-GB" w:eastAsia="en-GB"/>
    </w:rPr>
  </w:style>
  <w:style w:type="paragraph" w:customStyle="1" w:styleId="Heading3Headings">
    <w:name w:val="Heading 3  (Headings)"/>
    <w:basedOn w:val="Normal"/>
    <w:uiPriority w:val="99"/>
    <w:rsid w:val="00D717D7"/>
    <w:pPr>
      <w:widowControl w:val="0"/>
      <w:suppressAutoHyphens/>
      <w:autoSpaceDE w:val="0"/>
      <w:autoSpaceDN w:val="0"/>
      <w:adjustRightInd w:val="0"/>
      <w:spacing w:before="170" w:after="170" w:line="288" w:lineRule="auto"/>
      <w:textAlignment w:val="center"/>
    </w:pPr>
    <w:rPr>
      <w:rFonts w:ascii="Proxima Nova" w:eastAsiaTheme="minorEastAsia" w:hAnsi="Proxima Nova" w:cs="Proxima Nova"/>
      <w:b/>
      <w:bCs/>
      <w:color w:val="000000"/>
      <w:sz w:val="24"/>
      <w:szCs w:val="24"/>
      <w:lang w:val="en-GB" w:eastAsia="en-GB"/>
    </w:rPr>
  </w:style>
  <w:style w:type="paragraph" w:customStyle="1" w:styleId="ReferencesHeadMisc">
    <w:name w:val="References Head (Misc)"/>
    <w:basedOn w:val="Normal"/>
    <w:uiPriority w:val="99"/>
    <w:rsid w:val="00D717D7"/>
    <w:pPr>
      <w:widowControl w:val="0"/>
      <w:tabs>
        <w:tab w:val="left" w:pos="340"/>
      </w:tabs>
      <w:suppressAutoHyphens/>
      <w:autoSpaceDE w:val="0"/>
      <w:autoSpaceDN w:val="0"/>
      <w:adjustRightInd w:val="0"/>
      <w:spacing w:before="170" w:after="57" w:line="288" w:lineRule="auto"/>
      <w:textAlignment w:val="center"/>
    </w:pPr>
    <w:rPr>
      <w:rFonts w:ascii="Proxima Nova" w:eastAsiaTheme="minorEastAsia" w:hAnsi="Proxima Nova" w:cs="Proxima Nova"/>
      <w:b/>
      <w:bCs/>
      <w:color w:val="000000"/>
      <w:sz w:val="18"/>
      <w:szCs w:val="18"/>
      <w:lang w:val="en-GB" w:eastAsia="en-GB"/>
    </w:rPr>
  </w:style>
  <w:style w:type="paragraph" w:customStyle="1" w:styleId="ReferencesListMisc">
    <w:name w:val="References List • (Misc)"/>
    <w:basedOn w:val="Normal"/>
    <w:uiPriority w:val="99"/>
    <w:rsid w:val="00D717D7"/>
    <w:pPr>
      <w:widowControl w:val="0"/>
      <w:suppressAutoHyphens/>
      <w:autoSpaceDE w:val="0"/>
      <w:autoSpaceDN w:val="0"/>
      <w:adjustRightInd w:val="0"/>
      <w:spacing w:before="0" w:after="28" w:line="230" w:lineRule="atLeast"/>
      <w:ind w:left="312" w:hanging="312"/>
      <w:textAlignment w:val="center"/>
    </w:pPr>
    <w:rPr>
      <w:rFonts w:ascii="Open Sans" w:eastAsiaTheme="minorEastAsia" w:hAnsi="Open Sans" w:cs="Open Sans"/>
      <w:color w:val="000000"/>
      <w:sz w:val="17"/>
      <w:szCs w:val="17"/>
      <w:lang w:val="en-GB" w:eastAsia="en-GB"/>
    </w:rPr>
  </w:style>
  <w:style w:type="paragraph" w:customStyle="1" w:styleId="DisclaimerspanMisc">
    <w:name w:val="Disclaimer (span) (Misc)"/>
    <w:basedOn w:val="ReferencesListMisc"/>
    <w:uiPriority w:val="99"/>
    <w:rsid w:val="00D717D7"/>
    <w:pPr>
      <w:spacing w:before="170" w:line="312" w:lineRule="auto"/>
      <w:ind w:left="0" w:firstLine="0"/>
    </w:pPr>
  </w:style>
  <w:style w:type="paragraph" w:customStyle="1" w:styleId="Heading1SmallbelowH1Headings">
    <w:name w:val="Heading 1 Small (below H1) (Headings)"/>
    <w:basedOn w:val="Normal"/>
    <w:uiPriority w:val="99"/>
    <w:rsid w:val="00D717D7"/>
    <w:pPr>
      <w:widowControl w:val="0"/>
      <w:suppressAutoHyphens/>
      <w:autoSpaceDE w:val="0"/>
      <w:autoSpaceDN w:val="0"/>
      <w:adjustRightInd w:val="0"/>
      <w:spacing w:before="227" w:after="454" w:line="440" w:lineRule="atLeast"/>
      <w:textAlignment w:val="center"/>
    </w:pPr>
    <w:rPr>
      <w:rFonts w:ascii="Proxima Nova" w:eastAsiaTheme="minorEastAsia" w:hAnsi="Proxima Nova" w:cs="Proxima Nova"/>
      <w:b/>
      <w:bCs/>
      <w:color w:val="000000"/>
      <w:sz w:val="40"/>
      <w:szCs w:val="40"/>
      <w:lang w:val="en-GB" w:eastAsia="en-GB"/>
    </w:rPr>
  </w:style>
  <w:style w:type="paragraph" w:customStyle="1" w:styleId="Heading3iconHeadings">
    <w:name w:val="Heading 3 (? icon) (Headings)"/>
    <w:basedOn w:val="Heading3Headings"/>
    <w:uiPriority w:val="99"/>
    <w:rsid w:val="00D717D7"/>
    <w:pPr>
      <w:spacing w:before="142"/>
      <w:ind w:left="737"/>
    </w:pPr>
    <w:rPr>
      <w:color w:val="009838"/>
    </w:rPr>
  </w:style>
  <w:style w:type="character" w:customStyle="1" w:styleId="Semibold">
    <w:name w:val="Semibold"/>
    <w:uiPriority w:val="99"/>
    <w:rsid w:val="00D717D7"/>
    <w:rPr>
      <w:rFonts w:ascii="Open Sans Semibold" w:hAnsi="Open Sans Semibold" w:cs="Open Sans Semibold"/>
    </w:rPr>
  </w:style>
  <w:style w:type="character" w:customStyle="1" w:styleId="Heading2Char">
    <w:name w:val="Heading 2 Char"/>
    <w:basedOn w:val="DefaultParagraphFont"/>
    <w:link w:val="Heading2"/>
    <w:rsid w:val="00284560"/>
    <w:rPr>
      <w:rFonts w:cs="Arial"/>
      <w:b/>
      <w:iCs/>
      <w:color w:val="007978"/>
      <w:kern w:val="28"/>
      <w:sz w:val="32"/>
      <w:szCs w:val="28"/>
    </w:rPr>
  </w:style>
  <w:style w:type="paragraph" w:customStyle="1" w:styleId="Heading2tickiconHeadings">
    <w:name w:val="Heading 2 (tick icon) (Headings)"/>
    <w:basedOn w:val="Heading2Headings"/>
    <w:uiPriority w:val="99"/>
    <w:rsid w:val="002A48DC"/>
    <w:pPr>
      <w:spacing w:before="170"/>
      <w:ind w:left="964"/>
    </w:pPr>
  </w:style>
  <w:style w:type="paragraph" w:customStyle="1" w:styleId="NormalundertickBodystyles">
    <w:name w:val="Normal (under tick) (Body styles)"/>
    <w:basedOn w:val="NormalBodystyles0"/>
    <w:uiPriority w:val="99"/>
    <w:rsid w:val="002A48DC"/>
  </w:style>
  <w:style w:type="paragraph" w:customStyle="1" w:styleId="BulletunderTickBulletandNumberlists">
    <w:name w:val="Bullet under Tick (Bullet and Number lists)"/>
    <w:basedOn w:val="BulletBulletandNumberlists"/>
    <w:uiPriority w:val="99"/>
    <w:rsid w:val="002A48DC"/>
    <w:pPr>
      <w:suppressAutoHyphens/>
      <w:spacing w:before="0" w:after="142" w:line="250" w:lineRule="atLeast"/>
    </w:pPr>
    <w:rPr>
      <w:rFonts w:ascii="Open Sans" w:hAnsi="Open Sans" w:cs="Open Sans"/>
      <w:sz w:val="19"/>
      <w:szCs w:val="19"/>
      <w:lang w:val="en-GB"/>
    </w:rPr>
  </w:style>
  <w:style w:type="paragraph" w:customStyle="1" w:styleId="BoxHeadingBoxes">
    <w:name w:val="Box Heading (Boxes)"/>
    <w:basedOn w:val="Normal"/>
    <w:next w:val="Normal"/>
    <w:uiPriority w:val="99"/>
    <w:rsid w:val="00463EA2"/>
    <w:pPr>
      <w:widowControl w:val="0"/>
      <w:shd w:val="clear" w:color="auto" w:fill="C6FF00"/>
      <w:suppressAutoHyphens/>
      <w:autoSpaceDE w:val="0"/>
      <w:autoSpaceDN w:val="0"/>
      <w:adjustRightInd w:val="0"/>
      <w:spacing w:before="454" w:after="170" w:line="280" w:lineRule="atLeast"/>
      <w:ind w:left="283" w:right="170"/>
      <w:textAlignment w:val="center"/>
    </w:pPr>
    <w:rPr>
      <w:rFonts w:ascii="Open Sans" w:eastAsiaTheme="minorEastAsia" w:hAnsi="Open Sans" w:cs="Open Sans"/>
      <w:b/>
      <w:bCs/>
      <w:color w:val="009838"/>
      <w:sz w:val="25"/>
      <w:szCs w:val="25"/>
      <w:lang w:val="en-GB" w:eastAsia="en-GB"/>
    </w:rPr>
  </w:style>
  <w:style w:type="paragraph" w:customStyle="1" w:styleId="Heading2dropcapnumberHeadings">
    <w:name w:val="Heading 2 (drop cap number) (Headings)"/>
    <w:basedOn w:val="Normal"/>
    <w:next w:val="NormalBodystyles0"/>
    <w:uiPriority w:val="99"/>
    <w:rsid w:val="00463EA2"/>
    <w:pPr>
      <w:widowControl w:val="0"/>
      <w:suppressAutoHyphens/>
      <w:autoSpaceDE w:val="0"/>
      <w:autoSpaceDN w:val="0"/>
      <w:adjustRightInd w:val="0"/>
      <w:spacing w:before="283" w:after="227" w:line="360" w:lineRule="atLeast"/>
      <w:textAlignment w:val="center"/>
    </w:pPr>
    <w:rPr>
      <w:rFonts w:ascii="Proxima Nova" w:eastAsiaTheme="minorEastAsia" w:hAnsi="Proxima Nova" w:cs="Proxima Nova"/>
      <w:b/>
      <w:bCs/>
      <w:color w:val="000000"/>
      <w:sz w:val="32"/>
      <w:szCs w:val="32"/>
      <w:lang w:val="en-GB" w:eastAsia="en-GB"/>
    </w:rPr>
  </w:style>
  <w:style w:type="paragraph" w:customStyle="1" w:styleId="quoteboxMisc">
    <w:name w:val="&quot; (quote box) (Misc)"/>
    <w:basedOn w:val="NormalBodystyles0"/>
    <w:uiPriority w:val="99"/>
    <w:rsid w:val="00463EA2"/>
    <w:pPr>
      <w:spacing w:before="510" w:after="0"/>
      <w:jc w:val="center"/>
    </w:pPr>
    <w:rPr>
      <w:rFonts w:ascii="Proxima Nova Extrabold" w:hAnsi="Proxima Nova Extrabold" w:cs="Proxima Nova Extrabold"/>
      <w:color w:val="C6FF00"/>
      <w:position w:val="-14"/>
      <w:sz w:val="120"/>
      <w:szCs w:val="120"/>
    </w:rPr>
  </w:style>
  <w:style w:type="paragraph" w:customStyle="1" w:styleId="Heading3quoteboxHeadings">
    <w:name w:val="Heading 3 (quote box) (Headings)"/>
    <w:basedOn w:val="Heading3Headings"/>
    <w:uiPriority w:val="99"/>
    <w:rsid w:val="00463EA2"/>
    <w:pPr>
      <w:spacing w:before="0"/>
      <w:jc w:val="center"/>
    </w:pPr>
  </w:style>
  <w:style w:type="paragraph" w:customStyle="1" w:styleId="NormalquoteboxBodystyles">
    <w:name w:val="Normal (quote box) (Body styles)"/>
    <w:basedOn w:val="NormalBodystyles0"/>
    <w:uiPriority w:val="99"/>
    <w:rsid w:val="00463EA2"/>
    <w:pPr>
      <w:spacing w:after="425"/>
      <w:ind w:left="283" w:right="227"/>
    </w:pPr>
    <w:rPr>
      <w:rFonts w:ascii="Open Sans Semibold" w:hAnsi="Open Sans Semibold" w:cs="Open Sans Semibold"/>
    </w:rPr>
  </w:style>
  <w:style w:type="paragraph" w:customStyle="1" w:styleId="Heading2dropcapnumberafterH1Headings">
    <w:name w:val="Heading 2 (drop cap number) (after H1) (Headings)"/>
    <w:basedOn w:val="Heading2dropcapnumberHeadings"/>
    <w:next w:val="NormalBodystyles0"/>
    <w:uiPriority w:val="99"/>
    <w:rsid w:val="00E07FA2"/>
    <w:pPr>
      <w:spacing w:before="142"/>
    </w:pPr>
  </w:style>
  <w:style w:type="paragraph" w:customStyle="1" w:styleId="NormalSemiboldBodystyles">
    <w:name w:val="Normal Semibold (Body styles)"/>
    <w:basedOn w:val="NormalBodystyles0"/>
    <w:uiPriority w:val="99"/>
    <w:rsid w:val="00E07FA2"/>
    <w:rPr>
      <w:rFonts w:ascii="Open Sans Semibold" w:hAnsi="Open Sans Semibold" w:cs="Open Sans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afetyandquality.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fetyandquality.gov.au/lowbackpain-cc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mesarmstrong:Desktop:ACSQHC%20Word%20MASTER_d3.dotx" TargetMode="External"/></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Macintosh%20HD:Users:jamesarmstrong:Desktop:ACSQHC%20Word%20MASTER_d3.dotx</Template>
  <TotalTime>199</TotalTime>
  <Pages>3</Pages>
  <Words>744</Words>
  <Characters>4249</Characters>
  <Application>Microsoft Office Word</Application>
  <DocSecurity>0</DocSecurity>
  <Lines>73</Lines>
  <Paragraphs>26</Paragraphs>
  <ScaleCrop>false</ScaleCrop>
  <HeadingPairs>
    <vt:vector size="2" baseType="variant">
      <vt:variant>
        <vt:lpstr>Title</vt:lpstr>
      </vt:variant>
      <vt:variant>
        <vt:i4>1</vt:i4>
      </vt:variant>
    </vt:vector>
  </HeadingPairs>
  <TitlesOfParts>
    <vt:vector size="1" baseType="lpstr">
      <vt:lpstr>Information for clinicians: Low Back Pain Clinical Care Standard</vt:lpstr>
    </vt:vector>
  </TitlesOfParts>
  <Manager/>
  <Company>Australian Commission on Safety and Quality in Health Care</Company>
  <LinksUpToDate>false</LinksUpToDate>
  <CharactersWithSpaces>4983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clinicians: Low Back Pain Clinical Care Standard 2022</dc:title>
  <dc:subject/>
  <dc:creator>Australian Commission on Safety and Quality in Health Care</dc:creator>
  <cp:keywords/>
  <dc:description/>
  <cp:lastModifiedBy>James</cp:lastModifiedBy>
  <cp:revision>277</cp:revision>
  <cp:lastPrinted>2020-03-04T03:32:00Z</cp:lastPrinted>
  <dcterms:created xsi:type="dcterms:W3CDTF">2021-04-19T06:25:00Z</dcterms:created>
  <dcterms:modified xsi:type="dcterms:W3CDTF">2022-09-07T00:47:00Z</dcterms:modified>
  <cp:category/>
</cp:coreProperties>
</file>