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7FF11A13"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7EC3D6B"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0B2EB2">
        <w:rPr>
          <w:rFonts w:ascii="Garamond" w:hAnsi="Garamond"/>
          <w:color w:val="000000" w:themeColor="text1"/>
          <w:lang w:val="en-AU"/>
        </w:rPr>
        <w:t>57</w:t>
      </w:r>
      <w:r w:rsidR="00E02472">
        <w:rPr>
          <w:rFonts w:ascii="Garamond" w:hAnsi="Garamond"/>
          <w:color w:val="000000" w:themeColor="text1"/>
          <w:lang w:val="en-AU"/>
        </w:rPr>
        <w:t>3</w:t>
      </w:r>
    </w:p>
    <w:p w14:paraId="6D81A6EC" w14:textId="7B92D2F2" w:rsidR="00755242" w:rsidRDefault="00E02472" w:rsidP="00F738B5">
      <w:pPr>
        <w:rPr>
          <w:rFonts w:ascii="Garamond" w:hAnsi="Garamond"/>
          <w:lang w:val="en-AU"/>
        </w:rPr>
      </w:pPr>
      <w:r>
        <w:rPr>
          <w:rFonts w:ascii="Garamond" w:hAnsi="Garamond"/>
          <w:lang w:val="en-AU"/>
        </w:rPr>
        <w:t>5 September</w:t>
      </w:r>
      <w:r w:rsidR="00BD267D">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5599699F"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E44A3">
        <w:rPr>
          <w:rFonts w:ascii="Garamond" w:hAnsi="Garamond"/>
          <w:bCs/>
          <w:lang w:val="en-AU"/>
        </w:rPr>
        <w:t>, Kristin Xenos, Amy Forsyth</w:t>
      </w:r>
    </w:p>
    <w:p w14:paraId="00E913F8" w14:textId="6F1D5554" w:rsidR="00E82EAA" w:rsidRDefault="00E82EAA" w:rsidP="009525CC">
      <w:pPr>
        <w:rPr>
          <w:rFonts w:ascii="Garamond" w:hAnsi="Garamond"/>
          <w:bCs/>
          <w:lang w:val="en-AU"/>
        </w:rPr>
      </w:pPr>
    </w:p>
    <w:p w14:paraId="535F747F" w14:textId="10050514" w:rsidR="00DC0AB9" w:rsidRDefault="00DC0AB9" w:rsidP="009525CC">
      <w:pPr>
        <w:rPr>
          <w:rFonts w:ascii="Garamond" w:hAnsi="Garamond"/>
          <w:bCs/>
          <w:lang w:val="en-AU"/>
        </w:rPr>
      </w:pPr>
    </w:p>
    <w:p w14:paraId="2BA09B0C" w14:textId="77777777" w:rsidR="00DC0AB9" w:rsidRDefault="00DC0AB9" w:rsidP="009525CC">
      <w:pPr>
        <w:rPr>
          <w:rFonts w:ascii="Garamond" w:hAnsi="Garamond"/>
          <w:bCs/>
          <w:lang w:val="en-AU"/>
        </w:rPr>
      </w:pPr>
    </w:p>
    <w:p w14:paraId="2EA522AA" w14:textId="77777777" w:rsidR="003A14A7" w:rsidRPr="003A14A7" w:rsidRDefault="003A14A7" w:rsidP="003A14A7">
      <w:pPr>
        <w:rPr>
          <w:rFonts w:ascii="Garamond" w:hAnsi="Garamond"/>
          <w:b/>
          <w:i/>
          <w:iCs/>
          <w:lang w:val="en-AU"/>
        </w:rPr>
      </w:pPr>
      <w:r w:rsidRPr="003A14A7">
        <w:rPr>
          <w:rFonts w:ascii="Garamond" w:hAnsi="Garamond"/>
          <w:b/>
          <w:i/>
          <w:iCs/>
          <w:lang w:val="en-AU"/>
        </w:rPr>
        <w:t>Low Back Pain Clinical Care Standard</w:t>
      </w:r>
    </w:p>
    <w:p w14:paraId="35354380" w14:textId="77777777" w:rsidR="003A14A7" w:rsidRDefault="003A14A7" w:rsidP="009525CC">
      <w:pPr>
        <w:rPr>
          <w:rFonts w:ascii="Garamond" w:hAnsi="Garamond"/>
          <w:bCs/>
          <w:lang w:val="en-AU"/>
        </w:rPr>
      </w:pPr>
      <w:r w:rsidRPr="003A14A7">
        <w:rPr>
          <w:rFonts w:ascii="Garamond" w:hAnsi="Garamond"/>
          <w:bCs/>
          <w:lang w:val="en-AU"/>
        </w:rPr>
        <w:t>Australian Commission on Safety and Quality in Health Care</w:t>
      </w:r>
    </w:p>
    <w:p w14:paraId="0B0A43D6" w14:textId="30423391" w:rsidR="003A14A7" w:rsidRDefault="003A14A7" w:rsidP="009525CC">
      <w:pPr>
        <w:rPr>
          <w:rFonts w:ascii="Garamond" w:hAnsi="Garamond"/>
          <w:bCs/>
          <w:lang w:val="en-AU"/>
        </w:rPr>
      </w:pPr>
      <w:r w:rsidRPr="003A14A7">
        <w:rPr>
          <w:rFonts w:ascii="Garamond" w:hAnsi="Garamond"/>
          <w:bCs/>
          <w:lang w:val="en-AU"/>
        </w:rPr>
        <w:t>Sydney: ACSQHC; 2022. p. 66.</w:t>
      </w:r>
    </w:p>
    <w:p w14:paraId="59A6B2D4" w14:textId="5D75CF9D" w:rsidR="003A14A7" w:rsidRDefault="001A62B1" w:rsidP="009525CC">
      <w:pPr>
        <w:rPr>
          <w:rFonts w:ascii="Garamond" w:hAnsi="Garamond"/>
          <w:bCs/>
          <w:lang w:val="en-AU"/>
        </w:rPr>
      </w:pPr>
      <w:hyperlink r:id="rId15" w:history="1">
        <w:r w:rsidR="003A14A7" w:rsidRPr="00E3099A">
          <w:rPr>
            <w:rStyle w:val="Hyperlink"/>
            <w:rFonts w:ascii="Garamond" w:hAnsi="Garamond"/>
            <w:bCs/>
            <w:lang w:val="en-AU"/>
          </w:rPr>
          <w:t>https://www.safetyandquality.gov.au/standards/clinical-care-standards/low-back-pain-clinical-care-standard</w:t>
        </w:r>
      </w:hyperlink>
    </w:p>
    <w:p w14:paraId="093A9363" w14:textId="77777777" w:rsidR="003A14A7" w:rsidRDefault="003A14A7" w:rsidP="003A14A7">
      <w:pPr>
        <w:rPr>
          <w:rFonts w:ascii="Garamond" w:hAnsi="Garamond"/>
          <w:bCs/>
          <w:lang w:val="en-AU"/>
        </w:rPr>
      </w:pPr>
    </w:p>
    <w:p w14:paraId="73F1800D" w14:textId="2659B128" w:rsidR="003A14A7" w:rsidRDefault="003A14A7" w:rsidP="003A14A7">
      <w:pPr>
        <w:rPr>
          <w:rFonts w:ascii="Garamond" w:hAnsi="Garamond"/>
          <w:bCs/>
          <w:lang w:val="en-AU"/>
        </w:rPr>
      </w:pPr>
      <w:r w:rsidRPr="003A14A7">
        <w:rPr>
          <w:rFonts w:ascii="Garamond" w:hAnsi="Garamond"/>
          <w:bCs/>
          <w:lang w:val="en-AU"/>
        </w:rPr>
        <w:t xml:space="preserve">The first national </w:t>
      </w:r>
      <w:hyperlink r:id="rId16" w:history="1">
        <w:r w:rsidRPr="003A14A7">
          <w:rPr>
            <w:rStyle w:val="Hyperlink"/>
            <w:rFonts w:ascii="Garamond" w:hAnsi="Garamond"/>
            <w:bCs/>
            <w:i/>
            <w:iCs/>
            <w:lang w:val="en-AU"/>
          </w:rPr>
          <w:t>Low Back Pain Clinical Care Standard</w:t>
        </w:r>
      </w:hyperlink>
      <w:r w:rsidRPr="003A14A7">
        <w:rPr>
          <w:rFonts w:ascii="Garamond" w:hAnsi="Garamond"/>
          <w:bCs/>
          <w:lang w:val="en-AU"/>
        </w:rPr>
        <w:t xml:space="preserve"> was launched by the Australian Commission on Safety and Quality in Health Care on Thursday 1 September via a live-streamed event. The panel discussion was hosted by broadcaster and commentator Geraldine Doogue AO and included the Commission’s Clinical Director, Associate Professor Liz Marles, Professor Michael Nicholas from Royal North Shore Hospital, Professor Peter O’Sullivan from Curtin University and Dr James Edwards from Royal Prince Alfred Hospital.</w:t>
      </w:r>
    </w:p>
    <w:p w14:paraId="19E5F7DA" w14:textId="77777777" w:rsidR="003A14A7" w:rsidRPr="003A14A7" w:rsidRDefault="003A14A7" w:rsidP="003A14A7">
      <w:pPr>
        <w:rPr>
          <w:rFonts w:ascii="Garamond" w:hAnsi="Garamond"/>
          <w:bCs/>
          <w:lang w:val="en-AU"/>
        </w:rPr>
      </w:pPr>
    </w:p>
    <w:p w14:paraId="12CA76F9" w14:textId="1EDE31DF" w:rsidR="003A14A7" w:rsidRDefault="003A14A7" w:rsidP="003A14A7">
      <w:pPr>
        <w:rPr>
          <w:rFonts w:ascii="Garamond" w:hAnsi="Garamond"/>
          <w:bCs/>
          <w:lang w:val="en-AU"/>
        </w:rPr>
      </w:pPr>
      <w:r w:rsidRPr="003A14A7">
        <w:rPr>
          <w:rFonts w:ascii="Garamond" w:hAnsi="Garamond"/>
          <w:bCs/>
          <w:lang w:val="en-AU"/>
        </w:rPr>
        <w:t>The new standard of care for low back pain will improve early management of patients with this common condition.</w:t>
      </w:r>
    </w:p>
    <w:p w14:paraId="4D2BF7DA" w14:textId="77777777" w:rsidR="003A14A7" w:rsidRPr="003A14A7" w:rsidRDefault="003A14A7" w:rsidP="003A14A7">
      <w:pPr>
        <w:rPr>
          <w:rFonts w:ascii="Garamond" w:hAnsi="Garamond"/>
          <w:bCs/>
          <w:lang w:val="en-AU"/>
        </w:rPr>
      </w:pPr>
    </w:p>
    <w:p w14:paraId="7C42F8DC" w14:textId="3C392E80" w:rsidR="003A14A7" w:rsidRPr="003A14A7" w:rsidRDefault="003A14A7" w:rsidP="003A14A7">
      <w:pPr>
        <w:rPr>
          <w:rFonts w:ascii="Garamond" w:hAnsi="Garamond"/>
          <w:bCs/>
          <w:lang w:val="en-AU"/>
        </w:rPr>
      </w:pPr>
      <w:r w:rsidRPr="003A14A7">
        <w:rPr>
          <w:rFonts w:ascii="Garamond" w:hAnsi="Garamond"/>
          <w:bCs/>
          <w:lang w:val="en-AU"/>
        </w:rPr>
        <w:lastRenderedPageBreak/>
        <w:t>Did you know that one in six Australians are affected by back problems and it is a leading cause of disability worldwide?</w:t>
      </w:r>
    </w:p>
    <w:p w14:paraId="3051F7EC" w14:textId="11E45F6F" w:rsidR="003A14A7" w:rsidRPr="003A14A7" w:rsidRDefault="003A14A7" w:rsidP="003A14A7">
      <w:pPr>
        <w:rPr>
          <w:rFonts w:ascii="Garamond" w:hAnsi="Garamond"/>
          <w:bCs/>
          <w:lang w:val="en-AU"/>
        </w:rPr>
      </w:pPr>
      <w:r w:rsidRPr="003A14A7">
        <w:rPr>
          <w:rFonts w:ascii="Garamond" w:hAnsi="Garamond"/>
          <w:bCs/>
          <w:lang w:val="en-AU"/>
        </w:rPr>
        <w:t xml:space="preserve">The </w:t>
      </w:r>
      <w:r>
        <w:rPr>
          <w:rFonts w:ascii="Garamond" w:hAnsi="Garamond"/>
          <w:bCs/>
          <w:lang w:val="en-AU"/>
        </w:rPr>
        <w:t xml:space="preserve">clinical care </w:t>
      </w:r>
      <w:r w:rsidRPr="003A14A7">
        <w:rPr>
          <w:rFonts w:ascii="Garamond" w:hAnsi="Garamond"/>
          <w:bCs/>
          <w:lang w:val="en-AU"/>
        </w:rPr>
        <w:t>standard outlines optimal care for patients with an acute episode, recurrence or exacerbation of chronic low back pain, and advocates a shift towards active approaches to support people with low back pain.</w:t>
      </w:r>
    </w:p>
    <w:p w14:paraId="57B1F8D5" w14:textId="77777777" w:rsidR="003A14A7" w:rsidRDefault="003A14A7" w:rsidP="003A14A7">
      <w:pPr>
        <w:rPr>
          <w:rFonts w:ascii="Garamond" w:hAnsi="Garamond"/>
          <w:bCs/>
          <w:lang w:val="en-AU"/>
        </w:rPr>
      </w:pPr>
    </w:p>
    <w:p w14:paraId="53A0F711" w14:textId="012DDE33" w:rsidR="003A14A7" w:rsidRPr="003A14A7" w:rsidRDefault="003A14A7" w:rsidP="003A14A7">
      <w:pPr>
        <w:rPr>
          <w:rFonts w:ascii="Garamond" w:hAnsi="Garamond"/>
          <w:bCs/>
          <w:lang w:val="en-AU"/>
        </w:rPr>
      </w:pPr>
      <w:r w:rsidRPr="003A14A7">
        <w:rPr>
          <w:rFonts w:ascii="Garamond" w:hAnsi="Garamond"/>
          <w:bCs/>
          <w:lang w:val="en-AU"/>
        </w:rPr>
        <w:t>Recommendations in the standard include self-management and physical activity, addressing psychological barriers to recovery such as thoughts and emotions about pain, and tackling social obstacles, including work and home stress.</w:t>
      </w:r>
    </w:p>
    <w:p w14:paraId="61333B50" w14:textId="77777777" w:rsidR="003A14A7" w:rsidRPr="003A14A7" w:rsidRDefault="003A14A7" w:rsidP="003A14A7">
      <w:pPr>
        <w:rPr>
          <w:rFonts w:ascii="Garamond" w:hAnsi="Garamond"/>
          <w:bCs/>
          <w:lang w:val="en-AU"/>
        </w:rPr>
      </w:pPr>
    </w:p>
    <w:p w14:paraId="1ED495DD" w14:textId="77777777" w:rsidR="003A14A7" w:rsidRDefault="003A14A7" w:rsidP="003A14A7">
      <w:pPr>
        <w:rPr>
          <w:rFonts w:ascii="Garamond" w:hAnsi="Garamond"/>
          <w:bCs/>
          <w:lang w:val="en-AU"/>
        </w:rPr>
      </w:pPr>
      <w:r w:rsidRPr="003A14A7">
        <w:rPr>
          <w:rFonts w:ascii="Garamond" w:hAnsi="Garamond"/>
          <w:bCs/>
          <w:lang w:val="en-AU"/>
        </w:rPr>
        <w:t xml:space="preserve">Learn more about Australia’s first national standard for low back pain, access the standard, </w:t>
      </w:r>
      <w:hyperlink r:id="rId17" w:history="1">
        <w:r w:rsidRPr="003A14A7">
          <w:rPr>
            <w:rStyle w:val="Hyperlink"/>
            <w:rFonts w:ascii="Garamond" w:hAnsi="Garamond"/>
            <w:bCs/>
            <w:lang w:val="en-AU"/>
          </w:rPr>
          <w:t>implementation resources</w:t>
        </w:r>
      </w:hyperlink>
      <w:r w:rsidRPr="003A14A7">
        <w:rPr>
          <w:rFonts w:ascii="Garamond" w:hAnsi="Garamond"/>
          <w:bCs/>
          <w:lang w:val="en-AU"/>
        </w:rPr>
        <w:t xml:space="preserve"> and access resources for consumers, clinicians and health services at: </w:t>
      </w:r>
      <w:hyperlink r:id="rId18" w:history="1">
        <w:r w:rsidRPr="00E3099A">
          <w:rPr>
            <w:rStyle w:val="Hyperlink"/>
            <w:rFonts w:ascii="Garamond" w:hAnsi="Garamond"/>
            <w:bCs/>
            <w:lang w:val="en-AU"/>
          </w:rPr>
          <w:t>https://www.safetyandquality.gov.au/standards/clinical-care-standards/low-back-pain-clinical-care-standard</w:t>
        </w:r>
      </w:hyperlink>
    </w:p>
    <w:p w14:paraId="37AEAB57" w14:textId="42F006CA" w:rsidR="003A14A7" w:rsidRDefault="003A14A7" w:rsidP="009525CC">
      <w:pPr>
        <w:rPr>
          <w:rFonts w:ascii="Garamond" w:hAnsi="Garamond"/>
          <w:bCs/>
          <w:lang w:val="en-AU"/>
        </w:rPr>
      </w:pPr>
    </w:p>
    <w:p w14:paraId="0D415997" w14:textId="76B8ABF3" w:rsidR="003A14A7" w:rsidRDefault="003A14A7" w:rsidP="009525CC">
      <w:pPr>
        <w:rPr>
          <w:rFonts w:ascii="Garamond" w:hAnsi="Garamond"/>
          <w:bCs/>
          <w:lang w:val="en-AU"/>
        </w:rPr>
      </w:pPr>
      <w:r w:rsidRPr="003A14A7">
        <w:rPr>
          <w:rFonts w:ascii="Garamond" w:hAnsi="Garamond"/>
          <w:bCs/>
          <w:lang w:val="en-AU"/>
        </w:rPr>
        <w:t xml:space="preserve">The </w:t>
      </w:r>
      <w:r w:rsidRPr="003A14A7">
        <w:rPr>
          <w:rFonts w:ascii="Garamond" w:hAnsi="Garamond"/>
          <w:bCs/>
          <w:i/>
          <w:iCs/>
          <w:lang w:val="en-AU"/>
        </w:rPr>
        <w:t>Low Back Pain Clinical Care Standard</w:t>
      </w:r>
      <w:r w:rsidRPr="003A14A7">
        <w:rPr>
          <w:rFonts w:ascii="Garamond" w:hAnsi="Garamond"/>
          <w:bCs/>
          <w:lang w:val="en-AU"/>
        </w:rPr>
        <w:t xml:space="preserve"> contains eight quality statements and eleven indicators to improve the early assessment, management, and review and referral of patients with low back pain.</w:t>
      </w:r>
    </w:p>
    <w:p w14:paraId="25A9703B" w14:textId="70435116" w:rsidR="003A14A7" w:rsidRDefault="003A14A7" w:rsidP="009525CC">
      <w:pPr>
        <w:rPr>
          <w:rFonts w:ascii="Garamond" w:hAnsi="Garamond"/>
          <w:bCs/>
          <w:lang w:val="en-AU"/>
        </w:rPr>
      </w:pPr>
    </w:p>
    <w:p w14:paraId="618AA809" w14:textId="77777777" w:rsidR="003A14A7" w:rsidRDefault="003A14A7" w:rsidP="009525CC">
      <w:pPr>
        <w:rPr>
          <w:rFonts w:ascii="Garamond" w:hAnsi="Garamond"/>
          <w:bCs/>
          <w:lang w:val="en-AU"/>
        </w:rPr>
      </w:pPr>
    </w:p>
    <w:p w14:paraId="5C237D2F" w14:textId="77777777" w:rsidR="00DC0AB9" w:rsidRDefault="00DC0AB9" w:rsidP="005E4F59">
      <w:pPr>
        <w:keepNext/>
        <w:keepLines/>
        <w:autoSpaceDE w:val="0"/>
        <w:autoSpaceDN w:val="0"/>
        <w:adjustRightInd w:val="0"/>
        <w:rPr>
          <w:rFonts w:ascii="Garamond" w:hAnsi="Garamond"/>
          <w:b/>
          <w:lang w:val="en-AU"/>
        </w:rPr>
      </w:pPr>
    </w:p>
    <w:p w14:paraId="00919060" w14:textId="3C9285CA" w:rsidR="000B2EB2" w:rsidRDefault="000B2EB2" w:rsidP="005E4F59">
      <w:pPr>
        <w:keepNext/>
        <w:keepLines/>
        <w:autoSpaceDE w:val="0"/>
        <w:autoSpaceDN w:val="0"/>
        <w:adjustRightInd w:val="0"/>
        <w:rPr>
          <w:rFonts w:ascii="Garamond" w:hAnsi="Garamond"/>
          <w:b/>
          <w:lang w:val="en-AU"/>
        </w:rPr>
      </w:pPr>
      <w:r>
        <w:rPr>
          <w:rFonts w:ascii="Garamond" w:hAnsi="Garamond"/>
          <w:b/>
          <w:lang w:val="en-AU"/>
        </w:rPr>
        <w:t>Reports</w:t>
      </w:r>
    </w:p>
    <w:p w14:paraId="08152C1C" w14:textId="63E12C27" w:rsidR="000B2EB2" w:rsidRDefault="000B2EB2" w:rsidP="000B2EB2">
      <w:pPr>
        <w:keepLines/>
        <w:autoSpaceDE w:val="0"/>
        <w:autoSpaceDN w:val="0"/>
        <w:adjustRightInd w:val="0"/>
        <w:rPr>
          <w:rFonts w:ascii="Garamond" w:hAnsi="Garamond"/>
          <w:lang w:val="en-AU"/>
        </w:rPr>
      </w:pPr>
    </w:p>
    <w:p w14:paraId="1AA814C8" w14:textId="77777777" w:rsidR="00A14FCE" w:rsidRPr="00A14FCE" w:rsidRDefault="00A14FCE" w:rsidP="00A14FCE">
      <w:pPr>
        <w:keepLines/>
        <w:autoSpaceDE w:val="0"/>
        <w:autoSpaceDN w:val="0"/>
        <w:adjustRightInd w:val="0"/>
        <w:rPr>
          <w:rFonts w:ascii="Garamond" w:hAnsi="Garamond"/>
          <w:i/>
          <w:iCs/>
          <w:lang w:val="en-AU"/>
        </w:rPr>
      </w:pPr>
      <w:r w:rsidRPr="00A14FCE">
        <w:rPr>
          <w:rFonts w:ascii="Garamond" w:hAnsi="Garamond"/>
          <w:i/>
          <w:iCs/>
          <w:lang w:val="en-AU"/>
        </w:rPr>
        <w:t>Decarbonising clinical care in Australia</w:t>
      </w:r>
    </w:p>
    <w:p w14:paraId="2F8031A8" w14:textId="77777777" w:rsidR="00A14FCE" w:rsidRDefault="00A14FCE" w:rsidP="00A14FCE">
      <w:pPr>
        <w:keepLines/>
        <w:autoSpaceDE w:val="0"/>
        <w:autoSpaceDN w:val="0"/>
        <w:adjustRightInd w:val="0"/>
        <w:rPr>
          <w:rFonts w:ascii="Garamond" w:hAnsi="Garamond"/>
          <w:lang w:val="en-AU"/>
        </w:rPr>
      </w:pPr>
      <w:r w:rsidRPr="00A14FCE">
        <w:rPr>
          <w:rFonts w:ascii="Garamond" w:hAnsi="Garamond"/>
          <w:lang w:val="en-AU"/>
        </w:rPr>
        <w:t>Deeble Institute for Health Policy Research Issues Brief No. 48</w:t>
      </w:r>
    </w:p>
    <w:p w14:paraId="75171DC8" w14:textId="77777777" w:rsidR="00A14FCE" w:rsidRDefault="00A14FCE" w:rsidP="00A14FCE">
      <w:pPr>
        <w:keepLines/>
        <w:autoSpaceDE w:val="0"/>
        <w:autoSpaceDN w:val="0"/>
        <w:adjustRightInd w:val="0"/>
        <w:rPr>
          <w:rFonts w:ascii="Garamond" w:hAnsi="Garamond"/>
          <w:lang w:val="en-AU"/>
        </w:rPr>
      </w:pPr>
      <w:r w:rsidRPr="00A14FCE">
        <w:rPr>
          <w:rFonts w:ascii="Garamond" w:hAnsi="Garamond"/>
          <w:lang w:val="en-AU"/>
        </w:rPr>
        <w:t>Pickles K, Haddock R</w:t>
      </w:r>
    </w:p>
    <w:p w14:paraId="393CDE57" w14:textId="63FDC7A8" w:rsidR="00A14FCE" w:rsidRDefault="00A14FCE" w:rsidP="00A14FCE">
      <w:pPr>
        <w:keepLines/>
        <w:autoSpaceDE w:val="0"/>
        <w:autoSpaceDN w:val="0"/>
        <w:adjustRightInd w:val="0"/>
        <w:rPr>
          <w:rFonts w:ascii="Garamond" w:hAnsi="Garamond"/>
          <w:lang w:val="en-AU"/>
        </w:rPr>
      </w:pPr>
      <w:r w:rsidRPr="00A14FCE">
        <w:rPr>
          <w:rFonts w:ascii="Garamond" w:hAnsi="Garamond"/>
          <w:lang w:val="en-AU"/>
        </w:rPr>
        <w:t>Canberra: Australian Healthcare and Hospitals Association; 2022. p. 40.</w:t>
      </w:r>
    </w:p>
    <w:tbl>
      <w:tblPr>
        <w:tblStyle w:val="TableGrid"/>
        <w:tblW w:w="9360" w:type="dxa"/>
        <w:tblInd w:w="288" w:type="dxa"/>
        <w:tblLayout w:type="fixed"/>
        <w:tblLook w:val="01E0" w:firstRow="1" w:lastRow="1" w:firstColumn="1" w:lastColumn="1" w:noHBand="0" w:noVBand="0"/>
      </w:tblPr>
      <w:tblGrid>
        <w:gridCol w:w="1080"/>
        <w:gridCol w:w="8280"/>
      </w:tblGrid>
      <w:tr w:rsidR="00A14FCE" w:rsidRPr="00E37911" w14:paraId="3FDBD4B9"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6F2A8CBD" w14:textId="77777777" w:rsidR="00A14FCE" w:rsidRPr="00E37911" w:rsidRDefault="00A14FCE" w:rsidP="00CF0FC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E662665" w14:textId="77777777" w:rsidR="00A14FCE" w:rsidRPr="00E37911" w:rsidRDefault="001A62B1" w:rsidP="00CF0FC6">
            <w:pPr>
              <w:rPr>
                <w:rStyle w:val="Hyperlink"/>
                <w:rFonts w:ascii="Garamond" w:hAnsi="Garamond"/>
                <w:color w:val="auto"/>
                <w:u w:val="none"/>
                <w:lang w:val="en-AU"/>
              </w:rPr>
            </w:pPr>
            <w:hyperlink r:id="rId19" w:history="1">
              <w:r w:rsidR="00A14FCE" w:rsidRPr="00C60DD2">
                <w:rPr>
                  <w:rStyle w:val="Hyperlink"/>
                  <w:rFonts w:ascii="Garamond" w:hAnsi="Garamond"/>
                  <w:lang w:val="en-AU"/>
                </w:rPr>
                <w:t>https://ahha.asn.au/publication/health-policy-issue-briefs/deeble-issues-brief-no-48-decarbonising-clinical-care</w:t>
              </w:r>
            </w:hyperlink>
          </w:p>
        </w:tc>
      </w:tr>
      <w:tr w:rsidR="00A14FCE" w:rsidRPr="00E37911" w14:paraId="5A550BE8"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6F7C837D" w14:textId="77777777" w:rsidR="00A14FCE" w:rsidRPr="00E37911" w:rsidRDefault="00A14FCE" w:rsidP="00CF0FC6">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84B2314" w14:textId="3C06CCD0" w:rsidR="00A14FCE" w:rsidRDefault="00A14FCE" w:rsidP="00CF0FC6">
            <w:pPr>
              <w:rPr>
                <w:rFonts w:ascii="Garamond" w:hAnsi="Garamond"/>
                <w:lang w:val="en-AU"/>
              </w:rPr>
            </w:pPr>
            <w:r w:rsidRPr="00A14FCE">
              <w:rPr>
                <w:rFonts w:ascii="Garamond" w:hAnsi="Garamond"/>
                <w:lang w:val="en-AU"/>
              </w:rPr>
              <w:t xml:space="preserve">This Issues Brief from the Australian Healthcare and Hospitals Association’s Deeble Institute </w:t>
            </w:r>
            <w:r>
              <w:rPr>
                <w:rFonts w:ascii="Garamond" w:hAnsi="Garamond"/>
                <w:lang w:val="en-AU"/>
              </w:rPr>
              <w:t xml:space="preserve">for Health Policy Research </w:t>
            </w:r>
            <w:r w:rsidRPr="00A14FCE">
              <w:rPr>
                <w:rFonts w:ascii="Garamond" w:hAnsi="Garamond"/>
                <w:lang w:val="en-AU"/>
              </w:rPr>
              <w:t xml:space="preserve">looks at the </w:t>
            </w:r>
            <w:r>
              <w:rPr>
                <w:rFonts w:ascii="Garamond" w:hAnsi="Garamond"/>
                <w:lang w:val="en-AU"/>
              </w:rPr>
              <w:t>challenge of decarbonising Australia’s healthcare system.</w:t>
            </w:r>
            <w:r w:rsidR="00094EFA">
              <w:rPr>
                <w:rFonts w:ascii="Garamond" w:hAnsi="Garamond"/>
                <w:lang w:val="en-AU"/>
              </w:rPr>
              <w:t xml:space="preserve"> According to this brief, ‘</w:t>
            </w:r>
            <w:r w:rsidR="00094EFA" w:rsidRPr="00094EFA">
              <w:rPr>
                <w:rFonts w:ascii="Garamond" w:hAnsi="Garamond"/>
                <w:lang w:val="en-AU"/>
              </w:rPr>
              <w:t>The Australian healthcare sector produces 7% of national carbon emissions</w:t>
            </w:r>
            <w:r w:rsidR="00094EFA">
              <w:rPr>
                <w:rFonts w:ascii="Garamond" w:hAnsi="Garamond"/>
                <w:lang w:val="en-AU"/>
              </w:rPr>
              <w:t>’. However, while this is a significant contribution there are many gaps in knowledge and understanding of the issues.</w:t>
            </w:r>
          </w:p>
          <w:p w14:paraId="72AD2BE7" w14:textId="5B343504" w:rsidR="007660A6" w:rsidRDefault="007660A6" w:rsidP="00CF0FC6">
            <w:pPr>
              <w:rPr>
                <w:rFonts w:ascii="Garamond" w:hAnsi="Garamond"/>
                <w:lang w:val="en-AU"/>
              </w:rPr>
            </w:pPr>
            <w:r>
              <w:rPr>
                <w:rFonts w:ascii="Garamond" w:hAnsi="Garamond"/>
                <w:lang w:val="en-AU"/>
              </w:rPr>
              <w:t>It’s argued that it is the ‘</w:t>
            </w:r>
            <w:r w:rsidRPr="007660A6">
              <w:rPr>
                <w:rFonts w:ascii="Garamond" w:hAnsi="Garamond"/>
                <w:lang w:val="en-AU"/>
              </w:rPr>
              <w:t>Delivery of care, that is medical devices, consumables, and pharmaceuticals, is estimated to account for the majority of the sector’s total emissions, rather than energy consumption or capital costs.</w:t>
            </w:r>
            <w:r>
              <w:rPr>
                <w:rFonts w:ascii="Garamond" w:hAnsi="Garamond"/>
                <w:lang w:val="en-AU"/>
              </w:rPr>
              <w:t>’ It then follows that such activity should be aimed at providing high value care and ‘</w:t>
            </w:r>
            <w:r w:rsidRPr="007660A6">
              <w:rPr>
                <w:rFonts w:ascii="Garamond" w:hAnsi="Garamond"/>
                <w:lang w:val="en-AU"/>
              </w:rPr>
              <w:t>The identification and elimination of sources of low value care is an opportunity to reduce avoidable emissions from the health sector in a direct and immediate way.</w:t>
            </w:r>
            <w:r>
              <w:rPr>
                <w:rFonts w:ascii="Garamond" w:hAnsi="Garamond"/>
                <w:lang w:val="en-AU"/>
              </w:rPr>
              <w:t>’</w:t>
            </w:r>
          </w:p>
          <w:p w14:paraId="77E254E2" w14:textId="1ADD1D8F" w:rsidR="00094EFA" w:rsidRDefault="007660A6" w:rsidP="00CF0FC6">
            <w:pPr>
              <w:rPr>
                <w:rFonts w:ascii="Garamond" w:hAnsi="Garamond"/>
                <w:lang w:val="en-AU"/>
              </w:rPr>
            </w:pPr>
            <w:r>
              <w:rPr>
                <w:rFonts w:ascii="Garamond" w:hAnsi="Garamond"/>
                <w:lang w:val="en-AU"/>
              </w:rPr>
              <w:t>The brief touches on many issues, including the various environmental impacts, need for monitoring and reporting, along with incentives to encourage change, and the importance of governance and leadership. The brief makes a number of r</w:t>
            </w:r>
            <w:r w:rsidR="00094EFA">
              <w:rPr>
                <w:rFonts w:ascii="Garamond" w:hAnsi="Garamond"/>
                <w:lang w:val="en-AU"/>
              </w:rPr>
              <w:t>ecommendations</w:t>
            </w:r>
            <w:r>
              <w:rPr>
                <w:rFonts w:ascii="Garamond" w:hAnsi="Garamond"/>
                <w:lang w:val="en-AU"/>
              </w:rPr>
              <w:t>, i</w:t>
            </w:r>
            <w:r w:rsidR="00094EFA">
              <w:rPr>
                <w:rFonts w:ascii="Garamond" w:hAnsi="Garamond"/>
                <w:lang w:val="en-AU"/>
              </w:rPr>
              <w:t>nclud</w:t>
            </w:r>
            <w:r>
              <w:rPr>
                <w:rFonts w:ascii="Garamond" w:hAnsi="Garamond"/>
                <w:lang w:val="en-AU"/>
              </w:rPr>
              <w:t>ing:</w:t>
            </w:r>
          </w:p>
          <w:p w14:paraId="3067837B" w14:textId="77777777" w:rsidR="00094EFA" w:rsidRDefault="00094EFA" w:rsidP="00094EFA">
            <w:pPr>
              <w:pStyle w:val="ListParagraph"/>
              <w:numPr>
                <w:ilvl w:val="0"/>
                <w:numId w:val="45"/>
              </w:numPr>
              <w:rPr>
                <w:rFonts w:ascii="Garamond" w:hAnsi="Garamond"/>
                <w:lang w:val="en-AU"/>
              </w:rPr>
            </w:pPr>
            <w:r w:rsidRPr="00094EFA">
              <w:rPr>
                <w:rFonts w:ascii="Garamond" w:hAnsi="Garamond"/>
                <w:lang w:val="en-AU"/>
              </w:rPr>
              <w:t>Reduce low value care and switch to low carbon options</w:t>
            </w:r>
          </w:p>
          <w:p w14:paraId="64CFECDE" w14:textId="77777777" w:rsidR="00094EFA" w:rsidRDefault="00094EFA" w:rsidP="00094EFA">
            <w:pPr>
              <w:pStyle w:val="ListParagraph"/>
              <w:numPr>
                <w:ilvl w:val="0"/>
                <w:numId w:val="45"/>
              </w:numPr>
              <w:rPr>
                <w:rFonts w:ascii="Garamond" w:hAnsi="Garamond"/>
                <w:lang w:val="en-AU"/>
              </w:rPr>
            </w:pPr>
            <w:r w:rsidRPr="00094EFA">
              <w:rPr>
                <w:rFonts w:ascii="Garamond" w:hAnsi="Garamond"/>
                <w:lang w:val="en-AU"/>
              </w:rPr>
              <w:t>Establish nationally coordinated data collection, monitoring, and reporting</w:t>
            </w:r>
          </w:p>
          <w:p w14:paraId="74672887" w14:textId="77777777" w:rsidR="00094EFA" w:rsidRDefault="00094EFA" w:rsidP="00094EFA">
            <w:pPr>
              <w:pStyle w:val="ListParagraph"/>
              <w:numPr>
                <w:ilvl w:val="0"/>
                <w:numId w:val="45"/>
              </w:numPr>
              <w:rPr>
                <w:rFonts w:ascii="Garamond" w:hAnsi="Garamond"/>
                <w:lang w:val="en-AU"/>
              </w:rPr>
            </w:pPr>
            <w:r>
              <w:rPr>
                <w:rFonts w:ascii="Garamond" w:hAnsi="Garamond"/>
                <w:lang w:val="en-AU"/>
              </w:rPr>
              <w:t>A</w:t>
            </w:r>
            <w:r w:rsidRPr="00094EFA">
              <w:rPr>
                <w:rFonts w:ascii="Garamond" w:hAnsi="Garamond"/>
                <w:lang w:val="en-AU"/>
              </w:rPr>
              <w:t>dd carbon footprint indicators to health technology assessment processes</w:t>
            </w:r>
          </w:p>
          <w:p w14:paraId="48F74DB6" w14:textId="77777777" w:rsidR="00094EFA" w:rsidRDefault="00094EFA" w:rsidP="00094EFA">
            <w:pPr>
              <w:pStyle w:val="ListParagraph"/>
              <w:numPr>
                <w:ilvl w:val="0"/>
                <w:numId w:val="45"/>
              </w:numPr>
              <w:rPr>
                <w:rFonts w:ascii="Garamond" w:hAnsi="Garamond"/>
                <w:lang w:val="en-AU"/>
              </w:rPr>
            </w:pPr>
            <w:r w:rsidRPr="00094EFA">
              <w:rPr>
                <w:rFonts w:ascii="Garamond" w:hAnsi="Garamond"/>
                <w:lang w:val="en-AU"/>
              </w:rPr>
              <w:t>Decarbonise healthcare supply chains</w:t>
            </w:r>
          </w:p>
          <w:p w14:paraId="16CD3ACA" w14:textId="22C6473F" w:rsidR="00094EFA" w:rsidRPr="00094EFA" w:rsidRDefault="00094EFA" w:rsidP="00094EFA">
            <w:pPr>
              <w:pStyle w:val="ListParagraph"/>
              <w:numPr>
                <w:ilvl w:val="0"/>
                <w:numId w:val="45"/>
              </w:numPr>
              <w:rPr>
                <w:rFonts w:ascii="Garamond" w:hAnsi="Garamond"/>
                <w:lang w:val="en-AU"/>
              </w:rPr>
            </w:pPr>
            <w:r w:rsidRPr="00094EFA">
              <w:rPr>
                <w:rFonts w:ascii="Garamond" w:hAnsi="Garamond"/>
                <w:lang w:val="en-AU"/>
              </w:rPr>
              <w:t>Establish a national healthcare sustainability unit or task force</w:t>
            </w:r>
            <w:r>
              <w:rPr>
                <w:rFonts w:ascii="Garamond" w:hAnsi="Garamond"/>
                <w:lang w:val="en-AU"/>
              </w:rPr>
              <w:t>.</w:t>
            </w:r>
          </w:p>
        </w:tc>
      </w:tr>
    </w:tbl>
    <w:p w14:paraId="5067CD54" w14:textId="77777777" w:rsidR="00A14FCE" w:rsidRDefault="00A14FCE" w:rsidP="000B2EB2">
      <w:pPr>
        <w:keepLines/>
        <w:autoSpaceDE w:val="0"/>
        <w:autoSpaceDN w:val="0"/>
        <w:adjustRightInd w:val="0"/>
        <w:rPr>
          <w:rFonts w:ascii="Garamond" w:hAnsi="Garamond"/>
          <w:lang w:val="en-AU"/>
        </w:rPr>
      </w:pPr>
    </w:p>
    <w:p w14:paraId="349E4DB7" w14:textId="77777777" w:rsidR="00DC0AB9" w:rsidRDefault="00DC0AB9">
      <w:pPr>
        <w:rPr>
          <w:rFonts w:ascii="Garamond" w:hAnsi="Garamond"/>
          <w:i/>
          <w:iCs/>
          <w:lang w:val="en-AU"/>
        </w:rPr>
      </w:pPr>
      <w:r>
        <w:rPr>
          <w:rFonts w:ascii="Garamond" w:hAnsi="Garamond"/>
          <w:i/>
          <w:iCs/>
          <w:lang w:val="en-AU"/>
        </w:rPr>
        <w:br w:type="page"/>
      </w:r>
    </w:p>
    <w:p w14:paraId="03CA47DC" w14:textId="58865601" w:rsidR="00D10D6A" w:rsidRPr="00D10D6A" w:rsidRDefault="00D10D6A" w:rsidP="005E4FCA">
      <w:pPr>
        <w:keepLines/>
        <w:autoSpaceDE w:val="0"/>
        <w:autoSpaceDN w:val="0"/>
        <w:adjustRightInd w:val="0"/>
        <w:rPr>
          <w:rFonts w:ascii="Garamond" w:hAnsi="Garamond"/>
          <w:i/>
          <w:iCs/>
          <w:lang w:val="en-AU"/>
        </w:rPr>
      </w:pPr>
      <w:r w:rsidRPr="00D10D6A">
        <w:rPr>
          <w:rFonts w:ascii="Garamond" w:hAnsi="Garamond"/>
          <w:i/>
          <w:iCs/>
          <w:lang w:val="en-AU"/>
        </w:rPr>
        <w:lastRenderedPageBreak/>
        <w:t>Management of preterm labour and birth of twins</w:t>
      </w:r>
    </w:p>
    <w:p w14:paraId="26202301" w14:textId="0A9CE0E1" w:rsidR="00D10D6A" w:rsidRDefault="00D10D6A" w:rsidP="005E4FCA">
      <w:pPr>
        <w:keepLines/>
        <w:autoSpaceDE w:val="0"/>
        <w:autoSpaceDN w:val="0"/>
        <w:adjustRightInd w:val="0"/>
        <w:rPr>
          <w:rFonts w:ascii="Garamond" w:hAnsi="Garamond"/>
          <w:lang w:val="en-AU"/>
        </w:rPr>
      </w:pPr>
      <w:r w:rsidRPr="00D10D6A">
        <w:rPr>
          <w:rFonts w:ascii="Garamond" w:hAnsi="Garamond"/>
          <w:lang w:val="en-AU"/>
        </w:rPr>
        <w:t>Independent report by the Healthcare Safety Investigation Branch NI-003479</w:t>
      </w:r>
    </w:p>
    <w:p w14:paraId="23F895D0" w14:textId="77777777" w:rsidR="00D10D6A" w:rsidRDefault="00D10D6A" w:rsidP="00D10D6A">
      <w:pPr>
        <w:keepLines/>
        <w:autoSpaceDE w:val="0"/>
        <w:autoSpaceDN w:val="0"/>
        <w:adjustRightInd w:val="0"/>
        <w:rPr>
          <w:rFonts w:ascii="Garamond" w:hAnsi="Garamond"/>
          <w:lang w:val="en-AU"/>
        </w:rPr>
      </w:pPr>
      <w:r w:rsidRPr="00D10D6A">
        <w:rPr>
          <w:rFonts w:ascii="Garamond" w:hAnsi="Garamond"/>
          <w:lang w:val="en-AU"/>
        </w:rPr>
        <w:t>Healthcare Safety Investigation Branch</w:t>
      </w:r>
    </w:p>
    <w:p w14:paraId="737AFA64" w14:textId="1FC99B21" w:rsidR="005E4FCA" w:rsidRDefault="00D10D6A" w:rsidP="005E4FCA">
      <w:pPr>
        <w:keepLines/>
        <w:autoSpaceDE w:val="0"/>
        <w:autoSpaceDN w:val="0"/>
        <w:adjustRightInd w:val="0"/>
        <w:rPr>
          <w:rFonts w:ascii="Garamond" w:hAnsi="Garamond"/>
          <w:lang w:val="en-AU"/>
        </w:rPr>
      </w:pPr>
      <w:r w:rsidRPr="00D10D6A">
        <w:rPr>
          <w:rFonts w:ascii="Garamond" w:hAnsi="Garamond"/>
          <w:lang w:val="en-AU"/>
        </w:rPr>
        <w:t>Farnborough: HSIB; 2022. p. 61.</w:t>
      </w:r>
      <w:r>
        <w:rPr>
          <w:rFonts w:ascii="Garamond" w:hAnsi="Garamond"/>
          <w:lang w:val="en-AU"/>
        </w:rPr>
        <w:t>U</w:t>
      </w:r>
    </w:p>
    <w:tbl>
      <w:tblPr>
        <w:tblStyle w:val="TableGrid"/>
        <w:tblW w:w="9360" w:type="dxa"/>
        <w:tblInd w:w="288" w:type="dxa"/>
        <w:tblLayout w:type="fixed"/>
        <w:tblLook w:val="01E0" w:firstRow="1" w:lastRow="1" w:firstColumn="1" w:lastColumn="1" w:noHBand="0" w:noVBand="0"/>
      </w:tblPr>
      <w:tblGrid>
        <w:gridCol w:w="1080"/>
        <w:gridCol w:w="8280"/>
      </w:tblGrid>
      <w:tr w:rsidR="005E4FCA" w:rsidRPr="00E37911" w14:paraId="19190E8C" w14:textId="77777777" w:rsidTr="00E03917">
        <w:tc>
          <w:tcPr>
            <w:tcW w:w="1080" w:type="dxa"/>
            <w:tcBorders>
              <w:top w:val="single" w:sz="4" w:space="0" w:color="auto"/>
              <w:left w:val="single" w:sz="4" w:space="0" w:color="auto"/>
              <w:bottom w:val="single" w:sz="4" w:space="0" w:color="auto"/>
              <w:right w:val="single" w:sz="4" w:space="0" w:color="auto"/>
            </w:tcBorders>
            <w:vAlign w:val="center"/>
          </w:tcPr>
          <w:p w14:paraId="4FE4C9CF" w14:textId="77777777" w:rsidR="005E4FCA" w:rsidRPr="00E37911" w:rsidRDefault="005E4FCA" w:rsidP="00E0391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71EF13A" w14:textId="559FF4C4" w:rsidR="005E4FCA" w:rsidRPr="00E37911" w:rsidRDefault="001A62B1" w:rsidP="00E03917">
            <w:pPr>
              <w:rPr>
                <w:rStyle w:val="Hyperlink"/>
                <w:rFonts w:ascii="Garamond" w:hAnsi="Garamond"/>
                <w:color w:val="auto"/>
                <w:u w:val="none"/>
                <w:lang w:val="en-AU"/>
              </w:rPr>
            </w:pPr>
            <w:hyperlink r:id="rId20" w:history="1">
              <w:r w:rsidR="00D10D6A" w:rsidRPr="00C60DD2">
                <w:rPr>
                  <w:rStyle w:val="Hyperlink"/>
                  <w:rFonts w:ascii="Garamond" w:hAnsi="Garamond"/>
                  <w:lang w:val="en-AU"/>
                </w:rPr>
                <w:t>https://www.hsib.org.uk/investigations-and-reports/management-of-preterm-labour-and-birth/</w:t>
              </w:r>
            </w:hyperlink>
          </w:p>
        </w:tc>
      </w:tr>
      <w:tr w:rsidR="005E4FCA" w:rsidRPr="00E37911" w14:paraId="732091CD" w14:textId="77777777" w:rsidTr="00E03917">
        <w:tc>
          <w:tcPr>
            <w:tcW w:w="1080" w:type="dxa"/>
            <w:tcBorders>
              <w:top w:val="single" w:sz="4" w:space="0" w:color="auto"/>
              <w:left w:val="single" w:sz="4" w:space="0" w:color="auto"/>
              <w:bottom w:val="single" w:sz="4" w:space="0" w:color="auto"/>
              <w:right w:val="single" w:sz="4" w:space="0" w:color="auto"/>
            </w:tcBorders>
            <w:vAlign w:val="center"/>
          </w:tcPr>
          <w:p w14:paraId="714FC77B" w14:textId="77777777" w:rsidR="005E4FCA" w:rsidRPr="00E37911" w:rsidRDefault="005E4FCA" w:rsidP="00E0391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A4A37C" w14:textId="2CBC6406" w:rsidR="005E4FCA" w:rsidRPr="00984334" w:rsidRDefault="00D10D6A" w:rsidP="00D10D6A">
            <w:pPr>
              <w:rPr>
                <w:rFonts w:ascii="Garamond" w:hAnsi="Garamond"/>
                <w:lang w:val="en-AU"/>
              </w:rPr>
            </w:pPr>
            <w:r>
              <w:rPr>
                <w:rFonts w:ascii="Garamond" w:hAnsi="Garamond"/>
                <w:lang w:val="en-AU"/>
              </w:rPr>
              <w:t>This</w:t>
            </w:r>
            <w:r w:rsidRPr="00D10D6A">
              <w:rPr>
                <w:rFonts w:ascii="Garamond" w:hAnsi="Garamond"/>
                <w:lang w:val="en-AU"/>
              </w:rPr>
              <w:t xml:space="preserve"> is the latest report from the UK’s Healthcare Safety Investigation Branch (HSIB) </w:t>
            </w:r>
            <w:r>
              <w:rPr>
                <w:rFonts w:ascii="Garamond" w:hAnsi="Garamond"/>
                <w:lang w:val="en-AU"/>
              </w:rPr>
              <w:t xml:space="preserve">and looks at </w:t>
            </w:r>
            <w:r w:rsidRPr="00D10D6A">
              <w:rPr>
                <w:rFonts w:ascii="Garamond" w:hAnsi="Garamond"/>
                <w:lang w:val="en-AU"/>
              </w:rPr>
              <w:t>the management and care of preterm labour and birth</w:t>
            </w:r>
            <w:r>
              <w:rPr>
                <w:rFonts w:ascii="Garamond" w:hAnsi="Garamond"/>
                <w:lang w:val="en-AU"/>
              </w:rPr>
              <w:t xml:space="preserve"> </w:t>
            </w:r>
            <w:r w:rsidRPr="00D10D6A">
              <w:rPr>
                <w:rFonts w:ascii="Garamond" w:hAnsi="Garamond"/>
                <w:lang w:val="en-AU"/>
              </w:rPr>
              <w:t xml:space="preserve">of twins. Preterm is defined as babies born alive before 37 weeks of pregnancy. </w:t>
            </w:r>
            <w:r>
              <w:rPr>
                <w:rFonts w:ascii="Garamond" w:hAnsi="Garamond"/>
                <w:lang w:val="en-AU"/>
              </w:rPr>
              <w:t>T</w:t>
            </w:r>
            <w:r w:rsidRPr="00D10D6A">
              <w:rPr>
                <w:rFonts w:ascii="Garamond" w:hAnsi="Garamond"/>
                <w:lang w:val="en-AU"/>
              </w:rPr>
              <w:t>he investigation reviewed</w:t>
            </w:r>
            <w:r>
              <w:rPr>
                <w:rFonts w:ascii="Garamond" w:hAnsi="Garamond"/>
                <w:lang w:val="en-AU"/>
              </w:rPr>
              <w:t xml:space="preserve"> a ‘reference event’ examining the </w:t>
            </w:r>
            <w:r w:rsidRPr="00D10D6A">
              <w:rPr>
                <w:rFonts w:ascii="Garamond" w:hAnsi="Garamond"/>
                <w:lang w:val="en-AU"/>
              </w:rPr>
              <w:t>care and the evidence relating to the management of preterm labour of a</w:t>
            </w:r>
            <w:r>
              <w:rPr>
                <w:rFonts w:ascii="Garamond" w:hAnsi="Garamond"/>
                <w:lang w:val="en-AU"/>
              </w:rPr>
              <w:t xml:space="preserve"> </w:t>
            </w:r>
            <w:r w:rsidRPr="00D10D6A">
              <w:rPr>
                <w:rFonts w:ascii="Garamond" w:hAnsi="Garamond"/>
                <w:lang w:val="en-AU"/>
              </w:rPr>
              <w:t>twin pregnancy and a later diagnosis of brain injury.</w:t>
            </w:r>
            <w:r>
              <w:rPr>
                <w:rFonts w:ascii="Garamond" w:hAnsi="Garamond"/>
                <w:lang w:val="en-AU"/>
              </w:rPr>
              <w:t xml:space="preserve"> </w:t>
            </w:r>
            <w:r w:rsidR="004E2028" w:rsidRPr="004E2028">
              <w:rPr>
                <w:rFonts w:ascii="Garamond" w:hAnsi="Garamond"/>
                <w:lang w:val="en-AU"/>
              </w:rPr>
              <w:t xml:space="preserve">The investigation identified several findings to explain the experience of the mother in </w:t>
            </w:r>
            <w:r w:rsidR="004E2028">
              <w:rPr>
                <w:rFonts w:ascii="Garamond" w:hAnsi="Garamond"/>
                <w:lang w:val="en-AU"/>
              </w:rPr>
              <w:t xml:space="preserve">the </w:t>
            </w:r>
            <w:r w:rsidR="004E2028" w:rsidRPr="004E2028">
              <w:rPr>
                <w:rFonts w:ascii="Garamond" w:hAnsi="Garamond"/>
                <w:lang w:val="en-AU"/>
              </w:rPr>
              <w:t>reference event, including the lack of scientific evidence or specific guidelines and the uncertainty associated with the clinical decision making relevant to preterm labour and birth of twins. This highlighted the need for further research into preterm labour as a recognised risk factor for twin pregnancies.</w:t>
            </w:r>
          </w:p>
        </w:tc>
      </w:tr>
    </w:tbl>
    <w:p w14:paraId="438669CC" w14:textId="77777777" w:rsidR="005E4FCA" w:rsidRDefault="005E4FCA" w:rsidP="005E4FCA">
      <w:pPr>
        <w:keepNext/>
        <w:keepLines/>
        <w:autoSpaceDE w:val="0"/>
        <w:autoSpaceDN w:val="0"/>
        <w:adjustRightInd w:val="0"/>
        <w:rPr>
          <w:rFonts w:ascii="Garamond" w:hAnsi="Garamond"/>
          <w:i/>
          <w:iCs/>
          <w:lang w:val="en-AU"/>
        </w:rPr>
      </w:pPr>
    </w:p>
    <w:p w14:paraId="2FC98060" w14:textId="381827CB" w:rsidR="00E02472" w:rsidRDefault="00E02472" w:rsidP="00E02472">
      <w:pPr>
        <w:keepNext/>
        <w:keepLines/>
        <w:autoSpaceDE w:val="0"/>
        <w:autoSpaceDN w:val="0"/>
        <w:adjustRightInd w:val="0"/>
        <w:rPr>
          <w:rFonts w:ascii="Garamond" w:hAnsi="Garamond"/>
          <w:lang w:val="en-AU"/>
        </w:rPr>
      </w:pPr>
    </w:p>
    <w:p w14:paraId="11BB6713" w14:textId="77777777" w:rsidR="00DC0AB9" w:rsidRDefault="00DC0AB9" w:rsidP="00E02472">
      <w:pPr>
        <w:keepNext/>
        <w:keepLines/>
        <w:autoSpaceDE w:val="0"/>
        <w:autoSpaceDN w:val="0"/>
        <w:adjustRightInd w:val="0"/>
        <w:rPr>
          <w:rFonts w:ascii="Garamond" w:hAnsi="Garamond"/>
          <w:lang w:val="en-AU"/>
        </w:rPr>
      </w:pPr>
    </w:p>
    <w:p w14:paraId="604EB9F1" w14:textId="77777777"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47402EF0" w14:textId="77777777" w:rsidR="00E02472" w:rsidRDefault="00E02472" w:rsidP="00E02472">
      <w:pPr>
        <w:keepLines/>
        <w:autoSpaceDE w:val="0"/>
        <w:autoSpaceDN w:val="0"/>
        <w:adjustRightInd w:val="0"/>
        <w:rPr>
          <w:rFonts w:ascii="Garamond" w:hAnsi="Garamond"/>
          <w:lang w:val="en-AU"/>
        </w:rPr>
      </w:pPr>
    </w:p>
    <w:p w14:paraId="623DFE33" w14:textId="77777777" w:rsidR="001E44A3" w:rsidRPr="001E44A3" w:rsidRDefault="001E44A3" w:rsidP="001E44A3">
      <w:pPr>
        <w:keepNext/>
        <w:keepLines/>
        <w:autoSpaceDE w:val="0"/>
        <w:autoSpaceDN w:val="0"/>
        <w:adjustRightInd w:val="0"/>
        <w:rPr>
          <w:rFonts w:ascii="Garamond" w:hAnsi="Garamond"/>
          <w:i/>
          <w:iCs/>
          <w:lang w:val="en-AU"/>
        </w:rPr>
      </w:pPr>
      <w:r w:rsidRPr="001E44A3">
        <w:rPr>
          <w:rFonts w:ascii="Garamond" w:hAnsi="Garamond"/>
          <w:i/>
          <w:iCs/>
          <w:lang w:val="en-AU"/>
        </w:rPr>
        <w:t>Pharmacist beliefs about antimicrobial resistance and impacts on antibiotic supply: a multinational survey</w:t>
      </w:r>
    </w:p>
    <w:p w14:paraId="2C32C691" w14:textId="77777777" w:rsidR="001E44A3" w:rsidRDefault="001E44A3" w:rsidP="00E02472">
      <w:pPr>
        <w:keepNext/>
        <w:keepLines/>
        <w:autoSpaceDE w:val="0"/>
        <w:autoSpaceDN w:val="0"/>
        <w:adjustRightInd w:val="0"/>
        <w:rPr>
          <w:rFonts w:ascii="Garamond" w:hAnsi="Garamond"/>
          <w:lang w:val="en-AU"/>
        </w:rPr>
      </w:pPr>
      <w:r w:rsidRPr="001E44A3">
        <w:rPr>
          <w:rFonts w:ascii="Garamond" w:hAnsi="Garamond"/>
          <w:lang w:val="en-AU"/>
        </w:rPr>
        <w:t>Chan AHY, Beyene K, Tuck C, Rutter V, Ashiru-Oredope D</w:t>
      </w:r>
    </w:p>
    <w:p w14:paraId="0455859B" w14:textId="3B82F45D" w:rsidR="00E02472" w:rsidRDefault="001E44A3" w:rsidP="00E02472">
      <w:pPr>
        <w:keepNext/>
        <w:keepLines/>
        <w:autoSpaceDE w:val="0"/>
        <w:autoSpaceDN w:val="0"/>
        <w:adjustRightInd w:val="0"/>
        <w:rPr>
          <w:rFonts w:ascii="Garamond" w:hAnsi="Garamond"/>
          <w:lang w:val="en-AU"/>
        </w:rPr>
      </w:pPr>
      <w:r w:rsidRPr="001E44A3">
        <w:rPr>
          <w:rFonts w:ascii="Garamond" w:hAnsi="Garamond"/>
          <w:lang w:val="en-AU"/>
        </w:rPr>
        <w:t>JAC-Antimicrobial Resistance. 2022;4(4).</w:t>
      </w:r>
    </w:p>
    <w:tbl>
      <w:tblPr>
        <w:tblStyle w:val="TableGrid"/>
        <w:tblW w:w="9360" w:type="dxa"/>
        <w:tblInd w:w="288" w:type="dxa"/>
        <w:tblLayout w:type="fixed"/>
        <w:tblLook w:val="01E0" w:firstRow="1" w:lastRow="1" w:firstColumn="1" w:lastColumn="1" w:noHBand="0" w:noVBand="0"/>
      </w:tblPr>
      <w:tblGrid>
        <w:gridCol w:w="1080"/>
        <w:gridCol w:w="8280"/>
      </w:tblGrid>
      <w:tr w:rsidR="00E02472" w:rsidRPr="00E37911" w14:paraId="1D7162E3"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5FF34BAC" w14:textId="77777777" w:rsidR="00E02472" w:rsidRPr="00E37911" w:rsidRDefault="00E02472" w:rsidP="00CF0FC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3AAE073" w14:textId="50C4FFB1" w:rsidR="00E02472" w:rsidRPr="00E37911" w:rsidRDefault="001A62B1" w:rsidP="00CF0FC6">
            <w:pPr>
              <w:rPr>
                <w:rStyle w:val="Hyperlink"/>
                <w:rFonts w:ascii="Garamond" w:hAnsi="Garamond"/>
                <w:color w:val="auto"/>
                <w:u w:val="none"/>
                <w:lang w:val="en-AU"/>
              </w:rPr>
            </w:pPr>
            <w:hyperlink r:id="rId21" w:history="1">
              <w:r w:rsidR="001E44A3" w:rsidRPr="00E3099A">
                <w:rPr>
                  <w:rStyle w:val="Hyperlink"/>
                  <w:rFonts w:ascii="Garamond" w:hAnsi="Garamond"/>
                  <w:lang w:val="en-AU"/>
                </w:rPr>
                <w:t>https://doi.org/10.1093/jacamr/dlac062</w:t>
              </w:r>
            </w:hyperlink>
          </w:p>
        </w:tc>
      </w:tr>
      <w:tr w:rsidR="00E02472" w:rsidRPr="00E37911" w14:paraId="2DFBA4FF"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21EB6067" w14:textId="77777777" w:rsidR="00E02472" w:rsidRPr="00E37911" w:rsidRDefault="00E02472" w:rsidP="00CF0FC6">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DE2343" w14:textId="1FEFE3E0" w:rsidR="00E02472" w:rsidRPr="00031154" w:rsidRDefault="00645C89" w:rsidP="00CF0FC6">
            <w:pPr>
              <w:rPr>
                <w:rFonts w:ascii="Garamond" w:hAnsi="Garamond"/>
                <w:lang w:val="en-AU"/>
              </w:rPr>
            </w:pPr>
            <w:r w:rsidRPr="00645C89">
              <w:rPr>
                <w:rFonts w:ascii="Garamond" w:hAnsi="Garamond"/>
                <w:lang w:val="en-AU"/>
              </w:rPr>
              <w:t xml:space="preserve">This study considered how pharmacist’s knowledge and beliefs regarding antimicrobial resistance (AMR) influenced their practice across different countries. The majority of study participants came from Africa and Asia. Pharmacists were assessed on their antimicrobial knowledge based on the WHO </w:t>
            </w:r>
            <w:r>
              <w:rPr>
                <w:rFonts w:ascii="Garamond" w:hAnsi="Garamond"/>
                <w:lang w:val="en-AU"/>
              </w:rPr>
              <w:t>A</w:t>
            </w:r>
            <w:r w:rsidRPr="00645C89">
              <w:rPr>
                <w:rFonts w:ascii="Garamond" w:hAnsi="Garamond"/>
                <w:lang w:val="en-AU"/>
              </w:rPr>
              <w:t xml:space="preserve">ntibiotic resistance: multi-country public awareness survey and their beliefs about whether they considered AMR an important public health concern. Pharmacists who agreed that AMR was a significant problem where less likely to supply antibiotics without a prescription. The odds of supplying antibiotics without a prescription </w:t>
            </w:r>
            <w:r w:rsidR="001A62B1" w:rsidRPr="00645C89">
              <w:rPr>
                <w:rFonts w:ascii="Garamond" w:hAnsi="Garamond"/>
                <w:lang w:val="en-AU"/>
              </w:rPr>
              <w:t>were</w:t>
            </w:r>
            <w:r w:rsidRPr="00645C89">
              <w:rPr>
                <w:rFonts w:ascii="Garamond" w:hAnsi="Garamond"/>
                <w:lang w:val="en-AU"/>
              </w:rPr>
              <w:t xml:space="preserve"> 7.4 times higher amongst respondents from lower income countries. The study suggested that interventions targeted to the pharmacists work setting (</w:t>
            </w:r>
            <w:r w:rsidR="001A62B1" w:rsidRPr="00645C89">
              <w:rPr>
                <w:rFonts w:ascii="Garamond" w:hAnsi="Garamond"/>
                <w:lang w:val="en-AU"/>
              </w:rPr>
              <w:t>i.e.,</w:t>
            </w:r>
            <w:r w:rsidRPr="00645C89">
              <w:rPr>
                <w:rFonts w:ascii="Garamond" w:hAnsi="Garamond"/>
                <w:lang w:val="en-AU"/>
              </w:rPr>
              <w:t xml:space="preserve"> hospital vs community pharmacy) may be beneficial.</w:t>
            </w:r>
          </w:p>
        </w:tc>
      </w:tr>
    </w:tbl>
    <w:p w14:paraId="29F59471" w14:textId="68615A10" w:rsidR="00E02472" w:rsidRDefault="00E02472" w:rsidP="00E02472">
      <w:pPr>
        <w:keepLines/>
        <w:autoSpaceDE w:val="0"/>
        <w:autoSpaceDN w:val="0"/>
        <w:adjustRightInd w:val="0"/>
        <w:rPr>
          <w:rFonts w:ascii="Garamond" w:hAnsi="Garamond"/>
          <w:lang w:val="en-AU"/>
        </w:rPr>
      </w:pPr>
    </w:p>
    <w:p w14:paraId="3266263B" w14:textId="77777777" w:rsidR="001E44A3" w:rsidRDefault="001E44A3" w:rsidP="001E44A3">
      <w:pPr>
        <w:keepNext/>
        <w:rPr>
          <w:rFonts w:ascii="Garamond" w:hAnsi="Garamond"/>
          <w:lang w:val="en-AU"/>
        </w:rPr>
      </w:pPr>
      <w:r w:rsidRPr="00CE64E3">
        <w:rPr>
          <w:rFonts w:ascii="Garamond" w:hAnsi="Garamond"/>
          <w:iCs/>
          <w:lang w:val="en-AU"/>
        </w:rPr>
        <w:t xml:space="preserve">For </w:t>
      </w:r>
      <w:r>
        <w:rPr>
          <w:rFonts w:ascii="Garamond" w:hAnsi="Garamond"/>
          <w:iCs/>
          <w:lang w:val="en-AU"/>
        </w:rPr>
        <w:t xml:space="preserve">information on the Commission’s work on </w:t>
      </w:r>
      <w:r>
        <w:rPr>
          <w:rFonts w:ascii="Garamond" w:hAnsi="Garamond"/>
          <w:lang w:val="en-AU"/>
        </w:rPr>
        <w:t xml:space="preserve">antimicrobial resistance, see </w:t>
      </w:r>
      <w:hyperlink r:id="rId22" w:history="1">
        <w:r w:rsidRPr="006D6084">
          <w:rPr>
            <w:rStyle w:val="Hyperlink"/>
            <w:rFonts w:ascii="Garamond" w:hAnsi="Garamond"/>
            <w:lang w:val="en-AU"/>
          </w:rPr>
          <w:t>https://www.safetyandquality.gov.au/our-work/antimicrobial-resistance</w:t>
        </w:r>
      </w:hyperlink>
    </w:p>
    <w:p w14:paraId="641C0628" w14:textId="64BFCAE9" w:rsidR="00955BE2" w:rsidRDefault="00955BE2" w:rsidP="00955BE2">
      <w:pPr>
        <w:keepNext/>
        <w:keepLines/>
        <w:autoSpaceDE w:val="0"/>
        <w:autoSpaceDN w:val="0"/>
        <w:adjustRightInd w:val="0"/>
        <w:rPr>
          <w:rFonts w:ascii="Garamond" w:hAnsi="Garamond"/>
          <w:lang w:val="en-AU"/>
        </w:rPr>
      </w:pPr>
    </w:p>
    <w:p w14:paraId="27FBDBC6" w14:textId="77777777" w:rsidR="00AC1CAC" w:rsidRDefault="00955BE2" w:rsidP="00955BE2">
      <w:pPr>
        <w:keepNext/>
        <w:keepLines/>
        <w:autoSpaceDE w:val="0"/>
        <w:autoSpaceDN w:val="0"/>
        <w:adjustRightInd w:val="0"/>
        <w:rPr>
          <w:rFonts w:ascii="Garamond" w:hAnsi="Garamond"/>
          <w:i/>
          <w:iCs/>
          <w:lang w:val="en-AU"/>
        </w:rPr>
      </w:pPr>
      <w:r w:rsidRPr="00955BE2">
        <w:rPr>
          <w:rFonts w:ascii="Garamond" w:hAnsi="Garamond"/>
          <w:i/>
          <w:iCs/>
          <w:lang w:val="en-AU"/>
        </w:rPr>
        <w:t>Pediatric Surgical Revisits by Specialty and Procedure Across US Children’s Hospitals, 2016-2020</w:t>
      </w:r>
    </w:p>
    <w:p w14:paraId="47306D16" w14:textId="025E6B8A" w:rsidR="00955BE2" w:rsidRDefault="00955BE2" w:rsidP="00955BE2">
      <w:pPr>
        <w:keepNext/>
        <w:keepLines/>
        <w:autoSpaceDE w:val="0"/>
        <w:autoSpaceDN w:val="0"/>
        <w:adjustRightInd w:val="0"/>
        <w:rPr>
          <w:rFonts w:ascii="Garamond" w:hAnsi="Garamond"/>
          <w:lang w:val="en-AU"/>
        </w:rPr>
      </w:pPr>
      <w:r w:rsidRPr="00955BE2">
        <w:rPr>
          <w:rFonts w:ascii="Garamond" w:hAnsi="Garamond"/>
          <w:lang w:val="en-AU"/>
        </w:rPr>
        <w:t>De Boer C, Ghomrawi H, Zeineddin S, Linton S, Tian Y, Kwon S, et al</w:t>
      </w:r>
    </w:p>
    <w:p w14:paraId="2CD8468E" w14:textId="3832A3E9" w:rsidR="00955BE2" w:rsidRDefault="00955BE2" w:rsidP="00955BE2">
      <w:pPr>
        <w:keepNext/>
        <w:keepLines/>
        <w:autoSpaceDE w:val="0"/>
        <w:autoSpaceDN w:val="0"/>
        <w:adjustRightInd w:val="0"/>
        <w:rPr>
          <w:rFonts w:ascii="Garamond" w:hAnsi="Garamond"/>
          <w:lang w:val="en-AU"/>
        </w:rPr>
      </w:pPr>
      <w:r w:rsidRPr="00955BE2">
        <w:rPr>
          <w:rFonts w:ascii="Garamond" w:hAnsi="Garamond"/>
          <w:lang w:val="en-AU"/>
        </w:rPr>
        <w:t>JAMA. 2022;328(8):774-776.</w:t>
      </w:r>
    </w:p>
    <w:tbl>
      <w:tblPr>
        <w:tblStyle w:val="TableGrid"/>
        <w:tblW w:w="9360" w:type="dxa"/>
        <w:tblInd w:w="288" w:type="dxa"/>
        <w:tblLayout w:type="fixed"/>
        <w:tblLook w:val="01E0" w:firstRow="1" w:lastRow="1" w:firstColumn="1" w:lastColumn="1" w:noHBand="0" w:noVBand="0"/>
      </w:tblPr>
      <w:tblGrid>
        <w:gridCol w:w="1080"/>
        <w:gridCol w:w="8280"/>
      </w:tblGrid>
      <w:tr w:rsidR="00955BE2" w:rsidRPr="00E37911" w14:paraId="3F07F757" w14:textId="77777777" w:rsidTr="00335B14">
        <w:tc>
          <w:tcPr>
            <w:tcW w:w="1080" w:type="dxa"/>
            <w:tcBorders>
              <w:top w:val="single" w:sz="4" w:space="0" w:color="auto"/>
              <w:left w:val="single" w:sz="4" w:space="0" w:color="auto"/>
              <w:bottom w:val="single" w:sz="4" w:space="0" w:color="auto"/>
              <w:right w:val="single" w:sz="4" w:space="0" w:color="auto"/>
            </w:tcBorders>
            <w:vAlign w:val="center"/>
          </w:tcPr>
          <w:p w14:paraId="222526AB" w14:textId="77777777" w:rsidR="00955BE2" w:rsidRPr="00E37911" w:rsidRDefault="00955BE2" w:rsidP="00335B1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6492473" w14:textId="6792B928" w:rsidR="00955BE2" w:rsidRPr="00E37911" w:rsidRDefault="001A62B1" w:rsidP="00335B14">
            <w:pPr>
              <w:rPr>
                <w:rStyle w:val="Hyperlink"/>
                <w:rFonts w:ascii="Garamond" w:hAnsi="Garamond"/>
                <w:color w:val="auto"/>
                <w:u w:val="none"/>
                <w:lang w:val="en-AU"/>
              </w:rPr>
            </w:pPr>
            <w:hyperlink r:id="rId23" w:history="1">
              <w:r w:rsidR="00955BE2" w:rsidRPr="0092069C">
                <w:rPr>
                  <w:rStyle w:val="Hyperlink"/>
                  <w:rFonts w:ascii="Garamond" w:hAnsi="Garamond"/>
                  <w:lang w:val="en-AU"/>
                </w:rPr>
                <w:t>https://doi.org/10.1001/jama.2022.11806</w:t>
              </w:r>
            </w:hyperlink>
          </w:p>
        </w:tc>
      </w:tr>
      <w:tr w:rsidR="00955BE2" w:rsidRPr="00E37911" w14:paraId="020D43A2" w14:textId="77777777" w:rsidTr="00335B14">
        <w:tc>
          <w:tcPr>
            <w:tcW w:w="1080" w:type="dxa"/>
            <w:tcBorders>
              <w:top w:val="single" w:sz="4" w:space="0" w:color="auto"/>
              <w:left w:val="single" w:sz="4" w:space="0" w:color="auto"/>
              <w:bottom w:val="single" w:sz="4" w:space="0" w:color="auto"/>
              <w:right w:val="single" w:sz="4" w:space="0" w:color="auto"/>
            </w:tcBorders>
            <w:vAlign w:val="center"/>
          </w:tcPr>
          <w:p w14:paraId="2FA89AD9" w14:textId="77777777" w:rsidR="00955BE2" w:rsidRPr="00E37911" w:rsidRDefault="00955BE2" w:rsidP="00335B14">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1B66CC" w14:textId="668CC49E" w:rsidR="00AC1CAC" w:rsidRDefault="00955BE2" w:rsidP="00335B14">
            <w:pPr>
              <w:rPr>
                <w:rFonts w:ascii="Garamond" w:hAnsi="Garamond"/>
                <w:lang w:val="en-AU"/>
              </w:rPr>
            </w:pPr>
            <w:r>
              <w:rPr>
                <w:rFonts w:ascii="Garamond" w:hAnsi="Garamond"/>
                <w:lang w:val="en-AU"/>
              </w:rPr>
              <w:t xml:space="preserve">Paper reporting on a study that examined paediatric </w:t>
            </w:r>
            <w:r w:rsidR="00AC1CAC">
              <w:rPr>
                <w:rFonts w:ascii="Garamond" w:hAnsi="Garamond"/>
                <w:lang w:val="en-AU"/>
              </w:rPr>
              <w:t>‘surgical revisits’ (</w:t>
            </w:r>
            <w:r w:rsidR="00AC1CAC" w:rsidRPr="00AC1CAC">
              <w:rPr>
                <w:rFonts w:ascii="Garamond" w:hAnsi="Garamond"/>
                <w:lang w:val="en-AU"/>
              </w:rPr>
              <w:t>readmissions and emergency department visits</w:t>
            </w:r>
            <w:r w:rsidR="00AC1CAC">
              <w:rPr>
                <w:rFonts w:ascii="Garamond" w:hAnsi="Garamond"/>
                <w:lang w:val="en-AU"/>
              </w:rPr>
              <w:t xml:space="preserve">) in </w:t>
            </w:r>
            <w:r w:rsidR="00AC1CAC" w:rsidRPr="00AC1CAC">
              <w:rPr>
                <w:rFonts w:ascii="Garamond" w:hAnsi="Garamond"/>
                <w:lang w:val="en-AU"/>
              </w:rPr>
              <w:t>52 tertiary children’s hospitals</w:t>
            </w:r>
            <w:r w:rsidR="00AC1CAC">
              <w:rPr>
                <w:rFonts w:ascii="Garamond" w:hAnsi="Garamond"/>
                <w:lang w:val="en-AU"/>
              </w:rPr>
              <w:t xml:space="preserve"> in the USA, Using data on patients 18 years and younger </w:t>
            </w:r>
            <w:r w:rsidR="00AC1CAC" w:rsidRPr="00AC1CAC">
              <w:rPr>
                <w:rFonts w:ascii="Garamond" w:hAnsi="Garamond"/>
                <w:lang w:val="en-AU"/>
              </w:rPr>
              <w:t xml:space="preserve">who underwent 1 of 26 inpatient or ambulatory procedures across 9 surgical subspecialties from </w:t>
            </w:r>
            <w:r w:rsidR="00AC1CAC">
              <w:rPr>
                <w:rFonts w:ascii="Garamond" w:hAnsi="Garamond"/>
                <w:lang w:val="en-AU"/>
              </w:rPr>
              <w:t xml:space="preserve">1 </w:t>
            </w:r>
            <w:r w:rsidR="00AC1CAC" w:rsidRPr="00AC1CAC">
              <w:rPr>
                <w:rFonts w:ascii="Garamond" w:hAnsi="Garamond"/>
                <w:lang w:val="en-AU"/>
              </w:rPr>
              <w:t xml:space="preserve">January 2016 to </w:t>
            </w:r>
            <w:r w:rsidR="00AC1CAC">
              <w:rPr>
                <w:rFonts w:ascii="Garamond" w:hAnsi="Garamond"/>
                <w:lang w:val="en-AU"/>
              </w:rPr>
              <w:t xml:space="preserve">1 </w:t>
            </w:r>
            <w:r w:rsidR="00AC1CAC" w:rsidRPr="00AC1CAC">
              <w:rPr>
                <w:rFonts w:ascii="Garamond" w:hAnsi="Garamond"/>
                <w:lang w:val="en-AU"/>
              </w:rPr>
              <w:t>January 2020</w:t>
            </w:r>
            <w:r w:rsidR="00AC1CAC">
              <w:rPr>
                <w:rFonts w:ascii="Garamond" w:hAnsi="Garamond"/>
                <w:lang w:val="en-AU"/>
              </w:rPr>
              <w:t xml:space="preserve"> the study identified a total of 1,189,140 ‘index procedures’. Of these, there were 88,796 </w:t>
            </w:r>
            <w:r w:rsidR="00AC1CAC" w:rsidRPr="00AC1CAC">
              <w:rPr>
                <w:rFonts w:ascii="Garamond" w:hAnsi="Garamond"/>
                <w:b/>
                <w:bCs/>
                <w:lang w:val="en-AU"/>
              </w:rPr>
              <w:t>revisits</w:t>
            </w:r>
            <w:r w:rsidR="00AC1CAC">
              <w:rPr>
                <w:rFonts w:ascii="Garamond" w:hAnsi="Garamond"/>
                <w:lang w:val="en-AU"/>
              </w:rPr>
              <w:t xml:space="preserve"> (</w:t>
            </w:r>
            <w:r w:rsidR="00AC1CAC" w:rsidRPr="00AC1CAC">
              <w:rPr>
                <w:rFonts w:ascii="Garamond" w:hAnsi="Garamond"/>
                <w:b/>
                <w:bCs/>
                <w:lang w:val="en-AU"/>
              </w:rPr>
              <w:t>7.46%</w:t>
            </w:r>
            <w:r w:rsidR="00AC1CAC">
              <w:rPr>
                <w:rFonts w:ascii="Garamond" w:hAnsi="Garamond"/>
                <w:lang w:val="en-AU"/>
              </w:rPr>
              <w:t>) with 38,742 to the emergency department. The authors reported that:</w:t>
            </w:r>
          </w:p>
          <w:p w14:paraId="4EBA8E4C" w14:textId="77777777" w:rsidR="00AC1CAC" w:rsidRDefault="00AC1CAC" w:rsidP="00AC1CAC">
            <w:pPr>
              <w:pStyle w:val="ListParagraph"/>
              <w:numPr>
                <w:ilvl w:val="0"/>
                <w:numId w:val="46"/>
              </w:numPr>
              <w:rPr>
                <w:rFonts w:ascii="Garamond" w:hAnsi="Garamond"/>
                <w:lang w:val="en-AU"/>
              </w:rPr>
            </w:pPr>
            <w:r>
              <w:t xml:space="preserve"> </w:t>
            </w:r>
            <w:r w:rsidRPr="00AC1CAC">
              <w:rPr>
                <w:rFonts w:ascii="Garamond" w:hAnsi="Garamond"/>
                <w:lang w:val="en-AU"/>
              </w:rPr>
              <w:t>Tonsillectomy/adenoidectomy had the highest number of revisits (n</w:t>
            </w:r>
            <w:r w:rsidRPr="00AC1CAC">
              <w:rPr>
                <w:lang w:val="en-AU"/>
              </w:rPr>
              <w:t> </w:t>
            </w:r>
            <w:r w:rsidRPr="00AC1CAC">
              <w:rPr>
                <w:rFonts w:ascii="Garamond" w:hAnsi="Garamond"/>
                <w:lang w:val="en-AU"/>
              </w:rPr>
              <w:t>=</w:t>
            </w:r>
            <w:r w:rsidRPr="00AC1CAC">
              <w:rPr>
                <w:lang w:val="en-AU"/>
              </w:rPr>
              <w:t> </w:t>
            </w:r>
            <w:r w:rsidRPr="00AC1CAC">
              <w:rPr>
                <w:rFonts w:ascii="Garamond" w:hAnsi="Garamond"/>
                <w:lang w:val="en-AU"/>
              </w:rPr>
              <w:t>18</w:t>
            </w:r>
            <w:r w:rsidRPr="00AC1CAC">
              <w:rPr>
                <w:lang w:val="en-AU"/>
              </w:rPr>
              <w:t> </w:t>
            </w:r>
            <w:r w:rsidRPr="00AC1CAC">
              <w:rPr>
                <w:rFonts w:ascii="Garamond" w:hAnsi="Garamond"/>
                <w:lang w:val="en-AU"/>
              </w:rPr>
              <w:t>279)</w:t>
            </w:r>
          </w:p>
          <w:p w14:paraId="5711E1A0" w14:textId="77777777" w:rsidR="00955BE2" w:rsidRDefault="00AC1CAC" w:rsidP="00AC1CAC">
            <w:pPr>
              <w:pStyle w:val="ListParagraph"/>
              <w:numPr>
                <w:ilvl w:val="0"/>
                <w:numId w:val="46"/>
              </w:numPr>
              <w:rPr>
                <w:rFonts w:ascii="Garamond" w:hAnsi="Garamond"/>
                <w:lang w:val="en-AU"/>
              </w:rPr>
            </w:pPr>
            <w:r w:rsidRPr="00AC1CAC">
              <w:rPr>
                <w:rFonts w:ascii="Garamond" w:hAnsi="Garamond"/>
                <w:lang w:val="en-AU"/>
              </w:rPr>
              <w:lastRenderedPageBreak/>
              <w:t>CVC/port insertion had the highest revisit rate (41.45%; 95% CI, 40.93%-41.97%).</w:t>
            </w:r>
          </w:p>
          <w:p w14:paraId="6687924C" w14:textId="77777777" w:rsidR="00AC1CAC" w:rsidRDefault="00AC1CAC" w:rsidP="00AC1CAC">
            <w:pPr>
              <w:pStyle w:val="ListParagraph"/>
              <w:numPr>
                <w:ilvl w:val="0"/>
                <w:numId w:val="46"/>
              </w:numPr>
              <w:rPr>
                <w:rFonts w:ascii="Garamond" w:hAnsi="Garamond"/>
                <w:lang w:val="en-AU"/>
              </w:rPr>
            </w:pPr>
            <w:r w:rsidRPr="00AC1CAC">
              <w:rPr>
                <w:rFonts w:ascii="Garamond" w:hAnsi="Garamond"/>
                <w:lang w:val="en-AU"/>
              </w:rPr>
              <w:t>Tonsillectomy/adenoidectomy (n</w:t>
            </w:r>
            <w:r w:rsidRPr="00AC1CAC">
              <w:rPr>
                <w:lang w:val="en-AU"/>
              </w:rPr>
              <w:t> </w:t>
            </w:r>
            <w:r w:rsidRPr="00AC1CAC">
              <w:rPr>
                <w:rFonts w:ascii="Garamond" w:hAnsi="Garamond"/>
                <w:lang w:val="en-AU"/>
              </w:rPr>
              <w:t>=</w:t>
            </w:r>
            <w:r w:rsidRPr="00AC1CAC">
              <w:rPr>
                <w:lang w:val="en-AU"/>
              </w:rPr>
              <w:t> </w:t>
            </w:r>
            <w:r w:rsidRPr="00AC1CAC">
              <w:rPr>
                <w:rFonts w:ascii="Garamond" w:hAnsi="Garamond"/>
                <w:lang w:val="en-AU"/>
              </w:rPr>
              <w:t>10</w:t>
            </w:r>
            <w:r w:rsidRPr="00AC1CAC">
              <w:rPr>
                <w:lang w:val="en-AU"/>
              </w:rPr>
              <w:t> </w:t>
            </w:r>
            <w:r w:rsidRPr="00AC1CAC">
              <w:rPr>
                <w:rFonts w:ascii="Garamond" w:hAnsi="Garamond"/>
                <w:lang w:val="en-AU"/>
              </w:rPr>
              <w:t>419) and appendectomy (n</w:t>
            </w:r>
            <w:r w:rsidRPr="00AC1CAC">
              <w:rPr>
                <w:lang w:val="en-AU"/>
              </w:rPr>
              <w:t> </w:t>
            </w:r>
            <w:r w:rsidRPr="00AC1CAC">
              <w:rPr>
                <w:rFonts w:ascii="Garamond" w:hAnsi="Garamond"/>
                <w:lang w:val="en-AU"/>
              </w:rPr>
              <w:t>=</w:t>
            </w:r>
            <w:r w:rsidRPr="00AC1CAC">
              <w:rPr>
                <w:lang w:val="en-AU"/>
              </w:rPr>
              <w:t> </w:t>
            </w:r>
            <w:r w:rsidRPr="00AC1CAC">
              <w:rPr>
                <w:rFonts w:ascii="Garamond" w:hAnsi="Garamond"/>
                <w:lang w:val="en-AU"/>
              </w:rPr>
              <w:t>3637) contributed the most ED-only visits</w:t>
            </w:r>
          </w:p>
          <w:p w14:paraId="368BE57E" w14:textId="10D13292" w:rsidR="00AC1CAC" w:rsidRDefault="00AC1CAC" w:rsidP="00AC1CAC">
            <w:pPr>
              <w:pStyle w:val="ListParagraph"/>
              <w:numPr>
                <w:ilvl w:val="0"/>
                <w:numId w:val="46"/>
              </w:numPr>
              <w:rPr>
                <w:rFonts w:ascii="Garamond" w:hAnsi="Garamond"/>
                <w:lang w:val="en-AU"/>
              </w:rPr>
            </w:pPr>
            <w:r w:rsidRPr="00AC1CAC">
              <w:rPr>
                <w:rFonts w:ascii="Garamond" w:hAnsi="Garamond"/>
                <w:lang w:val="en-AU"/>
              </w:rPr>
              <w:t xml:space="preserve">Otolaryngology and general </w:t>
            </w:r>
            <w:r w:rsidR="001A62B1" w:rsidRPr="00AC1CAC">
              <w:rPr>
                <w:rFonts w:ascii="Garamond" w:hAnsi="Garamond"/>
                <w:lang w:val="en-AU"/>
              </w:rPr>
              <w:t>paediatric</w:t>
            </w:r>
            <w:r w:rsidRPr="00AC1CAC">
              <w:rPr>
                <w:rFonts w:ascii="Garamond" w:hAnsi="Garamond"/>
                <w:lang w:val="en-AU"/>
              </w:rPr>
              <w:t xml:space="preserve"> surgery accounted for 77.58% of the revisit prevalence and 74.32% of the ED-only visit prevalence</w:t>
            </w:r>
          </w:p>
          <w:p w14:paraId="7249534A" w14:textId="21F3591B" w:rsidR="00AC1CAC" w:rsidRPr="00AC1CAC" w:rsidRDefault="00AC1CAC" w:rsidP="00AC1CAC">
            <w:pPr>
              <w:pStyle w:val="ListParagraph"/>
              <w:numPr>
                <w:ilvl w:val="0"/>
                <w:numId w:val="46"/>
              </w:numPr>
              <w:rPr>
                <w:rFonts w:ascii="Garamond" w:hAnsi="Garamond"/>
                <w:lang w:val="en-AU"/>
              </w:rPr>
            </w:pPr>
            <w:r w:rsidRPr="00AC1CAC">
              <w:rPr>
                <w:rFonts w:ascii="Garamond" w:hAnsi="Garamond"/>
                <w:lang w:val="en-AU"/>
              </w:rPr>
              <w:t>6 procedures (tonsillectomy/adenoidectomy, appendectomy, CVC/port insertion, gastrostomy, myringotomy/tympanostomy, and circumcision) accounted for 67.77% of all revisits and 63.08% of ED-only visits.</w:t>
            </w:r>
          </w:p>
        </w:tc>
      </w:tr>
    </w:tbl>
    <w:p w14:paraId="79C91637" w14:textId="77777777" w:rsidR="001E44A3" w:rsidRDefault="001E44A3" w:rsidP="00E02472">
      <w:pPr>
        <w:keepLines/>
        <w:autoSpaceDE w:val="0"/>
        <w:autoSpaceDN w:val="0"/>
        <w:adjustRightInd w:val="0"/>
        <w:rPr>
          <w:rFonts w:ascii="Garamond" w:hAnsi="Garamond"/>
          <w:lang w:val="en-AU"/>
        </w:rPr>
      </w:pPr>
    </w:p>
    <w:p w14:paraId="5009F1CC" w14:textId="578FBD09" w:rsidR="003D4867" w:rsidRPr="003D4867" w:rsidRDefault="003D4867" w:rsidP="003D4867">
      <w:pPr>
        <w:keepNext/>
        <w:rPr>
          <w:rFonts w:ascii="Garamond" w:hAnsi="Garamond"/>
          <w:i/>
          <w:lang w:val="en-AU"/>
        </w:rPr>
      </w:pPr>
      <w:r w:rsidRPr="003D4867">
        <w:rPr>
          <w:rFonts w:ascii="Garamond" w:hAnsi="Garamond"/>
          <w:i/>
          <w:lang w:val="en-AU"/>
        </w:rPr>
        <w:t>Journal of Patient Safety and Risk Management</w:t>
      </w:r>
    </w:p>
    <w:p w14:paraId="1053D1E5" w14:textId="234F08DE" w:rsidR="00E02472" w:rsidRPr="008C1C03" w:rsidRDefault="00E02472" w:rsidP="00E02472">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Pr>
          <w:rFonts w:ascii="Garamond" w:hAnsi="Garamond"/>
          <w:iCs/>
          <w:lang w:val="en-AU"/>
        </w:rPr>
        <w:t>2</w:t>
      </w:r>
      <w:r w:rsidR="003D4867">
        <w:rPr>
          <w:rFonts w:ascii="Garamond" w:hAnsi="Garamond"/>
          <w:iCs/>
          <w:lang w:val="en-AU"/>
        </w:rPr>
        <w:t>7</w:t>
      </w:r>
      <w:r w:rsidRPr="00EE17BC">
        <w:rPr>
          <w:rFonts w:ascii="Garamond" w:hAnsi="Garamond"/>
          <w:iCs/>
          <w:lang w:val="en-AU"/>
        </w:rPr>
        <w:t xml:space="preserve">, </w:t>
      </w:r>
      <w:r>
        <w:rPr>
          <w:rFonts w:ascii="Garamond" w:hAnsi="Garamond"/>
          <w:iCs/>
          <w:lang w:val="en-AU"/>
        </w:rPr>
        <w:t>Number 4, August 2022</w:t>
      </w:r>
    </w:p>
    <w:tbl>
      <w:tblPr>
        <w:tblStyle w:val="TableGrid"/>
        <w:tblW w:w="9360" w:type="dxa"/>
        <w:tblInd w:w="288" w:type="dxa"/>
        <w:tblLayout w:type="fixed"/>
        <w:tblLook w:val="01E0" w:firstRow="1" w:lastRow="1" w:firstColumn="1" w:lastColumn="1" w:noHBand="0" w:noVBand="0"/>
      </w:tblPr>
      <w:tblGrid>
        <w:gridCol w:w="1080"/>
        <w:gridCol w:w="8280"/>
      </w:tblGrid>
      <w:tr w:rsidR="00E02472" w:rsidRPr="000170DA" w14:paraId="094DA72C"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7AA7FF73" w14:textId="77777777" w:rsidR="00E02472" w:rsidRPr="000170DA" w:rsidRDefault="00E02472" w:rsidP="00CF0FC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9FFE700" w14:textId="0CB45752" w:rsidR="00E02472" w:rsidRPr="003E524C" w:rsidRDefault="001A62B1" w:rsidP="00CF0FC6">
            <w:pPr>
              <w:keepNext/>
              <w:rPr>
                <w:rStyle w:val="Hyperlink"/>
                <w:rFonts w:ascii="Garamond" w:hAnsi="Garamond"/>
                <w:color w:val="auto"/>
                <w:u w:val="none"/>
                <w:lang w:val="en-AU"/>
              </w:rPr>
            </w:pPr>
            <w:hyperlink r:id="rId24" w:history="1">
              <w:r w:rsidR="003D4867" w:rsidRPr="00C60DD2">
                <w:rPr>
                  <w:rStyle w:val="Hyperlink"/>
                  <w:rFonts w:ascii="Garamond" w:hAnsi="Garamond"/>
                  <w:lang w:val="en-AU"/>
                </w:rPr>
                <w:t>https://journals.sagepub.com/toc/cric/27/4</w:t>
              </w:r>
            </w:hyperlink>
          </w:p>
        </w:tc>
      </w:tr>
      <w:tr w:rsidR="00E02472" w:rsidRPr="000170DA" w14:paraId="70977418"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0312F0FF" w14:textId="77777777" w:rsidR="00E02472" w:rsidRPr="000170DA" w:rsidRDefault="00E02472" w:rsidP="00CF0FC6">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08B407FC" w14:textId="2E9E349F" w:rsidR="00E02472" w:rsidRPr="00292B57" w:rsidRDefault="00E02472" w:rsidP="00CF0FC6">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3D4867" w:rsidRPr="003D4867">
              <w:rPr>
                <w:rFonts w:ascii="Garamond" w:hAnsi="Garamond"/>
                <w:i/>
                <w:lang w:val="en-AU"/>
              </w:rPr>
              <w:t>Journal of Patient Safety and Risk Management</w:t>
            </w:r>
            <w:r w:rsidR="003D4867"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3D4867" w:rsidRPr="003D4867">
              <w:rPr>
                <w:rFonts w:ascii="Garamond" w:hAnsi="Garamond"/>
                <w:i/>
                <w:lang w:val="en-AU"/>
              </w:rPr>
              <w:t>Journal of Patient Safety and Risk Management</w:t>
            </w:r>
            <w:r w:rsidR="003D4867" w:rsidRPr="00B440ED">
              <w:rPr>
                <w:rFonts w:ascii="Garamond" w:hAnsi="Garamond"/>
                <w:lang w:val="en-AU"/>
              </w:rPr>
              <w:t xml:space="preserve"> </w:t>
            </w:r>
            <w:r w:rsidRPr="00B440ED">
              <w:rPr>
                <w:rFonts w:ascii="Garamond" w:hAnsi="Garamond"/>
                <w:lang w:val="en-AU"/>
              </w:rPr>
              <w:t>include:</w:t>
            </w:r>
          </w:p>
          <w:p w14:paraId="3D58B425" w14:textId="5583C98C" w:rsidR="003D4867" w:rsidRPr="003D4867" w:rsidRDefault="003D4867" w:rsidP="00A6088F">
            <w:pPr>
              <w:pStyle w:val="ListParagraph"/>
              <w:numPr>
                <w:ilvl w:val="0"/>
                <w:numId w:val="19"/>
              </w:numPr>
              <w:rPr>
                <w:rFonts w:ascii="Garamond" w:hAnsi="Garamond"/>
                <w:lang w:val="en-AU"/>
              </w:rPr>
            </w:pPr>
            <w:r w:rsidRPr="003D4867">
              <w:rPr>
                <w:rFonts w:ascii="Garamond" w:hAnsi="Garamond"/>
                <w:lang w:val="en-AU"/>
              </w:rPr>
              <w:t xml:space="preserve">Editorial: Third Time’s the Charm: Strengthening </w:t>
            </w:r>
            <w:r w:rsidRPr="003D4867">
              <w:rPr>
                <w:rFonts w:ascii="Garamond" w:hAnsi="Garamond"/>
                <w:b/>
                <w:bCs/>
                <w:lang w:val="en-AU"/>
              </w:rPr>
              <w:t>Global Efforts to Reduce Medication-Related Harm</w:t>
            </w:r>
            <w:r w:rsidRPr="003D4867">
              <w:rPr>
                <w:rFonts w:ascii="Garamond" w:hAnsi="Garamond"/>
                <w:lang w:val="en-AU"/>
              </w:rPr>
              <w:t xml:space="preserve"> (Albert Wu, Alpana Mair, Irina Papieva, Ayda Taha, Neelam Dhingra</w:t>
            </w:r>
            <w:r>
              <w:rPr>
                <w:rFonts w:ascii="Garamond" w:hAnsi="Garamond"/>
                <w:lang w:val="en-AU"/>
              </w:rPr>
              <w:t>)</w:t>
            </w:r>
          </w:p>
          <w:p w14:paraId="133BC512" w14:textId="3DE06923" w:rsidR="003D4867" w:rsidRPr="003D4867" w:rsidRDefault="003D4867" w:rsidP="00FC68F6">
            <w:pPr>
              <w:pStyle w:val="ListParagraph"/>
              <w:numPr>
                <w:ilvl w:val="0"/>
                <w:numId w:val="19"/>
              </w:numPr>
              <w:rPr>
                <w:rFonts w:ascii="Garamond" w:hAnsi="Garamond"/>
                <w:lang w:val="en-AU"/>
              </w:rPr>
            </w:pPr>
            <w:r w:rsidRPr="003D4867">
              <w:rPr>
                <w:rFonts w:ascii="Garamond" w:hAnsi="Garamond"/>
                <w:lang w:val="en-AU"/>
              </w:rPr>
              <w:t xml:space="preserve">Opportunities to </w:t>
            </w:r>
            <w:r w:rsidRPr="003D4867">
              <w:rPr>
                <w:rFonts w:ascii="Garamond" w:hAnsi="Garamond"/>
                <w:b/>
                <w:bCs/>
                <w:lang w:val="en-AU"/>
              </w:rPr>
              <w:t>mine EHRs for malpractice risk management and patient safety</w:t>
            </w:r>
            <w:r w:rsidRPr="003D4867">
              <w:rPr>
                <w:rFonts w:ascii="Garamond" w:hAnsi="Garamond"/>
                <w:lang w:val="en-AU"/>
              </w:rPr>
              <w:t xml:space="preserve"> (Julia Adler-Milstein, Urmimala Sarkar, Robert M Wachter</w:t>
            </w:r>
            <w:r>
              <w:rPr>
                <w:rFonts w:ascii="Garamond" w:hAnsi="Garamond"/>
                <w:lang w:val="en-AU"/>
              </w:rPr>
              <w:t>)</w:t>
            </w:r>
          </w:p>
          <w:p w14:paraId="3519E464" w14:textId="0A328956" w:rsidR="003D4867" w:rsidRPr="003D4867" w:rsidRDefault="003D4867" w:rsidP="00771DC5">
            <w:pPr>
              <w:pStyle w:val="ListParagraph"/>
              <w:numPr>
                <w:ilvl w:val="0"/>
                <w:numId w:val="19"/>
              </w:numPr>
              <w:rPr>
                <w:rFonts w:ascii="Garamond" w:hAnsi="Garamond"/>
                <w:lang w:val="en-AU"/>
              </w:rPr>
            </w:pPr>
            <w:r w:rsidRPr="003D4867">
              <w:rPr>
                <w:rFonts w:ascii="Garamond" w:hAnsi="Garamond"/>
                <w:b/>
                <w:bCs/>
                <w:lang w:val="en-AU"/>
              </w:rPr>
              <w:t>Patient Safety is Alive but Consumers Pose Challenges</w:t>
            </w:r>
            <w:r w:rsidRPr="003D4867">
              <w:rPr>
                <w:rFonts w:ascii="Garamond" w:hAnsi="Garamond"/>
                <w:lang w:val="en-AU"/>
              </w:rPr>
              <w:t>: Response to “Who Killed Patient Safety?” (Doug Wojcieszak</w:t>
            </w:r>
            <w:r>
              <w:rPr>
                <w:rFonts w:ascii="Garamond" w:hAnsi="Garamond"/>
                <w:lang w:val="en-AU"/>
              </w:rPr>
              <w:t>)</w:t>
            </w:r>
          </w:p>
          <w:p w14:paraId="12B034D9" w14:textId="682B7530" w:rsidR="003D4867" w:rsidRPr="003D4867" w:rsidRDefault="003D4867" w:rsidP="00237C3F">
            <w:pPr>
              <w:pStyle w:val="ListParagraph"/>
              <w:numPr>
                <w:ilvl w:val="0"/>
                <w:numId w:val="19"/>
              </w:numPr>
              <w:rPr>
                <w:rFonts w:ascii="Garamond" w:hAnsi="Garamond"/>
                <w:lang w:val="en-AU"/>
              </w:rPr>
            </w:pPr>
            <w:r w:rsidRPr="003D4867">
              <w:rPr>
                <w:rFonts w:ascii="Garamond" w:hAnsi="Garamond"/>
                <w:lang w:val="en-AU"/>
              </w:rPr>
              <w:t xml:space="preserve">Value-based analysis of a Singaporean </w:t>
            </w:r>
            <w:r w:rsidRPr="003D4867">
              <w:rPr>
                <w:rFonts w:ascii="Garamond" w:hAnsi="Garamond"/>
                <w:b/>
                <w:bCs/>
                <w:lang w:val="en-AU"/>
              </w:rPr>
              <w:t>post-ED discharge support program for older adults</w:t>
            </w:r>
            <w:r w:rsidRPr="003D4867">
              <w:rPr>
                <w:rFonts w:ascii="Garamond" w:hAnsi="Garamond"/>
                <w:lang w:val="en-AU"/>
              </w:rPr>
              <w:t xml:space="preserve"> (Colin Eng Choon Ong, Phillip Phan, Christine Xia Wu, Zhaoqi Chen, Lit Sin Quek</w:t>
            </w:r>
            <w:r>
              <w:rPr>
                <w:rFonts w:ascii="Garamond" w:hAnsi="Garamond"/>
                <w:lang w:val="en-AU"/>
              </w:rPr>
              <w:t>)</w:t>
            </w:r>
          </w:p>
          <w:p w14:paraId="5D90092B" w14:textId="63B17CEE" w:rsidR="003D4867" w:rsidRPr="003D4867" w:rsidRDefault="003D4867" w:rsidP="003D704C">
            <w:pPr>
              <w:pStyle w:val="ListParagraph"/>
              <w:numPr>
                <w:ilvl w:val="0"/>
                <w:numId w:val="19"/>
              </w:numPr>
              <w:rPr>
                <w:rFonts w:ascii="Garamond" w:hAnsi="Garamond"/>
                <w:lang w:val="en-AU"/>
              </w:rPr>
            </w:pPr>
            <w:r w:rsidRPr="003D4867">
              <w:rPr>
                <w:rFonts w:ascii="Garamond" w:hAnsi="Garamond"/>
                <w:b/>
                <w:bCs/>
                <w:lang w:val="en-AU"/>
              </w:rPr>
              <w:t>Improving patient safety and quality in India's largest hospital network</w:t>
            </w:r>
            <w:r w:rsidRPr="003D4867">
              <w:rPr>
                <w:rFonts w:ascii="Garamond" w:hAnsi="Garamond"/>
                <w:lang w:val="en-AU"/>
              </w:rPr>
              <w:t xml:space="preserve"> through a dashboard driven approach - The Apollo Quality Program (Pritindira Kaur, Raju Vaishya, Anupam Sibal, Gaurav Loria, K. Hari Prasad, Sangita Reddy, Shobana Kamineni, Suneeta Reddy, Preetha Reddy</w:t>
            </w:r>
            <w:r>
              <w:rPr>
                <w:rFonts w:ascii="Garamond" w:hAnsi="Garamond"/>
                <w:lang w:val="en-AU"/>
              </w:rPr>
              <w:t>)</w:t>
            </w:r>
          </w:p>
          <w:p w14:paraId="7E0338A1" w14:textId="05A3B390" w:rsidR="003D4867" w:rsidRPr="003D4867" w:rsidRDefault="003D4867" w:rsidP="00D07370">
            <w:pPr>
              <w:pStyle w:val="ListParagraph"/>
              <w:numPr>
                <w:ilvl w:val="0"/>
                <w:numId w:val="19"/>
              </w:numPr>
              <w:rPr>
                <w:rFonts w:ascii="Garamond" w:hAnsi="Garamond"/>
                <w:lang w:val="en-AU"/>
              </w:rPr>
            </w:pPr>
            <w:r w:rsidRPr="003D4867">
              <w:rPr>
                <w:rFonts w:ascii="Garamond" w:hAnsi="Garamond"/>
                <w:lang w:val="en-AU"/>
              </w:rPr>
              <w:t xml:space="preserve">Identifying </w:t>
            </w:r>
            <w:r w:rsidRPr="003D4867">
              <w:rPr>
                <w:rFonts w:ascii="Garamond" w:hAnsi="Garamond"/>
                <w:b/>
                <w:bCs/>
                <w:lang w:val="en-AU"/>
              </w:rPr>
              <w:t>boundary spanning reporter roles in patient safety events</w:t>
            </w:r>
            <w:r w:rsidRPr="003D4867">
              <w:rPr>
                <w:rFonts w:ascii="Garamond" w:hAnsi="Garamond"/>
                <w:lang w:val="en-AU"/>
              </w:rPr>
              <w:t xml:space="preserve"> (Vanessa Beth Hurley, Christian Boxley, Elizabeth Ann Sloss, Allan Fong</w:t>
            </w:r>
            <w:r>
              <w:rPr>
                <w:rFonts w:ascii="Garamond" w:hAnsi="Garamond"/>
                <w:lang w:val="en-AU"/>
              </w:rPr>
              <w:t>)</w:t>
            </w:r>
          </w:p>
          <w:p w14:paraId="7DA2FB81" w14:textId="437D600D" w:rsidR="00E02472" w:rsidRPr="00292B57" w:rsidRDefault="003D4867" w:rsidP="003D4867">
            <w:pPr>
              <w:pStyle w:val="ListParagraph"/>
              <w:numPr>
                <w:ilvl w:val="0"/>
                <w:numId w:val="19"/>
              </w:numPr>
              <w:rPr>
                <w:rFonts w:ascii="Garamond" w:hAnsi="Garamond"/>
                <w:lang w:val="en-AU"/>
              </w:rPr>
            </w:pPr>
            <w:r w:rsidRPr="003D4867">
              <w:rPr>
                <w:rFonts w:ascii="Garamond" w:hAnsi="Garamond"/>
                <w:lang w:val="en-AU"/>
              </w:rPr>
              <w:t xml:space="preserve">Knowledge, attitudes and practices of clinical pharmacists to </w:t>
            </w:r>
            <w:r w:rsidRPr="003D4867">
              <w:rPr>
                <w:rFonts w:ascii="Garamond" w:hAnsi="Garamond"/>
                <w:b/>
                <w:bCs/>
                <w:lang w:val="en-AU"/>
              </w:rPr>
              <w:t>medication error reporting</w:t>
            </w:r>
            <w:r w:rsidRPr="003D4867">
              <w:rPr>
                <w:rFonts w:ascii="Garamond" w:hAnsi="Garamond"/>
                <w:lang w:val="en-AU"/>
              </w:rPr>
              <w:t xml:space="preserve"> in ministry of health and population hospitals in Egypt</w:t>
            </w:r>
            <w:r>
              <w:rPr>
                <w:rFonts w:ascii="Garamond" w:hAnsi="Garamond"/>
                <w:lang w:val="en-AU"/>
              </w:rPr>
              <w:t xml:space="preserve"> (</w:t>
            </w:r>
            <w:r w:rsidRPr="003D4867">
              <w:rPr>
                <w:rFonts w:ascii="Garamond" w:hAnsi="Garamond"/>
                <w:lang w:val="en-AU"/>
              </w:rPr>
              <w:t>Shymaa Mahmoud Youssef Elshoura, Rasha Ali Mosallam</w:t>
            </w:r>
            <w:r>
              <w:rPr>
                <w:rFonts w:ascii="Garamond" w:hAnsi="Garamond"/>
                <w:lang w:val="en-AU"/>
              </w:rPr>
              <w:t>)</w:t>
            </w:r>
          </w:p>
        </w:tc>
      </w:tr>
    </w:tbl>
    <w:p w14:paraId="7D4DB187" w14:textId="77777777" w:rsidR="00E02472" w:rsidRDefault="00E02472" w:rsidP="00E02472">
      <w:pPr>
        <w:keepNext/>
        <w:keepLines/>
        <w:autoSpaceDE w:val="0"/>
        <w:autoSpaceDN w:val="0"/>
        <w:adjustRightInd w:val="0"/>
        <w:rPr>
          <w:rFonts w:ascii="Garamond" w:hAnsi="Garamond"/>
          <w:i/>
          <w:iCs/>
          <w:lang w:val="en-AU"/>
        </w:rPr>
      </w:pPr>
    </w:p>
    <w:p w14:paraId="7CBE26C3" w14:textId="77777777" w:rsidR="00EF7F60" w:rsidRDefault="00E02472" w:rsidP="00E02472">
      <w:pPr>
        <w:keepNext/>
        <w:rPr>
          <w:rFonts w:ascii="Garamond" w:hAnsi="Garamond"/>
          <w:i/>
          <w:lang w:val="en-AU"/>
        </w:rPr>
      </w:pPr>
      <w:r w:rsidRPr="0011590C">
        <w:rPr>
          <w:rFonts w:ascii="Garamond" w:hAnsi="Garamond"/>
          <w:i/>
          <w:lang w:val="en-AU"/>
        </w:rPr>
        <w:t>Journal f</w:t>
      </w:r>
      <w:r w:rsidR="00EF7F60">
        <w:rPr>
          <w:rFonts w:ascii="Garamond" w:hAnsi="Garamond"/>
          <w:i/>
          <w:lang w:val="en-AU"/>
        </w:rPr>
        <w:t>or Healthcare Quality</w:t>
      </w:r>
    </w:p>
    <w:p w14:paraId="32A01EBD" w14:textId="6878903E" w:rsidR="00E02472" w:rsidRPr="008C1C03" w:rsidRDefault="00E02472" w:rsidP="00E02472">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sidR="00EF7F60">
        <w:rPr>
          <w:rFonts w:ascii="Garamond" w:hAnsi="Garamond"/>
          <w:iCs/>
          <w:lang w:val="en-AU"/>
        </w:rPr>
        <w:t>44</w:t>
      </w:r>
      <w:r w:rsidRPr="00EE17BC">
        <w:rPr>
          <w:rFonts w:ascii="Garamond" w:hAnsi="Garamond"/>
          <w:iCs/>
          <w:lang w:val="en-AU"/>
        </w:rPr>
        <w:t xml:space="preserve">, </w:t>
      </w:r>
      <w:r w:rsidR="00EF7F60">
        <w:rPr>
          <w:rFonts w:ascii="Garamond" w:hAnsi="Garamond"/>
          <w:iCs/>
          <w:lang w:val="en-AU"/>
        </w:rPr>
        <w:t>Issue 5</w:t>
      </w:r>
      <w:r>
        <w:rPr>
          <w:rFonts w:ascii="Garamond" w:hAnsi="Garamond"/>
          <w:iCs/>
          <w:lang w:val="en-AU"/>
        </w:rPr>
        <w:t xml:space="preserve">, </w:t>
      </w:r>
      <w:r w:rsidR="00EF7F60" w:rsidRPr="00EF7F60">
        <w:rPr>
          <w:rFonts w:ascii="Garamond" w:hAnsi="Garamond"/>
          <w:iCs/>
          <w:lang w:val="en-AU"/>
        </w:rPr>
        <w:t>September/October 2022</w:t>
      </w:r>
    </w:p>
    <w:tbl>
      <w:tblPr>
        <w:tblStyle w:val="TableGrid"/>
        <w:tblW w:w="9360" w:type="dxa"/>
        <w:tblInd w:w="288" w:type="dxa"/>
        <w:tblLayout w:type="fixed"/>
        <w:tblLook w:val="01E0" w:firstRow="1" w:lastRow="1" w:firstColumn="1" w:lastColumn="1" w:noHBand="0" w:noVBand="0"/>
      </w:tblPr>
      <w:tblGrid>
        <w:gridCol w:w="1080"/>
        <w:gridCol w:w="8280"/>
      </w:tblGrid>
      <w:tr w:rsidR="00E02472" w:rsidRPr="000170DA" w14:paraId="56AE9948"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43C7F727" w14:textId="77777777" w:rsidR="00E02472" w:rsidRPr="000170DA" w:rsidRDefault="00E02472" w:rsidP="00CF0FC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9615960" w14:textId="116E8C65" w:rsidR="00E02472" w:rsidRPr="003E524C" w:rsidRDefault="001A62B1" w:rsidP="00CF0FC6">
            <w:pPr>
              <w:keepNext/>
              <w:rPr>
                <w:rStyle w:val="Hyperlink"/>
                <w:rFonts w:ascii="Garamond" w:hAnsi="Garamond"/>
                <w:color w:val="auto"/>
                <w:u w:val="none"/>
                <w:lang w:val="en-AU"/>
              </w:rPr>
            </w:pPr>
            <w:hyperlink r:id="rId25" w:history="1">
              <w:r w:rsidR="00EF7F60" w:rsidRPr="00C60DD2">
                <w:rPr>
                  <w:rStyle w:val="Hyperlink"/>
                  <w:rFonts w:ascii="Garamond" w:hAnsi="Garamond"/>
                  <w:lang w:val="en-AU"/>
                </w:rPr>
                <w:t>https://journals.lww.com/jhqonline/toc/2022/10000</w:t>
              </w:r>
            </w:hyperlink>
          </w:p>
        </w:tc>
      </w:tr>
      <w:tr w:rsidR="00E02472" w:rsidRPr="000170DA" w14:paraId="794EF55E"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033B3E18" w14:textId="77777777" w:rsidR="00E02472" w:rsidRPr="000170DA" w:rsidRDefault="00E02472" w:rsidP="00CF0FC6">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12C9D784" w14:textId="60028250" w:rsidR="00E02472" w:rsidRPr="00292B57" w:rsidRDefault="00E02472" w:rsidP="00CF0FC6">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EF7F60" w:rsidRPr="0011590C">
              <w:rPr>
                <w:rFonts w:ascii="Garamond" w:hAnsi="Garamond"/>
                <w:i/>
                <w:lang w:val="en-AU"/>
              </w:rPr>
              <w:t>Journal f</w:t>
            </w:r>
            <w:r w:rsidR="00EF7F60">
              <w:rPr>
                <w:rFonts w:ascii="Garamond" w:hAnsi="Garamond"/>
                <w:i/>
                <w:lang w:val="en-AU"/>
              </w:rPr>
              <w:t>or Healthcare Quality</w:t>
            </w:r>
            <w:r w:rsidR="00EF7F60"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00EF7F60" w:rsidRPr="0011590C">
              <w:rPr>
                <w:rFonts w:ascii="Garamond" w:hAnsi="Garamond"/>
                <w:i/>
                <w:lang w:val="en-AU"/>
              </w:rPr>
              <w:t>Journal f</w:t>
            </w:r>
            <w:r w:rsidR="00EF7F60">
              <w:rPr>
                <w:rFonts w:ascii="Garamond" w:hAnsi="Garamond"/>
                <w:i/>
                <w:lang w:val="en-AU"/>
              </w:rPr>
              <w:t>or Healthcare Quality</w:t>
            </w:r>
            <w:r w:rsidR="00EF7F60" w:rsidRPr="00B440ED">
              <w:rPr>
                <w:rFonts w:ascii="Garamond" w:hAnsi="Garamond"/>
                <w:lang w:val="en-AU"/>
              </w:rPr>
              <w:t xml:space="preserve"> </w:t>
            </w:r>
            <w:r w:rsidRPr="00B440ED">
              <w:rPr>
                <w:rFonts w:ascii="Garamond" w:hAnsi="Garamond"/>
                <w:lang w:val="en-AU"/>
              </w:rPr>
              <w:t>include:</w:t>
            </w:r>
          </w:p>
          <w:p w14:paraId="5EFF9D71" w14:textId="37A94870" w:rsidR="00EF7F60" w:rsidRPr="00EF7F60" w:rsidRDefault="00EF7F60" w:rsidP="00766C07">
            <w:pPr>
              <w:pStyle w:val="ListParagraph"/>
              <w:numPr>
                <w:ilvl w:val="0"/>
                <w:numId w:val="19"/>
              </w:numPr>
              <w:rPr>
                <w:rFonts w:ascii="Garamond" w:hAnsi="Garamond"/>
                <w:lang w:val="en-AU"/>
              </w:rPr>
            </w:pPr>
            <w:r w:rsidRPr="00EF7F60">
              <w:rPr>
                <w:rFonts w:ascii="Garamond" w:hAnsi="Garamond"/>
                <w:lang w:val="en-AU"/>
              </w:rPr>
              <w:t xml:space="preserve">Editorial: Moving Beyond Describing Disparities: The Urgent Need to </w:t>
            </w:r>
            <w:r w:rsidRPr="00EF7F60">
              <w:rPr>
                <w:rFonts w:ascii="Garamond" w:hAnsi="Garamond"/>
                <w:b/>
                <w:bCs/>
                <w:lang w:val="en-AU"/>
              </w:rPr>
              <w:t>Understand Multilevel Determinants and Evaluate Programs Promoting Health Equity</w:t>
            </w:r>
            <w:r w:rsidRPr="00EF7F60">
              <w:rPr>
                <w:rFonts w:ascii="Garamond" w:hAnsi="Garamond"/>
                <w:lang w:val="en-AU"/>
              </w:rPr>
              <w:t xml:space="preserve"> (Allyson G Hall, Michael J Mugavero</w:t>
            </w:r>
            <w:r>
              <w:rPr>
                <w:rFonts w:ascii="Garamond" w:hAnsi="Garamond"/>
                <w:lang w:val="en-AU"/>
              </w:rPr>
              <w:t>)</w:t>
            </w:r>
          </w:p>
          <w:p w14:paraId="4000F7F3" w14:textId="5A50B722" w:rsidR="00EF7F60" w:rsidRPr="00EF7F60" w:rsidRDefault="00EF7F60" w:rsidP="0089567E">
            <w:pPr>
              <w:pStyle w:val="ListParagraph"/>
              <w:numPr>
                <w:ilvl w:val="0"/>
                <w:numId w:val="19"/>
              </w:numPr>
              <w:rPr>
                <w:rFonts w:ascii="Garamond" w:hAnsi="Garamond"/>
                <w:lang w:val="en-AU"/>
              </w:rPr>
            </w:pPr>
            <w:r w:rsidRPr="00EF7F60">
              <w:rPr>
                <w:rFonts w:ascii="Garamond" w:hAnsi="Garamond"/>
                <w:b/>
                <w:bCs/>
                <w:lang w:val="en-AU"/>
              </w:rPr>
              <w:t>Team-Based Care for Cancer Survivors With Comorbidities</w:t>
            </w:r>
            <w:r w:rsidRPr="00EF7F60">
              <w:rPr>
                <w:rFonts w:ascii="Garamond" w:hAnsi="Garamond"/>
                <w:lang w:val="en-AU"/>
              </w:rPr>
              <w:t>: A Systematic Review (Michelle Doose, Dana Verhoeven, Janeth I Sanchez, Alicia A Livinski, Michelle Mollica, Veronica Chollette, Sallie J Weaver</w:t>
            </w:r>
            <w:r>
              <w:rPr>
                <w:rFonts w:ascii="Garamond" w:hAnsi="Garamond"/>
                <w:lang w:val="en-AU"/>
              </w:rPr>
              <w:t>)</w:t>
            </w:r>
          </w:p>
          <w:p w14:paraId="0BD89753" w14:textId="640D709E" w:rsidR="00EF7F60" w:rsidRPr="00EF7F60" w:rsidRDefault="00EF7F60" w:rsidP="004E1100">
            <w:pPr>
              <w:pStyle w:val="ListParagraph"/>
              <w:numPr>
                <w:ilvl w:val="0"/>
                <w:numId w:val="19"/>
              </w:numPr>
              <w:rPr>
                <w:rFonts w:ascii="Garamond" w:hAnsi="Garamond"/>
                <w:lang w:val="en-AU"/>
              </w:rPr>
            </w:pPr>
            <w:r w:rsidRPr="00EF7F60">
              <w:rPr>
                <w:rFonts w:ascii="Garamond" w:hAnsi="Garamond"/>
                <w:lang w:val="en-AU"/>
              </w:rPr>
              <w:t xml:space="preserve">Do Hospitals Achieving “Leader in </w:t>
            </w:r>
            <w:r w:rsidRPr="00EF7F60">
              <w:rPr>
                <w:rFonts w:ascii="Garamond" w:hAnsi="Garamond"/>
                <w:b/>
                <w:bCs/>
                <w:lang w:val="en-AU"/>
              </w:rPr>
              <w:t>LGBTQ Healthcare Equality</w:t>
            </w:r>
            <w:r w:rsidRPr="00EF7F60">
              <w:rPr>
                <w:rFonts w:ascii="Garamond" w:hAnsi="Garamond"/>
                <w:lang w:val="en-AU"/>
              </w:rPr>
              <w:t>” Maintain Higher Patient Scores Compared To Nonleaders? (Rita DiLeo, Seongwon Choi, Tari Hanneman, Ali Riza Demirbas, K. Ria Hearld, Paul Datti, Nancy Borkowski</w:t>
            </w:r>
            <w:r>
              <w:rPr>
                <w:rFonts w:ascii="Garamond" w:hAnsi="Garamond"/>
                <w:lang w:val="en-AU"/>
              </w:rPr>
              <w:t>)</w:t>
            </w:r>
          </w:p>
          <w:p w14:paraId="0C9A9FB0" w14:textId="4F58D4E8" w:rsidR="00EF7F60" w:rsidRPr="00EF7F60" w:rsidRDefault="00EF7F60" w:rsidP="00FD1586">
            <w:pPr>
              <w:pStyle w:val="ListParagraph"/>
              <w:numPr>
                <w:ilvl w:val="0"/>
                <w:numId w:val="19"/>
              </w:numPr>
              <w:rPr>
                <w:rFonts w:ascii="Garamond" w:hAnsi="Garamond"/>
                <w:lang w:val="en-AU"/>
              </w:rPr>
            </w:pPr>
            <w:r w:rsidRPr="00EF7F60">
              <w:rPr>
                <w:rFonts w:ascii="Garamond" w:hAnsi="Garamond"/>
                <w:lang w:val="en-AU"/>
              </w:rPr>
              <w:lastRenderedPageBreak/>
              <w:t xml:space="preserve">Lessons on </w:t>
            </w:r>
            <w:r w:rsidRPr="00EF7F60">
              <w:rPr>
                <w:rFonts w:ascii="Garamond" w:hAnsi="Garamond"/>
                <w:b/>
                <w:bCs/>
                <w:lang w:val="en-AU"/>
              </w:rPr>
              <w:t>Increasing Racial and Health Equity</w:t>
            </w:r>
            <w:r w:rsidRPr="00EF7F60">
              <w:rPr>
                <w:rFonts w:ascii="Garamond" w:hAnsi="Garamond"/>
                <w:lang w:val="en-AU"/>
              </w:rPr>
              <w:t xml:space="preserve"> From Accountable Health Communities (Brandon G Wilson, Emily Jones</w:t>
            </w:r>
            <w:r>
              <w:rPr>
                <w:rFonts w:ascii="Garamond" w:hAnsi="Garamond"/>
                <w:lang w:val="en-AU"/>
              </w:rPr>
              <w:t>)</w:t>
            </w:r>
          </w:p>
          <w:p w14:paraId="719B913E" w14:textId="2B5D8079" w:rsidR="00EF7F60" w:rsidRPr="00EF7F60" w:rsidRDefault="00EF7F60" w:rsidP="00DA4208">
            <w:pPr>
              <w:pStyle w:val="ListParagraph"/>
              <w:numPr>
                <w:ilvl w:val="0"/>
                <w:numId w:val="19"/>
              </w:numPr>
              <w:rPr>
                <w:rFonts w:ascii="Garamond" w:hAnsi="Garamond"/>
                <w:lang w:val="en-AU"/>
              </w:rPr>
            </w:pPr>
            <w:r w:rsidRPr="00EF7F60">
              <w:rPr>
                <w:rFonts w:ascii="Garamond" w:hAnsi="Garamond"/>
                <w:lang w:val="en-AU"/>
              </w:rPr>
              <w:t xml:space="preserve">No Quick Fixes: Integrating </w:t>
            </w:r>
            <w:r w:rsidRPr="00EF7F60">
              <w:rPr>
                <w:rFonts w:ascii="Garamond" w:hAnsi="Garamond"/>
                <w:b/>
                <w:bCs/>
                <w:lang w:val="en-AU"/>
              </w:rPr>
              <w:t>Population Health Education and Quality Improvement</w:t>
            </w:r>
            <w:r w:rsidRPr="00EF7F60">
              <w:rPr>
                <w:rFonts w:ascii="Garamond" w:hAnsi="Garamond"/>
                <w:lang w:val="en-AU"/>
              </w:rPr>
              <w:t xml:space="preserve"> in a Large Residency Program (John Paul Shoup, Azalea Kim, Jonathan Wilson, Jane Pendergast, Benjamin L Ranard, Joel C Boggan</w:t>
            </w:r>
            <w:r>
              <w:rPr>
                <w:rFonts w:ascii="Garamond" w:hAnsi="Garamond"/>
                <w:lang w:val="en-AU"/>
              </w:rPr>
              <w:t>)</w:t>
            </w:r>
          </w:p>
          <w:p w14:paraId="7D73BC28" w14:textId="47BFA8B8" w:rsidR="00EF7F60" w:rsidRPr="00EF7F60" w:rsidRDefault="00EF7F60" w:rsidP="00235E75">
            <w:pPr>
              <w:pStyle w:val="ListParagraph"/>
              <w:numPr>
                <w:ilvl w:val="0"/>
                <w:numId w:val="19"/>
              </w:numPr>
              <w:rPr>
                <w:rFonts w:ascii="Garamond" w:hAnsi="Garamond"/>
                <w:lang w:val="en-AU"/>
              </w:rPr>
            </w:pPr>
            <w:r w:rsidRPr="00EF7F60">
              <w:rPr>
                <w:rFonts w:ascii="Garamond" w:hAnsi="Garamond"/>
                <w:lang w:val="en-AU"/>
              </w:rPr>
              <w:t xml:space="preserve">Interprofessional Collaborative Practice Improves Access to Care and Healthcare Quality to Advance </w:t>
            </w:r>
            <w:r w:rsidRPr="00EF7F60">
              <w:rPr>
                <w:rFonts w:ascii="Garamond" w:hAnsi="Garamond"/>
                <w:b/>
                <w:bCs/>
                <w:lang w:val="en-AU"/>
              </w:rPr>
              <w:t>Health Equity</w:t>
            </w:r>
            <w:r w:rsidRPr="00EF7F60">
              <w:rPr>
                <w:rFonts w:ascii="Garamond" w:hAnsi="Garamond"/>
                <w:lang w:val="en-AU"/>
              </w:rPr>
              <w:t xml:space="preserve"> (Connie White-Williams, Vera Bittner, Reid Eagleson, Morgan Feltman, Maria Shirey</w:t>
            </w:r>
            <w:r>
              <w:rPr>
                <w:rFonts w:ascii="Garamond" w:hAnsi="Garamond"/>
                <w:lang w:val="en-AU"/>
              </w:rPr>
              <w:t>)</w:t>
            </w:r>
          </w:p>
          <w:p w14:paraId="645DB0A7" w14:textId="3CD4F6E6" w:rsidR="00E02472" w:rsidRPr="00292B57" w:rsidRDefault="00EF7F60" w:rsidP="00EF7F60">
            <w:pPr>
              <w:pStyle w:val="ListParagraph"/>
              <w:numPr>
                <w:ilvl w:val="0"/>
                <w:numId w:val="19"/>
              </w:numPr>
              <w:rPr>
                <w:rFonts w:ascii="Garamond" w:hAnsi="Garamond"/>
                <w:lang w:val="en-AU"/>
              </w:rPr>
            </w:pPr>
            <w:r w:rsidRPr="00EF7F60">
              <w:rPr>
                <w:rFonts w:ascii="Garamond" w:hAnsi="Garamond"/>
                <w:lang w:val="en-AU"/>
              </w:rPr>
              <w:t xml:space="preserve">Implementing a Process for </w:t>
            </w:r>
            <w:r w:rsidRPr="00EF7F60">
              <w:rPr>
                <w:rFonts w:ascii="Garamond" w:hAnsi="Garamond"/>
                <w:b/>
                <w:bCs/>
                <w:lang w:val="en-AU"/>
              </w:rPr>
              <w:t xml:space="preserve">Screening Hospitalized Adults for Food Insecurity </w:t>
            </w:r>
            <w:r w:rsidRPr="00EF7F60">
              <w:rPr>
                <w:rFonts w:ascii="Garamond" w:hAnsi="Garamond"/>
                <w:lang w:val="en-AU"/>
              </w:rPr>
              <w:t>at a Tertiary Care Center (Emily Gore, Joseph DiTursi, Richard Rambuss, Elizabeth Pope-Collins, Meghan K Train)</w:t>
            </w:r>
          </w:p>
        </w:tc>
      </w:tr>
    </w:tbl>
    <w:p w14:paraId="065A1EDE" w14:textId="6E064A13" w:rsidR="00E02472" w:rsidRDefault="00E02472" w:rsidP="00E02472">
      <w:pPr>
        <w:keepNext/>
        <w:keepLines/>
        <w:autoSpaceDE w:val="0"/>
        <w:autoSpaceDN w:val="0"/>
        <w:adjustRightInd w:val="0"/>
        <w:rPr>
          <w:rFonts w:ascii="Garamond" w:hAnsi="Garamond"/>
          <w:i/>
          <w:iCs/>
          <w:lang w:val="en-AU"/>
        </w:rPr>
      </w:pPr>
    </w:p>
    <w:p w14:paraId="059563D7" w14:textId="14A8CFE5" w:rsidR="00ED3158" w:rsidRDefault="00ED3158" w:rsidP="00ED3158">
      <w:pPr>
        <w:keepNext/>
        <w:rPr>
          <w:rFonts w:ascii="Garamond" w:hAnsi="Garamond"/>
          <w:i/>
          <w:lang w:val="en-AU"/>
        </w:rPr>
      </w:pPr>
      <w:r>
        <w:rPr>
          <w:rFonts w:ascii="Garamond" w:hAnsi="Garamond"/>
          <w:i/>
          <w:lang w:val="en-AU"/>
        </w:rPr>
        <w:t>Pharmacy Practice and Research</w:t>
      </w:r>
    </w:p>
    <w:p w14:paraId="4F23CFA0" w14:textId="61FAF133" w:rsidR="00ED3158" w:rsidRPr="008C1C03" w:rsidRDefault="00ED3158" w:rsidP="00ED3158">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Pr>
          <w:rFonts w:ascii="Garamond" w:hAnsi="Garamond"/>
          <w:iCs/>
          <w:lang w:val="en-AU"/>
        </w:rPr>
        <w:t>52</w:t>
      </w:r>
      <w:r w:rsidRPr="00EE17BC">
        <w:rPr>
          <w:rFonts w:ascii="Garamond" w:hAnsi="Garamond"/>
          <w:iCs/>
          <w:lang w:val="en-AU"/>
        </w:rPr>
        <w:t xml:space="preserve">, </w:t>
      </w:r>
      <w:r>
        <w:rPr>
          <w:rFonts w:ascii="Garamond" w:hAnsi="Garamond"/>
          <w:iCs/>
          <w:lang w:val="en-AU"/>
        </w:rPr>
        <w:t xml:space="preserve">Issue 4, August </w:t>
      </w:r>
      <w:r w:rsidRPr="00EF7F60">
        <w:rPr>
          <w:rFonts w:ascii="Garamond" w:hAnsi="Garamond"/>
          <w:iCs/>
          <w:lang w:val="en-AU"/>
        </w:rPr>
        <w:t xml:space="preserve"> 2022</w:t>
      </w:r>
    </w:p>
    <w:tbl>
      <w:tblPr>
        <w:tblStyle w:val="TableGrid"/>
        <w:tblW w:w="9360" w:type="dxa"/>
        <w:tblInd w:w="288" w:type="dxa"/>
        <w:tblLayout w:type="fixed"/>
        <w:tblLook w:val="01E0" w:firstRow="1" w:lastRow="1" w:firstColumn="1" w:lastColumn="1" w:noHBand="0" w:noVBand="0"/>
      </w:tblPr>
      <w:tblGrid>
        <w:gridCol w:w="1080"/>
        <w:gridCol w:w="8280"/>
      </w:tblGrid>
      <w:tr w:rsidR="00ED3158" w:rsidRPr="000170DA" w14:paraId="15EFE876" w14:textId="77777777" w:rsidTr="00335B14">
        <w:tc>
          <w:tcPr>
            <w:tcW w:w="1080" w:type="dxa"/>
            <w:tcBorders>
              <w:top w:val="single" w:sz="4" w:space="0" w:color="auto"/>
              <w:left w:val="single" w:sz="4" w:space="0" w:color="auto"/>
              <w:bottom w:val="single" w:sz="4" w:space="0" w:color="auto"/>
              <w:right w:val="single" w:sz="4" w:space="0" w:color="auto"/>
            </w:tcBorders>
            <w:vAlign w:val="center"/>
          </w:tcPr>
          <w:p w14:paraId="2BE11784" w14:textId="77777777" w:rsidR="00ED3158" w:rsidRPr="000170DA" w:rsidRDefault="00ED3158" w:rsidP="00335B1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54FEACE" w14:textId="766DBE73" w:rsidR="00ED3158" w:rsidRPr="003E524C" w:rsidRDefault="001A62B1" w:rsidP="00335B14">
            <w:pPr>
              <w:keepNext/>
              <w:rPr>
                <w:rStyle w:val="Hyperlink"/>
                <w:rFonts w:ascii="Garamond" w:hAnsi="Garamond"/>
                <w:color w:val="auto"/>
                <w:u w:val="none"/>
                <w:lang w:val="en-AU"/>
              </w:rPr>
            </w:pPr>
            <w:hyperlink r:id="rId26" w:history="1">
              <w:r w:rsidR="00ED3158" w:rsidRPr="0092069C">
                <w:rPr>
                  <w:rStyle w:val="Hyperlink"/>
                  <w:rFonts w:ascii="Garamond" w:hAnsi="Garamond"/>
                  <w:lang w:val="en-AU"/>
                </w:rPr>
                <w:t>https://onlinelibrary.wiley.com/toc/20552335/2022/52/4</w:t>
              </w:r>
            </w:hyperlink>
          </w:p>
        </w:tc>
      </w:tr>
      <w:tr w:rsidR="00ED3158" w:rsidRPr="000170DA" w14:paraId="43261A7F" w14:textId="77777777" w:rsidTr="00335B14">
        <w:tc>
          <w:tcPr>
            <w:tcW w:w="1080" w:type="dxa"/>
            <w:tcBorders>
              <w:top w:val="single" w:sz="4" w:space="0" w:color="auto"/>
              <w:left w:val="single" w:sz="4" w:space="0" w:color="auto"/>
              <w:bottom w:val="single" w:sz="4" w:space="0" w:color="auto"/>
              <w:right w:val="single" w:sz="4" w:space="0" w:color="auto"/>
            </w:tcBorders>
            <w:vAlign w:val="center"/>
          </w:tcPr>
          <w:p w14:paraId="2FB5A1A7" w14:textId="77777777" w:rsidR="00ED3158" w:rsidRPr="000170DA" w:rsidRDefault="00ED3158" w:rsidP="00335B14">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60752A4" w14:textId="532B9041" w:rsidR="00ED3158" w:rsidRPr="00292B57" w:rsidRDefault="00ED3158" w:rsidP="00335B14">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lang w:val="en-AU"/>
              </w:rPr>
              <w:t>Pharmacy Practice and Research</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Pharmacy Practice and Research</w:t>
            </w:r>
            <w:r w:rsidRPr="00B440ED">
              <w:rPr>
                <w:rFonts w:ascii="Garamond" w:hAnsi="Garamond"/>
                <w:lang w:val="en-AU"/>
              </w:rPr>
              <w:t xml:space="preserve"> include:</w:t>
            </w:r>
          </w:p>
          <w:p w14:paraId="0700D303" w14:textId="77777777" w:rsidR="00ED3158" w:rsidRDefault="00ED3158" w:rsidP="00C70ED6">
            <w:pPr>
              <w:pStyle w:val="ListParagraph"/>
              <w:numPr>
                <w:ilvl w:val="0"/>
                <w:numId w:val="19"/>
              </w:numPr>
              <w:rPr>
                <w:rFonts w:ascii="Garamond" w:hAnsi="Garamond"/>
                <w:lang w:val="en-AU"/>
              </w:rPr>
            </w:pPr>
            <w:r w:rsidRPr="00ED3158">
              <w:rPr>
                <w:rFonts w:ascii="Garamond" w:hAnsi="Garamond"/>
                <w:lang w:val="en-AU"/>
              </w:rPr>
              <w:t xml:space="preserve">Editorial: </w:t>
            </w:r>
            <w:r w:rsidRPr="00ED3158">
              <w:rPr>
                <w:rFonts w:ascii="Garamond" w:hAnsi="Garamond"/>
                <w:b/>
                <w:bCs/>
                <w:lang w:val="en-AU"/>
              </w:rPr>
              <w:t>Embedding pharmacists in residential aged care</w:t>
            </w:r>
            <w:r w:rsidRPr="00ED3158">
              <w:rPr>
                <w:rFonts w:ascii="Garamond" w:hAnsi="Garamond"/>
                <w:lang w:val="en-AU"/>
              </w:rPr>
              <w:t>: Why it's important to integrate resident- and system-level services (Amanda J Cross, Adam La Caze, Michelle Steeper, J Simon Bell</w:t>
            </w:r>
            <w:r>
              <w:rPr>
                <w:rFonts w:ascii="Garamond" w:hAnsi="Garamond"/>
                <w:lang w:val="en-AU"/>
              </w:rPr>
              <w:t>)</w:t>
            </w:r>
          </w:p>
          <w:p w14:paraId="3787935B" w14:textId="244E3084" w:rsidR="00ED3158" w:rsidRPr="00ED3158" w:rsidRDefault="00ED3158" w:rsidP="00040B44">
            <w:pPr>
              <w:pStyle w:val="ListParagraph"/>
              <w:numPr>
                <w:ilvl w:val="0"/>
                <w:numId w:val="19"/>
              </w:numPr>
              <w:rPr>
                <w:rFonts w:ascii="Garamond" w:hAnsi="Garamond"/>
                <w:lang w:val="en-AU"/>
              </w:rPr>
            </w:pPr>
            <w:r w:rsidRPr="00ED3158">
              <w:rPr>
                <w:rFonts w:ascii="Garamond" w:hAnsi="Garamond"/>
                <w:lang w:val="en-AU"/>
              </w:rPr>
              <w:t xml:space="preserve">Challenges and opportunities relating to </w:t>
            </w:r>
            <w:r w:rsidRPr="00ED3158">
              <w:rPr>
                <w:rFonts w:ascii="Garamond" w:hAnsi="Garamond"/>
                <w:b/>
                <w:bCs/>
                <w:lang w:val="en-AU"/>
              </w:rPr>
              <w:t>medication safety: learning from coroners' cases</w:t>
            </w:r>
            <w:r w:rsidRPr="00ED3158">
              <w:rPr>
                <w:rFonts w:ascii="Garamond" w:hAnsi="Garamond"/>
                <w:lang w:val="en-AU"/>
              </w:rPr>
              <w:t xml:space="preserve"> (Joseph E Ibrahim</w:t>
            </w:r>
            <w:r>
              <w:rPr>
                <w:rFonts w:ascii="Garamond" w:hAnsi="Garamond"/>
                <w:lang w:val="en-AU"/>
              </w:rPr>
              <w:t>)</w:t>
            </w:r>
          </w:p>
          <w:p w14:paraId="70E6D00B" w14:textId="52943AE7" w:rsidR="00ED3158" w:rsidRDefault="00ED3158" w:rsidP="003341AF">
            <w:pPr>
              <w:pStyle w:val="ListParagraph"/>
              <w:numPr>
                <w:ilvl w:val="0"/>
                <w:numId w:val="19"/>
              </w:numPr>
              <w:rPr>
                <w:rFonts w:ascii="Garamond" w:hAnsi="Garamond"/>
                <w:lang w:val="en-AU"/>
              </w:rPr>
            </w:pPr>
            <w:r w:rsidRPr="00ED3158">
              <w:rPr>
                <w:rFonts w:ascii="Garamond" w:hAnsi="Garamond"/>
                <w:b/>
                <w:bCs/>
                <w:lang w:val="en-AU"/>
              </w:rPr>
              <w:t>Building a pharmacy workforce</w:t>
            </w:r>
            <w:r w:rsidRPr="00ED3158">
              <w:rPr>
                <w:rFonts w:ascii="Garamond" w:hAnsi="Garamond"/>
                <w:lang w:val="en-AU"/>
              </w:rPr>
              <w:t xml:space="preserve"> from the ground up to support the COVID-19 vaccine rollout: lessons learned and recommendations (Asad E Patanwala, Rosemary Burke, Alexander McNamara, Parisa Aslani</w:t>
            </w:r>
            <w:r>
              <w:rPr>
                <w:rFonts w:ascii="Garamond" w:hAnsi="Garamond"/>
                <w:lang w:val="en-AU"/>
              </w:rPr>
              <w:t>,</w:t>
            </w:r>
            <w:r w:rsidRPr="00ED3158">
              <w:rPr>
                <w:rFonts w:ascii="Garamond" w:hAnsi="Garamond"/>
                <w:lang w:val="en-AU"/>
              </w:rPr>
              <w:t xml:space="preserve"> Andrew J McLachlan</w:t>
            </w:r>
            <w:r>
              <w:rPr>
                <w:rFonts w:ascii="Garamond" w:hAnsi="Garamond"/>
                <w:lang w:val="en-AU"/>
              </w:rPr>
              <w:t>)</w:t>
            </w:r>
          </w:p>
          <w:p w14:paraId="7483B2F3" w14:textId="775BE032" w:rsidR="00ED3158" w:rsidRPr="00ED3158" w:rsidRDefault="00ED3158" w:rsidP="00364E6A">
            <w:pPr>
              <w:pStyle w:val="ListParagraph"/>
              <w:numPr>
                <w:ilvl w:val="0"/>
                <w:numId w:val="19"/>
              </w:numPr>
              <w:rPr>
                <w:rFonts w:ascii="Garamond" w:hAnsi="Garamond"/>
                <w:lang w:val="en-AU"/>
              </w:rPr>
            </w:pPr>
            <w:r w:rsidRPr="00ED3158">
              <w:rPr>
                <w:rFonts w:ascii="Garamond" w:hAnsi="Garamond"/>
                <w:lang w:val="en-AU"/>
              </w:rPr>
              <w:t xml:space="preserve">A benchmarking scoping review of </w:t>
            </w:r>
            <w:r w:rsidRPr="00ED3158">
              <w:rPr>
                <w:rFonts w:ascii="Garamond" w:hAnsi="Garamond"/>
                <w:b/>
                <w:bCs/>
                <w:lang w:val="en-AU"/>
              </w:rPr>
              <w:t>research output from hospital pharmacy departments</w:t>
            </w:r>
            <w:r w:rsidRPr="00ED3158">
              <w:rPr>
                <w:rFonts w:ascii="Garamond" w:hAnsi="Garamond"/>
                <w:lang w:val="en-AU"/>
              </w:rPr>
              <w:t xml:space="preserve"> in Australia (Jonathan Penm, Sujita Narayan, Jan-Willem Alffenaar, Jacinta L Johnson, Sanja Mirkov, Amy T Page, Lisa G Pont, Asad E Patanwala</w:t>
            </w:r>
            <w:r>
              <w:rPr>
                <w:rFonts w:ascii="Garamond" w:hAnsi="Garamond"/>
                <w:lang w:val="en-AU"/>
              </w:rPr>
              <w:t>)</w:t>
            </w:r>
          </w:p>
          <w:p w14:paraId="17CC35B6" w14:textId="77777777" w:rsidR="00ED3158" w:rsidRDefault="00ED3158" w:rsidP="002D376A">
            <w:pPr>
              <w:pStyle w:val="ListParagraph"/>
              <w:numPr>
                <w:ilvl w:val="0"/>
                <w:numId w:val="19"/>
              </w:numPr>
              <w:rPr>
                <w:rFonts w:ascii="Garamond" w:hAnsi="Garamond"/>
                <w:lang w:val="en-AU"/>
              </w:rPr>
            </w:pPr>
            <w:r w:rsidRPr="00ED3158">
              <w:rPr>
                <w:rFonts w:ascii="Garamond" w:hAnsi="Garamond"/>
                <w:b/>
                <w:bCs/>
                <w:lang w:val="en-AU"/>
              </w:rPr>
              <w:t>Swallowing safety of oral liquid medications</w:t>
            </w:r>
            <w:r w:rsidRPr="00ED3158">
              <w:rPr>
                <w:rFonts w:ascii="Garamond" w:hAnsi="Garamond"/>
                <w:lang w:val="en-AU"/>
              </w:rPr>
              <w:t>: assessment using the International Dysphagia Diet Standardisation Initiative framework (Kathryn J Steadman, Min-Tz Weng Marwa A Malouh, Keli Symons, Julie A Y Cichero</w:t>
            </w:r>
            <w:r>
              <w:rPr>
                <w:rFonts w:ascii="Garamond" w:hAnsi="Garamond"/>
                <w:lang w:val="en-AU"/>
              </w:rPr>
              <w:t>)</w:t>
            </w:r>
          </w:p>
          <w:p w14:paraId="06E90C3B" w14:textId="77777777" w:rsidR="00ED3158" w:rsidRDefault="00ED3158" w:rsidP="00130CFC">
            <w:pPr>
              <w:pStyle w:val="ListParagraph"/>
              <w:numPr>
                <w:ilvl w:val="0"/>
                <w:numId w:val="19"/>
              </w:numPr>
              <w:rPr>
                <w:rFonts w:ascii="Garamond" w:hAnsi="Garamond"/>
                <w:lang w:val="en-AU"/>
              </w:rPr>
            </w:pPr>
            <w:r w:rsidRPr="00ED3158">
              <w:rPr>
                <w:rFonts w:ascii="Garamond" w:hAnsi="Garamond"/>
                <w:b/>
                <w:bCs/>
                <w:lang w:val="en-AU"/>
              </w:rPr>
              <w:t>Knowledge and perceptions of outpatients regarding upper respiratory tract infections</w:t>
            </w:r>
            <w:r w:rsidRPr="00ED3158">
              <w:rPr>
                <w:rFonts w:ascii="Garamond" w:hAnsi="Garamond"/>
                <w:lang w:val="en-AU"/>
              </w:rPr>
              <w:t xml:space="preserve"> and awareness of an Antibiotics Smart Use campaign in Thailand (Pacharaporn Phueanpinit, Nongchanok Siriwattanasakul, Penpit Tichakorn, Siranan Klanbut</w:t>
            </w:r>
            <w:r>
              <w:rPr>
                <w:rFonts w:ascii="Garamond" w:hAnsi="Garamond"/>
                <w:lang w:val="en-AU"/>
              </w:rPr>
              <w:t>)</w:t>
            </w:r>
          </w:p>
          <w:p w14:paraId="674B65FB" w14:textId="77777777" w:rsidR="00ED3158" w:rsidRDefault="00ED3158" w:rsidP="008907D8">
            <w:pPr>
              <w:pStyle w:val="ListParagraph"/>
              <w:numPr>
                <w:ilvl w:val="0"/>
                <w:numId w:val="19"/>
              </w:numPr>
              <w:rPr>
                <w:rFonts w:ascii="Garamond" w:hAnsi="Garamond"/>
                <w:lang w:val="en-AU"/>
              </w:rPr>
            </w:pPr>
            <w:r w:rsidRPr="00ED3158">
              <w:rPr>
                <w:rFonts w:ascii="Garamond" w:hAnsi="Garamond"/>
                <w:lang w:val="en-AU"/>
              </w:rPr>
              <w:t xml:space="preserve">Efficacy and safety of </w:t>
            </w:r>
            <w:r w:rsidRPr="00ED3158">
              <w:rPr>
                <w:rFonts w:ascii="Garamond" w:hAnsi="Garamond"/>
                <w:b/>
                <w:bCs/>
                <w:lang w:val="en-AU"/>
              </w:rPr>
              <w:t>tolvaptan in chronic heart failure</w:t>
            </w:r>
            <w:r w:rsidRPr="00ED3158">
              <w:rPr>
                <w:rFonts w:ascii="Garamond" w:hAnsi="Garamond"/>
                <w:lang w:val="en-AU"/>
              </w:rPr>
              <w:t xml:space="preserve"> (Tomonori Oya, Junya Sato, Kayoko Maezawa, Nobuyuki Shiba, Morihiko Takeda, Yasuyuki Momose</w:t>
            </w:r>
            <w:r>
              <w:rPr>
                <w:rFonts w:ascii="Garamond" w:hAnsi="Garamond"/>
                <w:lang w:val="en-AU"/>
              </w:rPr>
              <w:t>)</w:t>
            </w:r>
          </w:p>
          <w:p w14:paraId="47229783" w14:textId="77777777" w:rsidR="00ED3158" w:rsidRDefault="00ED3158" w:rsidP="00A7585A">
            <w:pPr>
              <w:pStyle w:val="ListParagraph"/>
              <w:numPr>
                <w:ilvl w:val="0"/>
                <w:numId w:val="19"/>
              </w:numPr>
              <w:rPr>
                <w:rFonts w:ascii="Garamond" w:hAnsi="Garamond"/>
                <w:lang w:val="en-AU"/>
              </w:rPr>
            </w:pPr>
            <w:r w:rsidRPr="00ED3158">
              <w:rPr>
                <w:rFonts w:ascii="Garamond" w:hAnsi="Garamond"/>
                <w:b/>
                <w:bCs/>
                <w:lang w:val="en-AU"/>
              </w:rPr>
              <w:t>Type 2 Diabetes mellitus treatment intensification and deintensification in primary care</w:t>
            </w:r>
            <w:r w:rsidRPr="00ED3158">
              <w:rPr>
                <w:rFonts w:ascii="Garamond" w:hAnsi="Garamond"/>
                <w:lang w:val="en-AU"/>
              </w:rPr>
              <w:t>: a retrospective cohort study (Jay An Wong, Isabel Young, Ruth Sim, Kok Pim Kua, Shaun Wen Huey Lee</w:t>
            </w:r>
            <w:r>
              <w:rPr>
                <w:rFonts w:ascii="Garamond" w:hAnsi="Garamond"/>
                <w:lang w:val="en-AU"/>
              </w:rPr>
              <w:t>)</w:t>
            </w:r>
          </w:p>
          <w:p w14:paraId="50526A4D" w14:textId="77777777" w:rsidR="00ED3158" w:rsidRDefault="00ED3158" w:rsidP="00154897">
            <w:pPr>
              <w:pStyle w:val="ListParagraph"/>
              <w:numPr>
                <w:ilvl w:val="0"/>
                <w:numId w:val="19"/>
              </w:numPr>
              <w:rPr>
                <w:rFonts w:ascii="Garamond" w:hAnsi="Garamond"/>
                <w:lang w:val="en-AU"/>
              </w:rPr>
            </w:pPr>
            <w:r w:rsidRPr="00ED3158">
              <w:rPr>
                <w:rFonts w:ascii="Garamond" w:hAnsi="Garamond"/>
                <w:lang w:val="en-AU"/>
              </w:rPr>
              <w:t xml:space="preserve">Impact of COVID-19 pandemic on </w:t>
            </w:r>
            <w:r w:rsidRPr="00ED3158">
              <w:rPr>
                <w:rFonts w:ascii="Garamond" w:hAnsi="Garamond"/>
                <w:b/>
                <w:bCs/>
                <w:lang w:val="en-AU"/>
              </w:rPr>
              <w:t>pharmacist-led allergy assessments and penicillin skin testing</w:t>
            </w:r>
            <w:r w:rsidRPr="00ED3158">
              <w:rPr>
                <w:rFonts w:ascii="Garamond" w:hAnsi="Garamond"/>
                <w:lang w:val="en-AU"/>
              </w:rPr>
              <w:t xml:space="preserve"> (Justin Spivey, Connor R Deri, Rebekah H Wrenn, Nicholas A Turner</w:t>
            </w:r>
            <w:r>
              <w:rPr>
                <w:rFonts w:ascii="Garamond" w:hAnsi="Garamond"/>
                <w:lang w:val="en-AU"/>
              </w:rPr>
              <w:t>)</w:t>
            </w:r>
          </w:p>
          <w:p w14:paraId="113965F3" w14:textId="7BCFC1A3" w:rsidR="00ED3158" w:rsidRPr="00ED3158" w:rsidRDefault="00ED3158" w:rsidP="004643D4">
            <w:pPr>
              <w:pStyle w:val="ListParagraph"/>
              <w:numPr>
                <w:ilvl w:val="0"/>
                <w:numId w:val="19"/>
              </w:numPr>
              <w:rPr>
                <w:rFonts w:ascii="Garamond" w:hAnsi="Garamond"/>
                <w:lang w:val="en-AU"/>
              </w:rPr>
            </w:pPr>
            <w:r w:rsidRPr="00ED3158">
              <w:rPr>
                <w:rFonts w:ascii="Garamond" w:hAnsi="Garamond"/>
                <w:lang w:val="en-AU"/>
              </w:rPr>
              <w:t xml:space="preserve">Infusion reaction incidence after switching all patients to an </w:t>
            </w:r>
            <w:r w:rsidRPr="00ED3158">
              <w:rPr>
                <w:rFonts w:ascii="Garamond" w:hAnsi="Garamond"/>
                <w:b/>
                <w:bCs/>
                <w:lang w:val="en-AU"/>
              </w:rPr>
              <w:t>infliximab biosimilar</w:t>
            </w:r>
            <w:r w:rsidRPr="00ED3158">
              <w:rPr>
                <w:rFonts w:ascii="Garamond" w:hAnsi="Garamond"/>
                <w:lang w:val="en-AU"/>
              </w:rPr>
              <w:t xml:space="preserve"> in an Australian hospital (Sarah Whatmough, Centaine Snoswell, Gavin Callaghan, Grace Lucas, Michael Barras, Christopher Morris</w:t>
            </w:r>
            <w:r>
              <w:rPr>
                <w:rFonts w:ascii="Garamond" w:hAnsi="Garamond"/>
                <w:lang w:val="en-AU"/>
              </w:rPr>
              <w:t>)</w:t>
            </w:r>
          </w:p>
          <w:p w14:paraId="0D850539" w14:textId="518BF511" w:rsidR="00ED3158" w:rsidRPr="00292B57" w:rsidRDefault="00ED3158" w:rsidP="00ED3158">
            <w:pPr>
              <w:pStyle w:val="ListParagraph"/>
              <w:numPr>
                <w:ilvl w:val="0"/>
                <w:numId w:val="19"/>
              </w:numPr>
              <w:rPr>
                <w:rFonts w:ascii="Garamond" w:hAnsi="Garamond"/>
                <w:lang w:val="en-AU"/>
              </w:rPr>
            </w:pPr>
            <w:r w:rsidRPr="00ED3158">
              <w:rPr>
                <w:rFonts w:ascii="Garamond" w:hAnsi="Garamond"/>
                <w:b/>
                <w:bCs/>
                <w:lang w:val="en-AU"/>
              </w:rPr>
              <w:lastRenderedPageBreak/>
              <w:t>Australian hospital outpatient pharmacies: service adaptations</w:t>
            </w:r>
            <w:r w:rsidRPr="00ED3158">
              <w:rPr>
                <w:rFonts w:ascii="Garamond" w:hAnsi="Garamond"/>
                <w:lang w:val="en-AU"/>
              </w:rPr>
              <w:t xml:space="preserve"> during the 2020 national coronavirus disease 2019 lockdown</w:t>
            </w:r>
            <w:r>
              <w:rPr>
                <w:rFonts w:ascii="Garamond" w:hAnsi="Garamond"/>
                <w:lang w:val="en-AU"/>
              </w:rPr>
              <w:t xml:space="preserve"> (</w:t>
            </w:r>
            <w:r w:rsidRPr="00ED3158">
              <w:rPr>
                <w:rFonts w:ascii="Garamond" w:hAnsi="Garamond"/>
                <w:lang w:val="en-AU"/>
              </w:rPr>
              <w:t>Sarah Wise, Matthew J Coleshill, Natalie Taylor, Michelle Le, Deborah Debono, Richard O Day, Terry Melocco, Melissa T Baysari, Tracey-Lea Laba, Jane E Carland</w:t>
            </w:r>
            <w:r>
              <w:rPr>
                <w:rFonts w:ascii="Garamond" w:hAnsi="Garamond"/>
                <w:lang w:val="en-AU"/>
              </w:rPr>
              <w:t>)</w:t>
            </w:r>
          </w:p>
        </w:tc>
      </w:tr>
    </w:tbl>
    <w:p w14:paraId="0254AD9F" w14:textId="77777777" w:rsidR="00ED3158" w:rsidRDefault="00ED3158" w:rsidP="00E02472">
      <w:pPr>
        <w:keepNext/>
        <w:keepLines/>
        <w:autoSpaceDE w:val="0"/>
        <w:autoSpaceDN w:val="0"/>
        <w:adjustRightInd w:val="0"/>
        <w:rPr>
          <w:rFonts w:ascii="Garamond" w:hAnsi="Garamond"/>
          <w:i/>
          <w:iCs/>
          <w:lang w:val="en-AU"/>
        </w:rPr>
      </w:pPr>
    </w:p>
    <w:p w14:paraId="4A5EEF35" w14:textId="77777777" w:rsidR="00E02472" w:rsidRPr="00E37911" w:rsidRDefault="00E02472" w:rsidP="00E02472">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E02472" w:rsidRPr="00E37911" w14:paraId="6BE80074" w14:textId="77777777" w:rsidTr="00CF0FC6">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70BA5D0" w14:textId="77777777" w:rsidR="00E02472" w:rsidRPr="00E37911" w:rsidRDefault="00E02472" w:rsidP="00CF0FC6">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54E4E312" w14:textId="77777777" w:rsidR="00E02472" w:rsidRPr="00E37911" w:rsidRDefault="001A62B1" w:rsidP="00CF0FC6">
            <w:pPr>
              <w:keepNext/>
              <w:rPr>
                <w:rFonts w:ascii="Garamond" w:hAnsi="Garamond"/>
                <w:lang w:val="en-AU"/>
              </w:rPr>
            </w:pPr>
            <w:hyperlink r:id="rId27" w:history="1">
              <w:r w:rsidR="00E02472" w:rsidRPr="00E37911">
                <w:rPr>
                  <w:rStyle w:val="Hyperlink"/>
                  <w:rFonts w:ascii="Garamond" w:hAnsi="Garamond"/>
                  <w:lang w:val="en-AU"/>
                </w:rPr>
                <w:t>https://qualitysafety.bmj.com/content/early/recent</w:t>
              </w:r>
            </w:hyperlink>
          </w:p>
        </w:tc>
      </w:tr>
      <w:tr w:rsidR="00E02472" w:rsidRPr="00E37911" w14:paraId="3280B28A"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3E6656F4" w14:textId="77777777" w:rsidR="00E02472" w:rsidRPr="00E37911" w:rsidRDefault="00E02472" w:rsidP="00CF0FC6">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722AF5F" w14:textId="77777777" w:rsidR="00E02472" w:rsidRPr="00E37911" w:rsidRDefault="00E02472" w:rsidP="00CF0FC6">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08AEBC76" w14:textId="1E939E18" w:rsidR="00E02472" w:rsidRPr="00E37911" w:rsidRDefault="00DC0AB9" w:rsidP="00DC0AB9">
            <w:pPr>
              <w:pStyle w:val="ListParagraph"/>
              <w:numPr>
                <w:ilvl w:val="0"/>
                <w:numId w:val="17"/>
              </w:numPr>
              <w:rPr>
                <w:rFonts w:ascii="Garamond" w:hAnsi="Garamond"/>
                <w:lang w:val="en-AU"/>
              </w:rPr>
            </w:pPr>
            <w:r w:rsidRPr="00DC0AB9">
              <w:rPr>
                <w:rFonts w:ascii="Garamond" w:hAnsi="Garamond"/>
                <w:b/>
                <w:bCs/>
                <w:lang w:val="en-AU"/>
              </w:rPr>
              <w:t>Communication about sexual orientation and gender</w:t>
            </w:r>
            <w:r w:rsidRPr="00DC0AB9">
              <w:rPr>
                <w:rFonts w:ascii="Garamond" w:hAnsi="Garamond"/>
                <w:lang w:val="en-AU"/>
              </w:rPr>
              <w:t xml:space="preserve"> between clinicians, LGBT+ people facing serious illness and their significant others: a qualitative interview study of experiences, preferences and recommendations </w:t>
            </w:r>
            <w:r>
              <w:rPr>
                <w:rFonts w:ascii="Garamond" w:hAnsi="Garamond"/>
                <w:lang w:val="en-AU"/>
              </w:rPr>
              <w:t>(</w:t>
            </w:r>
            <w:r w:rsidRPr="00DC0AB9">
              <w:rPr>
                <w:rFonts w:ascii="Garamond" w:hAnsi="Garamond"/>
                <w:lang w:val="en-AU"/>
              </w:rPr>
              <w:t>Debbie Braybrook, Katherine Bristowe, Liadh Timmins, Anna Roach, Elizabeth Day, Paul Clift, Ruth Rose, Steve Marshall, Katherine Johnson, Katherine E Sleeman, Richard Harding</w:t>
            </w:r>
            <w:r>
              <w:rPr>
                <w:rFonts w:ascii="Garamond" w:hAnsi="Garamond"/>
                <w:lang w:val="en-AU"/>
              </w:rPr>
              <w:t>)</w:t>
            </w:r>
          </w:p>
        </w:tc>
      </w:tr>
    </w:tbl>
    <w:p w14:paraId="0E4E3067" w14:textId="77777777" w:rsidR="00E02472" w:rsidRPr="00E37911" w:rsidRDefault="00E02472" w:rsidP="00E02472">
      <w:pPr>
        <w:rPr>
          <w:rFonts w:ascii="Garamond" w:hAnsi="Garamond"/>
          <w:b/>
          <w:lang w:val="en-AU"/>
        </w:rPr>
      </w:pPr>
    </w:p>
    <w:p w14:paraId="68A391D8" w14:textId="77777777" w:rsidR="00E02472" w:rsidRPr="00E37911" w:rsidRDefault="00E02472" w:rsidP="00E02472">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02472" w:rsidRPr="00E37911" w14:paraId="4CB49F3C"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661EEEAC" w14:textId="77777777" w:rsidR="00E02472" w:rsidRPr="00E37911" w:rsidRDefault="00E02472" w:rsidP="00CF0FC6">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BB72934" w14:textId="77777777" w:rsidR="00E02472" w:rsidRPr="00E37911" w:rsidRDefault="001A62B1" w:rsidP="00CF0FC6">
            <w:pPr>
              <w:keepNext/>
              <w:rPr>
                <w:rFonts w:ascii="Garamond" w:hAnsi="Garamond"/>
                <w:lang w:val="en-AU"/>
              </w:rPr>
            </w:pPr>
            <w:hyperlink r:id="rId28" w:history="1">
              <w:r w:rsidR="00E02472" w:rsidRPr="00E37911">
                <w:rPr>
                  <w:rStyle w:val="Hyperlink"/>
                  <w:rFonts w:ascii="Garamond" w:hAnsi="Garamond"/>
                  <w:lang w:val="en-AU"/>
                </w:rPr>
                <w:t>https://academic.oup.com/intqhc/advance-articles</w:t>
              </w:r>
            </w:hyperlink>
          </w:p>
        </w:tc>
      </w:tr>
      <w:tr w:rsidR="00E02472" w:rsidRPr="00E37911" w14:paraId="6E547044"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484D977D" w14:textId="77777777" w:rsidR="00E02472" w:rsidRPr="00E37911" w:rsidRDefault="00E02472" w:rsidP="00CF0FC6">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B97651" w14:textId="77777777" w:rsidR="00E02472" w:rsidRDefault="00E02472" w:rsidP="00CF0FC6">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478DFE23" w14:textId="77777777" w:rsidR="00E02472" w:rsidRDefault="00E02472" w:rsidP="00E02472">
            <w:pPr>
              <w:pStyle w:val="ListParagraph"/>
              <w:numPr>
                <w:ilvl w:val="0"/>
                <w:numId w:val="14"/>
              </w:numPr>
              <w:rPr>
                <w:rFonts w:ascii="Garamond" w:hAnsi="Garamond"/>
                <w:lang w:val="en-AU"/>
              </w:rPr>
            </w:pPr>
            <w:r w:rsidRPr="00E02472">
              <w:rPr>
                <w:rFonts w:ascii="Garamond" w:hAnsi="Garamond"/>
                <w:b/>
                <w:bCs/>
                <w:lang w:val="en-AU"/>
              </w:rPr>
              <w:t>Environmental Sustainability and Quality Care</w:t>
            </w:r>
            <w:r w:rsidRPr="00E02472">
              <w:rPr>
                <w:rFonts w:ascii="Garamond" w:hAnsi="Garamond"/>
                <w:lang w:val="en-AU"/>
              </w:rPr>
              <w:t xml:space="preserve">: Not One without the Other </w:t>
            </w:r>
            <w:r>
              <w:rPr>
                <w:rFonts w:ascii="Garamond" w:hAnsi="Garamond"/>
                <w:lang w:val="en-AU"/>
              </w:rPr>
              <w:t xml:space="preserve"> (</w:t>
            </w:r>
            <w:r w:rsidRPr="00E02472">
              <w:rPr>
                <w:rFonts w:ascii="Garamond" w:hAnsi="Garamond"/>
                <w:lang w:val="en-AU"/>
              </w:rPr>
              <w:t>Nina Putnis, Matthew Neilson</w:t>
            </w:r>
            <w:r>
              <w:rPr>
                <w:rFonts w:ascii="Garamond" w:hAnsi="Garamond"/>
                <w:lang w:val="en-AU"/>
              </w:rPr>
              <w:t>)</w:t>
            </w:r>
          </w:p>
          <w:p w14:paraId="3BD6682A" w14:textId="2881A3B6" w:rsidR="00886AB7" w:rsidRPr="00886AB7" w:rsidRDefault="00886AB7" w:rsidP="00117E91">
            <w:pPr>
              <w:pStyle w:val="ListParagraph"/>
              <w:numPr>
                <w:ilvl w:val="0"/>
                <w:numId w:val="14"/>
              </w:numPr>
              <w:rPr>
                <w:rFonts w:ascii="Garamond" w:hAnsi="Garamond"/>
                <w:lang w:val="en-AU"/>
              </w:rPr>
            </w:pPr>
            <w:r w:rsidRPr="00886AB7">
              <w:rPr>
                <w:rFonts w:ascii="Garamond" w:hAnsi="Garamond"/>
                <w:lang w:val="en-AU"/>
              </w:rPr>
              <w:t xml:space="preserve">The Attitude of Hospital Directors Towards Normalising </w:t>
            </w:r>
            <w:r w:rsidRPr="00886AB7">
              <w:rPr>
                <w:rFonts w:ascii="Garamond" w:hAnsi="Garamond"/>
                <w:b/>
                <w:bCs/>
                <w:lang w:val="en-AU"/>
              </w:rPr>
              <w:t>Accreditation Standards</w:t>
            </w:r>
            <w:r w:rsidRPr="00886AB7">
              <w:rPr>
                <w:rFonts w:ascii="Garamond" w:hAnsi="Garamond"/>
                <w:lang w:val="en-AU"/>
              </w:rPr>
              <w:t>: A Qualitative Descriptive Study for Saudi Arabia (Mohammed Hussein, Milena Pavlova, Wim Groot</w:t>
            </w:r>
            <w:r>
              <w:rPr>
                <w:rFonts w:ascii="Garamond" w:hAnsi="Garamond"/>
                <w:lang w:val="en-AU"/>
              </w:rPr>
              <w:t>)</w:t>
            </w:r>
          </w:p>
          <w:p w14:paraId="5CFCEE72" w14:textId="1B1A9E36" w:rsidR="00886AB7" w:rsidRPr="009C237F" w:rsidRDefault="00886AB7" w:rsidP="00886AB7">
            <w:pPr>
              <w:pStyle w:val="ListParagraph"/>
              <w:numPr>
                <w:ilvl w:val="0"/>
                <w:numId w:val="14"/>
              </w:numPr>
              <w:rPr>
                <w:rFonts w:ascii="Garamond" w:hAnsi="Garamond"/>
                <w:lang w:val="en-AU"/>
              </w:rPr>
            </w:pPr>
            <w:r w:rsidRPr="00886AB7">
              <w:rPr>
                <w:rFonts w:ascii="Garamond" w:hAnsi="Garamond"/>
                <w:lang w:val="en-AU"/>
              </w:rPr>
              <w:t xml:space="preserve">Measure Dx: Implementing Pathways to Discover and Learn from </w:t>
            </w:r>
            <w:r w:rsidRPr="00886AB7">
              <w:rPr>
                <w:rFonts w:ascii="Garamond" w:hAnsi="Garamond"/>
                <w:b/>
                <w:bCs/>
                <w:lang w:val="en-AU"/>
              </w:rPr>
              <w:t>Diagnostic Errors</w:t>
            </w:r>
            <w:r w:rsidRPr="00886AB7">
              <w:rPr>
                <w:rFonts w:ascii="Garamond" w:hAnsi="Garamond"/>
                <w:lang w:val="en-AU"/>
              </w:rPr>
              <w:t xml:space="preserve"> </w:t>
            </w:r>
            <w:r>
              <w:rPr>
                <w:rFonts w:ascii="Garamond" w:hAnsi="Garamond"/>
                <w:lang w:val="en-AU"/>
              </w:rPr>
              <w:t>(</w:t>
            </w:r>
            <w:r w:rsidRPr="00886AB7">
              <w:rPr>
                <w:rFonts w:ascii="Garamond" w:hAnsi="Garamond"/>
                <w:lang w:val="en-AU"/>
              </w:rPr>
              <w:t>Andrea Bradford, Marjorie Shofer, Hardeep Singh</w:t>
            </w:r>
            <w:r>
              <w:rPr>
                <w:rFonts w:ascii="Garamond" w:hAnsi="Garamond"/>
                <w:lang w:val="en-AU"/>
              </w:rPr>
              <w:t>)</w:t>
            </w:r>
          </w:p>
        </w:tc>
      </w:tr>
    </w:tbl>
    <w:p w14:paraId="3863CD46" w14:textId="77777777" w:rsidR="00E02472" w:rsidRDefault="00E02472" w:rsidP="00E02472">
      <w:pPr>
        <w:rPr>
          <w:rFonts w:ascii="Garamond" w:hAnsi="Garamond"/>
          <w:i/>
          <w:lang w:val="en-AU"/>
        </w:rPr>
      </w:pPr>
    </w:p>
    <w:p w14:paraId="67C6D7E9" w14:textId="77777777" w:rsidR="00E02472" w:rsidRDefault="00E02472" w:rsidP="00E02472">
      <w:pPr>
        <w:rPr>
          <w:rFonts w:ascii="Garamond" w:hAnsi="Garamond"/>
          <w:i/>
          <w:lang w:val="en-AU"/>
        </w:rPr>
      </w:pPr>
    </w:p>
    <w:p w14:paraId="52D3CBEA" w14:textId="77777777" w:rsidR="00C86B6F" w:rsidRDefault="00C86B6F" w:rsidP="00882892">
      <w:pPr>
        <w:rPr>
          <w:rFonts w:ascii="Garamond" w:hAnsi="Garamond"/>
          <w:i/>
          <w:lang w:val="en-AU"/>
        </w:rPr>
      </w:pPr>
    </w:p>
    <w:p w14:paraId="332C5B51" w14:textId="709CCD9F"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EA5E9AB" w14:textId="77777777" w:rsidR="00E02472" w:rsidRDefault="00E02472" w:rsidP="005E4FCA">
      <w:pPr>
        <w:rPr>
          <w:rFonts w:ascii="Garamond" w:hAnsi="Garamond"/>
          <w:b/>
          <w:bCs/>
          <w:i/>
          <w:lang w:val="en-AU"/>
        </w:rPr>
      </w:pPr>
    </w:p>
    <w:p w14:paraId="63B9828C" w14:textId="77777777" w:rsidR="000E6F6C" w:rsidRPr="000E6F6C" w:rsidRDefault="000E6F6C" w:rsidP="000E6F6C">
      <w:pPr>
        <w:rPr>
          <w:rFonts w:ascii="Garamond" w:hAnsi="Garamond"/>
          <w:b/>
          <w:bCs/>
          <w:i/>
          <w:lang w:val="en-AU"/>
        </w:rPr>
      </w:pPr>
      <w:r w:rsidRPr="000E6F6C">
        <w:rPr>
          <w:rFonts w:ascii="Garamond" w:hAnsi="Garamond"/>
          <w:b/>
          <w:bCs/>
          <w:i/>
          <w:lang w:val="en-AU"/>
        </w:rPr>
        <w:t>Future Leaders Communiqué</w:t>
      </w:r>
    </w:p>
    <w:p w14:paraId="5ED2227A" w14:textId="60CF3CFB" w:rsidR="000E6F6C" w:rsidRDefault="000E6F6C" w:rsidP="000E6F6C">
      <w:pPr>
        <w:keepNext/>
        <w:rPr>
          <w:rFonts w:ascii="Garamond" w:hAnsi="Garamond"/>
          <w:lang w:val="en-AU"/>
        </w:rPr>
      </w:pPr>
      <w:r>
        <w:rPr>
          <w:rFonts w:ascii="Garamond" w:hAnsi="Garamond"/>
          <w:lang w:val="en-AU"/>
        </w:rPr>
        <w:t>Volume 7 Issue 3 July 2022</w:t>
      </w:r>
    </w:p>
    <w:p w14:paraId="571145FD" w14:textId="47E58617" w:rsidR="000E6F6C" w:rsidRDefault="001A62B1" w:rsidP="000E6F6C">
      <w:pPr>
        <w:keepNext/>
      </w:pPr>
      <w:hyperlink r:id="rId29" w:history="1">
        <w:r w:rsidR="000E6F6C" w:rsidRPr="00C60DD2">
          <w:rPr>
            <w:rStyle w:val="Hyperlink"/>
          </w:rPr>
          <w:t>https://www.thecommuniques.com/post/future-leaders-communiqu%C3%A9-volume-7-issue-3-july-2022</w:t>
        </w:r>
      </w:hyperlink>
    </w:p>
    <w:p w14:paraId="32189293" w14:textId="60A5613B" w:rsidR="00E02472" w:rsidRDefault="000E6F6C" w:rsidP="000E6F6C">
      <w:pPr>
        <w:keepNext/>
        <w:rPr>
          <w:rFonts w:ascii="Garamond" w:hAnsi="Garamond"/>
          <w:lang w:val="en-AU"/>
        </w:rPr>
      </w:pPr>
      <w:r w:rsidRPr="00D8339A">
        <w:rPr>
          <w:rFonts w:ascii="Garamond" w:hAnsi="Garamond"/>
          <w:lang w:val="en-AU"/>
        </w:rPr>
        <w:t xml:space="preserve">This issue of </w:t>
      </w:r>
      <w:r w:rsidRPr="003566C5">
        <w:rPr>
          <w:rFonts w:ascii="Garamond" w:hAnsi="Garamond"/>
          <w:i/>
          <w:lang w:val="en-AU"/>
        </w:rPr>
        <w:t>Future Leaders Communiqué</w:t>
      </w:r>
      <w:r w:rsidRPr="00D8339A">
        <w:rPr>
          <w:rFonts w:ascii="Garamond" w:hAnsi="Garamond"/>
          <w:lang w:val="en-AU"/>
        </w:rPr>
        <w:t xml:space="preserve"> focuses on</w:t>
      </w:r>
      <w:r>
        <w:rPr>
          <w:rFonts w:ascii="Garamond" w:hAnsi="Garamond"/>
          <w:lang w:val="en-AU"/>
        </w:rPr>
        <w:t xml:space="preserve"> the </w:t>
      </w:r>
      <w:r w:rsidRPr="000E6F6C">
        <w:rPr>
          <w:rFonts w:ascii="Garamond" w:hAnsi="Garamond"/>
          <w:lang w:val="en-AU"/>
        </w:rPr>
        <w:t xml:space="preserve">safe </w:t>
      </w:r>
      <w:r w:rsidRPr="00D46C4F">
        <w:rPr>
          <w:rFonts w:ascii="Garamond" w:hAnsi="Garamond"/>
          <w:b/>
          <w:bCs/>
          <w:lang w:val="en-AU"/>
        </w:rPr>
        <w:t>transfer of care</w:t>
      </w:r>
      <w:r w:rsidRPr="000E6F6C">
        <w:rPr>
          <w:rFonts w:ascii="Garamond" w:hAnsi="Garamond"/>
          <w:lang w:val="en-AU"/>
        </w:rPr>
        <w:t xml:space="preserve"> when dealing with </w:t>
      </w:r>
      <w:r w:rsidRPr="00D46C4F">
        <w:rPr>
          <w:rFonts w:ascii="Garamond" w:hAnsi="Garamond"/>
          <w:b/>
          <w:bCs/>
          <w:lang w:val="en-AU"/>
        </w:rPr>
        <w:t>critically ill patients</w:t>
      </w:r>
      <w:r w:rsidR="00D46C4F">
        <w:rPr>
          <w:rFonts w:ascii="Garamond" w:hAnsi="Garamond"/>
          <w:b/>
          <w:bCs/>
          <w:lang w:val="en-AU"/>
        </w:rPr>
        <w:t xml:space="preserve"> </w:t>
      </w:r>
      <w:r w:rsidR="00D46C4F" w:rsidRPr="00D46C4F">
        <w:rPr>
          <w:rFonts w:ascii="Garamond" w:hAnsi="Garamond"/>
          <w:lang w:val="en-AU"/>
        </w:rPr>
        <w:t>and includes</w:t>
      </w:r>
      <w:r w:rsidR="00D46C4F">
        <w:rPr>
          <w:rFonts w:ascii="Garamond" w:hAnsi="Garamond"/>
          <w:b/>
          <w:bCs/>
          <w:lang w:val="en-AU"/>
        </w:rPr>
        <w:t xml:space="preserve"> </w:t>
      </w:r>
      <w:r w:rsidR="00D46C4F">
        <w:rPr>
          <w:rFonts w:ascii="Garamond" w:hAnsi="Garamond"/>
          <w:lang w:val="en-AU"/>
        </w:rPr>
        <w:t xml:space="preserve">discussion of </w:t>
      </w:r>
      <w:r w:rsidR="00D46C4F" w:rsidRPr="00D46C4F">
        <w:rPr>
          <w:rFonts w:ascii="Garamond" w:hAnsi="Garamond"/>
          <w:b/>
          <w:bCs/>
          <w:lang w:val="en-AU"/>
        </w:rPr>
        <w:t>clinical deterioration</w:t>
      </w:r>
      <w:r w:rsidR="00D46C4F">
        <w:rPr>
          <w:rFonts w:ascii="Garamond" w:hAnsi="Garamond"/>
          <w:lang w:val="en-AU"/>
        </w:rPr>
        <w:t>.</w:t>
      </w:r>
    </w:p>
    <w:p w14:paraId="4EAD1081" w14:textId="60D907A5" w:rsidR="000E6F6C" w:rsidRDefault="000E6F6C" w:rsidP="000E6F6C">
      <w:pPr>
        <w:keepNext/>
        <w:rPr>
          <w:rFonts w:ascii="Garamond" w:hAnsi="Garamond"/>
          <w:iCs/>
          <w:lang w:val="en-AU"/>
        </w:rPr>
      </w:pPr>
    </w:p>
    <w:p w14:paraId="76EC9B89" w14:textId="28A25B98" w:rsidR="00D46C4F" w:rsidRDefault="00D46C4F" w:rsidP="00D46C4F">
      <w:pPr>
        <w:rPr>
          <w:rFonts w:ascii="Garamond" w:hAnsi="Garamond"/>
          <w:lang w:val="en-AU"/>
        </w:rPr>
      </w:pPr>
      <w:r>
        <w:rPr>
          <w:rFonts w:ascii="Garamond" w:hAnsi="Garamond"/>
          <w:lang w:val="en-AU"/>
        </w:rPr>
        <w:t xml:space="preserve">For information on the Commission’s work on communication in health care, including clinical handover, see </w:t>
      </w:r>
      <w:hyperlink r:id="rId30" w:history="1">
        <w:r w:rsidRPr="00134868">
          <w:rPr>
            <w:rStyle w:val="Hyperlink"/>
            <w:rFonts w:ascii="Garamond" w:hAnsi="Garamond"/>
            <w:lang w:val="en-AU"/>
          </w:rPr>
          <w:t>https://www.safetyandquality.gov.au/our-work/communicating-safety</w:t>
        </w:r>
      </w:hyperlink>
      <w:r>
        <w:rPr>
          <w:rFonts w:ascii="Garamond" w:hAnsi="Garamond"/>
          <w:lang w:val="en-AU"/>
        </w:rPr>
        <w:t xml:space="preserve"> </w:t>
      </w:r>
    </w:p>
    <w:p w14:paraId="010739D5" w14:textId="67C06173" w:rsidR="00D46C4F" w:rsidRDefault="00D46C4F" w:rsidP="000E6F6C">
      <w:pPr>
        <w:keepNext/>
        <w:rPr>
          <w:rFonts w:ascii="Garamond" w:hAnsi="Garamond"/>
          <w:iCs/>
          <w:lang w:val="en-AU"/>
        </w:rPr>
      </w:pPr>
    </w:p>
    <w:p w14:paraId="4DB31133" w14:textId="77777777" w:rsidR="00D46C4F" w:rsidRDefault="00D46C4F" w:rsidP="00D46C4F">
      <w:pPr>
        <w:keepLines/>
        <w:autoSpaceDE w:val="0"/>
        <w:autoSpaceDN w:val="0"/>
        <w:adjustRightInd w:val="0"/>
        <w:rPr>
          <w:rFonts w:ascii="Garamond" w:hAnsi="Garamond"/>
          <w:lang w:val="en-AU"/>
        </w:rPr>
      </w:pPr>
      <w:r>
        <w:rPr>
          <w:rFonts w:ascii="Garamond" w:hAnsi="Garamond"/>
          <w:lang w:val="en-AU"/>
        </w:rPr>
        <w:t xml:space="preserve">For information on the Commission’s work on recognising and responding to deterioration, see </w:t>
      </w:r>
      <w:hyperlink r:id="rId31" w:history="1">
        <w:r w:rsidRPr="00334DBF">
          <w:rPr>
            <w:rStyle w:val="Hyperlink"/>
            <w:rFonts w:ascii="Garamond" w:hAnsi="Garamond"/>
            <w:lang w:val="en-AU"/>
          </w:rPr>
          <w:t>https://www.safetyandquality.gov.au/our-work/recognising-and-responding-deterioration</w:t>
        </w:r>
      </w:hyperlink>
    </w:p>
    <w:p w14:paraId="46A8B270" w14:textId="07618C34" w:rsidR="00D46C4F" w:rsidRPr="00C33F42" w:rsidRDefault="00C33F42" w:rsidP="000E6F6C">
      <w:pPr>
        <w:keepNext/>
        <w:rPr>
          <w:rFonts w:ascii="Garamond" w:hAnsi="Garamond"/>
          <w:b/>
          <w:bCs/>
          <w:i/>
          <w:lang w:val="en-AU"/>
        </w:rPr>
      </w:pPr>
      <w:r w:rsidRPr="00C33F42">
        <w:rPr>
          <w:rFonts w:ascii="Garamond" w:hAnsi="Garamond"/>
          <w:b/>
          <w:bCs/>
          <w:i/>
          <w:lang w:val="en-AU"/>
        </w:rPr>
        <w:lastRenderedPageBreak/>
        <w:t>My Health Record Rule 42 security and access policy template and guidance</w:t>
      </w:r>
    </w:p>
    <w:p w14:paraId="2C0FD860" w14:textId="2F0D457A" w:rsidR="00D46C4F" w:rsidRDefault="001A62B1" w:rsidP="000E6F6C">
      <w:pPr>
        <w:keepNext/>
        <w:rPr>
          <w:rFonts w:ascii="Garamond" w:hAnsi="Garamond"/>
          <w:iCs/>
          <w:lang w:val="en-AU"/>
        </w:rPr>
      </w:pPr>
      <w:hyperlink r:id="rId32" w:history="1">
        <w:r w:rsidR="00C33F42" w:rsidRPr="00AD6142">
          <w:rPr>
            <w:rStyle w:val="Hyperlink"/>
            <w:rFonts w:ascii="Garamond" w:hAnsi="Garamond"/>
            <w:iCs/>
            <w:lang w:val="en-AU"/>
          </w:rPr>
          <w:t>https://www.oaic.gov.au/privacy/guidance-and-advice/my-health-record/security-and-access-policies-rule-42-guidance</w:t>
        </w:r>
      </w:hyperlink>
    </w:p>
    <w:p w14:paraId="012E1DE4" w14:textId="76073968" w:rsidR="00C33F42" w:rsidRPr="00C33F42" w:rsidRDefault="00C33F42" w:rsidP="00C33F42">
      <w:pPr>
        <w:keepNext/>
        <w:rPr>
          <w:rFonts w:ascii="Garamond" w:hAnsi="Garamond"/>
          <w:iCs/>
          <w:lang w:val="en-AU"/>
        </w:rPr>
      </w:pPr>
      <w:r>
        <w:rPr>
          <w:rFonts w:ascii="Garamond" w:hAnsi="Garamond"/>
          <w:iCs/>
          <w:lang w:val="en-AU"/>
        </w:rPr>
        <w:t xml:space="preserve">The Office of the Australian Information Commissioner (OAIC) has </w:t>
      </w:r>
      <w:r w:rsidRPr="00C33F42">
        <w:rPr>
          <w:rFonts w:ascii="Garamond" w:hAnsi="Garamond"/>
          <w:iCs/>
          <w:lang w:val="en-AU"/>
        </w:rPr>
        <w:t>published a security and access policy template to help healthcare providers comply with their obligations under Rule 42 of the My Health Records Rule 2016.</w:t>
      </w:r>
    </w:p>
    <w:p w14:paraId="0BEA6A6D" w14:textId="77777777" w:rsidR="00C33F42" w:rsidRPr="00C33F42" w:rsidRDefault="00C33F42" w:rsidP="00C33F42">
      <w:pPr>
        <w:keepNext/>
        <w:rPr>
          <w:rFonts w:ascii="Garamond" w:hAnsi="Garamond"/>
          <w:iCs/>
          <w:lang w:val="en-AU"/>
        </w:rPr>
      </w:pPr>
      <w:r w:rsidRPr="00C33F42">
        <w:rPr>
          <w:rFonts w:ascii="Garamond" w:hAnsi="Garamond"/>
          <w:iCs/>
          <w:lang w:val="en-AU"/>
        </w:rPr>
        <w:t>Rule 42 requires healthcare provider organisations to have, communicate and enforce a written security and access policy to register, and remain registered, to use the My Health Record system.</w:t>
      </w:r>
    </w:p>
    <w:p w14:paraId="7FD73F90" w14:textId="6A9DA7F3" w:rsidR="00C33F42" w:rsidRDefault="00C33F42" w:rsidP="00C33F42">
      <w:pPr>
        <w:keepNext/>
        <w:rPr>
          <w:rFonts w:ascii="Garamond" w:hAnsi="Garamond"/>
          <w:iCs/>
          <w:lang w:val="en-AU"/>
        </w:rPr>
      </w:pPr>
      <w:r w:rsidRPr="00C33F42">
        <w:rPr>
          <w:rFonts w:ascii="Garamond" w:hAnsi="Garamond"/>
          <w:iCs/>
          <w:lang w:val="en-AU"/>
        </w:rPr>
        <w:t>The template is available for download as a customisable Word document. The Australian Digital Health Agency has developed a new eLearning course to support users of the template.</w:t>
      </w:r>
      <w:r>
        <w:rPr>
          <w:rFonts w:ascii="Garamond" w:hAnsi="Garamond"/>
          <w:iCs/>
          <w:lang w:val="en-AU"/>
        </w:rPr>
        <w:t xml:space="preserve"> The Agency’s online learning portal is at </w:t>
      </w:r>
      <w:hyperlink r:id="rId33" w:history="1">
        <w:r w:rsidRPr="00AD6142">
          <w:rPr>
            <w:rStyle w:val="Hyperlink"/>
            <w:rFonts w:ascii="Garamond" w:hAnsi="Garamond"/>
            <w:iCs/>
            <w:lang w:val="en-AU"/>
          </w:rPr>
          <w:t>https://training.digitalhealth.gov.au/login/index.php</w:t>
        </w:r>
      </w:hyperlink>
    </w:p>
    <w:p w14:paraId="69E5BCF3" w14:textId="77777777" w:rsidR="00C33F42" w:rsidRDefault="00C33F42" w:rsidP="00C33F42">
      <w:pPr>
        <w:keepNext/>
        <w:rPr>
          <w:rFonts w:ascii="Garamond" w:hAnsi="Garamond"/>
          <w:iCs/>
          <w:lang w:val="en-AU"/>
        </w:rPr>
      </w:pPr>
    </w:p>
    <w:p w14:paraId="73BBCED7" w14:textId="77777777" w:rsidR="00E02472" w:rsidRPr="00913086" w:rsidRDefault="00E02472" w:rsidP="00E02472">
      <w:pPr>
        <w:keepNext/>
        <w:rPr>
          <w:rFonts w:ascii="Garamond" w:hAnsi="Garamond"/>
          <w:b/>
          <w:bCs/>
          <w:i/>
          <w:lang w:val="en-AU"/>
        </w:rPr>
      </w:pPr>
      <w:r w:rsidRPr="00913086">
        <w:rPr>
          <w:rFonts w:ascii="Garamond" w:hAnsi="Garamond"/>
          <w:b/>
          <w:bCs/>
          <w:i/>
          <w:lang w:val="en-AU"/>
        </w:rPr>
        <w:t>[UK] NICE Guidelines and Quality Standards</w:t>
      </w:r>
    </w:p>
    <w:p w14:paraId="06FB0C37" w14:textId="77777777" w:rsidR="00E02472" w:rsidRPr="008F3909" w:rsidRDefault="001A62B1" w:rsidP="00E02472">
      <w:pPr>
        <w:keepNext/>
        <w:rPr>
          <w:rFonts w:ascii="Garamond" w:hAnsi="Garamond"/>
          <w:lang w:val="en-AU"/>
        </w:rPr>
      </w:pPr>
      <w:hyperlink r:id="rId34" w:history="1">
        <w:r w:rsidR="00E02472" w:rsidRPr="00B91B4F">
          <w:rPr>
            <w:rStyle w:val="Hyperlink"/>
            <w:rFonts w:ascii="Garamond" w:hAnsi="Garamond"/>
            <w:lang w:val="en-AU"/>
          </w:rPr>
          <w:t>https://www.nice.org.uk/guidance</w:t>
        </w:r>
      </w:hyperlink>
    </w:p>
    <w:p w14:paraId="68104211" w14:textId="633371D4" w:rsidR="00E02472" w:rsidRDefault="00E02472" w:rsidP="00E02472">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sidR="00886AB7">
        <w:rPr>
          <w:rFonts w:ascii="Garamond" w:hAnsi="Garamond"/>
          <w:lang w:val="en-AU"/>
        </w:rPr>
        <w:t>includ</w:t>
      </w:r>
      <w:r w:rsidRPr="008F3909">
        <w:rPr>
          <w:rFonts w:ascii="Garamond" w:hAnsi="Garamond"/>
          <w:lang w:val="en-AU"/>
        </w:rPr>
        <w:t>e:</w:t>
      </w:r>
    </w:p>
    <w:p w14:paraId="3375D133" w14:textId="4B6D0169" w:rsidR="00886AB7" w:rsidRDefault="00886AB7" w:rsidP="005D2C36">
      <w:pPr>
        <w:pStyle w:val="ListParagraph"/>
        <w:numPr>
          <w:ilvl w:val="0"/>
          <w:numId w:val="14"/>
        </w:numPr>
        <w:rPr>
          <w:rFonts w:ascii="Garamond" w:hAnsi="Garamond"/>
          <w:iCs/>
          <w:lang w:val="en-AU"/>
        </w:rPr>
      </w:pPr>
      <w:r w:rsidRPr="00886AB7">
        <w:rPr>
          <w:rFonts w:ascii="Garamond" w:hAnsi="Garamond"/>
          <w:iCs/>
          <w:lang w:val="en-AU"/>
        </w:rPr>
        <w:t>Medical technologies guidance</w:t>
      </w:r>
      <w:r>
        <w:rPr>
          <w:rFonts w:ascii="Garamond" w:hAnsi="Garamond"/>
          <w:iCs/>
          <w:lang w:val="en-AU"/>
        </w:rPr>
        <w:t xml:space="preserve"> MTG71 </w:t>
      </w:r>
      <w:r w:rsidRPr="00886AB7">
        <w:rPr>
          <w:rFonts w:ascii="Garamond" w:hAnsi="Garamond"/>
          <w:i/>
          <w:lang w:val="en-AU"/>
        </w:rPr>
        <w:t xml:space="preserve">Faecal microbiota transplant for recurrent </w:t>
      </w:r>
      <w:r w:rsidRPr="00886AB7">
        <w:rPr>
          <w:rFonts w:ascii="Garamond" w:hAnsi="Garamond"/>
          <w:b/>
          <w:bCs/>
          <w:iCs/>
          <w:lang w:val="en-AU"/>
        </w:rPr>
        <w:t xml:space="preserve">Clostridioides difficile </w:t>
      </w:r>
      <w:r w:rsidRPr="00886AB7">
        <w:rPr>
          <w:rFonts w:ascii="Garamond" w:hAnsi="Garamond"/>
          <w:b/>
          <w:bCs/>
          <w:i/>
          <w:lang w:val="en-AU"/>
        </w:rPr>
        <w:t>infection</w:t>
      </w:r>
      <w:r w:rsidRPr="00886AB7">
        <w:rPr>
          <w:rFonts w:ascii="Garamond" w:hAnsi="Garamond"/>
          <w:iCs/>
          <w:lang w:val="en-AU"/>
        </w:rPr>
        <w:t xml:space="preserve"> </w:t>
      </w:r>
      <w:hyperlink r:id="rId35" w:history="1">
        <w:r w:rsidRPr="0092069C">
          <w:rPr>
            <w:rStyle w:val="Hyperlink"/>
            <w:rFonts w:ascii="Garamond" w:hAnsi="Garamond"/>
            <w:iCs/>
            <w:lang w:val="en-AU"/>
          </w:rPr>
          <w:t>https://www.nice.org.uk/guidance/mtg71</w:t>
        </w:r>
      </w:hyperlink>
    </w:p>
    <w:p w14:paraId="2D4CDF5C" w14:textId="3B72125E" w:rsidR="00E02472" w:rsidRDefault="00E02472" w:rsidP="00E02472">
      <w:pPr>
        <w:rPr>
          <w:rFonts w:ascii="Garamond" w:hAnsi="Garamond"/>
          <w:b/>
          <w:lang w:val="en-AU"/>
        </w:rPr>
      </w:pPr>
    </w:p>
    <w:p w14:paraId="4216B5B3" w14:textId="77777777" w:rsidR="00F57BF2" w:rsidRPr="0061608A" w:rsidRDefault="00F57BF2" w:rsidP="00F57BF2">
      <w:pPr>
        <w:keepNext/>
        <w:rPr>
          <w:rFonts w:ascii="Garamond" w:hAnsi="Garamond"/>
          <w:b/>
          <w:bCs/>
          <w:i/>
          <w:lang w:val="en-AU"/>
        </w:rPr>
      </w:pPr>
      <w:r w:rsidRPr="0061608A">
        <w:rPr>
          <w:rFonts w:ascii="Garamond" w:hAnsi="Garamond"/>
          <w:b/>
          <w:bCs/>
          <w:i/>
          <w:lang w:val="en-AU"/>
        </w:rPr>
        <w:t>[UK] NIHR Evidence alerts</w:t>
      </w:r>
    </w:p>
    <w:p w14:paraId="7C4566E5" w14:textId="77777777" w:rsidR="00F57BF2" w:rsidRPr="00EA3D86" w:rsidRDefault="001A62B1" w:rsidP="00F57BF2">
      <w:pPr>
        <w:keepNext/>
        <w:rPr>
          <w:rFonts w:ascii="Garamond" w:hAnsi="Garamond"/>
          <w:lang w:val="en-AU"/>
        </w:rPr>
      </w:pPr>
      <w:hyperlink r:id="rId36" w:history="1">
        <w:r w:rsidR="00F57BF2" w:rsidRPr="00EA3D86">
          <w:rPr>
            <w:rStyle w:val="Hyperlink"/>
            <w:rFonts w:ascii="Garamond" w:hAnsi="Garamond"/>
            <w:lang w:val="en-AU"/>
          </w:rPr>
          <w:t>https://evidence.nihr.ac.uk/</w:t>
        </w:r>
      </w:hyperlink>
      <w:r w:rsidR="00F57BF2" w:rsidRPr="00EA3D86">
        <w:rPr>
          <w:rStyle w:val="Hyperlink"/>
          <w:rFonts w:ascii="Garamond" w:hAnsi="Garamond"/>
          <w:lang w:val="en-AU"/>
        </w:rPr>
        <w:t>alerts/</w:t>
      </w:r>
    </w:p>
    <w:p w14:paraId="0D895B5A" w14:textId="77777777" w:rsidR="00F57BF2" w:rsidRDefault="00F57BF2" w:rsidP="00F57BF2">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472C2567" w14:textId="293FB21D" w:rsidR="00F57BF2" w:rsidRPr="00F57BF2" w:rsidRDefault="00F57BF2" w:rsidP="00F57BF2">
      <w:pPr>
        <w:pStyle w:val="ListParagraph"/>
        <w:numPr>
          <w:ilvl w:val="0"/>
          <w:numId w:val="16"/>
        </w:numPr>
        <w:rPr>
          <w:rFonts w:ascii="Garamond" w:hAnsi="Garamond"/>
          <w:lang w:val="en-AU"/>
        </w:rPr>
      </w:pPr>
      <w:r w:rsidRPr="00F57BF2">
        <w:rPr>
          <w:rFonts w:ascii="Garamond" w:hAnsi="Garamond"/>
          <w:lang w:val="en-AU"/>
        </w:rPr>
        <w:t xml:space="preserve">Video feedback helped parents manage </w:t>
      </w:r>
      <w:r w:rsidRPr="00F57BF2">
        <w:rPr>
          <w:rFonts w:ascii="Garamond" w:hAnsi="Garamond"/>
          <w:b/>
          <w:bCs/>
          <w:lang w:val="en-AU"/>
        </w:rPr>
        <w:t>behaviour problems in their toddlers</w:t>
      </w:r>
    </w:p>
    <w:p w14:paraId="60A3FB6F" w14:textId="32140480" w:rsidR="00F57BF2" w:rsidRPr="00F57BF2" w:rsidRDefault="00F57BF2" w:rsidP="00F57BF2">
      <w:pPr>
        <w:pStyle w:val="ListParagraph"/>
        <w:numPr>
          <w:ilvl w:val="0"/>
          <w:numId w:val="16"/>
        </w:numPr>
        <w:rPr>
          <w:rFonts w:ascii="Garamond" w:hAnsi="Garamond"/>
          <w:lang w:val="en-AU"/>
        </w:rPr>
      </w:pPr>
      <w:r w:rsidRPr="00F57BF2">
        <w:rPr>
          <w:rFonts w:ascii="Garamond" w:hAnsi="Garamond"/>
          <w:lang w:val="en-AU"/>
        </w:rPr>
        <w:t xml:space="preserve">Advertising ban was linked to lower purchases of </w:t>
      </w:r>
      <w:r w:rsidRPr="00F57BF2">
        <w:rPr>
          <w:rFonts w:ascii="Garamond" w:hAnsi="Garamond"/>
          <w:b/>
          <w:bCs/>
          <w:lang w:val="en-AU"/>
        </w:rPr>
        <w:t>unhealthy food and drink</w:t>
      </w:r>
    </w:p>
    <w:p w14:paraId="0630222A" w14:textId="40A4D101" w:rsidR="00F57BF2" w:rsidRPr="00F57BF2" w:rsidRDefault="00F57BF2" w:rsidP="00F57BF2">
      <w:pPr>
        <w:pStyle w:val="ListParagraph"/>
        <w:numPr>
          <w:ilvl w:val="0"/>
          <w:numId w:val="16"/>
        </w:numPr>
        <w:rPr>
          <w:rFonts w:ascii="Garamond" w:hAnsi="Garamond"/>
          <w:lang w:val="en-AU"/>
        </w:rPr>
      </w:pPr>
      <w:r w:rsidRPr="00F57BF2">
        <w:rPr>
          <w:rFonts w:ascii="Garamond" w:hAnsi="Garamond"/>
          <w:lang w:val="en-AU"/>
        </w:rPr>
        <w:t xml:space="preserve">Why don’t people have </w:t>
      </w:r>
      <w:r w:rsidRPr="00F57BF2">
        <w:rPr>
          <w:rFonts w:ascii="Garamond" w:hAnsi="Garamond"/>
          <w:b/>
          <w:bCs/>
          <w:lang w:val="en-AU"/>
        </w:rPr>
        <w:t>kidney dialysis</w:t>
      </w:r>
      <w:r w:rsidRPr="00F57BF2">
        <w:rPr>
          <w:rFonts w:ascii="Garamond" w:hAnsi="Garamond"/>
          <w:lang w:val="en-AU"/>
        </w:rPr>
        <w:t xml:space="preserve"> at home?</w:t>
      </w:r>
    </w:p>
    <w:p w14:paraId="299FA6E9" w14:textId="3A0D0660" w:rsidR="00F57BF2" w:rsidRPr="00F57BF2" w:rsidRDefault="00F57BF2" w:rsidP="00F57BF2">
      <w:pPr>
        <w:pStyle w:val="ListParagraph"/>
        <w:numPr>
          <w:ilvl w:val="0"/>
          <w:numId w:val="16"/>
        </w:numPr>
        <w:rPr>
          <w:rFonts w:ascii="Garamond" w:hAnsi="Garamond"/>
          <w:lang w:val="en-AU"/>
        </w:rPr>
      </w:pPr>
      <w:r w:rsidRPr="00F57BF2">
        <w:rPr>
          <w:rFonts w:ascii="Garamond" w:hAnsi="Garamond"/>
          <w:lang w:val="en-AU"/>
        </w:rPr>
        <w:t xml:space="preserve">Unemployment and insecure housing are linked to less successful treatment for </w:t>
      </w:r>
      <w:r w:rsidRPr="00F57BF2">
        <w:rPr>
          <w:rFonts w:ascii="Garamond" w:hAnsi="Garamond"/>
          <w:b/>
          <w:bCs/>
          <w:lang w:val="en-AU"/>
        </w:rPr>
        <w:t>depression</w:t>
      </w:r>
    </w:p>
    <w:p w14:paraId="6C5CB812" w14:textId="2A57C342" w:rsidR="00F57BF2" w:rsidRPr="00F57BF2" w:rsidRDefault="00F57BF2" w:rsidP="00F57BF2">
      <w:pPr>
        <w:pStyle w:val="ListParagraph"/>
        <w:numPr>
          <w:ilvl w:val="0"/>
          <w:numId w:val="16"/>
        </w:numPr>
        <w:rPr>
          <w:rFonts w:ascii="Garamond" w:hAnsi="Garamond"/>
          <w:lang w:val="en-AU"/>
        </w:rPr>
      </w:pPr>
      <w:r w:rsidRPr="00F57BF2">
        <w:rPr>
          <w:rFonts w:ascii="Garamond" w:hAnsi="Garamond"/>
          <w:lang w:val="en-AU"/>
        </w:rPr>
        <w:t xml:space="preserve">How to improve care for </w:t>
      </w:r>
      <w:r w:rsidRPr="00F57BF2">
        <w:rPr>
          <w:rFonts w:ascii="Garamond" w:hAnsi="Garamond"/>
          <w:b/>
          <w:bCs/>
          <w:lang w:val="en-AU"/>
        </w:rPr>
        <w:t>people with severe mental illness and a lung condition</w:t>
      </w:r>
    </w:p>
    <w:p w14:paraId="66BAA948" w14:textId="56DDC44F" w:rsidR="00F57BF2" w:rsidRPr="00F57BF2" w:rsidRDefault="00F57BF2" w:rsidP="00F57BF2">
      <w:pPr>
        <w:pStyle w:val="ListParagraph"/>
        <w:numPr>
          <w:ilvl w:val="0"/>
          <w:numId w:val="16"/>
        </w:numPr>
        <w:rPr>
          <w:rFonts w:ascii="Garamond" w:hAnsi="Garamond"/>
          <w:lang w:val="en-AU"/>
        </w:rPr>
      </w:pPr>
      <w:r w:rsidRPr="00F57BF2">
        <w:rPr>
          <w:rFonts w:ascii="Garamond" w:hAnsi="Garamond"/>
          <w:lang w:val="en-AU"/>
        </w:rPr>
        <w:t xml:space="preserve">How should </w:t>
      </w:r>
      <w:r w:rsidRPr="00F57BF2">
        <w:rPr>
          <w:rFonts w:ascii="Garamond" w:hAnsi="Garamond"/>
          <w:b/>
          <w:bCs/>
          <w:lang w:val="en-AU"/>
        </w:rPr>
        <w:t>vascular services</w:t>
      </w:r>
      <w:r w:rsidRPr="00F57BF2">
        <w:rPr>
          <w:rFonts w:ascii="Garamond" w:hAnsi="Garamond"/>
          <w:lang w:val="en-AU"/>
        </w:rPr>
        <w:t xml:space="preserve"> be organised? </w:t>
      </w:r>
    </w:p>
    <w:p w14:paraId="31EBF5B6" w14:textId="461ADEAB" w:rsidR="00F57BF2" w:rsidRPr="00F57BF2" w:rsidRDefault="00F57BF2" w:rsidP="00F57BF2">
      <w:pPr>
        <w:pStyle w:val="ListParagraph"/>
        <w:numPr>
          <w:ilvl w:val="0"/>
          <w:numId w:val="16"/>
        </w:numPr>
        <w:rPr>
          <w:rFonts w:ascii="Garamond" w:hAnsi="Garamond"/>
          <w:lang w:val="en-AU"/>
        </w:rPr>
      </w:pPr>
      <w:r w:rsidRPr="00F57BF2">
        <w:rPr>
          <w:rFonts w:ascii="Garamond" w:hAnsi="Garamond"/>
          <w:b/>
          <w:bCs/>
          <w:lang w:val="en-AU"/>
        </w:rPr>
        <w:t>Falls prevention</w:t>
      </w:r>
      <w:r w:rsidRPr="00F57BF2">
        <w:rPr>
          <w:rFonts w:ascii="Garamond" w:hAnsi="Garamond"/>
          <w:lang w:val="en-AU"/>
        </w:rPr>
        <w:t xml:space="preserve"> programme is effective in care homes </w:t>
      </w:r>
    </w:p>
    <w:p w14:paraId="4A9E8CB4" w14:textId="6A9E0519" w:rsidR="00F57BF2" w:rsidRPr="00F57BF2" w:rsidRDefault="00F57BF2" w:rsidP="00F57BF2">
      <w:pPr>
        <w:pStyle w:val="ListParagraph"/>
        <w:numPr>
          <w:ilvl w:val="0"/>
          <w:numId w:val="16"/>
        </w:numPr>
        <w:rPr>
          <w:rFonts w:ascii="Garamond" w:hAnsi="Garamond"/>
          <w:lang w:val="en-AU"/>
        </w:rPr>
      </w:pPr>
      <w:r w:rsidRPr="00F57BF2">
        <w:rPr>
          <w:rFonts w:ascii="Garamond" w:hAnsi="Garamond"/>
          <w:lang w:val="en-AU"/>
        </w:rPr>
        <w:t xml:space="preserve">People discharged from </w:t>
      </w:r>
      <w:r w:rsidRPr="00F57BF2">
        <w:rPr>
          <w:rFonts w:ascii="Garamond" w:hAnsi="Garamond"/>
          <w:b/>
          <w:bCs/>
          <w:lang w:val="en-AU"/>
        </w:rPr>
        <w:t>inpatient mental healthcare</w:t>
      </w:r>
      <w:r w:rsidRPr="00F57BF2">
        <w:rPr>
          <w:rFonts w:ascii="Garamond" w:hAnsi="Garamond"/>
          <w:lang w:val="en-AU"/>
        </w:rPr>
        <w:t xml:space="preserve"> are at increased risk of dying</w:t>
      </w:r>
      <w:r w:rsidR="00B921F9">
        <w:rPr>
          <w:rFonts w:ascii="Garamond" w:hAnsi="Garamond"/>
          <w:lang w:val="en-AU"/>
        </w:rPr>
        <w:t>.</w:t>
      </w:r>
    </w:p>
    <w:p w14:paraId="2237647C" w14:textId="4B68D979" w:rsidR="00F57BF2" w:rsidRDefault="00F57BF2" w:rsidP="00E02472">
      <w:pPr>
        <w:rPr>
          <w:rFonts w:ascii="Garamond" w:hAnsi="Garamond"/>
          <w:b/>
          <w:lang w:val="en-AU"/>
        </w:rPr>
      </w:pPr>
    </w:p>
    <w:p w14:paraId="106BE70E" w14:textId="77777777" w:rsidR="00DC0AB9" w:rsidRDefault="00DC0AB9" w:rsidP="00E02472">
      <w:pPr>
        <w:rPr>
          <w:rFonts w:ascii="Garamond" w:hAnsi="Garamond"/>
          <w:b/>
          <w:lang w:val="en-AU"/>
        </w:rPr>
      </w:pPr>
    </w:p>
    <w:p w14:paraId="4746993F" w14:textId="21056DCF" w:rsidR="005E4FCA" w:rsidRDefault="005E4FCA">
      <w:pPr>
        <w:rPr>
          <w:rFonts w:ascii="Garamond" w:hAnsi="Garamond"/>
          <w:b/>
          <w:lang w:val="en-AU"/>
        </w:rPr>
      </w:pPr>
    </w:p>
    <w:p w14:paraId="12E7A6B9" w14:textId="76DE3FE8"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3C68719F" w14:textId="4ABC27BA" w:rsidR="001E585B" w:rsidRDefault="001E585B">
      <w:pPr>
        <w:rPr>
          <w:rFonts w:ascii="Garamond" w:hAnsi="Garamond"/>
          <w:b/>
          <w:i/>
          <w:lang w:val="en-AU"/>
        </w:rPr>
      </w:pPr>
    </w:p>
    <w:p w14:paraId="64BEE923" w14:textId="2850BCD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9"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5FED8DAE">
            <wp:extent cx="5849471" cy="8326080"/>
            <wp:effectExtent l="0" t="0" r="0" b="0"/>
            <wp:docPr id="8" name="Picture 8" descr="COVID-19 poster – Combined contact and droplet precau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03505" cy="8545330"/>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FE6C658">
            <wp:extent cx="5811563" cy="8256494"/>
            <wp:effectExtent l="0" t="0" r="0" b="0"/>
            <wp:docPr id="7" name="Picture 7" descr="COVID-19 poster – Combined airborne and contac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814524" cy="8260700"/>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8"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9"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1A62B1" w:rsidP="00D574D3">
      <w:pPr>
        <w:keepNext/>
        <w:keepLines/>
        <w:rPr>
          <w:rFonts w:ascii="Garamond" w:hAnsi="Garamond"/>
          <w:lang w:val="en-AU"/>
        </w:rPr>
      </w:pPr>
      <w:hyperlink r:id="rId5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1A62B1" w:rsidP="00D574D3">
      <w:pPr>
        <w:keepNext/>
        <w:keepLines/>
        <w:rPr>
          <w:rFonts w:ascii="Garamond" w:hAnsi="Garamond"/>
          <w:lang w:val="en-AU"/>
        </w:rPr>
      </w:pPr>
      <w:hyperlink r:id="rId54"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7AA9C24" w14:textId="56D7E791"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lastRenderedPageBreak/>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7D5D249E"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9B559" w14:textId="77777777" w:rsidR="009B278E" w:rsidRDefault="009B278E">
      <w:r>
        <w:separator/>
      </w:r>
    </w:p>
  </w:endnote>
  <w:endnote w:type="continuationSeparator" w:id="0">
    <w:p w14:paraId="576E0C53" w14:textId="77777777" w:rsidR="009B278E" w:rsidRDefault="009B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9E387F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0B2EB2">
      <w:rPr>
        <w:rFonts w:ascii="Garamond" w:hAnsi="Garamond"/>
      </w:rPr>
      <w:t>7</w:t>
    </w:r>
    <w:r w:rsidR="00E02472">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BA30C35"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0B2EB2">
      <w:rPr>
        <w:rFonts w:ascii="Garamond" w:hAnsi="Garamond"/>
      </w:rPr>
      <w:t>7</w:t>
    </w:r>
    <w:r w:rsidR="00E02472">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0AE4D" w14:textId="77777777" w:rsidR="009B278E" w:rsidRDefault="009B278E">
      <w:r>
        <w:separator/>
      </w:r>
    </w:p>
  </w:footnote>
  <w:footnote w:type="continuationSeparator" w:id="0">
    <w:p w14:paraId="48BE011B" w14:textId="77777777" w:rsidR="009B278E" w:rsidRDefault="009B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B1A5A"/>
    <w:multiLevelType w:val="hybridMultilevel"/>
    <w:tmpl w:val="50EE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A05861"/>
    <w:multiLevelType w:val="hybridMultilevel"/>
    <w:tmpl w:val="9DDCA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3763A"/>
    <w:multiLevelType w:val="hybridMultilevel"/>
    <w:tmpl w:val="A566E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5A4C93"/>
    <w:multiLevelType w:val="hybridMultilevel"/>
    <w:tmpl w:val="C0BA4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22633B"/>
    <w:multiLevelType w:val="hybridMultilevel"/>
    <w:tmpl w:val="45A0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AF2EE4"/>
    <w:multiLevelType w:val="hybridMultilevel"/>
    <w:tmpl w:val="4318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2E0DDF"/>
    <w:multiLevelType w:val="hybridMultilevel"/>
    <w:tmpl w:val="B668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452C5"/>
    <w:multiLevelType w:val="hybridMultilevel"/>
    <w:tmpl w:val="0A08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865C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764336"/>
    <w:multiLevelType w:val="hybridMultilevel"/>
    <w:tmpl w:val="3C9CA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2E4513"/>
    <w:multiLevelType w:val="hybridMultilevel"/>
    <w:tmpl w:val="688E6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0F0D51"/>
    <w:multiLevelType w:val="hybridMultilevel"/>
    <w:tmpl w:val="FF58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252EEE"/>
    <w:multiLevelType w:val="hybridMultilevel"/>
    <w:tmpl w:val="3838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426B16"/>
    <w:multiLevelType w:val="hybridMultilevel"/>
    <w:tmpl w:val="EC306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571D23"/>
    <w:multiLevelType w:val="hybridMultilevel"/>
    <w:tmpl w:val="0FA4704E"/>
    <w:lvl w:ilvl="0" w:tplc="D556BBF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07516B"/>
    <w:multiLevelType w:val="hybridMultilevel"/>
    <w:tmpl w:val="992A5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7E578D1"/>
    <w:multiLevelType w:val="hybridMultilevel"/>
    <w:tmpl w:val="9BD2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F05960"/>
    <w:multiLevelType w:val="hybridMultilevel"/>
    <w:tmpl w:val="0472E316"/>
    <w:lvl w:ilvl="0" w:tplc="8188B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D65678"/>
    <w:multiLevelType w:val="hybridMultilevel"/>
    <w:tmpl w:val="162A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DD215B"/>
    <w:multiLevelType w:val="hybridMultilevel"/>
    <w:tmpl w:val="50DEE4A2"/>
    <w:lvl w:ilvl="0" w:tplc="627C8B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6"/>
  </w:num>
  <w:num w:numId="15">
    <w:abstractNumId w:val="31"/>
  </w:num>
  <w:num w:numId="16">
    <w:abstractNumId w:val="16"/>
  </w:num>
  <w:num w:numId="17">
    <w:abstractNumId w:val="18"/>
  </w:num>
  <w:num w:numId="18">
    <w:abstractNumId w:val="37"/>
  </w:num>
  <w:num w:numId="19">
    <w:abstractNumId w:val="19"/>
  </w:num>
  <w:num w:numId="20">
    <w:abstractNumId w:val="22"/>
  </w:num>
  <w:num w:numId="21">
    <w:abstractNumId w:val="20"/>
  </w:num>
  <w:num w:numId="22">
    <w:abstractNumId w:val="29"/>
  </w:num>
  <w:num w:numId="23">
    <w:abstractNumId w:val="24"/>
  </w:num>
  <w:num w:numId="24">
    <w:abstractNumId w:val="19"/>
  </w:num>
  <w:num w:numId="25">
    <w:abstractNumId w:val="36"/>
  </w:num>
  <w:num w:numId="26">
    <w:abstractNumId w:val="11"/>
  </w:num>
  <w:num w:numId="27">
    <w:abstractNumId w:val="10"/>
  </w:num>
  <w:num w:numId="28">
    <w:abstractNumId w:val="42"/>
  </w:num>
  <w:num w:numId="29">
    <w:abstractNumId w:val="41"/>
  </w:num>
  <w:num w:numId="30">
    <w:abstractNumId w:val="35"/>
  </w:num>
  <w:num w:numId="31">
    <w:abstractNumId w:val="21"/>
  </w:num>
  <w:num w:numId="32">
    <w:abstractNumId w:val="14"/>
  </w:num>
  <w:num w:numId="33">
    <w:abstractNumId w:val="28"/>
  </w:num>
  <w:num w:numId="34">
    <w:abstractNumId w:val="10"/>
  </w:num>
  <w:num w:numId="35">
    <w:abstractNumId w:val="39"/>
  </w:num>
  <w:num w:numId="36">
    <w:abstractNumId w:val="38"/>
  </w:num>
  <w:num w:numId="37">
    <w:abstractNumId w:val="30"/>
  </w:num>
  <w:num w:numId="38">
    <w:abstractNumId w:val="15"/>
  </w:num>
  <w:num w:numId="39">
    <w:abstractNumId w:val="43"/>
  </w:num>
  <w:num w:numId="40">
    <w:abstractNumId w:val="13"/>
  </w:num>
  <w:num w:numId="41">
    <w:abstractNumId w:val="27"/>
  </w:num>
  <w:num w:numId="42">
    <w:abstractNumId w:val="33"/>
  </w:num>
  <w:num w:numId="43">
    <w:abstractNumId w:val="23"/>
  </w:num>
  <w:num w:numId="44">
    <w:abstractNumId w:val="17"/>
  </w:num>
  <w:num w:numId="45">
    <w:abstractNumId w:val="12"/>
  </w:num>
  <w:num w:numId="46">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0C"/>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13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B6"/>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867"/>
    <w:rsid w:val="003D4911"/>
    <w:rsid w:val="003D4912"/>
    <w:rsid w:val="003D4A84"/>
    <w:rsid w:val="003D4BCC"/>
    <w:rsid w:val="003D4E67"/>
    <w:rsid w:val="003D5043"/>
    <w:rsid w:val="003D51C0"/>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24C"/>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384"/>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4FDF"/>
    <w:rsid w:val="00795048"/>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5DD9"/>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3F42"/>
    <w:rsid w:val="00C3448A"/>
    <w:rsid w:val="00C346B7"/>
    <w:rsid w:val="00C347E1"/>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05"/>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158"/>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low-back-pain-clinical-care-standard" TargetMode="External"/><Relationship Id="rId26" Type="http://schemas.openxmlformats.org/officeDocument/2006/relationships/hyperlink" Target="https://onlinelibrary.wiley.com/toc/20552335/2022/52/4" TargetMode="External"/><Relationship Id="rId39" Type="http://schemas.openxmlformats.org/officeDocument/2006/relationships/hyperlink" Target="https://www.safetyandquality.gov.au/publications-and-resources/resource-library/infection-prevention-and-control-poster-combined-contact-and-droplet-precautions" TargetMode="External"/><Relationship Id="rId21" Type="http://schemas.openxmlformats.org/officeDocument/2006/relationships/hyperlink" Target="https://doi.org/10.1093/jacamr/dlac062" TargetMode="External"/><Relationship Id="rId34" Type="http://schemas.openxmlformats.org/officeDocument/2006/relationships/hyperlink" Target="https://www.nice.org.uk/guidance" TargetMode="External"/><Relationship Id="rId42" Type="http://schemas.openxmlformats.org/officeDocument/2006/relationships/image" Target="media/image3.PNG"/><Relationship Id="rId47" Type="http://schemas.openxmlformats.org/officeDocument/2006/relationships/image" Target="media/image4.PNG"/><Relationship Id="rId50" Type="http://schemas.openxmlformats.org/officeDocument/2006/relationships/hyperlink" Target="https://www.safetyandquality.gov.au/publications-and-resources/resource-library/covid-19-and-face-masks-information-consumer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low-back-pain-clinical-care-standard/implementation-resources" TargetMode="External"/><Relationship Id="rId25" Type="http://schemas.openxmlformats.org/officeDocument/2006/relationships/hyperlink" Target="https://journals.lww.com/jhqonline/toc/2022/10000" TargetMode="External"/><Relationship Id="rId33" Type="http://schemas.openxmlformats.org/officeDocument/2006/relationships/hyperlink" Target="https://training.digitalhealth.gov.au/login/index.php"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hyperlink" Target="https://www.safetyandquality.gov.au/standards/clinical-care-standards/low-back-pain-clinical-care-standard" TargetMode="External"/><Relationship Id="rId20" Type="http://schemas.openxmlformats.org/officeDocument/2006/relationships/hyperlink" Target="https://www.hsib.org.uk/investigations-and-reports/management-of-preterm-labour-and-birth/" TargetMode="External"/><Relationship Id="rId29" Type="http://schemas.openxmlformats.org/officeDocument/2006/relationships/hyperlink" Target="https://www.thecommuniques.com/post/future-leaders-communiqu%C3%A9-volume-7-issue-3-july-2022" TargetMode="External"/><Relationship Id="rId41" Type="http://schemas.openxmlformats.org/officeDocument/2006/relationships/hyperlink" Target="https://www.safetyandquality.gov.au/publications-and-resources/resource-library/poster-combined-airborne-and-contact-precautions" TargetMode="External"/><Relationship Id="rId54" Type="http://schemas.openxmlformats.org/officeDocument/2006/relationships/hyperlink" Target="https://www.aci.health.nsw.gov.au/covid-19/critical-intelligence-u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sagepub.com/toc/cric/27/4" TargetMode="External"/><Relationship Id="rId32" Type="http://schemas.openxmlformats.org/officeDocument/2006/relationships/hyperlink" Target="https://www.oaic.gov.au/privacy/guidance-and-advice/my-health-record/security-and-access-policies-rule-42-guidance" TargetMode="External"/><Relationship Id="rId37" Type="http://schemas.openxmlformats.org/officeDocument/2006/relationships/hyperlink" Target="https://www.safetyandquality.gov.au/covid-19" TargetMode="External"/><Relationship Id="rId40" Type="http://schemas.openxmlformats.org/officeDocument/2006/relationships/image" Target="media/image2.png"/><Relationship Id="rId45" Type="http://schemas.openxmlformats.org/officeDocument/2006/relationships/hyperlink" Target="https://www.safetyandquality.gov.au/our-work/cognitive-impairment/cognitive-impairment-and-covid-19" TargetMode="External"/><Relationship Id="rId53" Type="http://schemas.openxmlformats.org/officeDocument/2006/relationships/hyperlink" Target="https://covid19evidence.net.a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standards/clinical-care-standards/low-back-pain-clinical-care-standard" TargetMode="External"/><Relationship Id="rId23" Type="http://schemas.openxmlformats.org/officeDocument/2006/relationships/hyperlink" Target="https://doi.org/10.1001/jama.2022.11806" TargetMode="External"/><Relationship Id="rId28" Type="http://schemas.openxmlformats.org/officeDocument/2006/relationships/hyperlink" Target="https://academic.oup.com/intqhc/advance-articles" TargetMode="External"/><Relationship Id="rId36" Type="http://schemas.openxmlformats.org/officeDocument/2006/relationships/hyperlink" Target="https://evidence.nihr.ac.uk/" TargetMode="External"/><Relationship Id="rId49" Type="http://schemas.openxmlformats.org/officeDocument/2006/relationships/hyperlink" Target="https://www.safetyandquality.gov.au/node/5725" TargetMode="External"/><Relationship Id="rId57"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ahha.asn.au/publication/health-policy-issue-briefs/deeble-issues-brief-no-48-decarbonising-clinical-care" TargetMode="External"/><Relationship Id="rId31" Type="http://schemas.openxmlformats.org/officeDocument/2006/relationships/hyperlink" Target="https://www.safetyandquality.gov.au/our-work/recognising-and-responding-deterioration" TargetMode="External"/><Relationship Id="rId44" Type="http://schemas.openxmlformats.org/officeDocument/2006/relationships/hyperlink" Target="https://www.safetyandquality.gov.au/publications-and-resources/resource-library/covid-19-infection-prevention-and-control-risk-management-guidance" TargetMode="External"/><Relationship Id="rId52"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antimicrobial-resistance"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safetyandquality.gov.au/our-work/communicating-safety" TargetMode="External"/><Relationship Id="rId35" Type="http://schemas.openxmlformats.org/officeDocument/2006/relationships/hyperlink" Target="https://www.nice.org.uk/guidance/mtg71" TargetMode="External"/><Relationship Id="rId43" Type="http://schemas.openxmlformats.org/officeDocument/2006/relationships/hyperlink" Target="http://www.safetyandquality.gov.au/environmental-cleaning" TargetMode="External"/><Relationship Id="rId48" Type="http://schemas.openxmlformats.org/officeDocument/2006/relationships/hyperlink" Target="https://www.safetyandquality.gov.au/node/5724"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afetyandquality.gov.au/sites/default/files/2020-07/covid-19_and_face_masks_-_information_for_consumer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13</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Draft On the Radar Issue 573</vt:lpstr>
    </vt:vector>
  </TitlesOfParts>
  <Company>ACSQHC</Company>
  <LinksUpToDate>false</LinksUpToDate>
  <CharactersWithSpaces>30080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573</dc:title>
  <dc:subject/>
  <dc:creator>Dr Niall Johnson</dc:creator>
  <cp:keywords>On the Radar</cp:keywords>
  <dc:description/>
  <cp:lastModifiedBy>JOHNSON, Niall</cp:lastModifiedBy>
  <cp:revision>15</cp:revision>
  <cp:lastPrinted>2018-03-02T02:34:00Z</cp:lastPrinted>
  <dcterms:created xsi:type="dcterms:W3CDTF">2022-08-28T22:13:00Z</dcterms:created>
  <dcterms:modified xsi:type="dcterms:W3CDTF">2022-09-02T01:26:00Z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