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373BAC0"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3AA1FD89"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580</w:t>
      </w:r>
    </w:p>
    <w:p w14:paraId="6D81A6EC" w14:textId="7A079ADB" w:rsidR="00755242" w:rsidRDefault="0076103D" w:rsidP="00F738B5">
      <w:pPr>
        <w:rPr>
          <w:rFonts w:ascii="Garamond" w:hAnsi="Garamond"/>
          <w:lang w:val="en-AU"/>
        </w:rPr>
      </w:pPr>
      <w:r>
        <w:rPr>
          <w:rFonts w:ascii="Garamond" w:hAnsi="Garamond"/>
          <w:lang w:val="en-AU"/>
        </w:rPr>
        <w:t>24</w:t>
      </w:r>
      <w:r w:rsidR="00042C3F">
        <w:rPr>
          <w:rFonts w:ascii="Garamond" w:hAnsi="Garamond"/>
          <w:lang w:val="en-AU"/>
        </w:rPr>
        <w:t xml:space="preserve"> Octob</w:t>
      </w:r>
      <w:r w:rsidR="00E02472">
        <w:rPr>
          <w:rFonts w:ascii="Garamond" w:hAnsi="Garamond"/>
          <w:lang w:val="en-AU"/>
        </w:rPr>
        <w:t>er</w:t>
      </w:r>
      <w:r w:rsidR="00BD267D">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1BDB87E2"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90C0E">
        <w:rPr>
          <w:rFonts w:ascii="Garamond" w:hAnsi="Garamond"/>
          <w:bCs/>
          <w:lang w:val="en-AU"/>
        </w:rPr>
        <w:t xml:space="preserve">, </w:t>
      </w:r>
      <w:r w:rsidR="004C7CE2">
        <w:rPr>
          <w:rFonts w:ascii="Garamond" w:hAnsi="Garamond"/>
          <w:bCs/>
          <w:lang w:val="en-AU"/>
        </w:rPr>
        <w:t>Amy Forsyth</w:t>
      </w:r>
      <w:r w:rsidR="00C62715">
        <w:rPr>
          <w:rFonts w:ascii="Garamond" w:hAnsi="Garamond"/>
          <w:bCs/>
          <w:lang w:val="en-AU"/>
        </w:rPr>
        <w:t>, Paul Miles</w:t>
      </w:r>
    </w:p>
    <w:p w14:paraId="28801CDC" w14:textId="77777777" w:rsidR="00B27EB8" w:rsidRPr="00B27EB8" w:rsidRDefault="00B27EB8" w:rsidP="00B27EB8">
      <w:pPr>
        <w:rPr>
          <w:rFonts w:ascii="Garamond" w:hAnsi="Garamond"/>
          <w:bCs/>
          <w:lang w:val="en-AU"/>
        </w:rPr>
      </w:pPr>
    </w:p>
    <w:p w14:paraId="3D2486ED" w14:textId="77777777" w:rsidR="00B539A4" w:rsidRPr="00B539A4" w:rsidRDefault="00B539A4" w:rsidP="00B539A4">
      <w:pPr>
        <w:keepNext/>
        <w:keepLines/>
        <w:autoSpaceDE w:val="0"/>
        <w:autoSpaceDN w:val="0"/>
        <w:adjustRightInd w:val="0"/>
        <w:rPr>
          <w:rFonts w:ascii="Garamond" w:hAnsi="Garamond"/>
          <w:b/>
          <w:i/>
          <w:iCs/>
          <w:lang w:val="en-AU"/>
        </w:rPr>
      </w:pPr>
      <w:r w:rsidRPr="00B539A4">
        <w:rPr>
          <w:rFonts w:ascii="Garamond" w:hAnsi="Garamond"/>
          <w:b/>
          <w:i/>
          <w:iCs/>
          <w:lang w:val="en-AU"/>
        </w:rPr>
        <w:lastRenderedPageBreak/>
        <w:t>Join the launch of the first care standard on stillbirth</w:t>
      </w:r>
    </w:p>
    <w:p w14:paraId="60851276" w14:textId="59B646A4" w:rsidR="00B539A4" w:rsidRDefault="00E6359B" w:rsidP="00B539A4">
      <w:pPr>
        <w:keepNext/>
        <w:keepLines/>
        <w:autoSpaceDE w:val="0"/>
        <w:autoSpaceDN w:val="0"/>
        <w:adjustRightInd w:val="0"/>
        <w:rPr>
          <w:rFonts w:ascii="Garamond" w:hAnsi="Garamond"/>
          <w:bCs/>
          <w:lang w:val="en-AU"/>
        </w:rPr>
      </w:pPr>
      <w:hyperlink r:id="rId15" w:history="1">
        <w:r w:rsidR="00B539A4" w:rsidRPr="001B3D52">
          <w:rPr>
            <w:rStyle w:val="Hyperlink"/>
            <w:rFonts w:ascii="Garamond" w:hAnsi="Garamond"/>
            <w:bCs/>
            <w:lang w:val="en-AU"/>
          </w:rPr>
          <w:t>https://safetyandquality.tv/</w:t>
        </w:r>
      </w:hyperlink>
    </w:p>
    <w:p w14:paraId="67355E1A" w14:textId="77777777" w:rsidR="00B539A4" w:rsidRDefault="00B539A4" w:rsidP="00B539A4">
      <w:pPr>
        <w:keepNext/>
        <w:keepLines/>
        <w:autoSpaceDE w:val="0"/>
        <w:autoSpaceDN w:val="0"/>
        <w:adjustRightInd w:val="0"/>
        <w:rPr>
          <w:rFonts w:ascii="Garamond" w:hAnsi="Garamond"/>
          <w:bCs/>
          <w:lang w:val="en-AU"/>
        </w:rPr>
      </w:pPr>
    </w:p>
    <w:p w14:paraId="3D58FEE6" w14:textId="6D15C050" w:rsidR="00B539A4" w:rsidRPr="00B539A4" w:rsidRDefault="00B539A4" w:rsidP="00B539A4">
      <w:pPr>
        <w:keepNext/>
        <w:keepLines/>
        <w:autoSpaceDE w:val="0"/>
        <w:autoSpaceDN w:val="0"/>
        <w:adjustRightInd w:val="0"/>
        <w:rPr>
          <w:rFonts w:ascii="Garamond" w:hAnsi="Garamond"/>
          <w:bCs/>
          <w:lang w:val="en-AU"/>
        </w:rPr>
      </w:pPr>
      <w:r w:rsidRPr="00B539A4">
        <w:rPr>
          <w:rFonts w:ascii="Garamond" w:hAnsi="Garamond"/>
          <w:bCs/>
          <w:lang w:val="en-AU"/>
        </w:rPr>
        <w:t xml:space="preserve">You are invited to join the online launch of the first national </w:t>
      </w:r>
      <w:hyperlink r:id="rId16" w:history="1">
        <w:r w:rsidRPr="00B539A4">
          <w:rPr>
            <w:rStyle w:val="Hyperlink"/>
            <w:rFonts w:ascii="Garamond" w:hAnsi="Garamond"/>
            <w:bCs/>
            <w:i/>
            <w:iCs/>
            <w:lang w:val="en-AU"/>
          </w:rPr>
          <w:t>Stillbirth Clinical Care Standard</w:t>
        </w:r>
      </w:hyperlink>
      <w:r w:rsidRPr="00B539A4">
        <w:rPr>
          <w:rFonts w:ascii="Garamond" w:hAnsi="Garamond"/>
          <w:bCs/>
          <w:lang w:val="en-AU"/>
        </w:rPr>
        <w:t xml:space="preserve">, developed by the Australian Commission on Safety and Quality in Health Care. The event will be streamed live from the </w:t>
      </w:r>
      <w:hyperlink r:id="rId17" w:history="1">
        <w:r w:rsidRPr="00B539A4">
          <w:rPr>
            <w:rStyle w:val="Hyperlink"/>
            <w:rFonts w:ascii="Garamond" w:hAnsi="Garamond"/>
            <w:bCs/>
            <w:lang w:val="en-AU"/>
          </w:rPr>
          <w:t>Annual National Stillbirth Forum</w:t>
        </w:r>
      </w:hyperlink>
      <w:r w:rsidRPr="00B539A4">
        <w:rPr>
          <w:rFonts w:ascii="Garamond" w:hAnsi="Garamond"/>
          <w:bCs/>
          <w:lang w:val="en-AU"/>
        </w:rPr>
        <w:t>.</w:t>
      </w:r>
    </w:p>
    <w:p w14:paraId="7456A2DA" w14:textId="77777777" w:rsidR="00B539A4" w:rsidRDefault="00B539A4" w:rsidP="00B539A4">
      <w:pPr>
        <w:keepNext/>
        <w:keepLines/>
        <w:autoSpaceDE w:val="0"/>
        <w:autoSpaceDN w:val="0"/>
        <w:adjustRightInd w:val="0"/>
        <w:rPr>
          <w:rFonts w:ascii="Garamond" w:hAnsi="Garamond"/>
          <w:bCs/>
          <w:lang w:val="en-AU"/>
        </w:rPr>
      </w:pPr>
    </w:p>
    <w:p w14:paraId="1A379E5D" w14:textId="6C2220F1" w:rsidR="00B539A4" w:rsidRPr="00B539A4" w:rsidRDefault="00B539A4" w:rsidP="00B539A4">
      <w:pPr>
        <w:keepNext/>
        <w:keepLines/>
        <w:autoSpaceDE w:val="0"/>
        <w:autoSpaceDN w:val="0"/>
        <w:adjustRightInd w:val="0"/>
        <w:rPr>
          <w:rFonts w:ascii="Garamond" w:hAnsi="Garamond"/>
          <w:bCs/>
          <w:lang w:val="en-AU"/>
        </w:rPr>
      </w:pPr>
      <w:r w:rsidRPr="00B539A4">
        <w:rPr>
          <w:rFonts w:ascii="Garamond" w:hAnsi="Garamond"/>
          <w:bCs/>
          <w:lang w:val="en-AU"/>
        </w:rPr>
        <w:t>Stillbirth is a tragic and profound experience that affects more than 2,000 families in Australia every year. Despite being the most common form of perinatal death in Australia, the experience of stillbirth can be hidden due to stigma, taboo and a culture of silence.</w:t>
      </w:r>
    </w:p>
    <w:p w14:paraId="6B4787BC" w14:textId="77777777" w:rsidR="00B539A4" w:rsidRDefault="00B539A4" w:rsidP="00B539A4">
      <w:pPr>
        <w:keepNext/>
        <w:keepLines/>
        <w:autoSpaceDE w:val="0"/>
        <w:autoSpaceDN w:val="0"/>
        <w:adjustRightInd w:val="0"/>
        <w:rPr>
          <w:rFonts w:ascii="Garamond" w:hAnsi="Garamond"/>
          <w:bCs/>
          <w:lang w:val="en-AU"/>
        </w:rPr>
      </w:pPr>
    </w:p>
    <w:p w14:paraId="62C32356" w14:textId="3AB27537" w:rsidR="00B539A4" w:rsidRPr="00B539A4" w:rsidRDefault="00B539A4" w:rsidP="00B539A4">
      <w:pPr>
        <w:keepNext/>
        <w:keepLines/>
        <w:autoSpaceDE w:val="0"/>
        <w:autoSpaceDN w:val="0"/>
        <w:adjustRightInd w:val="0"/>
        <w:rPr>
          <w:rFonts w:ascii="Garamond" w:hAnsi="Garamond"/>
          <w:bCs/>
          <w:lang w:val="en-AU"/>
        </w:rPr>
      </w:pPr>
      <w:r w:rsidRPr="00B539A4">
        <w:rPr>
          <w:rFonts w:ascii="Garamond" w:hAnsi="Garamond"/>
          <w:bCs/>
          <w:lang w:val="en-AU"/>
        </w:rPr>
        <w:t xml:space="preserve">Hear leading experts discuss best practice in preventing stillbirth, investigations after stillbirth and the importance of bereavement care after perinatal loss. </w:t>
      </w:r>
    </w:p>
    <w:p w14:paraId="732F7401" w14:textId="77777777" w:rsidR="00B539A4" w:rsidRPr="00B539A4" w:rsidRDefault="00B539A4" w:rsidP="00B539A4">
      <w:pPr>
        <w:keepNext/>
        <w:keepLines/>
        <w:autoSpaceDE w:val="0"/>
        <w:autoSpaceDN w:val="0"/>
        <w:adjustRightInd w:val="0"/>
        <w:rPr>
          <w:rFonts w:ascii="Garamond" w:hAnsi="Garamond"/>
          <w:bCs/>
          <w:lang w:val="en-AU"/>
        </w:rPr>
      </w:pPr>
    </w:p>
    <w:p w14:paraId="7E823B6D" w14:textId="126A4B1C" w:rsidR="00B539A4" w:rsidRPr="00B539A4" w:rsidRDefault="00B539A4" w:rsidP="00B539A4">
      <w:pPr>
        <w:keepNext/>
        <w:keepLines/>
        <w:autoSpaceDE w:val="0"/>
        <w:autoSpaceDN w:val="0"/>
        <w:adjustRightInd w:val="0"/>
        <w:rPr>
          <w:rFonts w:ascii="Garamond" w:hAnsi="Garamond"/>
          <w:bCs/>
          <w:lang w:val="en-AU"/>
        </w:rPr>
      </w:pPr>
      <w:r w:rsidRPr="00B539A4">
        <w:rPr>
          <w:rFonts w:ascii="Garamond" w:hAnsi="Garamond"/>
          <w:b/>
          <w:lang w:val="en-AU"/>
        </w:rPr>
        <w:t>When</w:t>
      </w:r>
      <w:r w:rsidRPr="00B539A4">
        <w:rPr>
          <w:rFonts w:ascii="Garamond" w:hAnsi="Garamond"/>
          <w:bCs/>
          <w:lang w:val="en-AU"/>
        </w:rPr>
        <w:t>:</w:t>
      </w:r>
      <w:r w:rsidR="00C10D7C">
        <w:rPr>
          <w:rFonts w:ascii="Garamond" w:hAnsi="Garamond"/>
          <w:bCs/>
          <w:lang w:val="en-AU"/>
        </w:rPr>
        <w:tab/>
      </w:r>
      <w:r w:rsidRPr="00B539A4">
        <w:rPr>
          <w:rFonts w:ascii="Garamond" w:hAnsi="Garamond"/>
          <w:bCs/>
          <w:lang w:val="en-AU"/>
        </w:rPr>
        <w:t xml:space="preserve"> </w:t>
      </w:r>
      <w:r w:rsidRPr="00B539A4">
        <w:rPr>
          <w:rFonts w:ascii="Garamond" w:hAnsi="Garamond"/>
          <w:b/>
          <w:lang w:val="en-AU"/>
        </w:rPr>
        <w:t>Friday</w:t>
      </w:r>
      <w:r w:rsidRPr="00B539A4">
        <w:rPr>
          <w:rFonts w:ascii="Garamond" w:hAnsi="Garamond"/>
          <w:bCs/>
          <w:lang w:val="en-AU"/>
        </w:rPr>
        <w:t xml:space="preserve"> </w:t>
      </w:r>
      <w:r w:rsidRPr="00B539A4">
        <w:rPr>
          <w:rFonts w:ascii="Garamond" w:hAnsi="Garamond"/>
          <w:b/>
          <w:lang w:val="en-AU"/>
        </w:rPr>
        <w:t>4 November</w:t>
      </w:r>
      <w:r w:rsidRPr="00B539A4">
        <w:rPr>
          <w:rFonts w:ascii="Garamond" w:hAnsi="Garamond"/>
          <w:bCs/>
          <w:lang w:val="en-AU"/>
        </w:rPr>
        <w:t>, 12:30 – 1:30 PM AEDT</w:t>
      </w:r>
    </w:p>
    <w:p w14:paraId="54D644D6" w14:textId="77777777" w:rsidR="00B539A4" w:rsidRDefault="00B539A4" w:rsidP="00B539A4">
      <w:pPr>
        <w:keepNext/>
        <w:keepLines/>
        <w:autoSpaceDE w:val="0"/>
        <w:autoSpaceDN w:val="0"/>
        <w:adjustRightInd w:val="0"/>
        <w:rPr>
          <w:rFonts w:ascii="Garamond" w:hAnsi="Garamond"/>
          <w:bCs/>
          <w:lang w:val="en-AU"/>
        </w:rPr>
      </w:pPr>
    </w:p>
    <w:p w14:paraId="652EC88B" w14:textId="3B1B9937" w:rsidR="00B539A4" w:rsidRPr="00B539A4" w:rsidRDefault="00B539A4" w:rsidP="00B539A4">
      <w:pPr>
        <w:keepNext/>
        <w:keepLines/>
        <w:autoSpaceDE w:val="0"/>
        <w:autoSpaceDN w:val="0"/>
        <w:adjustRightInd w:val="0"/>
        <w:rPr>
          <w:rFonts w:ascii="Garamond" w:hAnsi="Garamond"/>
          <w:b/>
          <w:lang w:val="en-AU"/>
        </w:rPr>
      </w:pPr>
      <w:r w:rsidRPr="00B539A4">
        <w:rPr>
          <w:rFonts w:ascii="Garamond" w:hAnsi="Garamond"/>
          <w:b/>
          <w:lang w:val="en-AU"/>
        </w:rPr>
        <w:t>Expert panellists</w:t>
      </w:r>
    </w:p>
    <w:p w14:paraId="4ED077C1" w14:textId="77777777" w:rsidR="00B539A4" w:rsidRPr="00B539A4" w:rsidRDefault="00B539A4" w:rsidP="00B539A4">
      <w:pPr>
        <w:keepNext/>
        <w:keepLines/>
        <w:autoSpaceDE w:val="0"/>
        <w:autoSpaceDN w:val="0"/>
        <w:adjustRightInd w:val="0"/>
        <w:rPr>
          <w:rFonts w:ascii="Garamond" w:hAnsi="Garamond"/>
          <w:bCs/>
          <w:lang w:val="en-AU"/>
        </w:rPr>
      </w:pPr>
      <w:r w:rsidRPr="00B539A4">
        <w:rPr>
          <w:rFonts w:ascii="Garamond" w:hAnsi="Garamond"/>
          <w:bCs/>
          <w:lang w:val="en-AU"/>
        </w:rPr>
        <w:t>ABC journalist and broadcaster Tegan Taylor will host an expert panel including:</w:t>
      </w:r>
    </w:p>
    <w:p w14:paraId="2E8EF93C" w14:textId="7F1FB127" w:rsidR="00B539A4" w:rsidRPr="00B539A4" w:rsidRDefault="00B539A4" w:rsidP="00B539A4">
      <w:pPr>
        <w:pStyle w:val="ListParagraph"/>
        <w:keepNext/>
        <w:keepLines/>
        <w:numPr>
          <w:ilvl w:val="0"/>
          <w:numId w:val="26"/>
        </w:numPr>
        <w:autoSpaceDE w:val="0"/>
        <w:autoSpaceDN w:val="0"/>
        <w:adjustRightInd w:val="0"/>
        <w:rPr>
          <w:rFonts w:ascii="Garamond" w:hAnsi="Garamond"/>
          <w:bCs/>
          <w:lang w:val="en-AU"/>
        </w:rPr>
      </w:pPr>
      <w:r w:rsidRPr="00B539A4">
        <w:rPr>
          <w:rFonts w:ascii="Garamond" w:hAnsi="Garamond"/>
          <w:bCs/>
          <w:lang w:val="en-AU"/>
        </w:rPr>
        <w:t>Associate Professor Liz Marles – Clinical Director, Australian Commission on Safety and Quality in Health Care and General Practitioner, Hornsby-Brooklyn GP Unit</w:t>
      </w:r>
    </w:p>
    <w:p w14:paraId="3DFC4FA2" w14:textId="00CF080F" w:rsidR="00B539A4" w:rsidRPr="00B539A4" w:rsidRDefault="00B539A4" w:rsidP="00B539A4">
      <w:pPr>
        <w:pStyle w:val="ListParagraph"/>
        <w:keepNext/>
        <w:keepLines/>
        <w:numPr>
          <w:ilvl w:val="0"/>
          <w:numId w:val="26"/>
        </w:numPr>
        <w:autoSpaceDE w:val="0"/>
        <w:autoSpaceDN w:val="0"/>
        <w:adjustRightInd w:val="0"/>
        <w:rPr>
          <w:rFonts w:ascii="Garamond" w:hAnsi="Garamond"/>
          <w:bCs/>
          <w:lang w:val="en-AU"/>
        </w:rPr>
      </w:pPr>
      <w:r w:rsidRPr="00B539A4">
        <w:rPr>
          <w:rFonts w:ascii="Garamond" w:hAnsi="Garamond"/>
          <w:bCs/>
          <w:lang w:val="en-AU"/>
        </w:rPr>
        <w:t>Professor Adrienne Gordon – Neonatologist at Royal Prince Alfred Hospital, Clinical Professor at University of Sydney, and Chief Investigator at the Stillbirth CRE</w:t>
      </w:r>
    </w:p>
    <w:p w14:paraId="1387D5B7" w14:textId="17FD2A6F" w:rsidR="00B539A4" w:rsidRPr="00B539A4" w:rsidRDefault="00B539A4" w:rsidP="00B539A4">
      <w:pPr>
        <w:pStyle w:val="ListParagraph"/>
        <w:keepNext/>
        <w:keepLines/>
        <w:numPr>
          <w:ilvl w:val="0"/>
          <w:numId w:val="26"/>
        </w:numPr>
        <w:autoSpaceDE w:val="0"/>
        <w:autoSpaceDN w:val="0"/>
        <w:adjustRightInd w:val="0"/>
        <w:rPr>
          <w:rFonts w:ascii="Garamond" w:hAnsi="Garamond"/>
          <w:bCs/>
          <w:lang w:val="en-AU"/>
        </w:rPr>
      </w:pPr>
      <w:r w:rsidRPr="00B539A4">
        <w:rPr>
          <w:rFonts w:ascii="Garamond" w:hAnsi="Garamond"/>
          <w:bCs/>
          <w:lang w:val="en-AU"/>
        </w:rPr>
        <w:t>Professor Caroline Homer AO – Co-Program Director Maternal, Child and Adolescent Health at the Burnet Institute and President of the Perinatal Society of Australia and New Zealand</w:t>
      </w:r>
    </w:p>
    <w:p w14:paraId="5D1E9B7B" w14:textId="63AAF009" w:rsidR="00B539A4" w:rsidRPr="00B539A4" w:rsidRDefault="00B539A4" w:rsidP="00B539A4">
      <w:pPr>
        <w:pStyle w:val="ListParagraph"/>
        <w:keepNext/>
        <w:keepLines/>
        <w:numPr>
          <w:ilvl w:val="0"/>
          <w:numId w:val="26"/>
        </w:numPr>
        <w:autoSpaceDE w:val="0"/>
        <w:autoSpaceDN w:val="0"/>
        <w:adjustRightInd w:val="0"/>
        <w:rPr>
          <w:rFonts w:ascii="Garamond" w:hAnsi="Garamond"/>
          <w:bCs/>
          <w:lang w:val="en-AU"/>
        </w:rPr>
      </w:pPr>
      <w:r w:rsidRPr="00B539A4">
        <w:rPr>
          <w:rFonts w:ascii="Garamond" w:hAnsi="Garamond"/>
          <w:bCs/>
          <w:lang w:val="en-AU"/>
        </w:rPr>
        <w:t>Professor David Ellwood – Professor of Obstetrics &amp; Gynaecology at Griffith University, Director of Maternal-Fetal Medicine at Gold Coast University Hospital, and Co-Director of the Stillbirth CRE</w:t>
      </w:r>
    </w:p>
    <w:p w14:paraId="7A3F9AE4" w14:textId="2C6993BC" w:rsidR="00B539A4" w:rsidRPr="00B539A4" w:rsidRDefault="00B539A4" w:rsidP="00B539A4">
      <w:pPr>
        <w:pStyle w:val="ListParagraph"/>
        <w:keepNext/>
        <w:keepLines/>
        <w:numPr>
          <w:ilvl w:val="0"/>
          <w:numId w:val="26"/>
        </w:numPr>
        <w:autoSpaceDE w:val="0"/>
        <w:autoSpaceDN w:val="0"/>
        <w:adjustRightInd w:val="0"/>
        <w:rPr>
          <w:rFonts w:ascii="Garamond" w:hAnsi="Garamond"/>
          <w:bCs/>
          <w:lang w:val="en-AU"/>
        </w:rPr>
      </w:pPr>
      <w:r w:rsidRPr="00B539A4">
        <w:rPr>
          <w:rFonts w:ascii="Garamond" w:hAnsi="Garamond"/>
          <w:bCs/>
          <w:lang w:val="en-AU"/>
        </w:rPr>
        <w:t>Ms Deanna Stuart-Butler – Senior Advisor, Indigenous Research and Chair of the National Stillbirth Indigenous Advisory Group at the Stillbirth CRE</w:t>
      </w:r>
      <w:r w:rsidR="00C62715">
        <w:rPr>
          <w:rFonts w:ascii="Garamond" w:hAnsi="Garamond"/>
          <w:bCs/>
          <w:lang w:val="en-AU"/>
        </w:rPr>
        <w:t>.</w:t>
      </w:r>
    </w:p>
    <w:p w14:paraId="58B1F13B" w14:textId="77777777" w:rsidR="00B539A4" w:rsidRDefault="00B539A4" w:rsidP="00B539A4">
      <w:pPr>
        <w:keepNext/>
        <w:keepLines/>
        <w:autoSpaceDE w:val="0"/>
        <w:autoSpaceDN w:val="0"/>
        <w:adjustRightInd w:val="0"/>
        <w:rPr>
          <w:rFonts w:ascii="Garamond" w:hAnsi="Garamond"/>
          <w:bCs/>
          <w:lang w:val="en-AU"/>
        </w:rPr>
      </w:pPr>
    </w:p>
    <w:p w14:paraId="75261B87" w14:textId="55E2098B" w:rsidR="00B539A4" w:rsidRPr="00B539A4" w:rsidRDefault="00B539A4" w:rsidP="00B539A4">
      <w:pPr>
        <w:keepNext/>
        <w:keepLines/>
        <w:autoSpaceDE w:val="0"/>
        <w:autoSpaceDN w:val="0"/>
        <w:adjustRightInd w:val="0"/>
        <w:rPr>
          <w:rFonts w:ascii="Garamond" w:hAnsi="Garamond"/>
          <w:bCs/>
          <w:lang w:val="en-AU"/>
        </w:rPr>
      </w:pPr>
      <w:r w:rsidRPr="00B539A4">
        <w:rPr>
          <w:rFonts w:ascii="Garamond" w:hAnsi="Garamond"/>
          <w:bCs/>
          <w:lang w:val="en-AU"/>
        </w:rPr>
        <w:t xml:space="preserve">Click </w:t>
      </w:r>
      <w:hyperlink r:id="rId18" w:history="1">
        <w:r w:rsidRPr="00B539A4">
          <w:rPr>
            <w:rStyle w:val="Hyperlink"/>
            <w:rFonts w:ascii="Garamond" w:hAnsi="Garamond"/>
            <w:bCs/>
            <w:lang w:val="en-AU"/>
          </w:rPr>
          <w:t>here</w:t>
        </w:r>
      </w:hyperlink>
      <w:r w:rsidRPr="00B539A4">
        <w:rPr>
          <w:rFonts w:ascii="Garamond" w:hAnsi="Garamond"/>
          <w:bCs/>
          <w:lang w:val="en-AU"/>
        </w:rPr>
        <w:t xml:space="preserve"> to registe</w:t>
      </w:r>
      <w:r>
        <w:rPr>
          <w:rFonts w:ascii="Garamond" w:hAnsi="Garamond"/>
          <w:bCs/>
          <w:lang w:val="en-AU"/>
        </w:rPr>
        <w:t>r.</w:t>
      </w:r>
    </w:p>
    <w:p w14:paraId="00B92079" w14:textId="77777777" w:rsidR="00B539A4" w:rsidRDefault="00B539A4" w:rsidP="00B539A4">
      <w:pPr>
        <w:keepNext/>
        <w:keepLines/>
        <w:autoSpaceDE w:val="0"/>
        <w:autoSpaceDN w:val="0"/>
        <w:adjustRightInd w:val="0"/>
        <w:rPr>
          <w:rFonts w:ascii="Garamond" w:hAnsi="Garamond"/>
          <w:bCs/>
          <w:lang w:val="en-AU"/>
        </w:rPr>
      </w:pPr>
    </w:p>
    <w:p w14:paraId="328795AC" w14:textId="17B1A924" w:rsidR="00B539A4" w:rsidRDefault="00B539A4" w:rsidP="00B539A4">
      <w:pPr>
        <w:keepNext/>
        <w:keepLines/>
        <w:autoSpaceDE w:val="0"/>
        <w:autoSpaceDN w:val="0"/>
        <w:adjustRightInd w:val="0"/>
        <w:rPr>
          <w:rFonts w:ascii="Garamond" w:hAnsi="Garamond"/>
          <w:bCs/>
          <w:lang w:val="en-AU"/>
        </w:rPr>
      </w:pPr>
      <w:r w:rsidRPr="00B539A4">
        <w:rPr>
          <w:rFonts w:ascii="Garamond" w:hAnsi="Garamond"/>
          <w:bCs/>
          <w:lang w:val="en-AU"/>
        </w:rPr>
        <w:t>For more informatio</w:t>
      </w:r>
      <w:r>
        <w:rPr>
          <w:rFonts w:ascii="Garamond" w:hAnsi="Garamond"/>
          <w:bCs/>
          <w:lang w:val="en-AU"/>
        </w:rPr>
        <w:t>n</w:t>
      </w:r>
      <w:r w:rsidRPr="00B539A4">
        <w:rPr>
          <w:rFonts w:ascii="Garamond" w:hAnsi="Garamond"/>
          <w:bCs/>
          <w:lang w:val="en-AU"/>
        </w:rPr>
        <w:t xml:space="preserve"> email </w:t>
      </w:r>
      <w:hyperlink r:id="rId19" w:history="1">
        <w:r w:rsidRPr="001B3D52">
          <w:rPr>
            <w:rStyle w:val="Hyperlink"/>
            <w:rFonts w:ascii="Garamond" w:hAnsi="Garamond"/>
            <w:bCs/>
            <w:lang w:val="en-AU"/>
          </w:rPr>
          <w:t>ccs@safetyandquality.gov.au</w:t>
        </w:r>
      </w:hyperlink>
      <w:r>
        <w:rPr>
          <w:rFonts w:ascii="Garamond" w:hAnsi="Garamond"/>
          <w:bCs/>
          <w:lang w:val="en-AU"/>
        </w:rPr>
        <w:t xml:space="preserve"> </w:t>
      </w:r>
      <w:r w:rsidRPr="00B539A4">
        <w:rPr>
          <w:rFonts w:ascii="Garamond" w:hAnsi="Garamond"/>
          <w:bCs/>
          <w:lang w:val="en-AU"/>
        </w:rPr>
        <w:t xml:space="preserve"> or visit our web page</w:t>
      </w:r>
      <w:r>
        <w:rPr>
          <w:rFonts w:ascii="Garamond" w:hAnsi="Garamond"/>
          <w:bCs/>
          <w:lang w:val="en-AU"/>
        </w:rPr>
        <w:t xml:space="preserve"> </w:t>
      </w:r>
      <w:hyperlink r:id="rId20" w:history="1">
        <w:r w:rsidRPr="001B3D52">
          <w:rPr>
            <w:rStyle w:val="Hyperlink"/>
            <w:rFonts w:ascii="Garamond" w:hAnsi="Garamond"/>
            <w:bCs/>
            <w:lang w:val="en-AU"/>
          </w:rPr>
          <w:t>https://www.safetyandquality.gov.au/standards/clinical-care-standards/stillbirth-clinical-care-standard</w:t>
        </w:r>
      </w:hyperlink>
    </w:p>
    <w:p w14:paraId="5382E3FB" w14:textId="2F673921" w:rsidR="00E71B4B" w:rsidRDefault="00E71B4B" w:rsidP="00B539A4">
      <w:pPr>
        <w:keepNext/>
        <w:keepLines/>
        <w:autoSpaceDE w:val="0"/>
        <w:autoSpaceDN w:val="0"/>
        <w:adjustRightInd w:val="0"/>
        <w:rPr>
          <w:rFonts w:ascii="Garamond" w:hAnsi="Garamond"/>
          <w:bCs/>
          <w:lang w:val="en-AU"/>
        </w:rPr>
      </w:pPr>
    </w:p>
    <w:p w14:paraId="5B1BF356" w14:textId="4DC50760" w:rsidR="00B539A4" w:rsidRDefault="00B539A4" w:rsidP="00892DF5">
      <w:pPr>
        <w:keepLines/>
        <w:autoSpaceDE w:val="0"/>
        <w:autoSpaceDN w:val="0"/>
        <w:adjustRightInd w:val="0"/>
        <w:rPr>
          <w:rFonts w:ascii="Garamond" w:hAnsi="Garamond"/>
          <w:bCs/>
          <w:lang w:val="en-AU"/>
        </w:rPr>
      </w:pPr>
      <w:r>
        <w:rPr>
          <w:rFonts w:ascii="Garamond" w:hAnsi="Garamond"/>
          <w:bCs/>
          <w:noProof/>
          <w:lang w:val="en-AU"/>
        </w:rPr>
        <w:drawing>
          <wp:inline distT="0" distB="0" distL="0" distR="0" wp14:anchorId="401DB0CA" wp14:editId="266026E1">
            <wp:extent cx="6116955" cy="2179955"/>
            <wp:effectExtent l="0" t="0" r="0" b="0"/>
            <wp:docPr id="4" name="Picture 4" descr="You are invited to join the online launch of the first national Stillbirth Clinical Care Standard, developed by the 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u are invited to join the online launch of the first national Stillbirth Clinical Care Standard, developed by the Australian Commission on Safety and Quality in Health C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955" cy="2179955"/>
                    </a:xfrm>
                    <a:prstGeom prst="rect">
                      <a:avLst/>
                    </a:prstGeom>
                    <a:noFill/>
                    <a:ln>
                      <a:noFill/>
                    </a:ln>
                  </pic:spPr>
                </pic:pic>
              </a:graphicData>
            </a:graphic>
          </wp:inline>
        </w:drawing>
      </w:r>
    </w:p>
    <w:p w14:paraId="1AB8C492" w14:textId="77777777" w:rsidR="00892DF5" w:rsidRPr="00E71B4B" w:rsidRDefault="00892DF5" w:rsidP="00892DF5">
      <w:pPr>
        <w:keepLines/>
        <w:autoSpaceDE w:val="0"/>
        <w:autoSpaceDN w:val="0"/>
        <w:adjustRightInd w:val="0"/>
        <w:rPr>
          <w:rFonts w:ascii="Garamond" w:hAnsi="Garamond"/>
          <w:bCs/>
          <w:lang w:val="en-AU"/>
        </w:rPr>
      </w:pPr>
    </w:p>
    <w:p w14:paraId="745BCC2B" w14:textId="77777777" w:rsidR="00FE639E" w:rsidRDefault="00FE639E">
      <w:pPr>
        <w:rPr>
          <w:rFonts w:ascii="Garamond" w:hAnsi="Garamond"/>
          <w:b/>
          <w:lang w:val="en-AU"/>
        </w:rPr>
      </w:pPr>
      <w:r>
        <w:rPr>
          <w:rFonts w:ascii="Garamond" w:hAnsi="Garamond"/>
          <w:b/>
          <w:lang w:val="en-AU"/>
        </w:rPr>
        <w:br w:type="page"/>
      </w:r>
    </w:p>
    <w:p w14:paraId="604EB9F1" w14:textId="7E5A96E5"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7402EF0" w14:textId="77777777" w:rsidR="00E02472" w:rsidRDefault="00E02472" w:rsidP="00E02472">
      <w:pPr>
        <w:keepLines/>
        <w:autoSpaceDE w:val="0"/>
        <w:autoSpaceDN w:val="0"/>
        <w:adjustRightInd w:val="0"/>
        <w:rPr>
          <w:rFonts w:ascii="Garamond" w:hAnsi="Garamond"/>
          <w:lang w:val="en-AU"/>
        </w:rPr>
      </w:pPr>
    </w:p>
    <w:p w14:paraId="36981940" w14:textId="77777777" w:rsidR="0009452A" w:rsidRPr="0009452A" w:rsidRDefault="0009452A" w:rsidP="0009452A">
      <w:pPr>
        <w:keepLines/>
        <w:autoSpaceDE w:val="0"/>
        <w:autoSpaceDN w:val="0"/>
        <w:adjustRightInd w:val="0"/>
        <w:rPr>
          <w:rFonts w:ascii="Garamond" w:hAnsi="Garamond"/>
          <w:i/>
          <w:iCs/>
          <w:lang w:val="en-AU"/>
        </w:rPr>
      </w:pPr>
      <w:r w:rsidRPr="0009452A">
        <w:rPr>
          <w:rFonts w:ascii="Garamond" w:hAnsi="Garamond"/>
          <w:i/>
          <w:iCs/>
          <w:lang w:val="en-AU"/>
        </w:rPr>
        <w:t>Polypharmacy and continuity of care: medicines optimisation in the era of multidisciplinary teams</w:t>
      </w:r>
    </w:p>
    <w:p w14:paraId="38740996" w14:textId="77777777" w:rsidR="0009452A" w:rsidRDefault="0009452A" w:rsidP="00D22ACA">
      <w:pPr>
        <w:keepLines/>
        <w:autoSpaceDE w:val="0"/>
        <w:autoSpaceDN w:val="0"/>
        <w:adjustRightInd w:val="0"/>
        <w:rPr>
          <w:rFonts w:ascii="Garamond" w:hAnsi="Garamond"/>
          <w:lang w:val="en-AU"/>
        </w:rPr>
      </w:pPr>
      <w:r w:rsidRPr="0009452A">
        <w:rPr>
          <w:rFonts w:ascii="Garamond" w:hAnsi="Garamond"/>
          <w:lang w:val="en-AU"/>
        </w:rPr>
        <w:t>Tarrant C, Lewis R, Armstrong N</w:t>
      </w:r>
    </w:p>
    <w:p w14:paraId="4C6D34B7" w14:textId="7033632B" w:rsidR="00D22ACA" w:rsidRDefault="0009452A" w:rsidP="00D22ACA">
      <w:pPr>
        <w:keepLines/>
        <w:autoSpaceDE w:val="0"/>
        <w:autoSpaceDN w:val="0"/>
        <w:adjustRightInd w:val="0"/>
        <w:rPr>
          <w:rFonts w:ascii="Garamond" w:hAnsi="Garamond"/>
          <w:lang w:val="en-AU"/>
        </w:rPr>
      </w:pPr>
      <w:r w:rsidRPr="0009452A">
        <w:rPr>
          <w:rFonts w:ascii="Garamond" w:hAnsi="Garamond"/>
          <w:lang w:val="en-AU"/>
        </w:rPr>
        <w:t>BMJ Quality &amp; Safety. 2022.</w:t>
      </w:r>
    </w:p>
    <w:tbl>
      <w:tblPr>
        <w:tblStyle w:val="TableGrid"/>
        <w:tblW w:w="9360" w:type="dxa"/>
        <w:tblInd w:w="288" w:type="dxa"/>
        <w:tblLayout w:type="fixed"/>
        <w:tblLook w:val="01E0" w:firstRow="1" w:lastRow="1" w:firstColumn="1" w:lastColumn="1" w:noHBand="0" w:noVBand="0"/>
      </w:tblPr>
      <w:tblGrid>
        <w:gridCol w:w="1080"/>
        <w:gridCol w:w="8280"/>
      </w:tblGrid>
      <w:tr w:rsidR="00D22ACA" w:rsidRPr="00E37911" w14:paraId="4DEDA1F2" w14:textId="77777777" w:rsidTr="00EE3B23">
        <w:tc>
          <w:tcPr>
            <w:tcW w:w="1080" w:type="dxa"/>
            <w:tcBorders>
              <w:top w:val="single" w:sz="4" w:space="0" w:color="auto"/>
              <w:left w:val="single" w:sz="4" w:space="0" w:color="auto"/>
              <w:bottom w:val="single" w:sz="4" w:space="0" w:color="auto"/>
              <w:right w:val="single" w:sz="4" w:space="0" w:color="auto"/>
            </w:tcBorders>
            <w:vAlign w:val="center"/>
          </w:tcPr>
          <w:p w14:paraId="148C1CDF" w14:textId="77777777" w:rsidR="00D22ACA" w:rsidRPr="00E37911" w:rsidRDefault="00D22ACA" w:rsidP="00EE3B2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E3C64A3" w14:textId="6F6B3F66" w:rsidR="00D22ACA" w:rsidRPr="00E37911" w:rsidRDefault="00E6359B" w:rsidP="00EE3B23">
            <w:pPr>
              <w:rPr>
                <w:rStyle w:val="Hyperlink"/>
                <w:rFonts w:ascii="Garamond" w:hAnsi="Garamond"/>
                <w:color w:val="auto"/>
                <w:u w:val="none"/>
                <w:lang w:val="en-AU"/>
              </w:rPr>
            </w:pPr>
            <w:hyperlink r:id="rId22" w:history="1">
              <w:r w:rsidR="00D851AE" w:rsidRPr="00E64DF6">
                <w:rPr>
                  <w:rStyle w:val="Hyperlink"/>
                  <w:rFonts w:ascii="Garamond" w:hAnsi="Garamond"/>
                  <w:lang w:val="en-AU"/>
                </w:rPr>
                <w:t>https://dx.doi.org/10.1136/bmjqs-2022-015082</w:t>
              </w:r>
            </w:hyperlink>
          </w:p>
        </w:tc>
      </w:tr>
      <w:tr w:rsidR="00D22ACA" w:rsidRPr="00E37911" w14:paraId="7676D45B" w14:textId="77777777" w:rsidTr="00EE3B23">
        <w:tc>
          <w:tcPr>
            <w:tcW w:w="1080" w:type="dxa"/>
            <w:tcBorders>
              <w:top w:val="single" w:sz="4" w:space="0" w:color="auto"/>
              <w:left w:val="single" w:sz="4" w:space="0" w:color="auto"/>
              <w:bottom w:val="single" w:sz="4" w:space="0" w:color="auto"/>
              <w:right w:val="single" w:sz="4" w:space="0" w:color="auto"/>
            </w:tcBorders>
            <w:vAlign w:val="center"/>
          </w:tcPr>
          <w:p w14:paraId="306AADDC" w14:textId="77777777" w:rsidR="00D22ACA" w:rsidRPr="00E37911" w:rsidRDefault="00D22ACA" w:rsidP="00EE3B23">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6B973FB" w14:textId="11E2D55F" w:rsidR="00D22ACA" w:rsidRDefault="0009452A" w:rsidP="00EE3B23">
            <w:pPr>
              <w:rPr>
                <w:rFonts w:ascii="Garamond" w:hAnsi="Garamond"/>
                <w:lang w:val="en-AU"/>
              </w:rPr>
            </w:pPr>
            <w:r>
              <w:rPr>
                <w:rFonts w:ascii="Garamond" w:hAnsi="Garamond"/>
                <w:lang w:val="en-AU"/>
              </w:rPr>
              <w:t xml:space="preserve">Editorial in </w:t>
            </w:r>
            <w:r w:rsidRPr="0009452A">
              <w:rPr>
                <w:rFonts w:ascii="Garamond" w:hAnsi="Garamond"/>
                <w:i/>
                <w:iCs/>
                <w:lang w:val="en-AU"/>
              </w:rPr>
              <w:t>BMJ Quality &amp; Safety</w:t>
            </w:r>
            <w:r>
              <w:rPr>
                <w:rFonts w:ascii="Garamond" w:hAnsi="Garamond"/>
                <w:lang w:val="en-AU"/>
              </w:rPr>
              <w:t xml:space="preserve"> reflecting on </w:t>
            </w:r>
            <w:r w:rsidR="001C0A37">
              <w:rPr>
                <w:rFonts w:ascii="Garamond" w:hAnsi="Garamond"/>
                <w:lang w:val="en-AU"/>
              </w:rPr>
              <w:t xml:space="preserve">polypharmacy, particularly in light of an ethnographic study of how primary care clinicians manage polypharmacy. The authors of this editorial suggest that it is the coordinating of medication management within and across teams that warrants focus, so as ‘to enable sharing of responsibility for iterative, ongoing medicines management </w:t>
            </w:r>
            <w:r w:rsidR="001C0A37" w:rsidRPr="001C0A37">
              <w:rPr>
                <w:rFonts w:ascii="Garamond" w:hAnsi="Garamond"/>
                <w:i/>
                <w:iCs/>
                <w:lang w:val="en-AU"/>
              </w:rPr>
              <w:t>between clinicians</w:t>
            </w:r>
            <w:r w:rsidR="001C0A37">
              <w:rPr>
                <w:rFonts w:ascii="Garamond" w:hAnsi="Garamond"/>
                <w:lang w:val="en-AU"/>
              </w:rPr>
              <w:t xml:space="preserve"> involved in a patient’s care over time’. They go on to suggest five areas for attention:</w:t>
            </w:r>
          </w:p>
          <w:p w14:paraId="43DB2043" w14:textId="77777777" w:rsidR="001C0A37" w:rsidRDefault="001C0A37" w:rsidP="001C0A37">
            <w:pPr>
              <w:pStyle w:val="ListParagraph"/>
              <w:numPr>
                <w:ilvl w:val="0"/>
                <w:numId w:val="27"/>
              </w:numPr>
              <w:rPr>
                <w:rFonts w:ascii="Garamond" w:hAnsi="Garamond"/>
                <w:lang w:val="en-AU"/>
              </w:rPr>
            </w:pPr>
            <w:r>
              <w:rPr>
                <w:rFonts w:ascii="Garamond" w:hAnsi="Garamond"/>
                <w:lang w:val="en-AU"/>
              </w:rPr>
              <w:t>‘</w:t>
            </w:r>
            <w:r w:rsidRPr="001C0A37">
              <w:rPr>
                <w:rFonts w:ascii="Garamond" w:hAnsi="Garamond"/>
                <w:lang w:val="en-AU"/>
              </w:rPr>
              <w:t xml:space="preserve">an explicit understanding of medication management as an ongoing, iterative process, where the decision to prescribe medication is seen as the start of a journey rather than a destination. </w:t>
            </w:r>
            <w:r>
              <w:rPr>
                <w:rFonts w:ascii="Garamond" w:hAnsi="Garamond"/>
                <w:lang w:val="en-AU"/>
              </w:rPr>
              <w:t xml:space="preserve">… </w:t>
            </w:r>
            <w:r w:rsidRPr="001C0A37">
              <w:rPr>
                <w:rFonts w:ascii="Garamond" w:hAnsi="Garamond"/>
                <w:lang w:val="en-AU"/>
              </w:rPr>
              <w:t>Clear articulation, forward planning and recording of the goals of treatment at the point of prescribing would help support other clinicians, in subsequent consultations, to have conversations with patients about their medications and make informed decisions about medicines management</w:t>
            </w:r>
            <w:r>
              <w:rPr>
                <w:rFonts w:ascii="Garamond" w:hAnsi="Garamond"/>
                <w:lang w:val="en-AU"/>
              </w:rPr>
              <w:t>.’</w:t>
            </w:r>
          </w:p>
          <w:p w14:paraId="1A5BA332" w14:textId="77777777" w:rsidR="001C0A37" w:rsidRDefault="001C0A37" w:rsidP="001C0A37">
            <w:pPr>
              <w:pStyle w:val="ListParagraph"/>
              <w:numPr>
                <w:ilvl w:val="0"/>
                <w:numId w:val="27"/>
              </w:numPr>
              <w:rPr>
                <w:rFonts w:ascii="Garamond" w:hAnsi="Garamond"/>
                <w:lang w:val="en-AU"/>
              </w:rPr>
            </w:pPr>
            <w:r>
              <w:rPr>
                <w:rFonts w:ascii="Garamond" w:hAnsi="Garamond"/>
                <w:lang w:val="en-AU"/>
              </w:rPr>
              <w:t>‘</w:t>
            </w:r>
            <w:r w:rsidRPr="001C0A37">
              <w:rPr>
                <w:rFonts w:ascii="Garamond" w:hAnsi="Garamond"/>
                <w:lang w:val="en-AU"/>
              </w:rPr>
              <w:t>understanding of what person-centred care means in the context of medicines optimisation and medication reviews. Prescribers should recognise the patient as an expert in their own experiences of medication, and in what they want to achieve from their medication.</w:t>
            </w:r>
            <w:r>
              <w:rPr>
                <w:rFonts w:ascii="Garamond" w:hAnsi="Garamond"/>
                <w:lang w:val="en-AU"/>
              </w:rPr>
              <w:t>’</w:t>
            </w:r>
          </w:p>
          <w:p w14:paraId="79BF3222" w14:textId="77777777" w:rsidR="001C0A37" w:rsidRDefault="001C0A37" w:rsidP="001C0A37">
            <w:pPr>
              <w:pStyle w:val="ListParagraph"/>
              <w:numPr>
                <w:ilvl w:val="0"/>
                <w:numId w:val="27"/>
              </w:numPr>
              <w:rPr>
                <w:rFonts w:ascii="Garamond" w:hAnsi="Garamond"/>
                <w:lang w:val="en-AU"/>
              </w:rPr>
            </w:pPr>
            <w:r>
              <w:rPr>
                <w:rFonts w:ascii="Garamond" w:hAnsi="Garamond"/>
                <w:lang w:val="en-AU"/>
              </w:rPr>
              <w:t>‘</w:t>
            </w:r>
            <w:r w:rsidRPr="001C0A37">
              <w:rPr>
                <w:rFonts w:ascii="Garamond" w:hAnsi="Garamond"/>
                <w:lang w:val="en-AU"/>
              </w:rPr>
              <w:t>clearer guidance about what information should be recorded in medication reviews. This should include documenting detail that extends beyond the outcome of the review, for example, patient goals and preferences, and important elements of the decision-making process</w:t>
            </w:r>
            <w:r>
              <w:rPr>
                <w:rFonts w:ascii="Garamond" w:hAnsi="Garamond"/>
                <w:lang w:val="en-AU"/>
              </w:rPr>
              <w:t>’</w:t>
            </w:r>
          </w:p>
          <w:p w14:paraId="217FB152" w14:textId="77777777" w:rsidR="001C0A37" w:rsidRDefault="001C0A37" w:rsidP="001C0A37">
            <w:pPr>
              <w:pStyle w:val="ListParagraph"/>
              <w:numPr>
                <w:ilvl w:val="0"/>
                <w:numId w:val="27"/>
              </w:numPr>
              <w:rPr>
                <w:rFonts w:ascii="Garamond" w:hAnsi="Garamond"/>
                <w:lang w:val="en-AU"/>
              </w:rPr>
            </w:pPr>
            <w:r>
              <w:rPr>
                <w:rFonts w:ascii="Garamond" w:hAnsi="Garamond"/>
                <w:lang w:val="en-AU"/>
              </w:rPr>
              <w:t>‘</w:t>
            </w:r>
            <w:r w:rsidRPr="001C0A37">
              <w:rPr>
                <w:rFonts w:ascii="Garamond" w:hAnsi="Garamond"/>
                <w:lang w:val="en-AU"/>
              </w:rPr>
              <w:t>improving information and management continuity across healthcare professionals within primary care, and the transition between primary and secondary care, will support healthcare professionals to have more informed discussions with patients</w:t>
            </w:r>
            <w:r>
              <w:rPr>
                <w:rFonts w:ascii="Garamond" w:hAnsi="Garamond"/>
                <w:lang w:val="en-AU"/>
              </w:rPr>
              <w:t>’</w:t>
            </w:r>
          </w:p>
          <w:p w14:paraId="733FED13" w14:textId="5C899C13" w:rsidR="001C0A37" w:rsidRPr="001C0A37" w:rsidRDefault="001C0A37" w:rsidP="001C0A37">
            <w:pPr>
              <w:pStyle w:val="ListParagraph"/>
              <w:numPr>
                <w:ilvl w:val="0"/>
                <w:numId w:val="27"/>
              </w:numPr>
              <w:rPr>
                <w:rFonts w:ascii="Garamond" w:hAnsi="Garamond"/>
                <w:lang w:val="en-AU"/>
              </w:rPr>
            </w:pPr>
            <w:r>
              <w:rPr>
                <w:rFonts w:ascii="Garamond" w:hAnsi="Garamond"/>
                <w:lang w:val="en-AU"/>
              </w:rPr>
              <w:t>‘</w:t>
            </w:r>
            <w:r w:rsidRPr="001C0A37">
              <w:rPr>
                <w:rFonts w:ascii="Garamond" w:hAnsi="Garamond"/>
                <w:lang w:val="en-AU"/>
              </w:rPr>
              <w:t>understanding of the purpose and potential contribution of clinical pharmacists following their integration into primary care</w:t>
            </w:r>
            <w:r>
              <w:rPr>
                <w:rFonts w:ascii="Garamond" w:hAnsi="Garamond"/>
                <w:lang w:val="en-AU"/>
              </w:rPr>
              <w:t>’.</w:t>
            </w:r>
          </w:p>
        </w:tc>
      </w:tr>
    </w:tbl>
    <w:p w14:paraId="2B581E29" w14:textId="10D6276E" w:rsidR="002871E3" w:rsidRDefault="002871E3" w:rsidP="002871E3">
      <w:pPr>
        <w:keepLines/>
        <w:autoSpaceDE w:val="0"/>
        <w:autoSpaceDN w:val="0"/>
        <w:adjustRightInd w:val="0"/>
        <w:rPr>
          <w:rFonts w:ascii="Garamond" w:hAnsi="Garamond"/>
          <w:lang w:val="en-AU"/>
        </w:rPr>
      </w:pPr>
    </w:p>
    <w:p w14:paraId="02B37052" w14:textId="6BDEE9DD" w:rsidR="0076103D" w:rsidRDefault="0076103D" w:rsidP="002871E3">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3" w:history="1">
        <w:r w:rsidR="00D851AE" w:rsidRPr="00E64DF6">
          <w:rPr>
            <w:rStyle w:val="Hyperlink"/>
            <w:rFonts w:ascii="Garamond" w:hAnsi="Garamond"/>
            <w:lang w:val="en-AU"/>
          </w:rPr>
          <w:t>https://www.safetyandquality.gov.au/our-work/medication-safety</w:t>
        </w:r>
      </w:hyperlink>
    </w:p>
    <w:p w14:paraId="59A1D790" w14:textId="732DC388" w:rsidR="0076103D" w:rsidRDefault="0076103D" w:rsidP="0076103D">
      <w:pPr>
        <w:keepLines/>
        <w:autoSpaceDE w:val="0"/>
        <w:autoSpaceDN w:val="0"/>
        <w:adjustRightInd w:val="0"/>
        <w:rPr>
          <w:rFonts w:ascii="Garamond" w:hAnsi="Garamond"/>
          <w:lang w:val="en-AU"/>
        </w:rPr>
      </w:pPr>
    </w:p>
    <w:p w14:paraId="556449DB" w14:textId="77777777" w:rsidR="0009452A" w:rsidRPr="0009452A" w:rsidRDefault="0009452A" w:rsidP="0009452A">
      <w:pPr>
        <w:keepLines/>
        <w:autoSpaceDE w:val="0"/>
        <w:autoSpaceDN w:val="0"/>
        <w:adjustRightInd w:val="0"/>
        <w:rPr>
          <w:rFonts w:ascii="Garamond" w:hAnsi="Garamond"/>
          <w:i/>
          <w:iCs/>
          <w:lang w:val="en-AU"/>
        </w:rPr>
      </w:pPr>
      <w:r w:rsidRPr="0009452A">
        <w:rPr>
          <w:rFonts w:ascii="Garamond" w:hAnsi="Garamond"/>
          <w:i/>
          <w:iCs/>
          <w:lang w:val="en-AU"/>
        </w:rPr>
        <w:t>World guidelines for falls prevention and management for older adults: a global initiative</w:t>
      </w:r>
    </w:p>
    <w:p w14:paraId="03724B27" w14:textId="77777777" w:rsidR="0009452A" w:rsidRPr="0009452A" w:rsidRDefault="0009452A" w:rsidP="0009452A">
      <w:pPr>
        <w:keepLines/>
        <w:autoSpaceDE w:val="0"/>
        <w:autoSpaceDN w:val="0"/>
        <w:adjustRightInd w:val="0"/>
        <w:rPr>
          <w:rFonts w:ascii="Garamond" w:hAnsi="Garamond"/>
          <w:lang w:val="en-AU"/>
        </w:rPr>
      </w:pPr>
      <w:r w:rsidRPr="0009452A">
        <w:rPr>
          <w:rFonts w:ascii="Garamond" w:hAnsi="Garamond"/>
          <w:lang w:val="en-AU"/>
        </w:rPr>
        <w:t>Montero-Odasso M, van der Velde N, Martin FC, Petrovic M, Tan MP, Ryg J, et al</w:t>
      </w:r>
    </w:p>
    <w:p w14:paraId="3DB325A7" w14:textId="07F65828" w:rsidR="0009452A" w:rsidRDefault="0009452A" w:rsidP="0009452A">
      <w:pPr>
        <w:keepLines/>
        <w:autoSpaceDE w:val="0"/>
        <w:autoSpaceDN w:val="0"/>
        <w:adjustRightInd w:val="0"/>
        <w:rPr>
          <w:rFonts w:ascii="Garamond" w:hAnsi="Garamond"/>
          <w:lang w:val="en-AU"/>
        </w:rPr>
      </w:pPr>
      <w:r w:rsidRPr="0009452A">
        <w:rPr>
          <w:rFonts w:ascii="Garamond" w:hAnsi="Garamond"/>
          <w:lang w:val="en-AU"/>
        </w:rPr>
        <w:t>Age and Ageing. 2022;51(9):afac205.</w:t>
      </w:r>
    </w:p>
    <w:tbl>
      <w:tblPr>
        <w:tblStyle w:val="TableGrid"/>
        <w:tblW w:w="9360" w:type="dxa"/>
        <w:tblInd w:w="288" w:type="dxa"/>
        <w:tblLayout w:type="fixed"/>
        <w:tblLook w:val="01E0" w:firstRow="1" w:lastRow="1" w:firstColumn="1" w:lastColumn="1" w:noHBand="0" w:noVBand="0"/>
      </w:tblPr>
      <w:tblGrid>
        <w:gridCol w:w="1080"/>
        <w:gridCol w:w="8280"/>
      </w:tblGrid>
      <w:tr w:rsidR="0076103D" w:rsidRPr="00E37911" w14:paraId="44422DCE" w14:textId="77777777" w:rsidTr="007F63AA">
        <w:tc>
          <w:tcPr>
            <w:tcW w:w="1080" w:type="dxa"/>
            <w:tcBorders>
              <w:top w:val="single" w:sz="4" w:space="0" w:color="auto"/>
              <w:left w:val="single" w:sz="4" w:space="0" w:color="auto"/>
              <w:bottom w:val="single" w:sz="4" w:space="0" w:color="auto"/>
              <w:right w:val="single" w:sz="4" w:space="0" w:color="auto"/>
            </w:tcBorders>
            <w:vAlign w:val="center"/>
          </w:tcPr>
          <w:p w14:paraId="30D7A45A" w14:textId="77777777" w:rsidR="0076103D" w:rsidRPr="00E37911" w:rsidRDefault="0076103D" w:rsidP="007F63A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BC8DFE5" w14:textId="052A8A8D" w:rsidR="0076103D" w:rsidRPr="00E37911" w:rsidRDefault="00E6359B" w:rsidP="007F63AA">
            <w:pPr>
              <w:rPr>
                <w:rStyle w:val="Hyperlink"/>
                <w:rFonts w:ascii="Garamond" w:hAnsi="Garamond"/>
                <w:color w:val="auto"/>
                <w:u w:val="none"/>
                <w:lang w:val="en-AU"/>
              </w:rPr>
            </w:pPr>
            <w:hyperlink r:id="rId24" w:history="1">
              <w:r w:rsidR="0009452A" w:rsidRPr="00E64DF6">
                <w:rPr>
                  <w:rStyle w:val="Hyperlink"/>
                  <w:rFonts w:ascii="Garamond" w:hAnsi="Garamond"/>
                  <w:lang w:val="en-AU"/>
                </w:rPr>
                <w:t>https://doi.org/10.1093/ageing/afac205</w:t>
              </w:r>
            </w:hyperlink>
          </w:p>
        </w:tc>
      </w:tr>
      <w:tr w:rsidR="0076103D" w:rsidRPr="00E37911" w14:paraId="26217126" w14:textId="77777777" w:rsidTr="007F63AA">
        <w:tc>
          <w:tcPr>
            <w:tcW w:w="1080" w:type="dxa"/>
            <w:tcBorders>
              <w:top w:val="single" w:sz="4" w:space="0" w:color="auto"/>
              <w:left w:val="single" w:sz="4" w:space="0" w:color="auto"/>
              <w:bottom w:val="single" w:sz="4" w:space="0" w:color="auto"/>
              <w:right w:val="single" w:sz="4" w:space="0" w:color="auto"/>
            </w:tcBorders>
            <w:vAlign w:val="center"/>
          </w:tcPr>
          <w:p w14:paraId="39E41AF7" w14:textId="77777777" w:rsidR="0076103D" w:rsidRPr="00E37911" w:rsidRDefault="0076103D" w:rsidP="007F63A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B3492C7" w14:textId="16492619" w:rsidR="00B360CF" w:rsidRDefault="00B360CF" w:rsidP="007F63AA">
            <w:pPr>
              <w:rPr>
                <w:rFonts w:ascii="Garamond" w:hAnsi="Garamond"/>
                <w:lang w:val="en-AU"/>
              </w:rPr>
            </w:pPr>
            <w:r>
              <w:rPr>
                <w:rFonts w:ascii="Garamond" w:hAnsi="Garamond"/>
                <w:lang w:val="en-AU"/>
              </w:rPr>
              <w:t>Paper reporting on the creation of ‘</w:t>
            </w:r>
            <w:r w:rsidRPr="00B360CF">
              <w:rPr>
                <w:rFonts w:ascii="Garamond" w:hAnsi="Garamond"/>
                <w:lang w:val="en-AU"/>
              </w:rPr>
              <w:t xml:space="preserve">a set of evidence- and expert consensus-based falls prevention and management recommendations applicable to older adults for use by healthcare and other professionals that consider: </w:t>
            </w:r>
          </w:p>
          <w:p w14:paraId="63098EA2" w14:textId="08AD1C20" w:rsidR="00B360CF" w:rsidRPr="00B360CF" w:rsidRDefault="00B360CF" w:rsidP="00B360CF">
            <w:pPr>
              <w:pStyle w:val="ListParagraph"/>
              <w:numPr>
                <w:ilvl w:val="0"/>
                <w:numId w:val="28"/>
              </w:numPr>
              <w:rPr>
                <w:rFonts w:ascii="Garamond" w:hAnsi="Garamond"/>
                <w:lang w:val="en-AU"/>
              </w:rPr>
            </w:pPr>
            <w:r w:rsidRPr="00B360CF">
              <w:rPr>
                <w:rFonts w:ascii="Garamond" w:hAnsi="Garamond"/>
                <w:lang w:val="en-AU"/>
              </w:rPr>
              <w:t>a person-centred approach that includes the perspectives of older adults with lived experience, caregivers and other stakeholders;</w:t>
            </w:r>
          </w:p>
          <w:p w14:paraId="5DEBFEA1" w14:textId="741CB97C" w:rsidR="00B360CF" w:rsidRDefault="00B360CF" w:rsidP="00B360CF">
            <w:pPr>
              <w:pStyle w:val="ListParagraph"/>
              <w:numPr>
                <w:ilvl w:val="0"/>
                <w:numId w:val="28"/>
              </w:numPr>
              <w:rPr>
                <w:rFonts w:ascii="Garamond" w:hAnsi="Garamond"/>
                <w:lang w:val="en-AU"/>
              </w:rPr>
            </w:pPr>
            <w:r w:rsidRPr="00B360CF">
              <w:rPr>
                <w:rFonts w:ascii="Garamond" w:hAnsi="Garamond"/>
                <w:lang w:val="en-AU"/>
              </w:rPr>
              <w:t>gaps in previous guidelines;</w:t>
            </w:r>
          </w:p>
          <w:p w14:paraId="7DD74D30" w14:textId="0D04BD4A" w:rsidR="00B360CF" w:rsidRDefault="00B360CF" w:rsidP="00B360CF">
            <w:pPr>
              <w:pStyle w:val="ListParagraph"/>
              <w:numPr>
                <w:ilvl w:val="0"/>
                <w:numId w:val="28"/>
              </w:numPr>
              <w:rPr>
                <w:rFonts w:ascii="Garamond" w:hAnsi="Garamond"/>
                <w:lang w:val="en-AU"/>
              </w:rPr>
            </w:pPr>
            <w:r w:rsidRPr="00B360CF">
              <w:rPr>
                <w:rFonts w:ascii="Garamond" w:hAnsi="Garamond"/>
                <w:lang w:val="en-AU"/>
              </w:rPr>
              <w:t xml:space="preserve"> recent developments in e-health and</w:t>
            </w:r>
          </w:p>
          <w:p w14:paraId="3BFD6F91" w14:textId="77777777" w:rsidR="00B360CF" w:rsidRDefault="00B360CF" w:rsidP="00B360CF">
            <w:pPr>
              <w:pStyle w:val="ListParagraph"/>
              <w:numPr>
                <w:ilvl w:val="0"/>
                <w:numId w:val="28"/>
              </w:numPr>
              <w:rPr>
                <w:rFonts w:ascii="Garamond" w:hAnsi="Garamond"/>
                <w:lang w:val="en-AU"/>
              </w:rPr>
            </w:pPr>
            <w:r w:rsidRPr="00B360CF">
              <w:rPr>
                <w:rFonts w:ascii="Garamond" w:hAnsi="Garamond"/>
                <w:lang w:val="en-AU"/>
              </w:rPr>
              <w:t>implementation across locations with limited access to resources such as low- and middle-income countries.</w:t>
            </w:r>
          </w:p>
          <w:p w14:paraId="7EEB5B7B" w14:textId="3279EFAE" w:rsidR="00B360CF" w:rsidRPr="00B360CF" w:rsidRDefault="00B360CF" w:rsidP="00B360CF">
            <w:pPr>
              <w:rPr>
                <w:rFonts w:ascii="Garamond" w:hAnsi="Garamond"/>
                <w:lang w:val="en-AU"/>
              </w:rPr>
            </w:pPr>
            <w:r>
              <w:rPr>
                <w:rFonts w:ascii="Garamond" w:hAnsi="Garamond"/>
                <w:lang w:val="en-AU"/>
              </w:rPr>
              <w:t>The various recommendations relate to various populations and contexts.</w:t>
            </w:r>
          </w:p>
        </w:tc>
      </w:tr>
    </w:tbl>
    <w:p w14:paraId="6BFE9532" w14:textId="77777777" w:rsidR="0076103D" w:rsidRDefault="0076103D" w:rsidP="0076103D">
      <w:pPr>
        <w:keepLines/>
        <w:autoSpaceDE w:val="0"/>
        <w:autoSpaceDN w:val="0"/>
        <w:adjustRightInd w:val="0"/>
        <w:rPr>
          <w:rFonts w:ascii="Garamond" w:hAnsi="Garamond"/>
          <w:lang w:val="en-AU"/>
        </w:rPr>
      </w:pPr>
    </w:p>
    <w:p w14:paraId="2C1E0D82" w14:textId="77777777" w:rsidR="0009452A" w:rsidRPr="0009452A" w:rsidRDefault="0009452A" w:rsidP="0009452A">
      <w:pPr>
        <w:keepLines/>
        <w:autoSpaceDE w:val="0"/>
        <w:autoSpaceDN w:val="0"/>
        <w:adjustRightInd w:val="0"/>
        <w:rPr>
          <w:rFonts w:ascii="Garamond" w:hAnsi="Garamond"/>
          <w:i/>
          <w:iCs/>
          <w:lang w:val="en-AU"/>
        </w:rPr>
      </w:pPr>
      <w:r w:rsidRPr="0009452A">
        <w:rPr>
          <w:rFonts w:ascii="Garamond" w:hAnsi="Garamond"/>
          <w:i/>
          <w:iCs/>
          <w:lang w:val="en-AU"/>
        </w:rPr>
        <w:lastRenderedPageBreak/>
        <w:t>The Lancet Commission on ending stigma and discrimination in mental health</w:t>
      </w:r>
    </w:p>
    <w:p w14:paraId="4400414B" w14:textId="77777777" w:rsidR="0009452A" w:rsidRDefault="0009452A" w:rsidP="0009452A">
      <w:pPr>
        <w:keepLines/>
        <w:autoSpaceDE w:val="0"/>
        <w:autoSpaceDN w:val="0"/>
        <w:adjustRightInd w:val="0"/>
        <w:rPr>
          <w:rFonts w:ascii="Garamond" w:hAnsi="Garamond"/>
          <w:lang w:val="en-AU"/>
        </w:rPr>
      </w:pPr>
      <w:r w:rsidRPr="0009452A">
        <w:rPr>
          <w:rFonts w:ascii="Garamond" w:hAnsi="Garamond"/>
          <w:lang w:val="en-AU"/>
        </w:rPr>
        <w:t xml:space="preserve">Thornicroft G, Sunkel C, Alikhon Aliev A, Baker S, Brohan E, el Chammay R, et al. </w:t>
      </w:r>
    </w:p>
    <w:p w14:paraId="17F90A8C" w14:textId="02403089" w:rsidR="0009452A" w:rsidRPr="0009452A" w:rsidRDefault="0009452A" w:rsidP="0009452A">
      <w:pPr>
        <w:keepLines/>
        <w:autoSpaceDE w:val="0"/>
        <w:autoSpaceDN w:val="0"/>
        <w:adjustRightInd w:val="0"/>
        <w:rPr>
          <w:rFonts w:ascii="Garamond" w:hAnsi="Garamond"/>
          <w:lang w:val="en-AU"/>
        </w:rPr>
      </w:pPr>
      <w:r w:rsidRPr="0009452A">
        <w:rPr>
          <w:rFonts w:ascii="Garamond" w:hAnsi="Garamond"/>
          <w:lang w:val="en-AU"/>
        </w:rPr>
        <w:t>The Lancet</w:t>
      </w:r>
      <w:r>
        <w:rPr>
          <w:rFonts w:ascii="Garamond" w:hAnsi="Garamond"/>
          <w:lang w:val="en-AU"/>
        </w:rPr>
        <w:t xml:space="preserve"> 2022 epub</w:t>
      </w:r>
      <w:r w:rsidRPr="0009452A">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6103D" w:rsidRPr="00E37911" w14:paraId="68D29D6E" w14:textId="77777777" w:rsidTr="007F63AA">
        <w:tc>
          <w:tcPr>
            <w:tcW w:w="1080" w:type="dxa"/>
            <w:tcBorders>
              <w:top w:val="single" w:sz="4" w:space="0" w:color="auto"/>
              <w:left w:val="single" w:sz="4" w:space="0" w:color="auto"/>
              <w:bottom w:val="single" w:sz="4" w:space="0" w:color="auto"/>
              <w:right w:val="single" w:sz="4" w:space="0" w:color="auto"/>
            </w:tcBorders>
            <w:vAlign w:val="center"/>
          </w:tcPr>
          <w:p w14:paraId="62E03074" w14:textId="77777777" w:rsidR="0076103D" w:rsidRPr="00E37911" w:rsidRDefault="0076103D" w:rsidP="007F63A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DAFB57F" w14:textId="613A7BB0" w:rsidR="0076103D" w:rsidRPr="00E37911" w:rsidRDefault="00E6359B" w:rsidP="007F63AA">
            <w:pPr>
              <w:rPr>
                <w:rStyle w:val="Hyperlink"/>
                <w:rFonts w:ascii="Garamond" w:hAnsi="Garamond"/>
                <w:color w:val="auto"/>
                <w:u w:val="none"/>
                <w:lang w:val="en-AU"/>
              </w:rPr>
            </w:pPr>
            <w:hyperlink r:id="rId25" w:history="1">
              <w:r w:rsidR="0009452A" w:rsidRPr="00E64DF6">
                <w:rPr>
                  <w:rStyle w:val="Hyperlink"/>
                  <w:rFonts w:ascii="Garamond" w:hAnsi="Garamond"/>
                  <w:lang w:val="en-AU"/>
                </w:rPr>
                <w:t>https://doi.org/10.1016/S0140-6736(22)01470-2</w:t>
              </w:r>
            </w:hyperlink>
            <w:r w:rsidR="0009452A">
              <w:rPr>
                <w:rFonts w:ascii="Garamond" w:hAnsi="Garamond"/>
                <w:lang w:val="en-AU"/>
              </w:rPr>
              <w:t xml:space="preserve"> </w:t>
            </w:r>
          </w:p>
        </w:tc>
      </w:tr>
      <w:tr w:rsidR="0076103D" w:rsidRPr="00E37911" w14:paraId="099C8B8F" w14:textId="77777777" w:rsidTr="007F63AA">
        <w:tc>
          <w:tcPr>
            <w:tcW w:w="1080" w:type="dxa"/>
            <w:tcBorders>
              <w:top w:val="single" w:sz="4" w:space="0" w:color="auto"/>
              <w:left w:val="single" w:sz="4" w:space="0" w:color="auto"/>
              <w:bottom w:val="single" w:sz="4" w:space="0" w:color="auto"/>
              <w:right w:val="single" w:sz="4" w:space="0" w:color="auto"/>
            </w:tcBorders>
            <w:vAlign w:val="center"/>
          </w:tcPr>
          <w:p w14:paraId="72EE6C0F" w14:textId="77777777" w:rsidR="0076103D" w:rsidRPr="00E37911" w:rsidRDefault="0076103D" w:rsidP="007F63A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FB47941" w14:textId="16A5A6E2" w:rsidR="0076103D" w:rsidRPr="00152A4F" w:rsidRDefault="00B360CF" w:rsidP="007F63AA">
            <w:pPr>
              <w:rPr>
                <w:rFonts w:ascii="Garamond" w:hAnsi="Garamond"/>
                <w:lang w:val="en-AU"/>
              </w:rPr>
            </w:pPr>
            <w:r>
              <w:rPr>
                <w:rFonts w:ascii="Garamond" w:hAnsi="Garamond"/>
                <w:lang w:val="en-AU"/>
              </w:rPr>
              <w:t>The impact of stigma on mental health and treatment is widely recognised but possibly the scale and range of impacts is not appreciated. As is noted in this report, ‘</w:t>
            </w:r>
            <w:r w:rsidRPr="00B360CF">
              <w:rPr>
                <w:rFonts w:ascii="Garamond" w:hAnsi="Garamond"/>
                <w:lang w:val="en-AU"/>
              </w:rPr>
              <w:t>many people describe stigma as being worse than the condition itself</w:t>
            </w:r>
            <w:r>
              <w:rPr>
                <w:rFonts w:ascii="Garamond" w:hAnsi="Garamond"/>
                <w:lang w:val="en-AU"/>
              </w:rPr>
              <w:t>’. T</w:t>
            </w:r>
            <w:r w:rsidRPr="00B360CF">
              <w:rPr>
                <w:rFonts w:ascii="Garamond" w:hAnsi="Garamond"/>
                <w:lang w:val="en-AU"/>
              </w:rPr>
              <w:t xml:space="preserve">his Lancet Commission </w:t>
            </w:r>
            <w:r>
              <w:rPr>
                <w:rFonts w:ascii="Garamond" w:hAnsi="Garamond"/>
                <w:lang w:val="en-AU"/>
              </w:rPr>
              <w:t xml:space="preserve">seeks to </w:t>
            </w:r>
            <w:r w:rsidRPr="00B360CF">
              <w:rPr>
                <w:rFonts w:ascii="Garamond" w:hAnsi="Garamond"/>
                <w:lang w:val="en-AU"/>
              </w:rPr>
              <w:t>bring together evidence and experience of the impact of stigma and discrimination and successful interventions for stigma reduction</w:t>
            </w:r>
            <w:r>
              <w:rPr>
                <w:rFonts w:ascii="Garamond" w:hAnsi="Garamond"/>
                <w:lang w:val="en-AU"/>
              </w:rPr>
              <w:t>.</w:t>
            </w:r>
          </w:p>
        </w:tc>
      </w:tr>
    </w:tbl>
    <w:p w14:paraId="71588CBF" w14:textId="77777777" w:rsidR="00B360CF" w:rsidRDefault="00B360CF" w:rsidP="00B360CF">
      <w:pPr>
        <w:keepLines/>
        <w:autoSpaceDE w:val="0"/>
        <w:autoSpaceDN w:val="0"/>
        <w:adjustRightInd w:val="0"/>
        <w:rPr>
          <w:rFonts w:ascii="Garamond" w:hAnsi="Garamond"/>
          <w:lang w:val="en-AU"/>
        </w:rPr>
      </w:pPr>
    </w:p>
    <w:p w14:paraId="6D1C773E" w14:textId="77777777" w:rsidR="00B360CF" w:rsidRDefault="00B360CF" w:rsidP="00B360CF">
      <w:pPr>
        <w:keepLines/>
        <w:autoSpaceDE w:val="0"/>
        <w:autoSpaceDN w:val="0"/>
        <w:adjustRightInd w:val="0"/>
        <w:rPr>
          <w:rFonts w:ascii="Garamond" w:hAnsi="Garamond"/>
          <w:lang w:val="en-AU"/>
        </w:rPr>
      </w:pPr>
      <w:r>
        <w:rPr>
          <w:rFonts w:ascii="Garamond" w:hAnsi="Garamond"/>
          <w:lang w:val="en-AU"/>
        </w:rPr>
        <w:t xml:space="preserve">For information on the Commission’s work on mental health, see </w:t>
      </w:r>
      <w:hyperlink r:id="rId26" w:history="1">
        <w:r w:rsidRPr="00A01780">
          <w:rPr>
            <w:rStyle w:val="Hyperlink"/>
            <w:rFonts w:ascii="Garamond" w:hAnsi="Garamond"/>
            <w:lang w:val="en-AU"/>
          </w:rPr>
          <w:t>https://www.safetyandquality.gov.au/our-work/mental-health</w:t>
        </w:r>
      </w:hyperlink>
    </w:p>
    <w:p w14:paraId="0E425B42" w14:textId="77777777" w:rsidR="00CD36D5" w:rsidRDefault="00CD36D5" w:rsidP="00CD36D5">
      <w:pPr>
        <w:keepLines/>
        <w:autoSpaceDE w:val="0"/>
        <w:autoSpaceDN w:val="0"/>
        <w:adjustRightInd w:val="0"/>
        <w:rPr>
          <w:rFonts w:ascii="Garamond" w:hAnsi="Garamond"/>
          <w:lang w:val="en-AU"/>
        </w:rPr>
      </w:pPr>
    </w:p>
    <w:p w14:paraId="4894917C" w14:textId="77777777" w:rsidR="00CD36D5" w:rsidRPr="00CD36D5" w:rsidRDefault="00CD36D5" w:rsidP="00CD36D5">
      <w:pPr>
        <w:keepLines/>
        <w:autoSpaceDE w:val="0"/>
        <w:autoSpaceDN w:val="0"/>
        <w:adjustRightInd w:val="0"/>
        <w:rPr>
          <w:rFonts w:ascii="Garamond" w:hAnsi="Garamond"/>
          <w:i/>
          <w:iCs/>
          <w:lang w:val="en-AU"/>
        </w:rPr>
      </w:pPr>
      <w:r w:rsidRPr="00CD36D5">
        <w:rPr>
          <w:rFonts w:ascii="Garamond" w:hAnsi="Garamond"/>
          <w:i/>
          <w:iCs/>
          <w:lang w:val="en-AU"/>
        </w:rPr>
        <w:t>Weight stigma in Australia: a public health call to action</w:t>
      </w:r>
    </w:p>
    <w:p w14:paraId="11248DE5" w14:textId="77777777" w:rsidR="00CD36D5" w:rsidRDefault="00CD36D5" w:rsidP="00CD36D5">
      <w:pPr>
        <w:keepLines/>
        <w:autoSpaceDE w:val="0"/>
        <w:autoSpaceDN w:val="0"/>
        <w:adjustRightInd w:val="0"/>
        <w:rPr>
          <w:rFonts w:ascii="Garamond" w:hAnsi="Garamond"/>
          <w:lang w:val="en-AU"/>
        </w:rPr>
      </w:pPr>
      <w:r w:rsidRPr="00CD36D5">
        <w:rPr>
          <w:rFonts w:ascii="Garamond" w:hAnsi="Garamond"/>
          <w:lang w:val="en-AU"/>
        </w:rPr>
        <w:t>Lawrence B, de la Piedad Garcia X, Kite J, Hill B, Cooper K, Flint S, et al</w:t>
      </w:r>
    </w:p>
    <w:p w14:paraId="58214DA2" w14:textId="0277CB6A" w:rsidR="00CD36D5" w:rsidRDefault="00CD36D5" w:rsidP="00CD36D5">
      <w:pPr>
        <w:keepLines/>
        <w:autoSpaceDE w:val="0"/>
        <w:autoSpaceDN w:val="0"/>
        <w:adjustRightInd w:val="0"/>
        <w:rPr>
          <w:rFonts w:ascii="Garamond" w:hAnsi="Garamond"/>
          <w:lang w:val="en-AU"/>
        </w:rPr>
      </w:pPr>
      <w:r w:rsidRPr="00CD36D5">
        <w:rPr>
          <w:rFonts w:ascii="Garamond" w:hAnsi="Garamond"/>
          <w:lang w:val="en-AU"/>
        </w:rPr>
        <w:t>Public Health Research &amp; Practice.</w:t>
      </w:r>
      <w:r w:rsidR="00595B16">
        <w:rPr>
          <w:rFonts w:ascii="Garamond" w:hAnsi="Garamond"/>
          <w:lang w:val="en-AU"/>
        </w:rPr>
        <w:t xml:space="preserve"> </w:t>
      </w:r>
      <w:r w:rsidR="00595B16" w:rsidRPr="00595B16">
        <w:rPr>
          <w:rFonts w:ascii="Garamond" w:hAnsi="Garamond"/>
          <w:lang w:val="en-AU"/>
        </w:rPr>
        <w:t xml:space="preserve">2022; </w:t>
      </w:r>
      <w:r w:rsidRPr="00CD36D5">
        <w:rPr>
          <w:rFonts w:ascii="Garamond" w:hAnsi="Garamond"/>
          <w:lang w:val="en-AU"/>
        </w:rPr>
        <w:t>32(3</w:t>
      </w:r>
      <w:proofErr w:type="gramStart"/>
      <w:r w:rsidRPr="00CD36D5">
        <w:rPr>
          <w:rFonts w:ascii="Garamond" w:hAnsi="Garamond"/>
          <w:lang w:val="en-AU"/>
        </w:rPr>
        <w:t>):e</w:t>
      </w:r>
      <w:proofErr w:type="gramEnd"/>
      <w:r w:rsidRPr="00CD36D5">
        <w:rPr>
          <w:rFonts w:ascii="Garamond" w:hAnsi="Garamond"/>
          <w:lang w:val="en-AU"/>
        </w:rPr>
        <w:t>3232224.</w:t>
      </w:r>
    </w:p>
    <w:tbl>
      <w:tblPr>
        <w:tblStyle w:val="TableGrid"/>
        <w:tblW w:w="9360" w:type="dxa"/>
        <w:tblInd w:w="288" w:type="dxa"/>
        <w:tblLayout w:type="fixed"/>
        <w:tblLook w:val="01E0" w:firstRow="1" w:lastRow="1" w:firstColumn="1" w:lastColumn="1" w:noHBand="0" w:noVBand="0"/>
      </w:tblPr>
      <w:tblGrid>
        <w:gridCol w:w="1080"/>
        <w:gridCol w:w="8280"/>
      </w:tblGrid>
      <w:tr w:rsidR="00CD36D5" w:rsidRPr="00E37911" w14:paraId="27E132A9" w14:textId="77777777" w:rsidTr="004E0E9F">
        <w:tc>
          <w:tcPr>
            <w:tcW w:w="1080" w:type="dxa"/>
            <w:tcBorders>
              <w:top w:val="single" w:sz="4" w:space="0" w:color="auto"/>
              <w:left w:val="single" w:sz="4" w:space="0" w:color="auto"/>
              <w:bottom w:val="single" w:sz="4" w:space="0" w:color="auto"/>
              <w:right w:val="single" w:sz="4" w:space="0" w:color="auto"/>
            </w:tcBorders>
            <w:vAlign w:val="center"/>
          </w:tcPr>
          <w:p w14:paraId="10AC1666" w14:textId="77777777" w:rsidR="00CD36D5" w:rsidRPr="00E37911" w:rsidRDefault="00CD36D5" w:rsidP="004E0E9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4E3F2AA" w14:textId="77777777" w:rsidR="00CD36D5" w:rsidRPr="00E37911" w:rsidRDefault="00E6359B" w:rsidP="004E0E9F">
            <w:pPr>
              <w:rPr>
                <w:rStyle w:val="Hyperlink"/>
                <w:rFonts w:ascii="Garamond" w:hAnsi="Garamond"/>
                <w:color w:val="auto"/>
                <w:u w:val="none"/>
                <w:lang w:val="en-AU"/>
              </w:rPr>
            </w:pPr>
            <w:hyperlink r:id="rId27" w:history="1">
              <w:r w:rsidR="00CD36D5" w:rsidRPr="00F71626">
                <w:rPr>
                  <w:rStyle w:val="Hyperlink"/>
                  <w:rFonts w:ascii="Garamond" w:hAnsi="Garamond"/>
                  <w:lang w:val="en-AU"/>
                </w:rPr>
                <w:t>https://doi.org/10.17061/phrp3232224</w:t>
              </w:r>
            </w:hyperlink>
          </w:p>
        </w:tc>
      </w:tr>
      <w:tr w:rsidR="00CD36D5" w:rsidRPr="00E37911" w14:paraId="254839FD" w14:textId="77777777" w:rsidTr="004E0E9F">
        <w:tc>
          <w:tcPr>
            <w:tcW w:w="1080" w:type="dxa"/>
            <w:tcBorders>
              <w:top w:val="single" w:sz="4" w:space="0" w:color="auto"/>
              <w:left w:val="single" w:sz="4" w:space="0" w:color="auto"/>
              <w:bottom w:val="single" w:sz="4" w:space="0" w:color="auto"/>
              <w:right w:val="single" w:sz="4" w:space="0" w:color="auto"/>
            </w:tcBorders>
            <w:vAlign w:val="center"/>
          </w:tcPr>
          <w:p w14:paraId="05613B24" w14:textId="77777777" w:rsidR="00CD36D5" w:rsidRPr="00E37911" w:rsidRDefault="00CD36D5" w:rsidP="004E0E9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E267AF6" w14:textId="7ADB334A" w:rsidR="00CD36D5" w:rsidRPr="00152A4F" w:rsidRDefault="00CD36D5" w:rsidP="004E0E9F">
            <w:pPr>
              <w:rPr>
                <w:rFonts w:ascii="Garamond" w:hAnsi="Garamond"/>
                <w:lang w:val="en-AU"/>
              </w:rPr>
            </w:pPr>
            <w:r>
              <w:rPr>
                <w:rFonts w:ascii="Garamond" w:hAnsi="Garamond"/>
                <w:lang w:val="en-AU"/>
              </w:rPr>
              <w:t>Another piece examining the role of stigma is this article on weight stigma in Australia. The authors observe that ‘</w:t>
            </w:r>
            <w:r w:rsidRPr="00CD36D5">
              <w:rPr>
                <w:rFonts w:ascii="Garamond" w:hAnsi="Garamond"/>
                <w:lang w:val="en-AU"/>
              </w:rPr>
              <w:t>Weight stigma is perpetuated by the media, healthcare practitioners and researchers, and even in public health campaigns and policies designed to help people living with obesity.</w:t>
            </w:r>
            <w:r>
              <w:rPr>
                <w:rFonts w:ascii="Garamond" w:hAnsi="Garamond"/>
                <w:lang w:val="en-AU"/>
              </w:rPr>
              <w:t>’ There are calls for health research, practice and delivery to reverse stigma and adopt more welcoming and inclusive approaches.</w:t>
            </w:r>
          </w:p>
        </w:tc>
      </w:tr>
    </w:tbl>
    <w:p w14:paraId="5EE553E2" w14:textId="77777777" w:rsidR="00CD36D5" w:rsidRDefault="00CD36D5" w:rsidP="00CD36D5">
      <w:pPr>
        <w:keepLines/>
        <w:autoSpaceDE w:val="0"/>
        <w:autoSpaceDN w:val="0"/>
        <w:adjustRightInd w:val="0"/>
        <w:rPr>
          <w:rFonts w:ascii="Garamond" w:hAnsi="Garamond"/>
          <w:lang w:val="en-AU"/>
        </w:rPr>
      </w:pPr>
    </w:p>
    <w:p w14:paraId="7A1FA29F" w14:textId="7EC4C757" w:rsidR="007C1949" w:rsidRDefault="007C1949" w:rsidP="007C1949">
      <w:pPr>
        <w:keepNext/>
        <w:rPr>
          <w:rFonts w:ascii="Garamond" w:hAnsi="Garamond"/>
          <w:i/>
          <w:lang w:val="en-AU"/>
        </w:rPr>
      </w:pPr>
      <w:r>
        <w:rPr>
          <w:rFonts w:ascii="Garamond" w:hAnsi="Garamond"/>
          <w:i/>
          <w:lang w:val="en-AU"/>
        </w:rPr>
        <w:t>BMJ Quality &amp; Safety</w:t>
      </w:r>
    </w:p>
    <w:p w14:paraId="2AAE9623" w14:textId="411DDC27" w:rsidR="007C1949" w:rsidRPr="00D65371" w:rsidRDefault="007C1949" w:rsidP="007C1949">
      <w:pPr>
        <w:keepNext/>
        <w:rPr>
          <w:rFonts w:ascii="Garamond" w:hAnsi="Garamond"/>
          <w:lang w:val="en-AU"/>
        </w:rPr>
      </w:pPr>
      <w:r>
        <w:rPr>
          <w:rFonts w:ascii="Garamond" w:hAnsi="Garamond"/>
          <w:lang w:val="en-AU"/>
        </w:rPr>
        <w:t>November 2022 Volume 31 Issue 11</w:t>
      </w:r>
    </w:p>
    <w:tbl>
      <w:tblPr>
        <w:tblStyle w:val="TableGrid"/>
        <w:tblW w:w="9360" w:type="dxa"/>
        <w:tblInd w:w="288" w:type="dxa"/>
        <w:tblLayout w:type="fixed"/>
        <w:tblLook w:val="01E0" w:firstRow="1" w:lastRow="1" w:firstColumn="1" w:lastColumn="1" w:noHBand="0" w:noVBand="0"/>
      </w:tblPr>
      <w:tblGrid>
        <w:gridCol w:w="1080"/>
        <w:gridCol w:w="8280"/>
      </w:tblGrid>
      <w:tr w:rsidR="007C1949" w:rsidRPr="000170DA" w14:paraId="6F8F62D5" w14:textId="77777777" w:rsidTr="004E0E9F">
        <w:tc>
          <w:tcPr>
            <w:tcW w:w="1080" w:type="dxa"/>
            <w:tcBorders>
              <w:top w:val="single" w:sz="4" w:space="0" w:color="auto"/>
              <w:left w:val="single" w:sz="4" w:space="0" w:color="auto"/>
              <w:bottom w:val="single" w:sz="4" w:space="0" w:color="auto"/>
              <w:right w:val="single" w:sz="4" w:space="0" w:color="auto"/>
            </w:tcBorders>
            <w:vAlign w:val="center"/>
          </w:tcPr>
          <w:p w14:paraId="06C2979B" w14:textId="77777777" w:rsidR="007C1949" w:rsidRPr="000170DA" w:rsidRDefault="007C1949" w:rsidP="004E0E9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23ED572" w14:textId="24A7BDC4" w:rsidR="007C1949" w:rsidRPr="000170DA" w:rsidRDefault="00E6359B" w:rsidP="004E0E9F">
            <w:pPr>
              <w:keepNext/>
              <w:rPr>
                <w:rStyle w:val="Hyperlink"/>
                <w:rFonts w:ascii="Garamond" w:hAnsi="Garamond"/>
                <w:color w:val="auto"/>
                <w:u w:val="none"/>
                <w:lang w:val="en-AU"/>
              </w:rPr>
            </w:pPr>
            <w:hyperlink r:id="rId28" w:history="1">
              <w:r w:rsidR="007C1949" w:rsidRPr="00F71626">
                <w:rPr>
                  <w:rStyle w:val="Hyperlink"/>
                  <w:rFonts w:ascii="Garamond" w:hAnsi="Garamond"/>
                  <w:lang w:val="en-AU"/>
                </w:rPr>
                <w:t>https://qualitysafety.bmj.com/content/31/11</w:t>
              </w:r>
            </w:hyperlink>
          </w:p>
        </w:tc>
      </w:tr>
      <w:tr w:rsidR="007C1949" w:rsidRPr="000170DA" w14:paraId="6B16F7BD" w14:textId="77777777" w:rsidTr="004E0E9F">
        <w:tc>
          <w:tcPr>
            <w:tcW w:w="1080" w:type="dxa"/>
            <w:tcBorders>
              <w:top w:val="single" w:sz="4" w:space="0" w:color="auto"/>
              <w:left w:val="single" w:sz="4" w:space="0" w:color="auto"/>
              <w:bottom w:val="single" w:sz="4" w:space="0" w:color="auto"/>
              <w:right w:val="single" w:sz="4" w:space="0" w:color="auto"/>
            </w:tcBorders>
            <w:vAlign w:val="center"/>
          </w:tcPr>
          <w:p w14:paraId="6ACF7F49" w14:textId="77777777" w:rsidR="007C1949" w:rsidRPr="000170DA" w:rsidRDefault="007C1949" w:rsidP="004E0E9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5301BD" w14:textId="77777777" w:rsidR="007C1949" w:rsidRPr="007C3778" w:rsidRDefault="007C1949" w:rsidP="004E0E9F">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68FB839E" w14:textId="0BC827DE" w:rsidR="007C1949" w:rsidRPr="007C1949" w:rsidRDefault="007C1949" w:rsidP="00514F9E">
            <w:pPr>
              <w:pStyle w:val="ListParagraph"/>
              <w:numPr>
                <w:ilvl w:val="0"/>
                <w:numId w:val="17"/>
              </w:numPr>
              <w:rPr>
                <w:rFonts w:ascii="Garamond" w:hAnsi="Garamond"/>
                <w:lang w:val="en-AU"/>
              </w:rPr>
            </w:pPr>
            <w:r w:rsidRPr="007C1949">
              <w:rPr>
                <w:rFonts w:ascii="Garamond" w:hAnsi="Garamond"/>
                <w:lang w:val="en-AU"/>
              </w:rPr>
              <w:t xml:space="preserve">Editorial: </w:t>
            </w:r>
            <w:r w:rsidRPr="007C1949">
              <w:rPr>
                <w:rFonts w:ascii="Garamond" w:hAnsi="Garamond"/>
                <w:b/>
                <w:bCs/>
                <w:lang w:val="en-AU"/>
              </w:rPr>
              <w:t>Antibiotic documentation</w:t>
            </w:r>
            <w:r w:rsidRPr="007C1949">
              <w:rPr>
                <w:rFonts w:ascii="Garamond" w:hAnsi="Garamond"/>
                <w:lang w:val="en-AU"/>
              </w:rPr>
              <w:t>: death by a thousand clicks (Claire Ciarkowski, Valerie M Vaughn</w:t>
            </w:r>
            <w:r>
              <w:rPr>
                <w:rFonts w:ascii="Garamond" w:hAnsi="Garamond"/>
                <w:lang w:val="en-AU"/>
              </w:rPr>
              <w:t>)</w:t>
            </w:r>
          </w:p>
          <w:p w14:paraId="425E64BD" w14:textId="0CF9072D" w:rsidR="007C1949" w:rsidRPr="007C1949" w:rsidRDefault="007C1949" w:rsidP="00D221BE">
            <w:pPr>
              <w:pStyle w:val="ListParagraph"/>
              <w:numPr>
                <w:ilvl w:val="0"/>
                <w:numId w:val="17"/>
              </w:numPr>
              <w:rPr>
                <w:rFonts w:ascii="Garamond" w:hAnsi="Garamond"/>
                <w:lang w:val="en-AU"/>
              </w:rPr>
            </w:pPr>
            <w:r w:rsidRPr="007C1949">
              <w:rPr>
                <w:rFonts w:ascii="Garamond" w:hAnsi="Garamond"/>
                <w:lang w:val="en-AU"/>
              </w:rPr>
              <w:t xml:space="preserve">Why identifying </w:t>
            </w:r>
            <w:r w:rsidRPr="007C1949">
              <w:rPr>
                <w:rFonts w:ascii="Garamond" w:hAnsi="Garamond"/>
                <w:b/>
                <w:bCs/>
                <w:lang w:val="en-AU"/>
              </w:rPr>
              <w:t>adverse events in paediatric emergency care</w:t>
            </w:r>
            <w:r w:rsidRPr="007C1949">
              <w:rPr>
                <w:rFonts w:ascii="Garamond" w:hAnsi="Garamond"/>
                <w:lang w:val="en-AU"/>
              </w:rPr>
              <w:t xml:space="preserve"> matters (Kenneth A Michelson, Richard T Griffey</w:t>
            </w:r>
            <w:r>
              <w:rPr>
                <w:rFonts w:ascii="Garamond" w:hAnsi="Garamond"/>
                <w:lang w:val="en-AU"/>
              </w:rPr>
              <w:t>)</w:t>
            </w:r>
          </w:p>
          <w:p w14:paraId="7EDAF12B" w14:textId="1214E4CE" w:rsidR="007C1949" w:rsidRPr="007C1949" w:rsidRDefault="007C1949" w:rsidP="00193AE8">
            <w:pPr>
              <w:pStyle w:val="ListParagraph"/>
              <w:numPr>
                <w:ilvl w:val="0"/>
                <w:numId w:val="17"/>
              </w:numPr>
              <w:rPr>
                <w:rFonts w:ascii="Garamond" w:hAnsi="Garamond"/>
                <w:lang w:val="en-AU"/>
              </w:rPr>
            </w:pPr>
            <w:r w:rsidRPr="007C1949">
              <w:rPr>
                <w:rFonts w:ascii="Garamond" w:hAnsi="Garamond"/>
                <w:lang w:val="en-AU"/>
              </w:rPr>
              <w:t xml:space="preserve">Reporting on </w:t>
            </w:r>
            <w:r w:rsidRPr="007C1949">
              <w:rPr>
                <w:rFonts w:ascii="Garamond" w:hAnsi="Garamond"/>
                <w:b/>
                <w:bCs/>
                <w:lang w:val="en-AU"/>
              </w:rPr>
              <w:t>implementation trials with null findings</w:t>
            </w:r>
            <w:r w:rsidRPr="007C1949">
              <w:rPr>
                <w:rFonts w:ascii="Garamond" w:hAnsi="Garamond"/>
                <w:lang w:val="en-AU"/>
              </w:rPr>
              <w:t>: the need for concurrent process evaluation reporting (Anne Sales</w:t>
            </w:r>
            <w:r>
              <w:rPr>
                <w:rFonts w:ascii="Garamond" w:hAnsi="Garamond"/>
                <w:lang w:val="en-AU"/>
              </w:rPr>
              <w:t>)</w:t>
            </w:r>
          </w:p>
          <w:p w14:paraId="5E1F15B2" w14:textId="59971488" w:rsidR="007C1949" w:rsidRPr="007C1949" w:rsidRDefault="007C1949" w:rsidP="00500D8B">
            <w:pPr>
              <w:pStyle w:val="ListParagraph"/>
              <w:numPr>
                <w:ilvl w:val="0"/>
                <w:numId w:val="17"/>
              </w:numPr>
              <w:rPr>
                <w:rFonts w:ascii="Garamond" w:hAnsi="Garamond"/>
                <w:lang w:val="en-AU"/>
              </w:rPr>
            </w:pPr>
            <w:r w:rsidRPr="007C1949">
              <w:rPr>
                <w:rFonts w:ascii="Garamond" w:hAnsi="Garamond"/>
                <w:lang w:val="en-AU"/>
              </w:rPr>
              <w:t xml:space="preserve">Addressing </w:t>
            </w:r>
            <w:r w:rsidRPr="007C1949">
              <w:rPr>
                <w:rFonts w:ascii="Garamond" w:hAnsi="Garamond"/>
                <w:b/>
                <w:bCs/>
                <w:lang w:val="en-AU"/>
              </w:rPr>
              <w:t>long-term and repeat antibiotic prescriptions in primary care</w:t>
            </w:r>
            <w:r w:rsidRPr="007C1949">
              <w:rPr>
                <w:rFonts w:ascii="Garamond" w:hAnsi="Garamond"/>
                <w:lang w:val="en-AU"/>
              </w:rPr>
              <w:t>: considerations for a behavioural approach (Eva M Krockow, Eleanor J Harvey, Diane Ashiru-Oredope</w:t>
            </w:r>
            <w:r>
              <w:rPr>
                <w:rFonts w:ascii="Garamond" w:hAnsi="Garamond"/>
                <w:lang w:val="en-AU"/>
              </w:rPr>
              <w:t>)</w:t>
            </w:r>
          </w:p>
          <w:p w14:paraId="40CDF6DE" w14:textId="268DE50A" w:rsidR="007C1949" w:rsidRPr="007C1949" w:rsidRDefault="007C1949" w:rsidP="00FE0473">
            <w:pPr>
              <w:pStyle w:val="ListParagraph"/>
              <w:numPr>
                <w:ilvl w:val="0"/>
                <w:numId w:val="17"/>
              </w:numPr>
              <w:rPr>
                <w:rFonts w:ascii="Garamond" w:hAnsi="Garamond"/>
                <w:lang w:val="en-AU"/>
              </w:rPr>
            </w:pPr>
            <w:r w:rsidRPr="007C1949">
              <w:rPr>
                <w:rFonts w:ascii="Garamond" w:hAnsi="Garamond"/>
                <w:b/>
                <w:bCs/>
                <w:lang w:val="en-AU"/>
              </w:rPr>
              <w:t>Documenting the indication for antimicrobial prescribing</w:t>
            </w:r>
            <w:r w:rsidRPr="007C1949">
              <w:rPr>
                <w:rFonts w:ascii="Garamond" w:hAnsi="Garamond"/>
                <w:lang w:val="en-AU"/>
              </w:rPr>
              <w:t>: a scoping review (Sharon Saini, Valerie Leung, Elizabeth Si, Certina Ho, Anne Cheung, Dan Dalton, Nick Daneman, Kelly Grindrod, Rita Ha, Warren McIsaac, Anjali Oberai, Kevin Schwartz, Anastasia Shiamptanis, Bradley J Langford</w:t>
            </w:r>
            <w:r>
              <w:rPr>
                <w:rFonts w:ascii="Garamond" w:hAnsi="Garamond"/>
                <w:lang w:val="en-AU"/>
              </w:rPr>
              <w:t>)</w:t>
            </w:r>
          </w:p>
          <w:p w14:paraId="19757A7B" w14:textId="2AA7AE11" w:rsidR="007C1949" w:rsidRPr="007C1949" w:rsidRDefault="007C1949" w:rsidP="000D57BC">
            <w:pPr>
              <w:pStyle w:val="ListParagraph"/>
              <w:numPr>
                <w:ilvl w:val="0"/>
                <w:numId w:val="17"/>
              </w:numPr>
              <w:rPr>
                <w:rFonts w:ascii="Garamond" w:hAnsi="Garamond"/>
                <w:lang w:val="en-AU"/>
              </w:rPr>
            </w:pPr>
            <w:r w:rsidRPr="007C1949">
              <w:rPr>
                <w:rFonts w:ascii="Garamond" w:hAnsi="Garamond"/>
                <w:lang w:val="en-AU"/>
              </w:rPr>
              <w:t xml:space="preserve">Framework to </w:t>
            </w:r>
            <w:r w:rsidRPr="007C1949">
              <w:rPr>
                <w:rFonts w:ascii="Garamond" w:hAnsi="Garamond"/>
                <w:b/>
                <w:bCs/>
                <w:lang w:val="en-AU"/>
              </w:rPr>
              <w:t>optimise learning network activities</w:t>
            </w:r>
            <w:r w:rsidRPr="007C1949">
              <w:rPr>
                <w:rFonts w:ascii="Garamond" w:hAnsi="Garamond"/>
                <w:lang w:val="en-AU"/>
              </w:rPr>
              <w:t xml:space="preserve"> for long-term success (Katherine E Bates, Nicolas L Madsen, Anne Lyren, Paige Krack, Jeffrey B Anderson, Carole M Lannon, Sharyl Wooton</w:t>
            </w:r>
            <w:r>
              <w:rPr>
                <w:rFonts w:ascii="Garamond" w:hAnsi="Garamond"/>
                <w:lang w:val="en-AU"/>
              </w:rPr>
              <w:t>)</w:t>
            </w:r>
          </w:p>
          <w:p w14:paraId="64B9C15E" w14:textId="408D1DCA" w:rsidR="007C1949" w:rsidRPr="007C1949" w:rsidRDefault="007C1949" w:rsidP="00743099">
            <w:pPr>
              <w:pStyle w:val="ListParagraph"/>
              <w:numPr>
                <w:ilvl w:val="0"/>
                <w:numId w:val="17"/>
              </w:numPr>
              <w:rPr>
                <w:rFonts w:ascii="Garamond" w:hAnsi="Garamond"/>
                <w:lang w:val="en-AU"/>
              </w:rPr>
            </w:pPr>
            <w:r w:rsidRPr="007C1949">
              <w:rPr>
                <w:rFonts w:ascii="Garamond" w:hAnsi="Garamond"/>
                <w:b/>
                <w:bCs/>
                <w:lang w:val="en-AU"/>
              </w:rPr>
              <w:t>How safe are paediatric emergency departments?</w:t>
            </w:r>
            <w:r w:rsidRPr="007C1949">
              <w:rPr>
                <w:rFonts w:ascii="Garamond" w:hAnsi="Garamond"/>
                <w:lang w:val="en-AU"/>
              </w:rPr>
              <w:t xml:space="preserve"> A national prospective cohort study (Amy C Plint, Amanda S Newton, Antonia Stang, Zach Cantor, Lamia Hayawi, Nick Barrowman, Kathy Boutis, Serge Gouin, Quynh Doan, Andrew Dixon, Robert Porter, Gary Joubert, Scott Sawyer, Tyrus Crawford, Jocelyn Gravel, Maala Bhatt, Patrick Weldon, Kelly Millar, Sandy Tse, Gina </w:t>
            </w:r>
            <w:r w:rsidRPr="007C1949">
              <w:rPr>
                <w:rFonts w:ascii="Garamond" w:hAnsi="Garamond"/>
                <w:lang w:val="en-AU"/>
              </w:rPr>
              <w:lastRenderedPageBreak/>
              <w:t>Neto, Simran Grewal, Melissa Chan, Kevin Chan, Grant Yung, Jennifer Kilgar, Tim Lynch, Mary Aglipay, Dale Dalgleish, Ken Farion, Terry P Klassen, David W Johnson, Lisa A Calder</w:t>
            </w:r>
            <w:r>
              <w:rPr>
                <w:rFonts w:ascii="Garamond" w:hAnsi="Garamond"/>
                <w:lang w:val="en-AU"/>
              </w:rPr>
              <w:t>)</w:t>
            </w:r>
          </w:p>
          <w:p w14:paraId="2DE77F45" w14:textId="03EF6F64" w:rsidR="007C1949" w:rsidRPr="007C1949" w:rsidRDefault="007C1949" w:rsidP="00A25FD5">
            <w:pPr>
              <w:pStyle w:val="ListParagraph"/>
              <w:numPr>
                <w:ilvl w:val="0"/>
                <w:numId w:val="17"/>
              </w:numPr>
              <w:rPr>
                <w:rFonts w:ascii="Garamond" w:hAnsi="Garamond"/>
                <w:lang w:val="en-AU"/>
              </w:rPr>
            </w:pPr>
            <w:r w:rsidRPr="007C1949">
              <w:rPr>
                <w:rFonts w:ascii="Garamond" w:hAnsi="Garamond"/>
                <w:b/>
                <w:bCs/>
                <w:lang w:val="en-AU"/>
              </w:rPr>
              <w:t>Prioritising Responses Of Nurses To deteriorating patient Observations (PRONTO):</w:t>
            </w:r>
            <w:r w:rsidRPr="007C1949">
              <w:rPr>
                <w:rFonts w:ascii="Garamond" w:hAnsi="Garamond"/>
                <w:lang w:val="en-AU"/>
              </w:rPr>
              <w:t xml:space="preserve"> a pragmatic cluster randomised controlled trial evaluating the effectiveness of a facilitation intervention on recognition and response to clinical deterioration (Tracey K Bucknall, Julie Considine, Gillian Harvey, Ian D Graham, Jo Rycroft-Malone, Imogen Mitchell, Bridey Saultry, Jennifer J Watts, Mohammadreza Mohebbi, Shalika Bohingamu Mudiyanselage, Mojtaba Lotfaliany, Alison Hutchinson</w:t>
            </w:r>
            <w:r>
              <w:rPr>
                <w:rFonts w:ascii="Garamond" w:hAnsi="Garamond"/>
                <w:lang w:val="en-AU"/>
              </w:rPr>
              <w:t>)</w:t>
            </w:r>
          </w:p>
          <w:p w14:paraId="22CB44B1" w14:textId="31B536D3" w:rsidR="007C1949" w:rsidRPr="00292B57" w:rsidRDefault="007C1949" w:rsidP="007C1949">
            <w:pPr>
              <w:pStyle w:val="ListParagraph"/>
              <w:numPr>
                <w:ilvl w:val="0"/>
                <w:numId w:val="17"/>
              </w:numPr>
              <w:rPr>
                <w:rFonts w:ascii="Garamond" w:hAnsi="Garamond"/>
                <w:lang w:val="en-AU"/>
              </w:rPr>
            </w:pPr>
            <w:r w:rsidRPr="007C1949">
              <w:rPr>
                <w:rFonts w:ascii="Garamond" w:hAnsi="Garamond"/>
                <w:b/>
                <w:bCs/>
                <w:lang w:val="en-AU"/>
              </w:rPr>
              <w:t>Comparing antibiotic prescribing between clinicians</w:t>
            </w:r>
            <w:r w:rsidRPr="007C1949">
              <w:rPr>
                <w:rFonts w:ascii="Garamond" w:hAnsi="Garamond"/>
                <w:lang w:val="en-AU"/>
              </w:rPr>
              <w:t xml:space="preserve"> in UK primary care: an analysis in a cohort study of eight different measures of antibiotic prescribing (Tjeerd Van Staa, Yan Li, Natalie Gold, Tim Chadborn, William Welfare, Victoria Palin, Darren M Ashcroft, Joanna Bircher</w:t>
            </w:r>
            <w:r>
              <w:rPr>
                <w:rFonts w:ascii="Garamond" w:hAnsi="Garamond"/>
                <w:lang w:val="en-AU"/>
              </w:rPr>
              <w:t>)</w:t>
            </w:r>
          </w:p>
        </w:tc>
      </w:tr>
    </w:tbl>
    <w:p w14:paraId="065FA999" w14:textId="77777777" w:rsidR="00296555" w:rsidRDefault="00296555" w:rsidP="00E6686E">
      <w:pPr>
        <w:keepLines/>
        <w:autoSpaceDE w:val="0"/>
        <w:autoSpaceDN w:val="0"/>
        <w:adjustRightInd w:val="0"/>
        <w:rPr>
          <w:rFonts w:ascii="Garamond" w:hAnsi="Garamond"/>
          <w:lang w:val="en-AU"/>
        </w:rPr>
      </w:pPr>
    </w:p>
    <w:p w14:paraId="4A5EEF35" w14:textId="38CE1FC5" w:rsidR="00E02472" w:rsidRPr="00E37911" w:rsidRDefault="00E02472" w:rsidP="00E02472">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02472" w:rsidRPr="00E37911" w14:paraId="6BE80074" w14:textId="77777777" w:rsidTr="00CF0FC6">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70BA5D0" w14:textId="77777777" w:rsidR="00E02472" w:rsidRPr="00E37911" w:rsidRDefault="00E02472" w:rsidP="00CF0FC6">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54E4E312" w14:textId="77777777" w:rsidR="00E02472" w:rsidRPr="00E37911" w:rsidRDefault="00E6359B" w:rsidP="00CF0FC6">
            <w:pPr>
              <w:keepNext/>
              <w:rPr>
                <w:rFonts w:ascii="Garamond" w:hAnsi="Garamond"/>
                <w:lang w:val="en-AU"/>
              </w:rPr>
            </w:pPr>
            <w:hyperlink r:id="rId29" w:history="1">
              <w:r w:rsidR="00E02472" w:rsidRPr="00E37911">
                <w:rPr>
                  <w:rStyle w:val="Hyperlink"/>
                  <w:rFonts w:ascii="Garamond" w:hAnsi="Garamond"/>
                  <w:lang w:val="en-AU"/>
                </w:rPr>
                <w:t>https://qualitysafety.bmj.com/content/early/recent</w:t>
              </w:r>
            </w:hyperlink>
          </w:p>
        </w:tc>
      </w:tr>
      <w:tr w:rsidR="00E02472" w:rsidRPr="00E37911" w14:paraId="3280B28A"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3E6656F4" w14:textId="77777777" w:rsidR="00E02472" w:rsidRPr="00E37911" w:rsidRDefault="00E02472" w:rsidP="00CF0FC6">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722AF5F" w14:textId="77777777" w:rsidR="00E02472" w:rsidRPr="00E37911" w:rsidRDefault="00E02472" w:rsidP="00CF0FC6">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08AEBC76" w14:textId="0FF96D1F" w:rsidR="006121B0" w:rsidRPr="00E37911" w:rsidRDefault="00D22DC8" w:rsidP="00D22DC8">
            <w:pPr>
              <w:pStyle w:val="ListParagraph"/>
              <w:numPr>
                <w:ilvl w:val="0"/>
                <w:numId w:val="16"/>
              </w:numPr>
              <w:rPr>
                <w:rFonts w:ascii="Garamond" w:hAnsi="Garamond"/>
                <w:lang w:val="en-AU"/>
              </w:rPr>
            </w:pPr>
            <w:r w:rsidRPr="00D22DC8">
              <w:rPr>
                <w:rFonts w:ascii="Garamond" w:hAnsi="Garamond"/>
                <w:lang w:val="en-AU"/>
              </w:rPr>
              <w:t>Editorial</w:t>
            </w:r>
            <w:r>
              <w:rPr>
                <w:rFonts w:ascii="Garamond" w:hAnsi="Garamond"/>
                <w:lang w:val="en-AU"/>
              </w:rPr>
              <w:t xml:space="preserve">: </w:t>
            </w:r>
            <w:r w:rsidRPr="00D22DC8">
              <w:rPr>
                <w:rFonts w:ascii="Garamond" w:hAnsi="Garamond"/>
                <w:lang w:val="en-AU"/>
              </w:rPr>
              <w:t xml:space="preserve">COP27 </w:t>
            </w:r>
            <w:r w:rsidRPr="00D22DC8">
              <w:rPr>
                <w:rFonts w:ascii="Garamond" w:hAnsi="Garamond"/>
                <w:b/>
                <w:bCs/>
                <w:lang w:val="en-AU"/>
              </w:rPr>
              <w:t>climate change</w:t>
            </w:r>
            <w:r w:rsidRPr="00D22DC8">
              <w:rPr>
                <w:rFonts w:ascii="Garamond" w:hAnsi="Garamond"/>
                <w:lang w:val="en-AU"/>
              </w:rPr>
              <w:t xml:space="preserve"> conference: urgent action needed for Africa and the world</w:t>
            </w:r>
          </w:p>
        </w:tc>
      </w:tr>
    </w:tbl>
    <w:p w14:paraId="0E4E3067" w14:textId="77777777" w:rsidR="00E02472" w:rsidRPr="00E37911" w:rsidRDefault="00E02472" w:rsidP="00E02472">
      <w:pPr>
        <w:rPr>
          <w:rFonts w:ascii="Garamond" w:hAnsi="Garamond"/>
          <w:b/>
          <w:lang w:val="en-AU"/>
        </w:rPr>
      </w:pPr>
    </w:p>
    <w:p w14:paraId="2C3EF6C3" w14:textId="00B48CEE" w:rsidR="004D2C54" w:rsidRDefault="004D2C54" w:rsidP="006523E0">
      <w:pPr>
        <w:rPr>
          <w:rFonts w:ascii="Garamond" w:hAnsi="Garamond"/>
          <w:i/>
          <w:lang w:val="en-AU"/>
        </w:rPr>
      </w:pPr>
    </w:p>
    <w:p w14:paraId="298F2AF4" w14:textId="77777777" w:rsidR="00FE639E" w:rsidRDefault="00FE639E"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0082A362" w14:textId="67B145E8" w:rsidR="00884F6A" w:rsidRDefault="00884F6A">
      <w:pPr>
        <w:rPr>
          <w:rFonts w:ascii="Garamond" w:hAnsi="Garamond"/>
          <w:b/>
          <w:lang w:val="en-AU"/>
        </w:rPr>
      </w:pPr>
    </w:p>
    <w:p w14:paraId="7191E481" w14:textId="51946273" w:rsidR="008D23EB" w:rsidRPr="00913086" w:rsidRDefault="008D23EB" w:rsidP="008D23EB">
      <w:pPr>
        <w:keepNext/>
        <w:rPr>
          <w:rFonts w:ascii="Garamond" w:hAnsi="Garamond"/>
          <w:b/>
          <w:bCs/>
          <w:i/>
          <w:lang w:val="en-AU"/>
        </w:rPr>
      </w:pPr>
      <w:r w:rsidRPr="00913086">
        <w:rPr>
          <w:rFonts w:ascii="Garamond" w:hAnsi="Garamond"/>
          <w:b/>
          <w:bCs/>
          <w:i/>
          <w:lang w:val="en-AU"/>
        </w:rPr>
        <w:t>[UK] NICE Guidelines and Quality Standards</w:t>
      </w:r>
    </w:p>
    <w:p w14:paraId="04F8210D" w14:textId="77777777" w:rsidR="008D23EB" w:rsidRPr="008F3909" w:rsidRDefault="00E6359B" w:rsidP="008D23EB">
      <w:pPr>
        <w:keepNext/>
        <w:rPr>
          <w:rFonts w:ascii="Garamond" w:hAnsi="Garamond"/>
          <w:lang w:val="en-AU"/>
        </w:rPr>
      </w:pPr>
      <w:hyperlink r:id="rId30" w:history="1">
        <w:r w:rsidR="008D23EB" w:rsidRPr="00B91B4F">
          <w:rPr>
            <w:rStyle w:val="Hyperlink"/>
            <w:rFonts w:ascii="Garamond" w:hAnsi="Garamond"/>
            <w:lang w:val="en-AU"/>
          </w:rPr>
          <w:t>https://www.nice.org.uk/guidance</w:t>
        </w:r>
      </w:hyperlink>
    </w:p>
    <w:p w14:paraId="3E18B0B0" w14:textId="77777777" w:rsidR="008D23EB" w:rsidRDefault="008D23EB" w:rsidP="008D23EB">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4A4436C2" w14:textId="13BEBEAA" w:rsidR="00152A4F" w:rsidRDefault="00D22DC8" w:rsidP="008D23EB">
      <w:pPr>
        <w:pStyle w:val="ListParagraph"/>
        <w:numPr>
          <w:ilvl w:val="0"/>
          <w:numId w:val="14"/>
        </w:numPr>
        <w:rPr>
          <w:rFonts w:ascii="Garamond" w:hAnsi="Garamond"/>
          <w:iCs/>
          <w:lang w:val="en-AU"/>
        </w:rPr>
      </w:pPr>
      <w:r>
        <w:rPr>
          <w:rFonts w:ascii="Garamond" w:hAnsi="Garamond"/>
          <w:iCs/>
          <w:lang w:val="en-AU"/>
        </w:rPr>
        <w:t xml:space="preserve">NICE Guideline NG226 </w:t>
      </w:r>
      <w:r w:rsidRPr="00D22DC8">
        <w:rPr>
          <w:rFonts w:ascii="Garamond" w:hAnsi="Garamond"/>
          <w:b/>
          <w:bCs/>
          <w:i/>
          <w:lang w:val="en-AU"/>
        </w:rPr>
        <w:t>Osteoarthritis</w:t>
      </w:r>
      <w:r w:rsidRPr="00D22DC8">
        <w:rPr>
          <w:rFonts w:ascii="Garamond" w:hAnsi="Garamond"/>
          <w:i/>
          <w:lang w:val="en-AU"/>
        </w:rPr>
        <w:t xml:space="preserve"> in over 16s: diagnosis and management </w:t>
      </w:r>
      <w:hyperlink r:id="rId31" w:history="1">
        <w:r w:rsidRPr="001B3D52">
          <w:rPr>
            <w:rStyle w:val="Hyperlink"/>
            <w:rFonts w:ascii="Garamond" w:hAnsi="Garamond"/>
            <w:iCs/>
            <w:lang w:val="en-AU"/>
          </w:rPr>
          <w:t>https://www.nice.org.uk/guidance/ng226</w:t>
        </w:r>
      </w:hyperlink>
    </w:p>
    <w:p w14:paraId="7A5EEA5A" w14:textId="1053DC56" w:rsidR="00D22DC8" w:rsidRDefault="00D22DC8" w:rsidP="008D23EB">
      <w:pPr>
        <w:pStyle w:val="ListParagraph"/>
        <w:numPr>
          <w:ilvl w:val="0"/>
          <w:numId w:val="14"/>
        </w:numPr>
        <w:rPr>
          <w:rFonts w:ascii="Garamond" w:hAnsi="Garamond"/>
          <w:iCs/>
          <w:lang w:val="en-AU"/>
        </w:rPr>
      </w:pPr>
      <w:r>
        <w:rPr>
          <w:rFonts w:ascii="Garamond" w:hAnsi="Garamond"/>
          <w:iCs/>
          <w:lang w:val="en-AU"/>
        </w:rPr>
        <w:t xml:space="preserve">Quality Standard QS87 </w:t>
      </w:r>
      <w:r w:rsidRPr="00D22DC8">
        <w:rPr>
          <w:rFonts w:ascii="Garamond" w:hAnsi="Garamond"/>
          <w:b/>
          <w:bCs/>
          <w:i/>
          <w:lang w:val="en-AU"/>
        </w:rPr>
        <w:t>Osteoarthritis</w:t>
      </w:r>
      <w:r w:rsidRPr="00D22DC8">
        <w:rPr>
          <w:rFonts w:ascii="Garamond" w:hAnsi="Garamond"/>
          <w:i/>
          <w:lang w:val="en-AU"/>
        </w:rPr>
        <w:t xml:space="preserve"> in over 16s</w:t>
      </w:r>
      <w:r>
        <w:rPr>
          <w:rFonts w:ascii="Garamond" w:hAnsi="Garamond"/>
          <w:iCs/>
          <w:lang w:val="en-AU"/>
        </w:rPr>
        <w:t xml:space="preserve"> </w:t>
      </w:r>
      <w:hyperlink r:id="rId32" w:history="1">
        <w:r w:rsidRPr="001B3D52">
          <w:rPr>
            <w:rStyle w:val="Hyperlink"/>
            <w:rFonts w:ascii="Garamond" w:hAnsi="Garamond"/>
            <w:iCs/>
            <w:lang w:val="en-AU"/>
          </w:rPr>
          <w:t>https://www.nice.org.uk/guidance/qs87</w:t>
        </w:r>
      </w:hyperlink>
    </w:p>
    <w:p w14:paraId="1D4D2BC3" w14:textId="73A94002" w:rsidR="004B3A08" w:rsidRDefault="004B3A08">
      <w:pPr>
        <w:rPr>
          <w:rFonts w:ascii="Garamond" w:hAnsi="Garamond"/>
          <w:b/>
          <w:lang w:val="en-AU"/>
        </w:rPr>
      </w:pPr>
    </w:p>
    <w:p w14:paraId="35DA023D" w14:textId="77777777" w:rsidR="00D22DC8" w:rsidRPr="00C62715" w:rsidRDefault="00D22DC8" w:rsidP="00D22DC8">
      <w:pPr>
        <w:rPr>
          <w:rFonts w:ascii="Garamond" w:hAnsi="Garamond"/>
          <w:b/>
          <w:i/>
          <w:iCs/>
          <w:lang w:val="en-AU"/>
        </w:rPr>
      </w:pPr>
      <w:r w:rsidRPr="00C62715">
        <w:rPr>
          <w:rFonts w:ascii="Garamond" w:hAnsi="Garamond"/>
          <w:b/>
          <w:i/>
          <w:iCs/>
          <w:lang w:val="en-AU"/>
        </w:rPr>
        <w:t>[Canada] Code Grey – where security practices meet patient care</w:t>
      </w:r>
    </w:p>
    <w:p w14:paraId="07949EAD" w14:textId="77777777" w:rsidR="00D22DC8" w:rsidRPr="00C62715" w:rsidRDefault="00E6359B" w:rsidP="00D22DC8">
      <w:pPr>
        <w:rPr>
          <w:rFonts w:ascii="Garamond" w:hAnsi="Garamond"/>
          <w:bCs/>
          <w:lang w:val="en-AU"/>
        </w:rPr>
      </w:pPr>
      <w:hyperlink r:id="rId33" w:history="1">
        <w:r w:rsidR="00D22DC8" w:rsidRPr="00C62715">
          <w:rPr>
            <w:rStyle w:val="Hyperlink"/>
            <w:rFonts w:ascii="Garamond" w:hAnsi="Garamond"/>
            <w:bCs/>
            <w:lang w:val="en-AU"/>
          </w:rPr>
          <w:t>https://codegrey.digitalhealthcanada.com/</w:t>
        </w:r>
      </w:hyperlink>
    </w:p>
    <w:p w14:paraId="6B981562" w14:textId="77777777" w:rsidR="00D22DC8" w:rsidRDefault="00D22DC8" w:rsidP="00D22DC8">
      <w:pPr>
        <w:rPr>
          <w:rFonts w:ascii="Garamond" w:hAnsi="Garamond"/>
          <w:bCs/>
          <w:lang w:val="en-AU"/>
        </w:rPr>
      </w:pPr>
      <w:r>
        <w:rPr>
          <w:rFonts w:ascii="Garamond" w:hAnsi="Garamond"/>
          <w:bCs/>
          <w:lang w:val="en-AU"/>
        </w:rPr>
        <w:t>Digital Health Canada has produced this resource. According to their website, ‘</w:t>
      </w:r>
      <w:r w:rsidRPr="00C62715">
        <w:rPr>
          <w:rFonts w:ascii="Garamond" w:hAnsi="Garamond"/>
          <w:bCs/>
          <w:lang w:val="en-AU"/>
        </w:rPr>
        <w:t>cyber attacks can have ramifications beyond financial loss and breach of privacy; a cyber attack can bring the delivery of patient care to a halt. To support the continuity of patient care during and after a cyber incident, this CHIEF Executive Forum resource provides high-level strategic suggestions and trustworthy sources for further information and available tools.</w:t>
      </w:r>
      <w:r>
        <w:rPr>
          <w:rFonts w:ascii="Garamond" w:hAnsi="Garamond"/>
          <w:bCs/>
          <w:lang w:val="en-AU"/>
        </w:rPr>
        <w:t xml:space="preserve"> </w:t>
      </w:r>
      <w:r w:rsidRPr="00C62715">
        <w:rPr>
          <w:rFonts w:ascii="Garamond" w:hAnsi="Garamond"/>
          <w:bCs/>
          <w:lang w:val="en-AU"/>
        </w:rPr>
        <w:t>Healthcare delivery organizations can use this to guide them through three key stages of a cyber incident:</w:t>
      </w:r>
      <w:r>
        <w:rPr>
          <w:rFonts w:ascii="Garamond" w:hAnsi="Garamond"/>
          <w:bCs/>
          <w:lang w:val="en-AU"/>
        </w:rPr>
        <w:t xml:space="preserve"> </w:t>
      </w:r>
      <w:r w:rsidRPr="00C62715">
        <w:rPr>
          <w:rFonts w:ascii="Garamond" w:hAnsi="Garamond"/>
          <w:bCs/>
          <w:lang w:val="en-AU"/>
        </w:rPr>
        <w:t>Prepare. Respond. Recover.</w:t>
      </w:r>
      <w:r>
        <w:rPr>
          <w:rFonts w:ascii="Garamond" w:hAnsi="Garamond"/>
          <w:bCs/>
          <w:lang w:val="en-AU"/>
        </w:rPr>
        <w:t>’</w:t>
      </w:r>
    </w:p>
    <w:p w14:paraId="447935D4" w14:textId="77777777" w:rsidR="00D22DC8" w:rsidRPr="00C62715" w:rsidRDefault="00D22DC8" w:rsidP="00D22DC8">
      <w:pPr>
        <w:rPr>
          <w:rFonts w:ascii="Garamond" w:hAnsi="Garamond"/>
          <w:bCs/>
          <w:lang w:val="en-AU"/>
        </w:rPr>
      </w:pPr>
    </w:p>
    <w:p w14:paraId="44C7FAE3" w14:textId="77777777" w:rsidR="005A64D1" w:rsidRDefault="005A64D1">
      <w:pPr>
        <w:rPr>
          <w:rFonts w:ascii="Garamond" w:hAnsi="Garamond"/>
          <w:b/>
          <w:lang w:val="en-AU"/>
        </w:rPr>
      </w:pPr>
      <w:r>
        <w:rPr>
          <w:rFonts w:ascii="Garamond" w:hAnsi="Garamond"/>
          <w:b/>
          <w:lang w:val="en-AU"/>
        </w:rPr>
        <w:br w:type="page"/>
      </w:r>
    </w:p>
    <w:p w14:paraId="12E7A6B9" w14:textId="00512A14"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4"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5"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1984339B"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6"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7218E1D">
            <wp:extent cx="4410635" cy="6278052"/>
            <wp:effectExtent l="0" t="0" r="9525" b="8890"/>
            <wp:docPr id="8" name="Picture 8" descr="COVID-19 poster – Combined contact and drople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26675" cy="6300883"/>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8"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0"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1"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2"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5"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6"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E6359B" w:rsidP="00D574D3">
      <w:pPr>
        <w:keepNext/>
        <w:keepLines/>
        <w:rPr>
          <w:rFonts w:ascii="Garamond" w:hAnsi="Garamond"/>
          <w:lang w:val="en-AU"/>
        </w:rPr>
      </w:pPr>
      <w:hyperlink r:id="rId50"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E6359B" w:rsidP="00D574D3">
      <w:pPr>
        <w:keepNext/>
        <w:keepLines/>
        <w:rPr>
          <w:rFonts w:ascii="Garamond" w:hAnsi="Garamond"/>
          <w:lang w:val="en-AU"/>
        </w:rPr>
      </w:pPr>
      <w:hyperlink r:id="rId51"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lastRenderedPageBreak/>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0DF790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F6D4" w14:textId="77777777" w:rsidR="00F14E18" w:rsidRDefault="00F14E18">
      <w:r>
        <w:separator/>
      </w:r>
    </w:p>
  </w:endnote>
  <w:endnote w:type="continuationSeparator" w:id="0">
    <w:p w14:paraId="4AF06304" w14:textId="77777777" w:rsidR="00F14E18" w:rsidRDefault="00F1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AD843B9"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76103D">
      <w:rPr>
        <w:rFonts w:ascii="Garamond" w:hAnsi="Garamond"/>
      </w:rPr>
      <w:t>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79E28BE"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76103D">
      <w:rPr>
        <w:rFonts w:ascii="Garamond" w:hAnsi="Garamond"/>
      </w:rPr>
      <w:t>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D464" w14:textId="77777777" w:rsidR="00F14E18" w:rsidRDefault="00F14E18">
      <w:r>
        <w:separator/>
      </w:r>
    </w:p>
  </w:footnote>
  <w:footnote w:type="continuationSeparator" w:id="0">
    <w:p w14:paraId="7A0C1F3F" w14:textId="77777777" w:rsidR="00F14E18" w:rsidRDefault="00F1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9"/>
  </w:num>
  <w:num w:numId="16">
    <w:abstractNumId w:val="11"/>
  </w:num>
  <w:num w:numId="17">
    <w:abstractNumId w:val="12"/>
  </w:num>
  <w:num w:numId="18">
    <w:abstractNumId w:val="27"/>
  </w:num>
  <w:num w:numId="19">
    <w:abstractNumId w:val="13"/>
  </w:num>
  <w:num w:numId="20">
    <w:abstractNumId w:val="10"/>
  </w:num>
  <w:num w:numId="21">
    <w:abstractNumId w:val="22"/>
  </w:num>
  <w:num w:numId="22">
    <w:abstractNumId w:val="24"/>
  </w:num>
  <w:num w:numId="23">
    <w:abstractNumId w:val="26"/>
  </w:num>
  <w:num w:numId="24">
    <w:abstractNumId w:val="21"/>
  </w:num>
  <w:num w:numId="25">
    <w:abstractNumId w:val="18"/>
  </w:num>
  <w:num w:numId="26">
    <w:abstractNumId w:val="14"/>
  </w:num>
  <w:num w:numId="27">
    <w:abstractNumId w:val="23"/>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C3F"/>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F49"/>
    <w:rsid w:val="001B5138"/>
    <w:rsid w:val="001B529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495"/>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40B"/>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safetyandquality.tv/home/" TargetMode="External"/><Relationship Id="rId26" Type="http://schemas.openxmlformats.org/officeDocument/2006/relationships/hyperlink" Target="https://www.safetyandquality.gov.au/our-work/mental-health" TargetMode="External"/><Relationship Id="rId39" Type="http://schemas.openxmlformats.org/officeDocument/2006/relationships/image" Target="media/image4.PNG"/><Relationship Id="rId21" Type="http://schemas.openxmlformats.org/officeDocument/2006/relationships/image" Target="media/image2.png"/><Relationship Id="rId34" Type="http://schemas.openxmlformats.org/officeDocument/2006/relationships/hyperlink" Target="https://www.safetyandquality.gov.au/covid-19"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hyperlink" Target="https://www.safetyandquality.gov.au/publications-and-resources/resource-library/covid-19-and-face-masks-information-consumers" TargetMode="External"/><Relationship Id="rId50" Type="http://schemas.openxmlformats.org/officeDocument/2006/relationships/hyperlink" Target="https://covid19evidence.net.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stillbirthcre.org.au/news/annual-national-stillbirth-forum-2022/" TargetMode="External"/><Relationship Id="rId25" Type="http://schemas.openxmlformats.org/officeDocument/2006/relationships/hyperlink" Target="https://doi.org/10.1016/S0140-6736(22)01470-2" TargetMode="External"/><Relationship Id="rId33" Type="http://schemas.openxmlformats.org/officeDocument/2006/relationships/hyperlink" Target="https://codegrey.digitalhealthcanada.com/" TargetMode="External"/><Relationship Id="rId38" Type="http://schemas.openxmlformats.org/officeDocument/2006/relationships/hyperlink" Target="https://www.safetyandquality.gov.au/publications-and-resources/resource-library/poster-combined-airborne-and-contact-precautions" TargetMode="External"/><Relationship Id="rId46" Type="http://schemas.openxmlformats.org/officeDocument/2006/relationships/hyperlink" Target="https://www.safetyandquality.gov.au/node/5725" TargetMode="External"/><Relationship Id="rId2" Type="http://schemas.openxmlformats.org/officeDocument/2006/relationships/numbering" Target="numbering.xml"/><Relationship Id="rId16" Type="http://schemas.openxmlformats.org/officeDocument/2006/relationships/hyperlink" Target="https://www.safetyandquality.gov.au/standards/clinical-care-standards/stillbirth-clinical-care-standard" TargetMode="External"/><Relationship Id="rId20" Type="http://schemas.openxmlformats.org/officeDocument/2006/relationships/hyperlink" Target="https://www.safetyandquality.gov.au/standards/clinical-care-standards/stillbirth-clinical-care-standard" TargetMode="External"/><Relationship Id="rId29" Type="http://schemas.openxmlformats.org/officeDocument/2006/relationships/hyperlink" Target="https://qualitysafety.bmj.com/content/early/recent"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93/ageing/afac205" TargetMode="External"/><Relationship Id="rId32" Type="http://schemas.openxmlformats.org/officeDocument/2006/relationships/hyperlink" Target="https://www.nice.org.uk/guidance/qs87" TargetMode="External"/><Relationship Id="rId37" Type="http://schemas.openxmlformats.org/officeDocument/2006/relationships/image" Target="media/image3.png"/><Relationship Id="rId40" Type="http://schemas.openxmlformats.org/officeDocument/2006/relationships/hyperlink" Target="http://www.safetyandquality.gov.au/environmental-cleaning" TargetMode="External"/><Relationship Id="rId45" Type="http://schemas.openxmlformats.org/officeDocument/2006/relationships/hyperlink" Target="https://www.safetyandquality.gov.au/node/5724"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fetyandquality.tv/"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qualitysafety.bmj.com/content/31/11" TargetMode="External"/><Relationship Id="rId36" Type="http://schemas.openxmlformats.org/officeDocument/2006/relationships/hyperlink" Target="https://www.safetyandquality.gov.au/publications-and-resources/resource-library/infection-prevention-and-control-poster-combined-contact-and-droplet-precautions" TargetMode="External"/><Relationship Id="rId49" Type="http://schemas.openxmlformats.org/officeDocument/2006/relationships/image" Target="media/image6.png"/><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mailto:ccs@safetyandquality.gov.au" TargetMode="External"/><Relationship Id="rId31" Type="http://schemas.openxmlformats.org/officeDocument/2006/relationships/hyperlink" Target="https://www.nice.org.uk/guidance/ng226" TargetMode="External"/><Relationship Id="rId44" Type="http://schemas.openxmlformats.org/officeDocument/2006/relationships/image" Target="media/image5.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x.doi.org/10.1136/bmjqs-2022-015082" TargetMode="External"/><Relationship Id="rId27" Type="http://schemas.openxmlformats.org/officeDocument/2006/relationships/hyperlink" Target="https://doi.org/10.17061/phrp3232224" TargetMode="External"/><Relationship Id="rId30" Type="http://schemas.openxmlformats.org/officeDocument/2006/relationships/hyperlink" Target="https://www.nice.org.uk/guidance"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3032</Words>
  <Characters>19922</Characters>
  <Application>Microsoft Office Word</Application>
  <DocSecurity>0</DocSecurity>
  <Lines>398</Lines>
  <Paragraphs>189</Paragraphs>
  <ScaleCrop>false</ScaleCrop>
  <HeadingPairs>
    <vt:vector size="2" baseType="variant">
      <vt:variant>
        <vt:lpstr>Title</vt:lpstr>
      </vt:variant>
      <vt:variant>
        <vt:i4>1</vt:i4>
      </vt:variant>
    </vt:vector>
  </HeadingPairs>
  <TitlesOfParts>
    <vt:vector size="1" baseType="lpstr">
      <vt:lpstr>Draft On the Radar Issue 580</vt:lpstr>
    </vt:vector>
  </TitlesOfParts>
  <Company>ACSQHC</Company>
  <LinksUpToDate>false</LinksUpToDate>
  <CharactersWithSpaces>22765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580</dc:title>
  <dc:subject/>
  <dc:creator>Dr Niall Johnson</dc:creator>
  <cp:keywords>On the Radar</cp:keywords>
  <dc:description/>
  <cp:lastModifiedBy>JOHNSON, Niall</cp:lastModifiedBy>
  <cp:revision>13</cp:revision>
  <cp:lastPrinted>2018-03-02T02:34:00Z</cp:lastPrinted>
  <dcterms:created xsi:type="dcterms:W3CDTF">2022-10-16T22:32:00Z</dcterms:created>
  <dcterms:modified xsi:type="dcterms:W3CDTF">2022-10-20T22:37:00Z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