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5373BAC0" w:rsidR="00B160EF" w:rsidRPr="00DD7416" w:rsidRDefault="00824B99" w:rsidP="00C269F2">
      <w:pPr>
        <w:pStyle w:val="Heading1"/>
        <w:spacing w:before="0"/>
        <w:ind w:left="720" w:hanging="72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49B0F022">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52018E74"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76103D">
        <w:rPr>
          <w:rFonts w:ascii="Garamond" w:hAnsi="Garamond"/>
          <w:color w:val="000000" w:themeColor="text1"/>
          <w:lang w:val="en-AU"/>
        </w:rPr>
        <w:t>58</w:t>
      </w:r>
      <w:r w:rsidR="00E240CC">
        <w:rPr>
          <w:rFonts w:ascii="Garamond" w:hAnsi="Garamond"/>
          <w:color w:val="000000" w:themeColor="text1"/>
          <w:lang w:val="en-AU"/>
        </w:rPr>
        <w:t>5</w:t>
      </w:r>
    </w:p>
    <w:p w14:paraId="6D81A6EC" w14:textId="6C466421" w:rsidR="00755242" w:rsidRDefault="00B334FA" w:rsidP="00F738B5">
      <w:pPr>
        <w:rPr>
          <w:rFonts w:ascii="Garamond" w:hAnsi="Garamond"/>
          <w:lang w:val="en-AU"/>
        </w:rPr>
      </w:pPr>
      <w:r>
        <w:rPr>
          <w:rFonts w:ascii="Garamond" w:hAnsi="Garamond"/>
          <w:lang w:val="en-AU"/>
        </w:rPr>
        <w:t>2</w:t>
      </w:r>
      <w:r w:rsidR="00E240CC">
        <w:rPr>
          <w:rFonts w:ascii="Garamond" w:hAnsi="Garamond"/>
          <w:lang w:val="en-AU"/>
        </w:rPr>
        <w:t>8</w:t>
      </w:r>
      <w:r w:rsidR="00F36B70">
        <w:rPr>
          <w:rFonts w:ascii="Garamond" w:hAnsi="Garamond"/>
          <w:lang w:val="en-AU"/>
        </w:rPr>
        <w:t xml:space="preserve"> Novem</w:t>
      </w:r>
      <w:r w:rsidR="00042C3F">
        <w:rPr>
          <w:rFonts w:ascii="Garamond" w:hAnsi="Garamond"/>
          <w:lang w:val="en-AU"/>
        </w:rPr>
        <w:t>b</w:t>
      </w:r>
      <w:r w:rsidR="00E02472">
        <w:rPr>
          <w:rFonts w:ascii="Garamond" w:hAnsi="Garamond"/>
          <w:lang w:val="en-AU"/>
        </w:rPr>
        <w:t>er</w:t>
      </w:r>
      <w:r w:rsidR="00BD267D">
        <w:rPr>
          <w:rFonts w:ascii="Garamond" w:hAnsi="Garamond"/>
          <w:lang w:val="en-AU"/>
        </w:rPr>
        <w:t xml:space="preserve"> </w:t>
      </w:r>
      <w:r w:rsidR="00572F51">
        <w:rPr>
          <w:rFonts w:ascii="Garamond" w:hAnsi="Garamond"/>
          <w:lang w:val="en-AU"/>
        </w:rPr>
        <w:t>2022</w:t>
      </w:r>
    </w:p>
    <w:p w14:paraId="21EDAEC9" w14:textId="77777777" w:rsidR="00D84575" w:rsidRDefault="00D84575" w:rsidP="00F738B5">
      <w:pPr>
        <w:rPr>
          <w:rFonts w:ascii="Garamond" w:hAnsi="Garamond"/>
          <w:lang w:val="en-AU"/>
        </w:rPr>
      </w:pPr>
    </w:p>
    <w:p w14:paraId="36572305" w14:textId="77777777"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77777777"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77777777"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77777777"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53002B3B" w14:textId="45E1D40F" w:rsidR="00B201BD"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14:paraId="0C47B536" w14:textId="255CE2DC" w:rsidR="00904AFF" w:rsidRDefault="00904AFF" w:rsidP="009525CC">
      <w:pPr>
        <w:rPr>
          <w:rFonts w:ascii="Garamond" w:hAnsi="Garamond"/>
          <w:bCs/>
          <w:lang w:val="en-AU"/>
        </w:rPr>
      </w:pPr>
    </w:p>
    <w:p w14:paraId="7777CDB6" w14:textId="4A1BBD5F" w:rsidR="00224DB3" w:rsidRDefault="00224DB3" w:rsidP="009525CC">
      <w:pPr>
        <w:rPr>
          <w:rFonts w:ascii="Garamond" w:hAnsi="Garamond"/>
          <w:bCs/>
          <w:lang w:val="en-AU"/>
        </w:rPr>
      </w:pPr>
    </w:p>
    <w:p w14:paraId="174C4CD3" w14:textId="77777777" w:rsidR="00224DB3" w:rsidRDefault="00224DB3" w:rsidP="009525CC">
      <w:pPr>
        <w:rPr>
          <w:rFonts w:ascii="Garamond" w:hAnsi="Garamond"/>
          <w:bCs/>
          <w:lang w:val="en-AU"/>
        </w:rPr>
      </w:pPr>
    </w:p>
    <w:p w14:paraId="6A319A7C" w14:textId="77777777" w:rsidR="007C15D5" w:rsidRDefault="007C15D5" w:rsidP="00E02472">
      <w:pPr>
        <w:keepNext/>
        <w:keepLines/>
        <w:autoSpaceDE w:val="0"/>
        <w:autoSpaceDN w:val="0"/>
        <w:adjustRightInd w:val="0"/>
        <w:rPr>
          <w:rFonts w:ascii="Garamond" w:hAnsi="Garamond"/>
          <w:b/>
          <w:lang w:val="en-AU"/>
        </w:rPr>
      </w:pPr>
      <w:r w:rsidRPr="007C15D5">
        <w:rPr>
          <w:rFonts w:ascii="Garamond" w:hAnsi="Garamond"/>
          <w:b/>
          <w:lang w:val="en-AU"/>
        </w:rPr>
        <w:t>National Safety and Quality Mental Health Standards for Community Managed Organisations</w:t>
      </w:r>
    </w:p>
    <w:p w14:paraId="7BE650F6" w14:textId="77777777" w:rsidR="007C15D5" w:rsidRDefault="007C15D5" w:rsidP="00E02472">
      <w:pPr>
        <w:keepNext/>
        <w:keepLines/>
        <w:autoSpaceDE w:val="0"/>
        <w:autoSpaceDN w:val="0"/>
        <w:adjustRightInd w:val="0"/>
        <w:rPr>
          <w:rFonts w:ascii="Garamond" w:hAnsi="Garamond"/>
          <w:bCs/>
          <w:lang w:val="en-AU"/>
        </w:rPr>
      </w:pPr>
      <w:r w:rsidRPr="007C15D5">
        <w:rPr>
          <w:rFonts w:ascii="Garamond" w:hAnsi="Garamond"/>
          <w:bCs/>
          <w:lang w:val="en-AU"/>
        </w:rPr>
        <w:t>Australian Commission on Safety and Quality in Health Care</w:t>
      </w:r>
    </w:p>
    <w:p w14:paraId="69A07C69" w14:textId="76C4EDDE" w:rsidR="007C15D5" w:rsidRDefault="007C15D5" w:rsidP="00E02472">
      <w:pPr>
        <w:keepNext/>
        <w:keepLines/>
        <w:autoSpaceDE w:val="0"/>
        <w:autoSpaceDN w:val="0"/>
        <w:adjustRightInd w:val="0"/>
        <w:rPr>
          <w:rFonts w:ascii="Garamond" w:hAnsi="Garamond"/>
          <w:bCs/>
          <w:lang w:val="en-AU"/>
        </w:rPr>
      </w:pPr>
      <w:r w:rsidRPr="007C15D5">
        <w:rPr>
          <w:rFonts w:ascii="Garamond" w:hAnsi="Garamond"/>
          <w:bCs/>
          <w:lang w:val="en-AU"/>
        </w:rPr>
        <w:t>Sydney: ACSQHC; 2022. p. 51.</w:t>
      </w:r>
    </w:p>
    <w:p w14:paraId="09058330" w14:textId="6F49B2CF" w:rsidR="007C15D5" w:rsidRDefault="006E2B1C" w:rsidP="00E02472">
      <w:pPr>
        <w:keepNext/>
        <w:keepLines/>
        <w:autoSpaceDE w:val="0"/>
        <w:autoSpaceDN w:val="0"/>
        <w:adjustRightInd w:val="0"/>
        <w:rPr>
          <w:rFonts w:ascii="Garamond" w:hAnsi="Garamond"/>
          <w:bCs/>
          <w:lang w:val="en-AU"/>
        </w:rPr>
      </w:pPr>
      <w:hyperlink r:id="rId15" w:history="1">
        <w:r w:rsidR="007C15D5" w:rsidRPr="000D37FF">
          <w:rPr>
            <w:rStyle w:val="Hyperlink"/>
            <w:rFonts w:ascii="Garamond" w:hAnsi="Garamond"/>
            <w:bCs/>
            <w:lang w:val="en-AU"/>
          </w:rPr>
          <w:t>https://www.safetyandquality.gov.au/publications-and-resources/resource-library/national-safety-and-quality-mental-health-standards-community-managed-organisations-2022</w:t>
        </w:r>
      </w:hyperlink>
    </w:p>
    <w:p w14:paraId="3D5C6BC3" w14:textId="157D52F2" w:rsidR="007C15D5" w:rsidRDefault="007C15D5" w:rsidP="00E02472">
      <w:pPr>
        <w:keepNext/>
        <w:keepLines/>
        <w:autoSpaceDE w:val="0"/>
        <w:autoSpaceDN w:val="0"/>
        <w:adjustRightInd w:val="0"/>
        <w:rPr>
          <w:rFonts w:ascii="Garamond" w:hAnsi="Garamond"/>
          <w:bCs/>
          <w:lang w:val="en-AU"/>
        </w:rPr>
      </w:pPr>
    </w:p>
    <w:p w14:paraId="4DD81B7A" w14:textId="77777777" w:rsidR="00224DB3" w:rsidRPr="00224DB3" w:rsidRDefault="00224DB3" w:rsidP="00224DB3">
      <w:pPr>
        <w:keepNext/>
        <w:keepLines/>
        <w:autoSpaceDE w:val="0"/>
        <w:autoSpaceDN w:val="0"/>
        <w:adjustRightInd w:val="0"/>
        <w:rPr>
          <w:rFonts w:ascii="Garamond" w:hAnsi="Garamond"/>
          <w:bCs/>
          <w:lang w:val="en-AU"/>
        </w:rPr>
      </w:pPr>
      <w:r w:rsidRPr="00224DB3">
        <w:rPr>
          <w:rFonts w:ascii="Garamond" w:hAnsi="Garamond"/>
          <w:bCs/>
          <w:lang w:val="en-AU"/>
        </w:rPr>
        <w:t>The National Safety and Quality Mental Health (NSQMH) Standards for Community Managed Organisations (CMOs) will help provide safety and quality assurance for community mental health services users, and best practice guidance for service providers and developers.</w:t>
      </w:r>
    </w:p>
    <w:p w14:paraId="76A3047D" w14:textId="77777777" w:rsidR="00224DB3" w:rsidRPr="00224DB3" w:rsidRDefault="00224DB3" w:rsidP="00224DB3">
      <w:pPr>
        <w:keepNext/>
        <w:keepLines/>
        <w:autoSpaceDE w:val="0"/>
        <w:autoSpaceDN w:val="0"/>
        <w:adjustRightInd w:val="0"/>
        <w:rPr>
          <w:rFonts w:ascii="Garamond" w:hAnsi="Garamond"/>
          <w:bCs/>
          <w:lang w:val="en-AU"/>
        </w:rPr>
      </w:pPr>
    </w:p>
    <w:p w14:paraId="03E3BE3F" w14:textId="66F02233" w:rsidR="00224DB3" w:rsidRPr="007C15D5" w:rsidRDefault="00224DB3" w:rsidP="00224DB3">
      <w:pPr>
        <w:keepNext/>
        <w:keepLines/>
        <w:autoSpaceDE w:val="0"/>
        <w:autoSpaceDN w:val="0"/>
        <w:adjustRightInd w:val="0"/>
        <w:rPr>
          <w:rFonts w:ascii="Garamond" w:hAnsi="Garamond"/>
          <w:bCs/>
          <w:lang w:val="en-AU"/>
        </w:rPr>
      </w:pPr>
      <w:r w:rsidRPr="00224DB3">
        <w:rPr>
          <w:rFonts w:ascii="Garamond" w:hAnsi="Garamond"/>
          <w:bCs/>
          <w:lang w:val="en-AU"/>
        </w:rPr>
        <w:t>The NSQMH Standards for CMOs were released by the Commission on 23 November 2022.</w:t>
      </w:r>
    </w:p>
    <w:p w14:paraId="57A14771" w14:textId="77777777" w:rsidR="007C15D5" w:rsidRDefault="007C15D5" w:rsidP="00E02472">
      <w:pPr>
        <w:keepNext/>
        <w:keepLines/>
        <w:autoSpaceDE w:val="0"/>
        <w:autoSpaceDN w:val="0"/>
        <w:adjustRightInd w:val="0"/>
        <w:rPr>
          <w:rFonts w:ascii="Garamond" w:hAnsi="Garamond"/>
          <w:b/>
          <w:lang w:val="en-AU"/>
        </w:rPr>
      </w:pPr>
    </w:p>
    <w:p w14:paraId="375D3D29" w14:textId="77777777" w:rsidR="00F36C61" w:rsidRDefault="00F36C61">
      <w:pPr>
        <w:rPr>
          <w:rFonts w:ascii="Garamond" w:hAnsi="Garamond"/>
          <w:b/>
          <w:lang w:val="en-AU"/>
        </w:rPr>
      </w:pPr>
      <w:r>
        <w:rPr>
          <w:rFonts w:ascii="Garamond" w:hAnsi="Garamond"/>
          <w:b/>
          <w:lang w:val="en-AU"/>
        </w:rPr>
        <w:br w:type="page"/>
      </w:r>
    </w:p>
    <w:p w14:paraId="14DE0D54" w14:textId="180FF601" w:rsidR="004B47ED" w:rsidRDefault="004B47ED" w:rsidP="00E02472">
      <w:pPr>
        <w:keepNext/>
        <w:keepLines/>
        <w:autoSpaceDE w:val="0"/>
        <w:autoSpaceDN w:val="0"/>
        <w:adjustRightInd w:val="0"/>
        <w:rPr>
          <w:rFonts w:ascii="Garamond" w:hAnsi="Garamond"/>
          <w:b/>
          <w:lang w:val="en-AU"/>
        </w:rPr>
      </w:pPr>
      <w:r>
        <w:rPr>
          <w:rFonts w:ascii="Garamond" w:hAnsi="Garamond"/>
          <w:b/>
          <w:lang w:val="en-AU"/>
        </w:rPr>
        <w:lastRenderedPageBreak/>
        <w:t>Reports</w:t>
      </w:r>
    </w:p>
    <w:p w14:paraId="1352193B" w14:textId="77777777" w:rsidR="004B47ED" w:rsidRDefault="004B47ED" w:rsidP="004B47ED">
      <w:pPr>
        <w:keepLines/>
        <w:autoSpaceDE w:val="0"/>
        <w:autoSpaceDN w:val="0"/>
        <w:adjustRightInd w:val="0"/>
        <w:rPr>
          <w:rFonts w:ascii="Garamond" w:hAnsi="Garamond"/>
          <w:lang w:val="en-AU"/>
        </w:rPr>
      </w:pPr>
    </w:p>
    <w:p w14:paraId="1897F6C7" w14:textId="77777777" w:rsidR="007826C7" w:rsidRPr="007826C7" w:rsidRDefault="007826C7" w:rsidP="007826C7">
      <w:pPr>
        <w:keepNext/>
        <w:keepLines/>
        <w:autoSpaceDE w:val="0"/>
        <w:autoSpaceDN w:val="0"/>
        <w:adjustRightInd w:val="0"/>
        <w:rPr>
          <w:rFonts w:ascii="Garamond" w:hAnsi="Garamond"/>
          <w:i/>
          <w:iCs/>
          <w:lang w:val="en-AU"/>
        </w:rPr>
      </w:pPr>
      <w:r w:rsidRPr="007826C7">
        <w:rPr>
          <w:rFonts w:ascii="Garamond" w:hAnsi="Garamond"/>
          <w:i/>
          <w:iCs/>
          <w:lang w:val="en-AU"/>
        </w:rPr>
        <w:t>Stressed Out and Burned Out: The Global Primary Care Crisis — Findings from the 2022 International Health Policy Survey of Primary Care Physicians</w:t>
      </w:r>
    </w:p>
    <w:p w14:paraId="6A90CA40" w14:textId="77777777" w:rsidR="007826C7" w:rsidRDefault="007826C7" w:rsidP="00B91C70">
      <w:pPr>
        <w:keepNext/>
        <w:keepLines/>
        <w:autoSpaceDE w:val="0"/>
        <w:autoSpaceDN w:val="0"/>
        <w:adjustRightInd w:val="0"/>
        <w:rPr>
          <w:rFonts w:ascii="Garamond" w:hAnsi="Garamond"/>
          <w:lang w:val="en-AU"/>
        </w:rPr>
      </w:pPr>
      <w:r w:rsidRPr="007826C7">
        <w:rPr>
          <w:rFonts w:ascii="Garamond" w:hAnsi="Garamond"/>
          <w:lang w:val="en-AU"/>
        </w:rPr>
        <w:t>Gunja MZ, Gumas ED, Williams II RD, Doty MM, Shah A, Fields K</w:t>
      </w:r>
    </w:p>
    <w:p w14:paraId="1A2FEFED" w14:textId="1B58DEF7" w:rsidR="00B6445D" w:rsidRDefault="007826C7" w:rsidP="00B91C70">
      <w:pPr>
        <w:keepNext/>
        <w:keepLines/>
        <w:autoSpaceDE w:val="0"/>
        <w:autoSpaceDN w:val="0"/>
        <w:adjustRightInd w:val="0"/>
        <w:rPr>
          <w:rFonts w:ascii="Garamond" w:hAnsi="Garamond"/>
          <w:lang w:val="en-AU"/>
        </w:rPr>
      </w:pPr>
      <w:r w:rsidRPr="007826C7">
        <w:rPr>
          <w:rFonts w:ascii="Garamond" w:hAnsi="Garamond"/>
          <w:lang w:val="en-AU"/>
        </w:rPr>
        <w:t>New York: Commonwealth Fund; 2022.</w:t>
      </w:r>
    </w:p>
    <w:tbl>
      <w:tblPr>
        <w:tblStyle w:val="TableGrid"/>
        <w:tblW w:w="9360" w:type="dxa"/>
        <w:tblInd w:w="288" w:type="dxa"/>
        <w:tblLayout w:type="fixed"/>
        <w:tblLook w:val="01E0" w:firstRow="1" w:lastRow="1" w:firstColumn="1" w:lastColumn="1" w:noHBand="0" w:noVBand="0"/>
      </w:tblPr>
      <w:tblGrid>
        <w:gridCol w:w="1080"/>
        <w:gridCol w:w="8280"/>
      </w:tblGrid>
      <w:tr w:rsidR="00B91C70" w:rsidRPr="00E37911" w14:paraId="20FE216C" w14:textId="77777777" w:rsidTr="00741790">
        <w:tc>
          <w:tcPr>
            <w:tcW w:w="1080" w:type="dxa"/>
            <w:tcBorders>
              <w:top w:val="single" w:sz="4" w:space="0" w:color="auto"/>
              <w:left w:val="single" w:sz="4" w:space="0" w:color="auto"/>
              <w:bottom w:val="single" w:sz="4" w:space="0" w:color="auto"/>
              <w:right w:val="single" w:sz="4" w:space="0" w:color="auto"/>
            </w:tcBorders>
            <w:vAlign w:val="center"/>
          </w:tcPr>
          <w:p w14:paraId="44DD6521" w14:textId="0F57BC6F" w:rsidR="00B91C70" w:rsidRPr="00E37911" w:rsidRDefault="007826C7" w:rsidP="00741790">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763316C9" w14:textId="06D42A59" w:rsidR="007826C7" w:rsidRPr="00E37911" w:rsidRDefault="006E2B1C" w:rsidP="00741790">
            <w:pPr>
              <w:rPr>
                <w:rStyle w:val="Hyperlink"/>
                <w:rFonts w:ascii="Garamond" w:hAnsi="Garamond"/>
                <w:color w:val="auto"/>
                <w:u w:val="none"/>
                <w:lang w:val="en-AU"/>
              </w:rPr>
            </w:pPr>
            <w:hyperlink r:id="rId16" w:history="1">
              <w:r w:rsidR="007826C7" w:rsidRPr="00F8613A">
                <w:rPr>
                  <w:rStyle w:val="Hyperlink"/>
                  <w:rFonts w:ascii="Garamond" w:hAnsi="Garamond"/>
                  <w:lang w:val="en-AU"/>
                </w:rPr>
                <w:t>https://doi.org/10.26099/j2ag-mx88</w:t>
              </w:r>
            </w:hyperlink>
          </w:p>
        </w:tc>
      </w:tr>
      <w:tr w:rsidR="00B91C70" w:rsidRPr="00E37911" w14:paraId="6AEB4AF5" w14:textId="77777777" w:rsidTr="00741790">
        <w:tc>
          <w:tcPr>
            <w:tcW w:w="1080" w:type="dxa"/>
            <w:tcBorders>
              <w:top w:val="single" w:sz="4" w:space="0" w:color="auto"/>
              <w:left w:val="single" w:sz="4" w:space="0" w:color="auto"/>
              <w:bottom w:val="single" w:sz="4" w:space="0" w:color="auto"/>
              <w:right w:val="single" w:sz="4" w:space="0" w:color="auto"/>
            </w:tcBorders>
            <w:vAlign w:val="center"/>
          </w:tcPr>
          <w:p w14:paraId="5054DE36" w14:textId="77777777" w:rsidR="00B91C70" w:rsidRPr="00E37911" w:rsidRDefault="00B91C70" w:rsidP="00741790">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25A38F9" w14:textId="6E7670FC" w:rsidR="007826C7" w:rsidRDefault="007826C7" w:rsidP="007826C7">
            <w:pPr>
              <w:rPr>
                <w:rFonts w:ascii="Garamond" w:hAnsi="Garamond"/>
                <w:lang w:val="en-AU"/>
              </w:rPr>
            </w:pPr>
            <w:r>
              <w:rPr>
                <w:rFonts w:ascii="Garamond" w:hAnsi="Garamond"/>
                <w:lang w:val="en-AU"/>
              </w:rPr>
              <w:t xml:space="preserve">The Commonwealth Fun in the USA conducts regular surveys of aspects pf the health care systems in a group of nations. This issue brief reports on their </w:t>
            </w:r>
            <w:r w:rsidRPr="007826C7">
              <w:rPr>
                <w:rFonts w:ascii="Garamond" w:hAnsi="Garamond"/>
                <w:lang w:val="en-AU"/>
              </w:rPr>
              <w:t>2022 International Health Policy Survey of Primary Care Physicians</w:t>
            </w:r>
            <w:r w:rsidR="005B087F">
              <w:rPr>
                <w:rFonts w:ascii="Garamond" w:hAnsi="Garamond"/>
                <w:lang w:val="en-AU"/>
              </w:rPr>
              <w:t xml:space="preserve"> that surveyed more than 9,500 primary care doctors</w:t>
            </w:r>
            <w:r>
              <w:rPr>
                <w:rFonts w:ascii="Garamond" w:hAnsi="Garamond"/>
                <w:lang w:val="en-AU"/>
              </w:rPr>
              <w:t xml:space="preserve">. The majority of primary care doctors surveyed across 10 nations, including Australia, reported that </w:t>
            </w:r>
            <w:r w:rsidRPr="007826C7">
              <w:rPr>
                <w:rFonts w:ascii="Garamond" w:hAnsi="Garamond"/>
                <w:lang w:val="en-AU"/>
              </w:rPr>
              <w:t>they are burned out and stressed, and many feel the pandemic has negatively impacted the quality of care they provide</w:t>
            </w:r>
            <w:r>
              <w:rPr>
                <w:rFonts w:ascii="Garamond" w:hAnsi="Garamond"/>
                <w:lang w:val="en-AU"/>
              </w:rPr>
              <w:t>. According to the brief, n</w:t>
            </w:r>
            <w:r w:rsidRPr="007826C7">
              <w:rPr>
                <w:rFonts w:ascii="Garamond" w:hAnsi="Garamond"/>
                <w:lang w:val="en-AU"/>
              </w:rPr>
              <w:t>early half of older physicians in most of the countries intend to leave the workforce soo</w:t>
            </w:r>
            <w:r>
              <w:rPr>
                <w:rFonts w:ascii="Garamond" w:hAnsi="Garamond"/>
                <w:lang w:val="en-AU"/>
              </w:rPr>
              <w:t>n.</w:t>
            </w:r>
          </w:p>
          <w:p w14:paraId="50D97758" w14:textId="77777777" w:rsidR="00D860E4" w:rsidRDefault="00D860E4" w:rsidP="007826C7">
            <w:pPr>
              <w:rPr>
                <w:rFonts w:ascii="Garamond" w:hAnsi="Garamond"/>
                <w:lang w:val="en-AU"/>
              </w:rPr>
            </w:pPr>
          </w:p>
          <w:p w14:paraId="0592FEC6" w14:textId="0EBC5880" w:rsidR="00D860E4" w:rsidRDefault="00D860E4" w:rsidP="007826C7">
            <w:pPr>
              <w:rPr>
                <w:rFonts w:ascii="Garamond" w:hAnsi="Garamond"/>
                <w:lang w:val="en-AU"/>
              </w:rPr>
            </w:pPr>
            <w:r>
              <w:rPr>
                <w:rFonts w:ascii="Garamond" w:hAnsi="Garamond"/>
                <w:noProof/>
                <w:lang w:val="en-AU"/>
              </w:rPr>
              <w:drawing>
                <wp:inline distT="0" distB="0" distL="0" distR="0" wp14:anchorId="28E6D6D9" wp14:editId="76F8B95A">
                  <wp:extent cx="5123180" cy="2151380"/>
                  <wp:effectExtent l="0" t="0" r="1270" b="1270"/>
                  <wp:docPr id="4" name="Picture 4" descr="Graph showing Percentage of primary care physicians who said their workload “increased somewhat” or “increased a lot” compared to before COVID-19 in 10 nation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 showing Percentage of primary care physicians who said their workload “increased somewhat” or “increased a lot” compared to before COVID-19 in 10 nations.">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23180" cy="2151380"/>
                          </a:xfrm>
                          <a:prstGeom prst="rect">
                            <a:avLst/>
                          </a:prstGeom>
                          <a:noFill/>
                          <a:ln>
                            <a:noFill/>
                          </a:ln>
                        </pic:spPr>
                      </pic:pic>
                    </a:graphicData>
                  </a:graphic>
                </wp:inline>
              </w:drawing>
            </w:r>
          </w:p>
          <w:p w14:paraId="62DD9D60" w14:textId="38E2C05D" w:rsidR="007826C7" w:rsidRPr="00E240CC" w:rsidRDefault="007826C7" w:rsidP="007826C7">
            <w:pPr>
              <w:rPr>
                <w:rFonts w:ascii="Garamond" w:hAnsi="Garamond"/>
                <w:lang w:val="en-AU"/>
              </w:rPr>
            </w:pPr>
          </w:p>
        </w:tc>
      </w:tr>
    </w:tbl>
    <w:p w14:paraId="5FA78619" w14:textId="551CC157" w:rsidR="00B91C70" w:rsidRDefault="00B91C70" w:rsidP="00B91C70">
      <w:pPr>
        <w:keepNext/>
        <w:rPr>
          <w:rFonts w:ascii="Garamond" w:hAnsi="Garamond"/>
          <w:i/>
          <w:lang w:val="en-AU"/>
        </w:rPr>
      </w:pPr>
    </w:p>
    <w:p w14:paraId="3C897860" w14:textId="6554B665" w:rsidR="00D46BE2" w:rsidRDefault="00D46BE2">
      <w:pPr>
        <w:rPr>
          <w:rFonts w:ascii="Garamond" w:hAnsi="Garamond"/>
          <w:b/>
          <w:lang w:val="en-AU"/>
        </w:rPr>
      </w:pPr>
    </w:p>
    <w:p w14:paraId="7DE637D3" w14:textId="77777777" w:rsidR="00B21F35" w:rsidRDefault="00B21F35">
      <w:pPr>
        <w:rPr>
          <w:rFonts w:ascii="Garamond" w:hAnsi="Garamond"/>
          <w:b/>
          <w:lang w:val="en-AU"/>
        </w:rPr>
      </w:pPr>
    </w:p>
    <w:p w14:paraId="604EB9F1" w14:textId="5B7BEEEA" w:rsidR="00E02472" w:rsidRDefault="00E02472" w:rsidP="00E02472">
      <w:pPr>
        <w:keepNext/>
        <w:keepLines/>
        <w:autoSpaceDE w:val="0"/>
        <w:autoSpaceDN w:val="0"/>
        <w:adjustRightInd w:val="0"/>
        <w:rPr>
          <w:rFonts w:ascii="Garamond" w:hAnsi="Garamond"/>
          <w:b/>
          <w:lang w:val="en-AU"/>
        </w:rPr>
      </w:pPr>
      <w:r>
        <w:rPr>
          <w:rFonts w:ascii="Garamond" w:hAnsi="Garamond"/>
          <w:b/>
          <w:lang w:val="en-AU"/>
        </w:rPr>
        <w:t>Journal articles</w:t>
      </w:r>
    </w:p>
    <w:p w14:paraId="47402EF0" w14:textId="77777777" w:rsidR="00E02472" w:rsidRDefault="00E02472" w:rsidP="00E02472">
      <w:pPr>
        <w:keepLines/>
        <w:autoSpaceDE w:val="0"/>
        <w:autoSpaceDN w:val="0"/>
        <w:adjustRightInd w:val="0"/>
        <w:rPr>
          <w:rFonts w:ascii="Garamond" w:hAnsi="Garamond"/>
          <w:lang w:val="en-AU"/>
        </w:rPr>
      </w:pPr>
    </w:p>
    <w:p w14:paraId="5F54340D" w14:textId="77777777" w:rsidR="004F764D" w:rsidRPr="004F764D" w:rsidRDefault="004F764D" w:rsidP="004F764D">
      <w:pPr>
        <w:keepLines/>
        <w:autoSpaceDE w:val="0"/>
        <w:autoSpaceDN w:val="0"/>
        <w:adjustRightInd w:val="0"/>
        <w:rPr>
          <w:rFonts w:ascii="Garamond" w:hAnsi="Garamond"/>
          <w:i/>
          <w:iCs/>
          <w:lang w:val="en-AU"/>
        </w:rPr>
      </w:pPr>
      <w:r w:rsidRPr="004F764D">
        <w:rPr>
          <w:rFonts w:ascii="Garamond" w:hAnsi="Garamond"/>
          <w:i/>
          <w:iCs/>
          <w:lang w:val="en-AU"/>
        </w:rPr>
        <w:t>Twelve-month mortality outcomes for Indigenous and non-Indigenous people admitted to intensive care units in Australia: a registry-based data linkage study</w:t>
      </w:r>
    </w:p>
    <w:p w14:paraId="3C5DC205" w14:textId="77777777" w:rsidR="004F764D" w:rsidRDefault="004F764D" w:rsidP="004F764D">
      <w:pPr>
        <w:keepLines/>
        <w:autoSpaceDE w:val="0"/>
        <w:autoSpaceDN w:val="0"/>
        <w:adjustRightInd w:val="0"/>
        <w:rPr>
          <w:rFonts w:ascii="Garamond" w:hAnsi="Garamond"/>
          <w:lang w:val="en-AU"/>
        </w:rPr>
      </w:pPr>
      <w:r w:rsidRPr="004F764D">
        <w:rPr>
          <w:rFonts w:ascii="Garamond" w:hAnsi="Garamond"/>
          <w:lang w:val="en-AU"/>
        </w:rPr>
        <w:t>Secombe PJ, Brown A, Bailey MJ, Huckson S, Chavan S, Litton E, et al</w:t>
      </w:r>
    </w:p>
    <w:p w14:paraId="73E917D9" w14:textId="77777777" w:rsidR="004F764D" w:rsidRDefault="004F764D" w:rsidP="004F764D">
      <w:pPr>
        <w:keepLines/>
        <w:autoSpaceDE w:val="0"/>
        <w:autoSpaceDN w:val="0"/>
        <w:adjustRightInd w:val="0"/>
        <w:rPr>
          <w:rFonts w:ascii="Garamond" w:hAnsi="Garamond"/>
          <w:lang w:val="en-AU"/>
        </w:rPr>
      </w:pPr>
      <w:r w:rsidRPr="004F764D">
        <w:rPr>
          <w:rFonts w:ascii="Garamond" w:hAnsi="Garamond"/>
          <w:lang w:val="en-AU"/>
        </w:rPr>
        <w:t xml:space="preserve">Medical Journal of Australia. 2022 </w:t>
      </w:r>
      <w:r>
        <w:rPr>
          <w:rFonts w:ascii="Garamond" w:hAnsi="Garamond"/>
          <w:lang w:val="en-AU"/>
        </w:rPr>
        <w:t>[epub]</w:t>
      </w:r>
    </w:p>
    <w:tbl>
      <w:tblPr>
        <w:tblStyle w:val="TableGrid"/>
        <w:tblW w:w="9360" w:type="dxa"/>
        <w:tblInd w:w="288" w:type="dxa"/>
        <w:tblLayout w:type="fixed"/>
        <w:tblLook w:val="01E0" w:firstRow="1" w:lastRow="1" w:firstColumn="1" w:lastColumn="1" w:noHBand="0" w:noVBand="0"/>
      </w:tblPr>
      <w:tblGrid>
        <w:gridCol w:w="1080"/>
        <w:gridCol w:w="8280"/>
      </w:tblGrid>
      <w:tr w:rsidR="004F764D" w:rsidRPr="00E37911" w14:paraId="7D4528F9" w14:textId="77777777" w:rsidTr="00575239">
        <w:tc>
          <w:tcPr>
            <w:tcW w:w="1080" w:type="dxa"/>
            <w:tcBorders>
              <w:top w:val="single" w:sz="4" w:space="0" w:color="auto"/>
              <w:left w:val="single" w:sz="4" w:space="0" w:color="auto"/>
              <w:bottom w:val="single" w:sz="4" w:space="0" w:color="auto"/>
              <w:right w:val="single" w:sz="4" w:space="0" w:color="auto"/>
            </w:tcBorders>
            <w:vAlign w:val="center"/>
          </w:tcPr>
          <w:p w14:paraId="5044DE76" w14:textId="77777777" w:rsidR="004F764D" w:rsidRPr="00E37911" w:rsidRDefault="004F764D" w:rsidP="00575239">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7D172DCE" w14:textId="77777777" w:rsidR="004F764D" w:rsidRPr="00E37911" w:rsidRDefault="006E2B1C" w:rsidP="00575239">
            <w:pPr>
              <w:rPr>
                <w:rStyle w:val="Hyperlink"/>
                <w:rFonts w:ascii="Garamond" w:hAnsi="Garamond"/>
                <w:color w:val="auto"/>
                <w:u w:val="none"/>
                <w:lang w:val="en-AU"/>
              </w:rPr>
            </w:pPr>
            <w:hyperlink r:id="rId18" w:history="1">
              <w:r w:rsidR="004F764D" w:rsidRPr="00F04C63">
                <w:rPr>
                  <w:rStyle w:val="Hyperlink"/>
                  <w:rFonts w:ascii="Garamond" w:hAnsi="Garamond"/>
                  <w:lang w:val="en-AU"/>
                </w:rPr>
                <w:t>https://doi.org/10.5694/mja2.51763</w:t>
              </w:r>
            </w:hyperlink>
          </w:p>
        </w:tc>
      </w:tr>
      <w:tr w:rsidR="004F764D" w:rsidRPr="00E37911" w14:paraId="2E721F5C" w14:textId="77777777" w:rsidTr="00575239">
        <w:tc>
          <w:tcPr>
            <w:tcW w:w="1080" w:type="dxa"/>
            <w:tcBorders>
              <w:top w:val="single" w:sz="4" w:space="0" w:color="auto"/>
              <w:left w:val="single" w:sz="4" w:space="0" w:color="auto"/>
              <w:bottom w:val="single" w:sz="4" w:space="0" w:color="auto"/>
              <w:right w:val="single" w:sz="4" w:space="0" w:color="auto"/>
            </w:tcBorders>
            <w:vAlign w:val="center"/>
          </w:tcPr>
          <w:p w14:paraId="6141E373" w14:textId="77777777" w:rsidR="004F764D" w:rsidRPr="00E37911" w:rsidRDefault="004F764D" w:rsidP="00575239">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7BF8A85" w14:textId="77777777" w:rsidR="004F764D" w:rsidRDefault="004F764D" w:rsidP="00575239">
            <w:pPr>
              <w:rPr>
                <w:rFonts w:ascii="Garamond" w:hAnsi="Garamond"/>
                <w:lang w:val="en-AU"/>
              </w:rPr>
            </w:pPr>
            <w:r>
              <w:rPr>
                <w:rFonts w:ascii="Garamond" w:hAnsi="Garamond"/>
                <w:lang w:val="en-AU"/>
              </w:rPr>
              <w:t xml:space="preserve">This “early view” paper has been published on the </w:t>
            </w:r>
            <w:r w:rsidRPr="004F764D">
              <w:rPr>
                <w:rFonts w:ascii="Garamond" w:hAnsi="Garamond"/>
                <w:i/>
                <w:iCs/>
                <w:lang w:val="en-AU"/>
              </w:rPr>
              <w:t>MJA</w:t>
            </w:r>
            <w:r>
              <w:rPr>
                <w:rFonts w:ascii="Garamond" w:hAnsi="Garamond"/>
                <w:lang w:val="en-AU"/>
              </w:rPr>
              <w:t xml:space="preserve"> website. The authors sought to ‘</w:t>
            </w:r>
            <w:r w:rsidRPr="004F764D">
              <w:rPr>
                <w:rFonts w:ascii="Garamond" w:hAnsi="Garamond"/>
                <w:lang w:val="en-AU"/>
              </w:rPr>
              <w:t>compare longer term (12-month) mortality outcomes for Indigenous and non-Indigenous people admitted to intensive care units (ICUs) in Australia</w:t>
            </w:r>
            <w:r>
              <w:rPr>
                <w:rFonts w:ascii="Garamond" w:hAnsi="Garamond"/>
                <w:lang w:val="en-AU"/>
              </w:rPr>
              <w:t>’. This was a r</w:t>
            </w:r>
            <w:r w:rsidRPr="004F764D">
              <w:rPr>
                <w:rFonts w:ascii="Garamond" w:hAnsi="Garamond"/>
                <w:lang w:val="en-AU"/>
              </w:rPr>
              <w:t>etrospective registry-based data linkage cohort stud</w:t>
            </w:r>
            <w:r>
              <w:rPr>
                <w:rFonts w:ascii="Garamond" w:hAnsi="Garamond"/>
                <w:lang w:val="en-AU"/>
              </w:rPr>
              <w:t xml:space="preserve">y that analysed </w:t>
            </w:r>
            <w:r w:rsidRPr="004F764D">
              <w:rPr>
                <w:rFonts w:ascii="Garamond" w:hAnsi="Garamond"/>
                <w:lang w:val="en-AU"/>
              </w:rPr>
              <w:t>all admissions of adults (16</w:t>
            </w:r>
            <w:r w:rsidRPr="004F764D">
              <w:rPr>
                <w:lang w:val="en-AU"/>
              </w:rPr>
              <w:t> </w:t>
            </w:r>
            <w:r w:rsidRPr="004F764D">
              <w:rPr>
                <w:rFonts w:ascii="Garamond" w:hAnsi="Garamond"/>
                <w:lang w:val="en-AU"/>
              </w:rPr>
              <w:t>years or older) to Australian ICUs</w:t>
            </w:r>
            <w:r>
              <w:rPr>
                <w:rFonts w:ascii="Garamond" w:hAnsi="Garamond"/>
                <w:lang w:val="en-AU"/>
              </w:rPr>
              <w:t xml:space="preserve"> in the period</w:t>
            </w:r>
            <w:r w:rsidRPr="004F764D">
              <w:rPr>
                <w:rFonts w:ascii="Garamond" w:hAnsi="Garamond"/>
                <w:lang w:val="en-AU"/>
              </w:rPr>
              <w:t xml:space="preserve"> 1 January 2017 </w:t>
            </w:r>
            <w:r w:rsidRPr="004F764D">
              <w:rPr>
                <w:rFonts w:ascii="Garamond" w:hAnsi="Garamond" w:cs="Garamond"/>
                <w:lang w:val="en-AU"/>
              </w:rPr>
              <w:t>–</w:t>
            </w:r>
            <w:r w:rsidRPr="004F764D">
              <w:rPr>
                <w:rFonts w:ascii="Garamond" w:hAnsi="Garamond"/>
                <w:lang w:val="en-AU"/>
              </w:rPr>
              <w:t xml:space="preserve"> 31 December 2019 as recorded in the Australian and New Zealand Intensive Care Society (ANZICS) Adult Patient Database (APD)</w:t>
            </w:r>
            <w:r>
              <w:rPr>
                <w:rFonts w:ascii="Garamond" w:hAnsi="Garamond"/>
                <w:lang w:val="en-AU"/>
              </w:rPr>
              <w:t>. This dataset ‘</w:t>
            </w:r>
            <w:r w:rsidRPr="004F764D">
              <w:rPr>
                <w:rFonts w:ascii="Garamond" w:hAnsi="Garamond"/>
                <w:lang w:val="en-AU"/>
              </w:rPr>
              <w:t>recorded 330</w:t>
            </w:r>
            <w:r w:rsidRPr="004F764D">
              <w:rPr>
                <w:lang w:val="en-AU"/>
              </w:rPr>
              <w:t> </w:t>
            </w:r>
            <w:r w:rsidRPr="004F764D">
              <w:rPr>
                <w:rFonts w:ascii="Garamond" w:hAnsi="Garamond"/>
                <w:lang w:val="en-AU"/>
              </w:rPr>
              <w:t>712 eligible ICU admissions during 2017</w:t>
            </w:r>
            <w:r w:rsidRPr="004F764D">
              <w:rPr>
                <w:rFonts w:ascii="Garamond" w:hAnsi="Garamond" w:cs="Garamond"/>
                <w:lang w:val="en-AU"/>
              </w:rPr>
              <w:t>–</w:t>
            </w:r>
            <w:r w:rsidRPr="004F764D">
              <w:rPr>
                <w:rFonts w:ascii="Garamond" w:hAnsi="Garamond"/>
                <w:lang w:val="en-AU"/>
              </w:rPr>
              <w:t>2019 (65% of all ICU admissions registered), of which 11</w:t>
            </w:r>
            <w:r w:rsidRPr="004F764D">
              <w:rPr>
                <w:lang w:val="en-AU"/>
              </w:rPr>
              <w:t> </w:t>
            </w:r>
            <w:r w:rsidRPr="004F764D">
              <w:rPr>
                <w:rFonts w:ascii="Garamond" w:hAnsi="Garamond"/>
                <w:lang w:val="en-AU"/>
              </w:rPr>
              <w:t>322 were of Indigenous people (3.4%)</w:t>
            </w:r>
            <w:r>
              <w:rPr>
                <w:rFonts w:ascii="Garamond" w:hAnsi="Garamond"/>
                <w:lang w:val="en-AU"/>
              </w:rPr>
              <w:t>’</w:t>
            </w:r>
            <w:r w:rsidRPr="004F764D">
              <w:rPr>
                <w:rFonts w:ascii="Garamond" w:hAnsi="Garamond"/>
                <w:lang w:val="en-AU"/>
              </w:rPr>
              <w:t>.</w:t>
            </w:r>
            <w:r>
              <w:rPr>
                <w:rFonts w:ascii="Garamond" w:hAnsi="Garamond"/>
                <w:lang w:val="en-AU"/>
              </w:rPr>
              <w:t xml:space="preserve"> The authors observe:</w:t>
            </w:r>
          </w:p>
          <w:p w14:paraId="4A31DEB1" w14:textId="77777777" w:rsidR="004F764D" w:rsidRDefault="004F764D" w:rsidP="00575239">
            <w:pPr>
              <w:pStyle w:val="ListParagraph"/>
              <w:numPr>
                <w:ilvl w:val="0"/>
                <w:numId w:val="34"/>
              </w:numPr>
              <w:rPr>
                <w:rFonts w:ascii="Garamond" w:hAnsi="Garamond"/>
                <w:lang w:val="en-AU"/>
              </w:rPr>
            </w:pPr>
            <w:r w:rsidRPr="004F764D">
              <w:rPr>
                <w:rFonts w:ascii="Garamond" w:hAnsi="Garamond"/>
                <w:b/>
                <w:bCs/>
                <w:lang w:val="en-AU"/>
              </w:rPr>
              <w:t>Median age at admission was lower for Indigenous patients</w:t>
            </w:r>
            <w:r w:rsidRPr="004F764D">
              <w:rPr>
                <w:rFonts w:ascii="Garamond" w:hAnsi="Garamond"/>
                <w:lang w:val="en-AU"/>
              </w:rPr>
              <w:t xml:space="preserve"> (51.2 [IQR, 36.7–63.6] years) than for non-Indigenous patients (66.5 [IQR, 52.7–76.1] years).</w:t>
            </w:r>
          </w:p>
          <w:p w14:paraId="763905FD" w14:textId="77777777" w:rsidR="004F764D" w:rsidRDefault="004F764D" w:rsidP="00575239">
            <w:pPr>
              <w:pStyle w:val="ListParagraph"/>
              <w:numPr>
                <w:ilvl w:val="0"/>
                <w:numId w:val="34"/>
              </w:numPr>
              <w:rPr>
                <w:rFonts w:ascii="Garamond" w:hAnsi="Garamond"/>
                <w:lang w:val="en-AU"/>
              </w:rPr>
            </w:pPr>
            <w:r w:rsidRPr="004F764D">
              <w:rPr>
                <w:rFonts w:ascii="Garamond" w:hAnsi="Garamond"/>
                <w:lang w:val="en-AU"/>
              </w:rPr>
              <w:lastRenderedPageBreak/>
              <w:t xml:space="preserve">Unadjusted </w:t>
            </w:r>
            <w:r w:rsidRPr="004F764D">
              <w:rPr>
                <w:rFonts w:ascii="Garamond" w:hAnsi="Garamond"/>
                <w:b/>
                <w:bCs/>
                <w:lang w:val="en-AU"/>
              </w:rPr>
              <w:t>mortality risk</w:t>
            </w:r>
            <w:r w:rsidRPr="004F764D">
              <w:rPr>
                <w:rFonts w:ascii="Garamond" w:hAnsi="Garamond"/>
                <w:lang w:val="en-AU"/>
              </w:rPr>
              <w:t xml:space="preserve"> was similar for Indigenous and non-Indigenous patients, but was </w:t>
            </w:r>
            <w:r w:rsidRPr="004F764D">
              <w:rPr>
                <w:rFonts w:ascii="Garamond" w:hAnsi="Garamond"/>
                <w:b/>
                <w:bCs/>
                <w:lang w:val="en-AU"/>
              </w:rPr>
              <w:t>higher for Indigenous patients after adjusting</w:t>
            </w:r>
            <w:r w:rsidRPr="004F764D">
              <w:rPr>
                <w:rFonts w:ascii="Garamond" w:hAnsi="Garamond"/>
                <w:lang w:val="en-AU"/>
              </w:rPr>
              <w:t xml:space="preserve"> for age, admission diagnosis, illness severity, hospital type, jurisdiction, remoteness and socio-economic status (adjusted hazard ratio, 1.20; 95% CI, 1.14–1.27).</w:t>
            </w:r>
          </w:p>
          <w:p w14:paraId="04A7A503" w14:textId="77777777" w:rsidR="004F764D" w:rsidRPr="004F764D" w:rsidRDefault="004F764D" w:rsidP="00575239">
            <w:pPr>
              <w:pStyle w:val="ListParagraph"/>
              <w:numPr>
                <w:ilvl w:val="0"/>
                <w:numId w:val="34"/>
              </w:numPr>
              <w:rPr>
                <w:rFonts w:ascii="Garamond" w:hAnsi="Garamond"/>
                <w:lang w:val="en-AU"/>
              </w:rPr>
            </w:pPr>
            <w:r w:rsidRPr="004F764D">
              <w:rPr>
                <w:rFonts w:ascii="Garamond" w:hAnsi="Garamond"/>
                <w:b/>
                <w:bCs/>
                <w:lang w:val="en-AU"/>
              </w:rPr>
              <w:t>Twelve-month mortality was higher for Indigenous</w:t>
            </w:r>
            <w:r w:rsidRPr="004F764D">
              <w:rPr>
                <w:rFonts w:ascii="Garamond" w:hAnsi="Garamond"/>
                <w:lang w:val="en-AU"/>
              </w:rPr>
              <w:t xml:space="preserve"> than non-Indigenous patients (adjusted odds ratio, 1.24; 95% CI, 1.16–1.33).</w:t>
            </w:r>
          </w:p>
        </w:tc>
      </w:tr>
    </w:tbl>
    <w:p w14:paraId="6B29D9E5" w14:textId="77777777" w:rsidR="004F764D" w:rsidRDefault="004F764D" w:rsidP="004F764D">
      <w:pPr>
        <w:keepLines/>
        <w:autoSpaceDE w:val="0"/>
        <w:autoSpaceDN w:val="0"/>
        <w:adjustRightInd w:val="0"/>
        <w:rPr>
          <w:rFonts w:ascii="Garamond" w:hAnsi="Garamond"/>
          <w:lang w:val="en-AU"/>
        </w:rPr>
      </w:pPr>
    </w:p>
    <w:p w14:paraId="65E24389" w14:textId="77777777" w:rsidR="00407714" w:rsidRPr="00407714" w:rsidRDefault="00407714" w:rsidP="00407714">
      <w:pPr>
        <w:keepLines/>
        <w:autoSpaceDE w:val="0"/>
        <w:autoSpaceDN w:val="0"/>
        <w:adjustRightInd w:val="0"/>
        <w:rPr>
          <w:rFonts w:ascii="Garamond" w:hAnsi="Garamond"/>
          <w:i/>
          <w:iCs/>
          <w:lang w:val="en-AU"/>
        </w:rPr>
      </w:pPr>
      <w:r w:rsidRPr="00407714">
        <w:rPr>
          <w:rFonts w:ascii="Garamond" w:hAnsi="Garamond"/>
          <w:i/>
          <w:iCs/>
          <w:lang w:val="en-AU"/>
        </w:rPr>
        <w:t>Medication-related Medical Emergency Team activations: a case review study of frequency and preventability</w:t>
      </w:r>
    </w:p>
    <w:p w14:paraId="41AAB70E" w14:textId="77777777" w:rsidR="00407714" w:rsidRDefault="00407714" w:rsidP="00D22ACA">
      <w:pPr>
        <w:keepLines/>
        <w:autoSpaceDE w:val="0"/>
        <w:autoSpaceDN w:val="0"/>
        <w:adjustRightInd w:val="0"/>
        <w:rPr>
          <w:rFonts w:ascii="Garamond" w:hAnsi="Garamond"/>
          <w:lang w:val="en-AU"/>
        </w:rPr>
      </w:pPr>
      <w:r w:rsidRPr="00407714">
        <w:rPr>
          <w:rFonts w:ascii="Garamond" w:hAnsi="Garamond"/>
          <w:lang w:val="en-AU"/>
        </w:rPr>
        <w:t>Levkovich BJ, Orosz J, Bingham G, Cooper DJ, Dooley M, Kirkpatrick C, et al</w:t>
      </w:r>
    </w:p>
    <w:p w14:paraId="4C6D34B7" w14:textId="6BFFAA41" w:rsidR="00D22ACA" w:rsidRDefault="00407714" w:rsidP="00D22ACA">
      <w:pPr>
        <w:keepLines/>
        <w:autoSpaceDE w:val="0"/>
        <w:autoSpaceDN w:val="0"/>
        <w:adjustRightInd w:val="0"/>
        <w:rPr>
          <w:rFonts w:ascii="Garamond" w:hAnsi="Garamond"/>
          <w:lang w:val="en-AU"/>
        </w:rPr>
      </w:pPr>
      <w:r w:rsidRPr="00407714">
        <w:rPr>
          <w:rFonts w:ascii="Garamond" w:hAnsi="Garamond"/>
          <w:lang w:val="en-AU"/>
        </w:rPr>
        <w:t>BMJ Quality &amp; Safety. 2022</w:t>
      </w:r>
      <w:r>
        <w:rPr>
          <w:rFonts w:ascii="Garamond" w:hAnsi="Garamond"/>
          <w:lang w:val="en-AU"/>
        </w:rPr>
        <w:t xml:space="preserve"> [epub]</w:t>
      </w:r>
      <w:r w:rsidRPr="00407714">
        <w:rPr>
          <w:rFonts w:ascii="Garamond" w:hAnsi="Garamond"/>
          <w:lang w:val="en-AU"/>
        </w:rPr>
        <w:t>.</w:t>
      </w:r>
    </w:p>
    <w:p w14:paraId="4A33831D" w14:textId="3539C0FC" w:rsidR="00407714" w:rsidRDefault="00407714" w:rsidP="00D22ACA">
      <w:pPr>
        <w:keepLines/>
        <w:autoSpaceDE w:val="0"/>
        <w:autoSpaceDN w:val="0"/>
        <w:adjustRightInd w:val="0"/>
        <w:rPr>
          <w:rFonts w:ascii="Garamond" w:hAnsi="Garamond"/>
          <w:lang w:val="en-AU"/>
        </w:rPr>
      </w:pPr>
    </w:p>
    <w:p w14:paraId="6D5A866F" w14:textId="77777777" w:rsidR="00407714" w:rsidRPr="00407714" w:rsidRDefault="00407714" w:rsidP="00407714">
      <w:pPr>
        <w:keepLines/>
        <w:autoSpaceDE w:val="0"/>
        <w:autoSpaceDN w:val="0"/>
        <w:adjustRightInd w:val="0"/>
        <w:rPr>
          <w:rFonts w:ascii="Garamond" w:hAnsi="Garamond"/>
          <w:i/>
          <w:iCs/>
          <w:lang w:val="en-AU"/>
        </w:rPr>
      </w:pPr>
      <w:r w:rsidRPr="00407714">
        <w:rPr>
          <w:rFonts w:ascii="Garamond" w:hAnsi="Garamond"/>
          <w:i/>
          <w:iCs/>
          <w:lang w:val="en-AU"/>
        </w:rPr>
        <w:t>Adverse drug events leading to medical emergency team activation in hospitals: what can we learn?</w:t>
      </w:r>
    </w:p>
    <w:p w14:paraId="23D36B37" w14:textId="77777777" w:rsidR="00407714" w:rsidRDefault="00407714" w:rsidP="00D22ACA">
      <w:pPr>
        <w:keepLines/>
        <w:autoSpaceDE w:val="0"/>
        <w:autoSpaceDN w:val="0"/>
        <w:adjustRightInd w:val="0"/>
        <w:rPr>
          <w:rFonts w:ascii="Garamond" w:hAnsi="Garamond"/>
          <w:lang w:val="en-AU"/>
        </w:rPr>
      </w:pPr>
      <w:r w:rsidRPr="00407714">
        <w:rPr>
          <w:rFonts w:ascii="Garamond" w:hAnsi="Garamond"/>
          <w:lang w:val="en-AU"/>
        </w:rPr>
        <w:t>Härkänen M, Syyrilä T, Schepel L</w:t>
      </w:r>
    </w:p>
    <w:p w14:paraId="03AD4809" w14:textId="1AE172F6" w:rsidR="00407714" w:rsidRDefault="00407714" w:rsidP="00D22ACA">
      <w:pPr>
        <w:keepLines/>
        <w:autoSpaceDE w:val="0"/>
        <w:autoSpaceDN w:val="0"/>
        <w:adjustRightInd w:val="0"/>
        <w:rPr>
          <w:rFonts w:ascii="Garamond" w:hAnsi="Garamond"/>
          <w:lang w:val="en-AU"/>
        </w:rPr>
      </w:pPr>
      <w:r w:rsidRPr="00407714">
        <w:rPr>
          <w:rFonts w:ascii="Garamond" w:hAnsi="Garamond"/>
          <w:lang w:val="en-AU"/>
        </w:rPr>
        <w:t>BMJ Quality &amp; Safety. 2022</w:t>
      </w:r>
      <w:r>
        <w:rPr>
          <w:rFonts w:ascii="Garamond" w:hAnsi="Garamond"/>
          <w:lang w:val="en-AU"/>
        </w:rPr>
        <w:t xml:space="preserve"> [epub]</w:t>
      </w:r>
      <w:r w:rsidRPr="00407714">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D22ACA" w:rsidRPr="00E37911" w14:paraId="4DEDA1F2" w14:textId="77777777" w:rsidTr="00EE3B23">
        <w:tc>
          <w:tcPr>
            <w:tcW w:w="1080" w:type="dxa"/>
            <w:tcBorders>
              <w:top w:val="single" w:sz="4" w:space="0" w:color="auto"/>
              <w:left w:val="single" w:sz="4" w:space="0" w:color="auto"/>
              <w:bottom w:val="single" w:sz="4" w:space="0" w:color="auto"/>
              <w:right w:val="single" w:sz="4" w:space="0" w:color="auto"/>
            </w:tcBorders>
            <w:vAlign w:val="center"/>
          </w:tcPr>
          <w:p w14:paraId="148C1CDF" w14:textId="77777777" w:rsidR="00D22ACA" w:rsidRPr="00E37911" w:rsidRDefault="00D22ACA" w:rsidP="00EE3B23">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345FF4E7" w14:textId="7969D43A" w:rsidR="00D22ACA" w:rsidRDefault="00407714" w:rsidP="00EE3B23">
            <w:pPr>
              <w:rPr>
                <w:rFonts w:ascii="Garamond" w:hAnsi="Garamond"/>
                <w:lang w:val="en-AU"/>
              </w:rPr>
            </w:pPr>
            <w:r w:rsidRPr="00407714">
              <w:rPr>
                <w:rFonts w:ascii="Garamond" w:hAnsi="Garamond"/>
                <w:lang w:val="en-AU"/>
              </w:rPr>
              <w:t>Levkovich</w:t>
            </w:r>
            <w:r>
              <w:rPr>
                <w:rFonts w:ascii="Garamond" w:hAnsi="Garamond"/>
                <w:lang w:val="en-AU"/>
              </w:rPr>
              <w:t xml:space="preserve"> et al </w:t>
            </w:r>
            <w:hyperlink r:id="rId19" w:history="1">
              <w:r w:rsidRPr="000D37FF">
                <w:rPr>
                  <w:rStyle w:val="Hyperlink"/>
                  <w:rFonts w:ascii="Garamond" w:hAnsi="Garamond"/>
                  <w:lang w:val="en-AU"/>
                </w:rPr>
                <w:t>https://dx.doi.org/10.1136/bmjqs-2021-014185</w:t>
              </w:r>
            </w:hyperlink>
          </w:p>
          <w:p w14:paraId="5E3C64A3" w14:textId="79E16B79" w:rsidR="00407714" w:rsidRPr="00E37911" w:rsidRDefault="00407714" w:rsidP="00EE3B23">
            <w:pPr>
              <w:rPr>
                <w:rStyle w:val="Hyperlink"/>
                <w:rFonts w:ascii="Garamond" w:hAnsi="Garamond"/>
                <w:color w:val="auto"/>
                <w:u w:val="none"/>
                <w:lang w:val="en-AU"/>
              </w:rPr>
            </w:pPr>
            <w:r w:rsidRPr="00407714">
              <w:rPr>
                <w:rStyle w:val="Hyperlink"/>
                <w:rFonts w:ascii="Garamond" w:hAnsi="Garamond"/>
                <w:color w:val="auto"/>
                <w:u w:val="none"/>
                <w:lang w:val="en-AU"/>
              </w:rPr>
              <w:t>Härkänen</w:t>
            </w:r>
            <w:r>
              <w:rPr>
                <w:rStyle w:val="Hyperlink"/>
                <w:rFonts w:ascii="Garamond" w:hAnsi="Garamond"/>
                <w:color w:val="auto"/>
                <w:u w:val="none"/>
                <w:lang w:val="en-AU"/>
              </w:rPr>
              <w:t xml:space="preserve"> et al </w:t>
            </w:r>
            <w:hyperlink r:id="rId20" w:history="1">
              <w:r w:rsidR="00EC020C" w:rsidRPr="000D37FF">
                <w:rPr>
                  <w:rStyle w:val="Hyperlink"/>
                  <w:rFonts w:ascii="Garamond" w:hAnsi="Garamond"/>
                  <w:lang w:val="en-AU"/>
                </w:rPr>
                <w:t>https://dx.doi.org/10.1136/bmjqs-2022-015275</w:t>
              </w:r>
            </w:hyperlink>
          </w:p>
        </w:tc>
      </w:tr>
      <w:tr w:rsidR="00D22ACA" w:rsidRPr="00E37911" w14:paraId="7676D45B" w14:textId="77777777" w:rsidTr="00EE3B23">
        <w:tc>
          <w:tcPr>
            <w:tcW w:w="1080" w:type="dxa"/>
            <w:tcBorders>
              <w:top w:val="single" w:sz="4" w:space="0" w:color="auto"/>
              <w:left w:val="single" w:sz="4" w:space="0" w:color="auto"/>
              <w:bottom w:val="single" w:sz="4" w:space="0" w:color="auto"/>
              <w:right w:val="single" w:sz="4" w:space="0" w:color="auto"/>
            </w:tcBorders>
            <w:vAlign w:val="center"/>
          </w:tcPr>
          <w:p w14:paraId="306AADDC" w14:textId="77777777" w:rsidR="00D22ACA" w:rsidRPr="00E37911" w:rsidRDefault="00D22ACA" w:rsidP="00EE3B23">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B15406B" w14:textId="0136D5DC" w:rsidR="00DE426E" w:rsidRDefault="00407714" w:rsidP="00B21F35">
            <w:pPr>
              <w:rPr>
                <w:rFonts w:ascii="Garamond" w:hAnsi="Garamond"/>
                <w:lang w:val="en-AU"/>
              </w:rPr>
            </w:pPr>
            <w:r>
              <w:rPr>
                <w:rFonts w:ascii="Garamond" w:hAnsi="Garamond"/>
                <w:lang w:val="en-AU"/>
              </w:rPr>
              <w:t xml:space="preserve">Paper and related editorial in </w:t>
            </w:r>
            <w:r w:rsidRPr="00EC020C">
              <w:rPr>
                <w:rFonts w:ascii="Garamond" w:hAnsi="Garamond"/>
                <w:i/>
                <w:iCs/>
                <w:lang w:val="en-AU"/>
              </w:rPr>
              <w:t>BMJ Quality &amp; Safety</w:t>
            </w:r>
            <w:r>
              <w:rPr>
                <w:rFonts w:ascii="Garamond" w:hAnsi="Garamond"/>
                <w:lang w:val="en-AU"/>
              </w:rPr>
              <w:t xml:space="preserve"> examining adverse drug events that led to medical emergency team (MAT) activations. The study (</w:t>
            </w:r>
            <w:r w:rsidRPr="00407714">
              <w:rPr>
                <w:rFonts w:ascii="Garamond" w:hAnsi="Garamond"/>
                <w:lang w:val="en-AU"/>
              </w:rPr>
              <w:t>Levkovich et al</w:t>
            </w:r>
            <w:r>
              <w:rPr>
                <w:rFonts w:ascii="Garamond" w:hAnsi="Garamond"/>
                <w:lang w:val="en-AU"/>
              </w:rPr>
              <w:t>) was a</w:t>
            </w:r>
            <w:r>
              <w:t xml:space="preserve"> </w:t>
            </w:r>
            <w:r w:rsidRPr="00407714">
              <w:rPr>
                <w:rFonts w:ascii="Garamond" w:hAnsi="Garamond"/>
                <w:lang w:val="en-AU"/>
              </w:rPr>
              <w:t>case review study of consecutive MET activations at two acute, academic teaching hospitals in Melbourne, Australia</w:t>
            </w:r>
            <w:r>
              <w:rPr>
                <w:rFonts w:ascii="Garamond" w:hAnsi="Garamond"/>
                <w:lang w:val="en-AU"/>
              </w:rPr>
              <w:t xml:space="preserve"> over a 3-week period covering </w:t>
            </w:r>
            <w:r w:rsidRPr="00407714">
              <w:rPr>
                <w:rFonts w:ascii="Garamond" w:hAnsi="Garamond"/>
                <w:lang w:val="en-AU"/>
              </w:rPr>
              <w:t>9439 admissions and 628 MET activations</w:t>
            </w:r>
            <w:r>
              <w:rPr>
                <w:rFonts w:ascii="Garamond" w:hAnsi="Garamond"/>
                <w:lang w:val="en-AU"/>
              </w:rPr>
              <w:t>.</w:t>
            </w:r>
            <w:r w:rsidR="00C269F2">
              <w:rPr>
                <w:rFonts w:ascii="Garamond" w:hAnsi="Garamond"/>
                <w:lang w:val="en-AU"/>
              </w:rPr>
              <w:t xml:space="preserve"> The authors report that 23.2% of </w:t>
            </w:r>
            <w:r w:rsidR="00C269F2" w:rsidRPr="00C269F2">
              <w:rPr>
                <w:rFonts w:ascii="Garamond" w:hAnsi="Garamond"/>
                <w:lang w:val="en-AU"/>
              </w:rPr>
              <w:t>MET activations were medication related: an incidence of 15.5 medication-related MET activation per 1000 admissions</w:t>
            </w:r>
            <w:r w:rsidR="00C269F2">
              <w:rPr>
                <w:rFonts w:ascii="Garamond" w:hAnsi="Garamond"/>
                <w:lang w:val="en-AU"/>
              </w:rPr>
              <w:t xml:space="preserve">. Medication-related MET activations </w:t>
            </w:r>
            <w:r w:rsidR="00C269F2" w:rsidRPr="00C269F2">
              <w:rPr>
                <w:rFonts w:ascii="Garamond" w:hAnsi="Garamond"/>
                <w:lang w:val="en-AU"/>
              </w:rPr>
              <w:t xml:space="preserve">occurred a median of 46.6 hours </w:t>
            </w:r>
            <w:r w:rsidR="00310B80" w:rsidRPr="00C269F2">
              <w:rPr>
                <w:rFonts w:ascii="Garamond" w:hAnsi="Garamond"/>
                <w:lang w:val="en-AU"/>
              </w:rPr>
              <w:t>earlier in</w:t>
            </w:r>
            <w:r w:rsidR="00C269F2" w:rsidRPr="00C269F2">
              <w:rPr>
                <w:rFonts w:ascii="Garamond" w:hAnsi="Garamond"/>
                <w:lang w:val="en-AU"/>
              </w:rPr>
              <w:t xml:space="preserve"> an admission than non-medication-related activations</w:t>
            </w:r>
            <w:r w:rsidR="00C269F2">
              <w:rPr>
                <w:rFonts w:ascii="Garamond" w:hAnsi="Garamond"/>
                <w:lang w:val="en-AU"/>
              </w:rPr>
              <w:t>. The authors also report that ‘</w:t>
            </w:r>
            <w:r w:rsidR="00C269F2" w:rsidRPr="00C269F2">
              <w:rPr>
                <w:rFonts w:ascii="Garamond" w:hAnsi="Garamond"/>
                <w:lang w:val="en-AU"/>
              </w:rPr>
              <w:t>One in seven MET activations were due to potentially preventable adverse medication events. The most common of these were omission of beta-blockers and clinically inappropriate antihypertensive use.</w:t>
            </w:r>
            <w:r w:rsidR="00C269F2">
              <w:rPr>
                <w:rFonts w:ascii="Garamond" w:hAnsi="Garamond"/>
                <w:lang w:val="en-AU"/>
              </w:rPr>
              <w:t>’</w:t>
            </w:r>
          </w:p>
          <w:p w14:paraId="733FED13" w14:textId="1E3A9798" w:rsidR="00407714" w:rsidRPr="00B21F35" w:rsidRDefault="00C269F2" w:rsidP="00C269F2">
            <w:pPr>
              <w:rPr>
                <w:rFonts w:ascii="Garamond" w:hAnsi="Garamond"/>
                <w:lang w:val="en-AU"/>
              </w:rPr>
            </w:pPr>
            <w:r>
              <w:rPr>
                <w:rFonts w:ascii="Garamond" w:hAnsi="Garamond"/>
                <w:lang w:val="en-AU"/>
              </w:rPr>
              <w:t>The related editorial (</w:t>
            </w:r>
            <w:r w:rsidRPr="00C269F2">
              <w:rPr>
                <w:rFonts w:ascii="Garamond" w:hAnsi="Garamond"/>
                <w:lang w:val="en-AU"/>
              </w:rPr>
              <w:t>Härkänen et al</w:t>
            </w:r>
            <w:r>
              <w:rPr>
                <w:rFonts w:ascii="Garamond" w:hAnsi="Garamond"/>
                <w:lang w:val="en-AU"/>
              </w:rPr>
              <w:t>) observes that the hospitals in the study ‘</w:t>
            </w:r>
            <w:r w:rsidRPr="00C269F2">
              <w:rPr>
                <w:rFonts w:ascii="Garamond" w:hAnsi="Garamond"/>
                <w:lang w:val="en-AU"/>
              </w:rPr>
              <w:t>met national medication safety standards and used bar code scanning, smart pump technology and drug libraries for infusion administration. In addition, 24/7 RRT/MET alerting system was in use throughout the hospitals, but no automated monitoring or early warning systems were in place.</w:t>
            </w:r>
            <w:r>
              <w:rPr>
                <w:rFonts w:ascii="Garamond" w:hAnsi="Garamond"/>
                <w:lang w:val="en-AU"/>
              </w:rPr>
              <w:t>’ They also note the ‘</w:t>
            </w:r>
            <w:r w:rsidRPr="00C269F2">
              <w:rPr>
                <w:rFonts w:ascii="Garamond" w:hAnsi="Garamond"/>
                <w:lang w:val="en-AU"/>
              </w:rPr>
              <w:t xml:space="preserve">high number of omission errors of cardiovascular drugs </w:t>
            </w:r>
            <w:r>
              <w:rPr>
                <w:rFonts w:ascii="Garamond" w:hAnsi="Garamond"/>
                <w:lang w:val="en-AU"/>
              </w:rPr>
              <w:t>…</w:t>
            </w:r>
            <w:r w:rsidRPr="00C269F2">
              <w:rPr>
                <w:rFonts w:ascii="Garamond" w:hAnsi="Garamond"/>
                <w:lang w:val="en-AU"/>
              </w:rPr>
              <w:t>leading to serious ADEs</w:t>
            </w:r>
            <w:r>
              <w:rPr>
                <w:rFonts w:ascii="Garamond" w:hAnsi="Garamond"/>
                <w:lang w:val="en-AU"/>
              </w:rPr>
              <w:t>’ [Adverse Drug Events</w:t>
            </w:r>
            <w:r w:rsidRPr="00C269F2">
              <w:rPr>
                <w:rFonts w:ascii="Garamond" w:hAnsi="Garamond"/>
                <w:lang w:val="en-AU"/>
              </w:rPr>
              <w:t>.</w:t>
            </w:r>
            <w:r>
              <w:rPr>
                <w:rFonts w:ascii="Garamond" w:hAnsi="Garamond"/>
                <w:lang w:val="en-AU"/>
              </w:rPr>
              <w:t xml:space="preserve"> The editorial concludes that ‘</w:t>
            </w:r>
            <w:r w:rsidRPr="00C269F2">
              <w:rPr>
                <w:rFonts w:ascii="Garamond" w:hAnsi="Garamond"/>
                <w:lang w:val="en-AU"/>
              </w:rPr>
              <w:t>Hospitals, MET leaders and pharmacists can use this information to review their own MET activations and consider interventions to prevent the most common ADEs while simultaneously preventing patient deterioration.</w:t>
            </w:r>
          </w:p>
        </w:tc>
      </w:tr>
    </w:tbl>
    <w:p w14:paraId="12BAB62E" w14:textId="4DB6C224" w:rsidR="00B21F35" w:rsidRDefault="00B21F35" w:rsidP="00B21F35">
      <w:pPr>
        <w:keepLines/>
        <w:autoSpaceDE w:val="0"/>
        <w:autoSpaceDN w:val="0"/>
        <w:adjustRightInd w:val="0"/>
        <w:rPr>
          <w:rFonts w:ascii="Garamond" w:hAnsi="Garamond"/>
          <w:lang w:val="en-AU"/>
        </w:rPr>
      </w:pPr>
    </w:p>
    <w:p w14:paraId="5729F09E" w14:textId="77777777" w:rsidR="00407714" w:rsidRDefault="00407714" w:rsidP="00407714">
      <w:pPr>
        <w:keepLines/>
        <w:autoSpaceDE w:val="0"/>
        <w:autoSpaceDN w:val="0"/>
        <w:adjustRightInd w:val="0"/>
        <w:rPr>
          <w:rFonts w:ascii="Garamond" w:hAnsi="Garamond"/>
          <w:lang w:val="en-AU"/>
        </w:rPr>
      </w:pPr>
      <w:r>
        <w:rPr>
          <w:rFonts w:ascii="Garamond" w:hAnsi="Garamond"/>
          <w:lang w:val="en-AU"/>
        </w:rPr>
        <w:t xml:space="preserve">For information on the Commission’s work on medication safety, see </w:t>
      </w:r>
      <w:hyperlink r:id="rId21" w:history="1">
        <w:r w:rsidRPr="00F80BF0">
          <w:rPr>
            <w:rStyle w:val="Hyperlink"/>
            <w:rFonts w:ascii="Garamond" w:hAnsi="Garamond"/>
            <w:lang w:val="en-AU"/>
          </w:rPr>
          <w:t>https://www.safetyandquality.gov.au/our-work/medication-safety</w:t>
        </w:r>
      </w:hyperlink>
    </w:p>
    <w:p w14:paraId="7742C26E" w14:textId="3043CAD8" w:rsidR="00407714" w:rsidRDefault="00407714" w:rsidP="00B21F35">
      <w:pPr>
        <w:keepLines/>
        <w:autoSpaceDE w:val="0"/>
        <w:autoSpaceDN w:val="0"/>
        <w:adjustRightInd w:val="0"/>
        <w:rPr>
          <w:rFonts w:ascii="Garamond" w:hAnsi="Garamond"/>
          <w:lang w:val="en-AU"/>
        </w:rPr>
      </w:pPr>
    </w:p>
    <w:p w14:paraId="33C98FD2" w14:textId="77777777" w:rsidR="00567B44" w:rsidRDefault="00567B44" w:rsidP="00B21F35">
      <w:pPr>
        <w:keepLines/>
        <w:autoSpaceDE w:val="0"/>
        <w:autoSpaceDN w:val="0"/>
        <w:adjustRightInd w:val="0"/>
        <w:rPr>
          <w:rFonts w:ascii="Garamond" w:hAnsi="Garamond"/>
          <w:lang w:val="en-AU"/>
        </w:rPr>
      </w:pPr>
    </w:p>
    <w:p w14:paraId="3D3627E5" w14:textId="77777777" w:rsidR="004B47ED" w:rsidRPr="00E37911" w:rsidRDefault="004B47ED" w:rsidP="004B47ED">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B47ED" w:rsidRPr="00E37911" w14:paraId="7D5D0CDC" w14:textId="77777777" w:rsidTr="00B13BC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1A5404D" w14:textId="77777777" w:rsidR="004B47ED" w:rsidRPr="00E37911" w:rsidRDefault="004B47ED" w:rsidP="00B13BCF">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1BA0A816" w14:textId="77777777" w:rsidR="004B47ED" w:rsidRPr="00E37911" w:rsidRDefault="006E2B1C" w:rsidP="00B13BCF">
            <w:pPr>
              <w:keepNext/>
              <w:rPr>
                <w:rFonts w:ascii="Garamond" w:hAnsi="Garamond"/>
                <w:lang w:val="en-AU"/>
              </w:rPr>
            </w:pPr>
            <w:hyperlink r:id="rId22" w:history="1">
              <w:r w:rsidR="004B47ED" w:rsidRPr="00E37911">
                <w:rPr>
                  <w:rStyle w:val="Hyperlink"/>
                  <w:rFonts w:ascii="Garamond" w:hAnsi="Garamond"/>
                  <w:lang w:val="en-AU"/>
                </w:rPr>
                <w:t>https://qualitysafety.bmj.com/content/early/recent</w:t>
              </w:r>
            </w:hyperlink>
          </w:p>
        </w:tc>
      </w:tr>
      <w:tr w:rsidR="004B47ED" w:rsidRPr="00E37911" w14:paraId="0C14F5E4" w14:textId="77777777" w:rsidTr="00B13BCF">
        <w:tc>
          <w:tcPr>
            <w:tcW w:w="1080" w:type="dxa"/>
            <w:tcBorders>
              <w:top w:val="single" w:sz="4" w:space="0" w:color="auto"/>
              <w:left w:val="single" w:sz="4" w:space="0" w:color="auto"/>
              <w:bottom w:val="single" w:sz="4" w:space="0" w:color="auto"/>
              <w:right w:val="single" w:sz="4" w:space="0" w:color="auto"/>
            </w:tcBorders>
            <w:vAlign w:val="center"/>
          </w:tcPr>
          <w:p w14:paraId="75C34EF4" w14:textId="77777777" w:rsidR="004B47ED" w:rsidRPr="00E37911" w:rsidRDefault="004B47ED" w:rsidP="00B13BCF">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60B8CA5E" w14:textId="77777777" w:rsidR="004B47ED" w:rsidRPr="00E37911" w:rsidRDefault="004B47ED" w:rsidP="00B13BCF">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a number of ‘online first’ articles, including:</w:t>
            </w:r>
          </w:p>
          <w:p w14:paraId="2C386F5C" w14:textId="45837A35" w:rsidR="00871809" w:rsidRPr="00E37911" w:rsidRDefault="00575D24" w:rsidP="00575D24">
            <w:pPr>
              <w:pStyle w:val="ListParagraph"/>
              <w:numPr>
                <w:ilvl w:val="0"/>
                <w:numId w:val="16"/>
              </w:numPr>
              <w:rPr>
                <w:rFonts w:ascii="Garamond" w:hAnsi="Garamond"/>
                <w:lang w:val="en-AU"/>
              </w:rPr>
            </w:pPr>
            <w:r w:rsidRPr="00575D24">
              <w:rPr>
                <w:rFonts w:ascii="Garamond" w:hAnsi="Garamond"/>
                <w:lang w:val="en-AU"/>
              </w:rPr>
              <w:t xml:space="preserve">Editorial: </w:t>
            </w:r>
            <w:r w:rsidRPr="00575D24">
              <w:rPr>
                <w:rFonts w:ascii="Garamond" w:hAnsi="Garamond"/>
                <w:b/>
                <w:bCs/>
                <w:lang w:val="en-AU"/>
              </w:rPr>
              <w:t>Adverse drug events leading to medical emergency team activation in hospitals</w:t>
            </w:r>
            <w:r w:rsidRPr="00575D24">
              <w:rPr>
                <w:rFonts w:ascii="Garamond" w:hAnsi="Garamond"/>
                <w:lang w:val="en-AU"/>
              </w:rPr>
              <w:t xml:space="preserve">: what can we learn? </w:t>
            </w:r>
            <w:r>
              <w:rPr>
                <w:rFonts w:ascii="Garamond" w:hAnsi="Garamond"/>
                <w:lang w:val="en-AU"/>
              </w:rPr>
              <w:t>(</w:t>
            </w:r>
            <w:r w:rsidRPr="00575D24">
              <w:rPr>
                <w:rFonts w:ascii="Garamond" w:hAnsi="Garamond"/>
                <w:lang w:val="en-AU"/>
              </w:rPr>
              <w:t>Marja Härkänen, Tiina Syyrilä, Lotta Schepel</w:t>
            </w:r>
            <w:r>
              <w:rPr>
                <w:rFonts w:ascii="Garamond" w:hAnsi="Garamond"/>
                <w:lang w:val="en-AU"/>
              </w:rPr>
              <w:t>)</w:t>
            </w:r>
          </w:p>
        </w:tc>
      </w:tr>
    </w:tbl>
    <w:p w14:paraId="1B29DAA9" w14:textId="77777777" w:rsidR="004B47ED" w:rsidRPr="00E37911" w:rsidRDefault="004B47ED" w:rsidP="004B47ED">
      <w:pPr>
        <w:rPr>
          <w:rFonts w:ascii="Garamond" w:hAnsi="Garamond"/>
          <w:b/>
          <w:lang w:val="en-AU"/>
        </w:rPr>
      </w:pPr>
    </w:p>
    <w:p w14:paraId="2FB64D07" w14:textId="77777777" w:rsidR="004B47ED" w:rsidRPr="00E37911" w:rsidRDefault="004B47ED" w:rsidP="004B47ED">
      <w:pPr>
        <w:keepNext/>
        <w:rPr>
          <w:rFonts w:ascii="Garamond" w:hAnsi="Garamond"/>
          <w:lang w:val="en-AU"/>
        </w:rPr>
      </w:pPr>
      <w:r w:rsidRPr="00E37911">
        <w:rPr>
          <w:rFonts w:ascii="Garamond" w:hAnsi="Garamond"/>
          <w:i/>
          <w:lang w:val="en-AU"/>
        </w:rPr>
        <w:lastRenderedPageBreak/>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4B47ED" w:rsidRPr="00E37911" w14:paraId="6C27D6A6" w14:textId="77777777" w:rsidTr="00B13BCF">
        <w:tc>
          <w:tcPr>
            <w:tcW w:w="1080" w:type="dxa"/>
            <w:tcBorders>
              <w:top w:val="single" w:sz="4" w:space="0" w:color="auto"/>
              <w:left w:val="single" w:sz="4" w:space="0" w:color="auto"/>
              <w:bottom w:val="single" w:sz="4" w:space="0" w:color="auto"/>
              <w:right w:val="single" w:sz="4" w:space="0" w:color="auto"/>
            </w:tcBorders>
            <w:vAlign w:val="center"/>
          </w:tcPr>
          <w:p w14:paraId="7FB5D1E4" w14:textId="77777777" w:rsidR="004B47ED" w:rsidRPr="00E37911" w:rsidRDefault="004B47ED" w:rsidP="00B13BCF">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D421B8C" w14:textId="77777777" w:rsidR="004B47ED" w:rsidRPr="00E37911" w:rsidRDefault="006E2B1C" w:rsidP="00B13BCF">
            <w:pPr>
              <w:keepNext/>
              <w:rPr>
                <w:rFonts w:ascii="Garamond" w:hAnsi="Garamond"/>
                <w:lang w:val="en-AU"/>
              </w:rPr>
            </w:pPr>
            <w:hyperlink r:id="rId23" w:history="1">
              <w:r w:rsidR="004B47ED" w:rsidRPr="00E37911">
                <w:rPr>
                  <w:rStyle w:val="Hyperlink"/>
                  <w:rFonts w:ascii="Garamond" w:hAnsi="Garamond"/>
                  <w:lang w:val="en-AU"/>
                </w:rPr>
                <w:t>https://academic.oup.com/intqhc/advance-articles</w:t>
              </w:r>
            </w:hyperlink>
          </w:p>
        </w:tc>
      </w:tr>
      <w:tr w:rsidR="004B47ED" w:rsidRPr="00E37911" w14:paraId="043CC5D9" w14:textId="77777777" w:rsidTr="00E01D9A">
        <w:tc>
          <w:tcPr>
            <w:tcW w:w="1080" w:type="dxa"/>
            <w:tcBorders>
              <w:top w:val="single" w:sz="4" w:space="0" w:color="auto"/>
              <w:left w:val="single" w:sz="4" w:space="0" w:color="auto"/>
              <w:bottom w:val="single" w:sz="4" w:space="0" w:color="auto"/>
              <w:right w:val="single" w:sz="4" w:space="0" w:color="auto"/>
            </w:tcBorders>
            <w:vAlign w:val="center"/>
          </w:tcPr>
          <w:p w14:paraId="4F6283D5" w14:textId="77777777" w:rsidR="004B47ED" w:rsidRPr="00E37911" w:rsidRDefault="004B47ED" w:rsidP="00B13BCF">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1686104" w14:textId="77777777" w:rsidR="004B47ED" w:rsidRDefault="004B47ED" w:rsidP="00B13BCF">
            <w:pPr>
              <w:rPr>
                <w:rFonts w:ascii="Garamond" w:hAnsi="Garamond"/>
                <w:lang w:val="en-AU"/>
              </w:rPr>
            </w:pPr>
            <w:r w:rsidRPr="00E01D9A">
              <w:rPr>
                <w:rFonts w:ascii="Garamond" w:hAnsi="Garamond"/>
                <w:lang w:val="en-AU"/>
              </w:rPr>
              <w:t xml:space="preserve">International Journal for Quality in Health Care </w:t>
            </w:r>
            <w:r w:rsidRPr="00E37911">
              <w:rPr>
                <w:rFonts w:ascii="Garamond" w:hAnsi="Garamond"/>
                <w:lang w:val="en-AU"/>
              </w:rPr>
              <w:t>has published a number of ‘online first’ articles, including:</w:t>
            </w:r>
          </w:p>
          <w:p w14:paraId="75CE4559" w14:textId="77777777" w:rsidR="004B47ED" w:rsidRDefault="00E01D9A" w:rsidP="00E01D9A">
            <w:pPr>
              <w:pStyle w:val="ListParagraph"/>
              <w:numPr>
                <w:ilvl w:val="0"/>
                <w:numId w:val="14"/>
              </w:numPr>
              <w:rPr>
                <w:rFonts w:ascii="Garamond" w:hAnsi="Garamond"/>
                <w:lang w:val="en-AU"/>
              </w:rPr>
            </w:pPr>
            <w:r w:rsidRPr="00E01D9A">
              <w:rPr>
                <w:rFonts w:ascii="Garamond" w:hAnsi="Garamond"/>
                <w:lang w:val="en-AU"/>
              </w:rPr>
              <w:t xml:space="preserve">Predicting </w:t>
            </w:r>
            <w:r w:rsidRPr="00E01D9A">
              <w:rPr>
                <w:rFonts w:ascii="Garamond" w:hAnsi="Garamond"/>
                <w:b/>
                <w:bCs/>
                <w:lang w:val="en-AU"/>
              </w:rPr>
              <w:t>non-response in patient-reported outcome measures</w:t>
            </w:r>
            <w:r w:rsidRPr="00E01D9A">
              <w:rPr>
                <w:rFonts w:ascii="Garamond" w:hAnsi="Garamond"/>
                <w:lang w:val="en-AU"/>
              </w:rPr>
              <w:t xml:space="preserve">—Results from the Swiss quality assurance program in cardiac inpatient rehabilitation </w:t>
            </w:r>
            <w:r>
              <w:rPr>
                <w:rFonts w:ascii="Garamond" w:hAnsi="Garamond"/>
                <w:lang w:val="en-AU"/>
              </w:rPr>
              <w:t>(</w:t>
            </w:r>
            <w:r w:rsidRPr="00E01D9A">
              <w:rPr>
                <w:rFonts w:ascii="Garamond" w:hAnsi="Garamond"/>
                <w:lang w:val="en-AU"/>
              </w:rPr>
              <w:t>Stefanie KÖhn, Anna Schlumbohm, Manuela Marquardt, Anke Scheel-sailer, Stephan Tobler, Jan Vontobel, Luise Menzi</w:t>
            </w:r>
            <w:r>
              <w:rPr>
                <w:rFonts w:ascii="Garamond" w:hAnsi="Garamond"/>
                <w:lang w:val="en-AU"/>
              </w:rPr>
              <w:t>)</w:t>
            </w:r>
          </w:p>
          <w:p w14:paraId="7F56116A" w14:textId="2621CFF0" w:rsidR="00A4616A" w:rsidRPr="00A4616A" w:rsidRDefault="00A4616A" w:rsidP="0057515C">
            <w:pPr>
              <w:pStyle w:val="ListParagraph"/>
              <w:numPr>
                <w:ilvl w:val="0"/>
                <w:numId w:val="14"/>
              </w:numPr>
              <w:rPr>
                <w:rFonts w:ascii="Garamond" w:hAnsi="Garamond"/>
                <w:lang w:val="en-AU"/>
              </w:rPr>
            </w:pPr>
            <w:r w:rsidRPr="00A4616A">
              <w:rPr>
                <w:rFonts w:ascii="Garamond" w:hAnsi="Garamond"/>
                <w:lang w:val="en-AU"/>
              </w:rPr>
              <w:t xml:space="preserve">Impact of </w:t>
            </w:r>
            <w:r w:rsidRPr="00A4616A">
              <w:rPr>
                <w:rFonts w:ascii="Garamond" w:hAnsi="Garamond"/>
                <w:b/>
                <w:bCs/>
                <w:lang w:val="en-AU"/>
              </w:rPr>
              <w:t>physical therapy managed spinal orthoses program</w:t>
            </w:r>
            <w:r w:rsidRPr="00A4616A">
              <w:rPr>
                <w:rFonts w:ascii="Garamond" w:hAnsi="Garamond"/>
                <w:lang w:val="en-AU"/>
              </w:rPr>
              <w:t xml:space="preserve"> on cost of care in the hospital setting: a retrospective interrupted time-series study (Sue Willey, James Lenk, Linda Waters, Charles J French Iii, Jonathan M Cayce</w:t>
            </w:r>
            <w:r>
              <w:rPr>
                <w:rFonts w:ascii="Garamond" w:hAnsi="Garamond"/>
                <w:lang w:val="en-AU"/>
              </w:rPr>
              <w:t>)</w:t>
            </w:r>
          </w:p>
          <w:p w14:paraId="6C5E99BD" w14:textId="66FBC50F" w:rsidR="00A4616A" w:rsidRPr="009C237F" w:rsidRDefault="00A4616A" w:rsidP="00A4616A">
            <w:pPr>
              <w:pStyle w:val="ListParagraph"/>
              <w:numPr>
                <w:ilvl w:val="0"/>
                <w:numId w:val="14"/>
              </w:numPr>
              <w:rPr>
                <w:rFonts w:ascii="Garamond" w:hAnsi="Garamond"/>
                <w:lang w:val="en-AU"/>
              </w:rPr>
            </w:pPr>
            <w:r w:rsidRPr="00A4616A">
              <w:rPr>
                <w:rFonts w:ascii="Garamond" w:hAnsi="Garamond"/>
                <w:lang w:val="en-AU"/>
              </w:rPr>
              <w:t xml:space="preserve">The </w:t>
            </w:r>
            <w:r w:rsidRPr="00A4616A">
              <w:rPr>
                <w:rFonts w:ascii="Garamond" w:hAnsi="Garamond"/>
                <w:b/>
                <w:bCs/>
                <w:lang w:val="en-AU"/>
              </w:rPr>
              <w:t>cost of dispensing errors in Iranian health system</w:t>
            </w:r>
            <w:r w:rsidRPr="00A4616A">
              <w:rPr>
                <w:rFonts w:ascii="Garamond" w:hAnsi="Garamond"/>
                <w:lang w:val="en-AU"/>
              </w:rPr>
              <w:t xml:space="preserve">: A retrospective evaluation </w:t>
            </w:r>
            <w:r>
              <w:rPr>
                <w:rFonts w:ascii="Garamond" w:hAnsi="Garamond"/>
                <w:lang w:val="en-AU"/>
              </w:rPr>
              <w:t>(</w:t>
            </w:r>
            <w:r w:rsidRPr="00A4616A">
              <w:rPr>
                <w:rFonts w:ascii="Garamond" w:hAnsi="Garamond"/>
                <w:lang w:val="en-AU"/>
              </w:rPr>
              <w:t>Nazila Yousefi, Farideh Asadi, Zahra Sharif, Akram Khani, Dana Baymaninezhad</w:t>
            </w:r>
            <w:r>
              <w:rPr>
                <w:rFonts w:ascii="Garamond" w:hAnsi="Garamond"/>
                <w:lang w:val="en-AU"/>
              </w:rPr>
              <w:t xml:space="preserve">, </w:t>
            </w:r>
            <w:r w:rsidRPr="00A4616A">
              <w:rPr>
                <w:rFonts w:ascii="Garamond" w:hAnsi="Garamond"/>
                <w:lang w:val="en-AU"/>
              </w:rPr>
              <w:t>Jamshid Salamzade, Farzad Peiravian</w:t>
            </w:r>
            <w:r>
              <w:rPr>
                <w:rFonts w:ascii="Garamond" w:hAnsi="Garamond"/>
                <w:lang w:val="en-AU"/>
              </w:rPr>
              <w:t>)</w:t>
            </w:r>
          </w:p>
        </w:tc>
      </w:tr>
    </w:tbl>
    <w:p w14:paraId="2A7ED5BF" w14:textId="02327209" w:rsidR="004B47ED" w:rsidRDefault="004B47ED" w:rsidP="004B47ED">
      <w:pPr>
        <w:rPr>
          <w:rFonts w:ascii="Garamond" w:hAnsi="Garamond"/>
          <w:i/>
          <w:lang w:val="en-AU"/>
        </w:rPr>
      </w:pPr>
    </w:p>
    <w:p w14:paraId="644D82E2" w14:textId="77777777" w:rsidR="00E01D9A" w:rsidRDefault="00E01D9A" w:rsidP="004B47ED">
      <w:pPr>
        <w:rPr>
          <w:rFonts w:ascii="Garamond" w:hAnsi="Garamond"/>
          <w:i/>
          <w:lang w:val="en-AU"/>
        </w:rPr>
      </w:pPr>
    </w:p>
    <w:p w14:paraId="2C3EF6C3" w14:textId="00B48CEE" w:rsidR="004D2C54" w:rsidRDefault="004D2C54" w:rsidP="006523E0">
      <w:pPr>
        <w:rPr>
          <w:rFonts w:ascii="Garamond" w:hAnsi="Garamond"/>
          <w:i/>
          <w:lang w:val="en-AU"/>
        </w:rPr>
      </w:pPr>
    </w:p>
    <w:p w14:paraId="298F2AF4" w14:textId="77777777" w:rsidR="00FE639E" w:rsidRDefault="00FE639E" w:rsidP="006523E0">
      <w:pPr>
        <w:rPr>
          <w:rFonts w:ascii="Garamond" w:hAnsi="Garamond"/>
          <w:i/>
          <w:lang w:val="en-AU"/>
        </w:rPr>
      </w:pPr>
    </w:p>
    <w:p w14:paraId="332C5B51" w14:textId="41FE8BF6" w:rsidR="008A334C" w:rsidRPr="00E37911" w:rsidRDefault="008A334C" w:rsidP="004A5E6A">
      <w:pPr>
        <w:keepLines/>
        <w:rPr>
          <w:rFonts w:ascii="Garamond" w:hAnsi="Garamond"/>
          <w:b/>
          <w:lang w:val="en-AU"/>
        </w:rPr>
      </w:pPr>
      <w:r w:rsidRPr="00E37911">
        <w:rPr>
          <w:rFonts w:ascii="Garamond" w:hAnsi="Garamond"/>
          <w:b/>
          <w:lang w:val="en-AU"/>
        </w:rPr>
        <w:t>Online resources</w:t>
      </w:r>
    </w:p>
    <w:p w14:paraId="1D4D2BC3" w14:textId="27BF7553" w:rsidR="004B3A08" w:rsidRDefault="004B3A08">
      <w:pPr>
        <w:rPr>
          <w:rFonts w:ascii="Garamond" w:hAnsi="Garamond"/>
          <w:b/>
          <w:lang w:val="en-AU"/>
        </w:rPr>
      </w:pPr>
    </w:p>
    <w:p w14:paraId="0C28F841" w14:textId="77777777" w:rsidR="00C4268C" w:rsidRPr="00913086" w:rsidRDefault="00C4268C" w:rsidP="00C4268C">
      <w:pPr>
        <w:keepNext/>
        <w:rPr>
          <w:rFonts w:ascii="Garamond" w:hAnsi="Garamond"/>
          <w:b/>
          <w:bCs/>
          <w:i/>
          <w:lang w:val="en-AU"/>
        </w:rPr>
      </w:pPr>
      <w:r w:rsidRPr="00913086">
        <w:rPr>
          <w:rFonts w:ascii="Garamond" w:hAnsi="Garamond"/>
          <w:b/>
          <w:bCs/>
          <w:i/>
          <w:lang w:val="en-AU"/>
        </w:rPr>
        <w:t>[UK] NICE Guidelines and Quality Standards</w:t>
      </w:r>
    </w:p>
    <w:p w14:paraId="1AC8838C" w14:textId="77777777" w:rsidR="00C4268C" w:rsidRPr="008F3909" w:rsidRDefault="006E2B1C" w:rsidP="00C4268C">
      <w:pPr>
        <w:keepNext/>
        <w:rPr>
          <w:rFonts w:ascii="Garamond" w:hAnsi="Garamond"/>
          <w:lang w:val="en-AU"/>
        </w:rPr>
      </w:pPr>
      <w:hyperlink r:id="rId24" w:history="1">
        <w:r w:rsidR="00C4268C" w:rsidRPr="00B91B4F">
          <w:rPr>
            <w:rStyle w:val="Hyperlink"/>
            <w:rFonts w:ascii="Garamond" w:hAnsi="Garamond"/>
            <w:lang w:val="en-AU"/>
          </w:rPr>
          <w:t>https://www.nice.org.uk/guidance</w:t>
        </w:r>
      </w:hyperlink>
    </w:p>
    <w:p w14:paraId="196B529A" w14:textId="77777777" w:rsidR="00C4268C" w:rsidRDefault="00C4268C" w:rsidP="00C4268C">
      <w:pPr>
        <w:rPr>
          <w:rFonts w:ascii="Garamond" w:hAnsi="Garamond"/>
          <w:lang w:val="en-AU"/>
        </w:rPr>
      </w:pPr>
      <w:r w:rsidRPr="008F3909">
        <w:rPr>
          <w:rFonts w:ascii="Garamond" w:hAnsi="Garamond"/>
          <w:lang w:val="en-AU"/>
        </w:rPr>
        <w:t xml:space="preserve">The UK’s National Institute for Health and Care Excellence (NICE) has published new (or updated) guidelines and quality standards. The latest reviews or updates </w:t>
      </w:r>
      <w:r>
        <w:rPr>
          <w:rFonts w:ascii="Garamond" w:hAnsi="Garamond"/>
          <w:lang w:val="en-AU"/>
        </w:rPr>
        <w:t>includ</w:t>
      </w:r>
      <w:r w:rsidRPr="008F3909">
        <w:rPr>
          <w:rFonts w:ascii="Garamond" w:hAnsi="Garamond"/>
          <w:lang w:val="en-AU"/>
        </w:rPr>
        <w:t>e:</w:t>
      </w:r>
    </w:p>
    <w:p w14:paraId="3AD1B78F" w14:textId="4216682B" w:rsidR="00A4616A" w:rsidRDefault="00A4616A" w:rsidP="00A4616A">
      <w:pPr>
        <w:pStyle w:val="ListParagraph"/>
        <w:numPr>
          <w:ilvl w:val="0"/>
          <w:numId w:val="14"/>
        </w:numPr>
        <w:rPr>
          <w:rFonts w:ascii="Garamond" w:hAnsi="Garamond"/>
          <w:iCs/>
          <w:lang w:val="en-AU"/>
        </w:rPr>
      </w:pPr>
      <w:r>
        <w:rPr>
          <w:rFonts w:ascii="Garamond" w:hAnsi="Garamond"/>
          <w:iCs/>
          <w:lang w:val="en-AU"/>
        </w:rPr>
        <w:t xml:space="preserve">NICE guideline NG37 </w:t>
      </w:r>
      <w:r w:rsidRPr="00A4616A">
        <w:rPr>
          <w:rFonts w:ascii="Garamond" w:hAnsi="Garamond"/>
          <w:b/>
          <w:bCs/>
          <w:i/>
          <w:lang w:val="en-AU"/>
        </w:rPr>
        <w:t>Fractures</w:t>
      </w:r>
      <w:r w:rsidRPr="00A4616A">
        <w:rPr>
          <w:rFonts w:ascii="Garamond" w:hAnsi="Garamond"/>
          <w:i/>
          <w:lang w:val="en-AU"/>
        </w:rPr>
        <w:t xml:space="preserve"> (complex): assessment and management</w:t>
      </w:r>
      <w:r>
        <w:rPr>
          <w:rFonts w:ascii="Garamond" w:hAnsi="Garamond"/>
          <w:iCs/>
          <w:lang w:val="en-AU"/>
        </w:rPr>
        <w:t xml:space="preserve"> </w:t>
      </w:r>
      <w:hyperlink r:id="rId25" w:history="1">
        <w:r w:rsidRPr="00F04C63">
          <w:rPr>
            <w:rStyle w:val="Hyperlink"/>
            <w:rFonts w:ascii="Garamond" w:hAnsi="Garamond"/>
            <w:iCs/>
            <w:lang w:val="en-AU"/>
          </w:rPr>
          <w:t>https://www.nice.org.uk/guidance/ng37</w:t>
        </w:r>
      </w:hyperlink>
    </w:p>
    <w:p w14:paraId="454C8F06" w14:textId="14ACC459" w:rsidR="00C4268C" w:rsidRDefault="00A4616A" w:rsidP="00C4268C">
      <w:pPr>
        <w:pStyle w:val="ListParagraph"/>
        <w:numPr>
          <w:ilvl w:val="0"/>
          <w:numId w:val="14"/>
        </w:numPr>
        <w:rPr>
          <w:rFonts w:ascii="Garamond" w:hAnsi="Garamond"/>
          <w:iCs/>
          <w:lang w:val="en-AU"/>
        </w:rPr>
      </w:pPr>
      <w:r>
        <w:rPr>
          <w:rFonts w:ascii="Garamond" w:hAnsi="Garamond"/>
          <w:iCs/>
          <w:lang w:val="en-AU"/>
        </w:rPr>
        <w:t xml:space="preserve">NICE guideline NG228 </w:t>
      </w:r>
      <w:r w:rsidRPr="00A4616A">
        <w:rPr>
          <w:rFonts w:ascii="Garamond" w:hAnsi="Garamond"/>
          <w:b/>
          <w:bCs/>
          <w:i/>
          <w:lang w:val="en-AU"/>
        </w:rPr>
        <w:t>Subarachnoid haemorrhage</w:t>
      </w:r>
      <w:r w:rsidRPr="00A4616A">
        <w:rPr>
          <w:rFonts w:ascii="Garamond" w:hAnsi="Garamond"/>
          <w:i/>
          <w:lang w:val="en-AU"/>
        </w:rPr>
        <w:t xml:space="preserve"> caused by a ruptured aneurysm: diagnosis and management</w:t>
      </w:r>
      <w:r>
        <w:rPr>
          <w:rFonts w:ascii="Garamond" w:hAnsi="Garamond"/>
          <w:iCs/>
          <w:lang w:val="en-AU"/>
        </w:rPr>
        <w:t xml:space="preserve"> </w:t>
      </w:r>
      <w:r>
        <w:rPr>
          <w:rFonts w:ascii="Garamond" w:hAnsi="Garamond"/>
          <w:iCs/>
          <w:lang w:val="en-AU"/>
        </w:rPr>
        <w:br/>
      </w:r>
      <w:hyperlink r:id="rId26" w:history="1">
        <w:r w:rsidRPr="00F04C63">
          <w:rPr>
            <w:rStyle w:val="Hyperlink"/>
            <w:rFonts w:ascii="Garamond" w:hAnsi="Garamond"/>
            <w:iCs/>
            <w:lang w:val="en-AU"/>
          </w:rPr>
          <w:t>https://www.nice.org.uk/guidance/ng228</w:t>
        </w:r>
      </w:hyperlink>
    </w:p>
    <w:p w14:paraId="2517B20C" w14:textId="77777777" w:rsidR="00C4268C" w:rsidRDefault="00C4268C" w:rsidP="00C4268C">
      <w:pPr>
        <w:rPr>
          <w:rFonts w:ascii="Garamond" w:hAnsi="Garamond"/>
          <w:b/>
          <w:lang w:val="en-AU"/>
        </w:rPr>
      </w:pPr>
    </w:p>
    <w:p w14:paraId="699DD2B9" w14:textId="77777777" w:rsidR="00C4268C" w:rsidRDefault="00C4268C" w:rsidP="00C4268C">
      <w:pPr>
        <w:rPr>
          <w:rFonts w:ascii="Garamond" w:hAnsi="Garamond"/>
          <w:b/>
          <w:lang w:val="en-AU"/>
        </w:rPr>
      </w:pPr>
    </w:p>
    <w:p w14:paraId="447935D4" w14:textId="28E36E4F" w:rsidR="00D22DC8" w:rsidRDefault="00D22DC8" w:rsidP="00D22DC8">
      <w:pPr>
        <w:rPr>
          <w:rFonts w:ascii="Garamond" w:hAnsi="Garamond"/>
          <w:bCs/>
          <w:lang w:val="en-AU"/>
        </w:rPr>
      </w:pPr>
    </w:p>
    <w:p w14:paraId="380B98E7" w14:textId="77777777" w:rsidR="00567B44" w:rsidRPr="00C62715" w:rsidRDefault="00567B44" w:rsidP="00D22DC8">
      <w:pPr>
        <w:rPr>
          <w:rFonts w:ascii="Garamond" w:hAnsi="Garamond"/>
          <w:bCs/>
          <w:lang w:val="en-AU"/>
        </w:rPr>
      </w:pPr>
    </w:p>
    <w:p w14:paraId="44C7FAE3" w14:textId="5B09FAB2" w:rsidR="005A64D1" w:rsidRDefault="005A64D1">
      <w:pPr>
        <w:rPr>
          <w:rFonts w:ascii="Garamond" w:hAnsi="Garamond"/>
          <w:b/>
          <w:lang w:val="en-AU"/>
        </w:rPr>
      </w:pPr>
    </w:p>
    <w:p w14:paraId="12E7A6B9" w14:textId="00512A14"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27"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28"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7DD4E91F" w14:textId="77777777" w:rsidR="00567B44" w:rsidRDefault="00567B44">
      <w:pPr>
        <w:rPr>
          <w:rFonts w:ascii="Garamond" w:hAnsi="Garamond"/>
          <w:b/>
          <w:i/>
          <w:lang w:val="en-AU"/>
        </w:rPr>
      </w:pPr>
      <w:r>
        <w:rPr>
          <w:rFonts w:ascii="Garamond" w:hAnsi="Garamond"/>
          <w:b/>
          <w:i/>
          <w:lang w:val="en-AU"/>
        </w:rPr>
        <w:br w:type="page"/>
      </w:r>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lastRenderedPageBreak/>
        <w:t xml:space="preserve">Poster – Combined contact and droplet precautions </w:t>
      </w:r>
      <w:hyperlink r:id="rId29"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5975A1C0">
            <wp:extent cx="5889812" cy="8383497"/>
            <wp:effectExtent l="0" t="0" r="0" b="0"/>
            <wp:docPr id="8" name="Picture 8" descr="COVID-19 poster – Combined contact and droplet precautions.">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18165" cy="8423854"/>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1"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3"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4"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5"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2CDB15C6"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lastRenderedPageBreak/>
        <w:t xml:space="preserve">FAQs for clinicians on elective surgery </w:t>
      </w:r>
      <w:hyperlink r:id="rId38" w:history="1">
        <w:r w:rsidRPr="0015250A">
          <w:rPr>
            <w:rStyle w:val="Hyperlink"/>
            <w:rFonts w:ascii="Garamond" w:hAnsi="Garamond"/>
            <w:lang w:val="en-AU"/>
          </w:rPr>
          <w:t>https://www.safetyandquality.gov.au/node/5724</w:t>
        </w:r>
      </w:hyperlink>
      <w:r>
        <w:rPr>
          <w:rFonts w:ascii="Garamond" w:hAnsi="Garamond"/>
          <w:lang w:val="en-AU"/>
        </w:rPr>
        <w:t xml:space="preserve"> </w:t>
      </w:r>
    </w:p>
    <w:p w14:paraId="6BDF18D4"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t xml:space="preserve">FAQs for consumers on elective surgery </w:t>
      </w:r>
      <w:hyperlink r:id="rId39" w:history="1">
        <w:r w:rsidRPr="0015250A">
          <w:rPr>
            <w:rStyle w:val="Hyperlink"/>
            <w:rFonts w:ascii="Garamond" w:hAnsi="Garamond"/>
            <w:lang w:val="en-AU"/>
          </w:rPr>
          <w:t>https://www.safetyandquality.gov.au/node/5725</w:t>
        </w:r>
      </w:hyperlink>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40"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6E2B1C" w:rsidP="00D574D3">
      <w:pPr>
        <w:keepNext/>
        <w:keepLines/>
        <w:rPr>
          <w:rFonts w:ascii="Garamond" w:hAnsi="Garamond"/>
          <w:lang w:val="en-AU"/>
        </w:rPr>
      </w:pPr>
      <w:hyperlink r:id="rId43"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6E2B1C" w:rsidP="00D574D3">
      <w:pPr>
        <w:keepNext/>
        <w:keepLines/>
        <w:rPr>
          <w:rFonts w:ascii="Garamond" w:hAnsi="Garamond"/>
          <w:lang w:val="en-AU"/>
        </w:rPr>
      </w:pPr>
      <w:hyperlink r:id="rId44"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0410EB05" w14:textId="77777777" w:rsidR="00E01D9A" w:rsidRPr="00E826CE" w:rsidRDefault="00E01D9A" w:rsidP="00E01D9A">
      <w:pPr>
        <w:pStyle w:val="ListParagraph"/>
        <w:numPr>
          <w:ilvl w:val="0"/>
          <w:numId w:val="14"/>
        </w:numPr>
        <w:rPr>
          <w:rFonts w:ascii="Garamond" w:hAnsi="Garamond"/>
          <w:lang w:val="en-AU"/>
        </w:rPr>
      </w:pPr>
      <w:r w:rsidRPr="00E826CE">
        <w:rPr>
          <w:rFonts w:ascii="Garamond" w:hAnsi="Garamond"/>
          <w:b/>
          <w:bCs/>
          <w:i/>
          <w:iCs/>
          <w:lang w:val="en-AU"/>
        </w:rPr>
        <w:t>Bivalent COVID-19 vaccines</w:t>
      </w:r>
      <w:r w:rsidRPr="00E826CE">
        <w:rPr>
          <w:rFonts w:ascii="Garamond" w:hAnsi="Garamond"/>
          <w:lang w:val="en-AU"/>
        </w:rPr>
        <w:t xml:space="preserve"> –</w:t>
      </w:r>
      <w:r>
        <w:rPr>
          <w:rFonts w:ascii="Garamond" w:hAnsi="Garamond"/>
          <w:lang w:val="en-AU"/>
        </w:rPr>
        <w:t xml:space="preserve"> </w:t>
      </w:r>
      <w:r w:rsidRPr="00E826CE">
        <w:rPr>
          <w:rFonts w:ascii="Garamond" w:hAnsi="Garamond"/>
          <w:lang w:val="en-AU"/>
        </w:rPr>
        <w:t>What is the available regulatory and research evidence for bivalent COVID-19 vaccines?</w:t>
      </w:r>
    </w:p>
    <w:p w14:paraId="4D17414E" w14:textId="77777777" w:rsidR="003C5D7D" w:rsidRPr="00F509BF" w:rsidRDefault="003C5D7D" w:rsidP="003C5D7D">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4F0256A3" w14:textId="73D4C0BB" w:rsidR="003A38AB" w:rsidRPr="003A38AB" w:rsidRDefault="003A38AB" w:rsidP="00413A71">
      <w:pPr>
        <w:pStyle w:val="ListParagraph"/>
        <w:numPr>
          <w:ilvl w:val="0"/>
          <w:numId w:val="14"/>
        </w:numPr>
        <w:rPr>
          <w:rFonts w:ascii="Garamond" w:hAnsi="Garamond"/>
          <w:lang w:val="en-AU"/>
        </w:rPr>
      </w:pPr>
      <w:r w:rsidRPr="003A38AB">
        <w:rPr>
          <w:rFonts w:ascii="Garamond" w:hAnsi="Garamond"/>
          <w:b/>
          <w:bCs/>
          <w:i/>
          <w:iCs/>
          <w:lang w:val="en-AU"/>
        </w:rPr>
        <w:t>Paxlovid</w:t>
      </w:r>
      <w:r w:rsidRPr="003A38AB">
        <w:rPr>
          <w:rFonts w:ascii="Garamond" w:hAnsi="Garamond"/>
          <w:lang w:val="en-AU"/>
        </w:rPr>
        <w:t xml:space="preserve"> –</w:t>
      </w:r>
      <w:r>
        <w:rPr>
          <w:rFonts w:ascii="Garamond" w:hAnsi="Garamond"/>
          <w:lang w:val="en-AU"/>
        </w:rPr>
        <w:t xml:space="preserve"> </w:t>
      </w:r>
      <w:r w:rsidRPr="003A38AB">
        <w:rPr>
          <w:rFonts w:ascii="Garamond" w:hAnsi="Garamond"/>
          <w:lang w:val="en-AU"/>
        </w:rPr>
        <w:t>What is the evidence for Paxlovid for treatment of COVID-19?</w:t>
      </w:r>
    </w:p>
    <w:p w14:paraId="6BDA37D4" w14:textId="4026A935" w:rsidR="003A38AB" w:rsidRPr="003A38AB" w:rsidRDefault="003A38AB" w:rsidP="00DD415C">
      <w:pPr>
        <w:pStyle w:val="ListParagraph"/>
        <w:numPr>
          <w:ilvl w:val="0"/>
          <w:numId w:val="14"/>
        </w:numPr>
        <w:rPr>
          <w:rFonts w:ascii="Garamond" w:hAnsi="Garamond"/>
          <w:lang w:val="en-AU"/>
        </w:rPr>
      </w:pPr>
      <w:r w:rsidRPr="003A38AB">
        <w:rPr>
          <w:rFonts w:ascii="Garamond" w:hAnsi="Garamond"/>
          <w:b/>
          <w:bCs/>
          <w:i/>
          <w:iCs/>
          <w:lang w:val="en-AU"/>
        </w:rPr>
        <w:t>Molnupiravir</w:t>
      </w:r>
      <w:r w:rsidRPr="003A38AB">
        <w:rPr>
          <w:rFonts w:ascii="Garamond" w:hAnsi="Garamond"/>
          <w:lang w:val="en-AU"/>
        </w:rPr>
        <w:t xml:space="preserve"> –What is the evidence for and regulatory context of molnupiravir for treatment of COVID-19?</w:t>
      </w:r>
    </w:p>
    <w:p w14:paraId="67AA9C24" w14:textId="775DFDB0" w:rsidR="00387753" w:rsidRPr="00387753" w:rsidRDefault="00387753" w:rsidP="00FD18E4">
      <w:pPr>
        <w:pStyle w:val="ListParagraph"/>
        <w:numPr>
          <w:ilvl w:val="0"/>
          <w:numId w:val="14"/>
        </w:numPr>
        <w:rPr>
          <w:rFonts w:ascii="Garamond" w:hAnsi="Garamond"/>
          <w:lang w:val="en-AU"/>
        </w:rPr>
      </w:pPr>
      <w:r w:rsidRPr="00387753">
        <w:rPr>
          <w:rFonts w:ascii="Garamond" w:hAnsi="Garamond"/>
          <w:b/>
          <w:bCs/>
          <w:i/>
          <w:iCs/>
          <w:lang w:val="en-AU"/>
        </w:rPr>
        <w:t>Eating disorders and COVID-19</w:t>
      </w:r>
      <w:r w:rsidRPr="00387753">
        <w:rPr>
          <w:rFonts w:ascii="Garamond" w:hAnsi="Garamond"/>
          <w:lang w:val="en-AU"/>
        </w:rPr>
        <w:t xml:space="preserve"> –</w:t>
      </w:r>
      <w:r>
        <w:rPr>
          <w:rFonts w:ascii="Garamond" w:hAnsi="Garamond"/>
          <w:lang w:val="en-AU"/>
        </w:rPr>
        <w:t xml:space="preserve"> </w:t>
      </w:r>
      <w:r w:rsidRPr="00387753">
        <w:rPr>
          <w:rFonts w:ascii="Garamond" w:hAnsi="Garamond"/>
          <w:lang w:val="en-AU"/>
        </w:rPr>
        <w:t>What is the impact of the COVID-19 pandemic on the prevalence of eating disorders?</w:t>
      </w:r>
    </w:p>
    <w:p w14:paraId="6F4F2793" w14:textId="48405932"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1D23080C" w14:textId="0F7CA941"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lastRenderedPageBreak/>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041E64B2"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45"/>
      <w:footerReference w:type="default" r:id="rId4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215A7" w14:textId="77777777" w:rsidR="007D27C0" w:rsidRDefault="007D27C0">
      <w:r>
        <w:separator/>
      </w:r>
    </w:p>
  </w:endnote>
  <w:endnote w:type="continuationSeparator" w:id="0">
    <w:p w14:paraId="1598AE80" w14:textId="77777777" w:rsidR="007D27C0" w:rsidRDefault="007D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5A9CA138"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w:t>
    </w:r>
    <w:r w:rsidR="0076103D">
      <w:rPr>
        <w:rFonts w:ascii="Garamond" w:hAnsi="Garamond"/>
      </w:rPr>
      <w:t>8</w:t>
    </w:r>
    <w:r w:rsidR="00E240CC">
      <w:rPr>
        <w:rFonts w:ascii="Garamond" w:hAnsi="Garamond"/>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2608B9F1" w:rsidR="00CA798D" w:rsidRPr="001E78F0" w:rsidRDefault="00CA798D" w:rsidP="005A1055">
    <w:pPr>
      <w:pStyle w:val="Footer"/>
      <w:tabs>
        <w:tab w:val="clear" w:pos="4153"/>
        <w:tab w:val="clear" w:pos="8306"/>
        <w:tab w:val="left" w:pos="3342"/>
      </w:tabs>
      <w:ind w:right="360"/>
      <w:rPr>
        <w:rFonts w:ascii="Garamond" w:hAnsi="Garamond"/>
      </w:rPr>
    </w:pPr>
    <w:r w:rsidRPr="001E78F0">
      <w:rPr>
        <w:rFonts w:ascii="Garamond" w:hAnsi="Garamond"/>
        <w:i/>
      </w:rPr>
      <w:t>On the Radar</w:t>
    </w:r>
    <w:r>
      <w:rPr>
        <w:rFonts w:ascii="Garamond" w:hAnsi="Garamond"/>
      </w:rPr>
      <w:t xml:space="preserve"> Issue 5</w:t>
    </w:r>
    <w:r w:rsidR="0076103D">
      <w:rPr>
        <w:rFonts w:ascii="Garamond" w:hAnsi="Garamond"/>
      </w:rPr>
      <w:t>8</w:t>
    </w:r>
    <w:r w:rsidR="00E240CC">
      <w:rPr>
        <w:rFonts w:ascii="Garamond" w:hAnsi="Garamond"/>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0A62A" w14:textId="77777777" w:rsidR="007D27C0" w:rsidRDefault="007D27C0">
      <w:r>
        <w:separator/>
      </w:r>
    </w:p>
  </w:footnote>
  <w:footnote w:type="continuationSeparator" w:id="0">
    <w:p w14:paraId="408C5EF1" w14:textId="77777777" w:rsidR="007D27C0" w:rsidRDefault="007D2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D15FEF"/>
    <w:multiLevelType w:val="hybridMultilevel"/>
    <w:tmpl w:val="40243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F370A1"/>
    <w:multiLevelType w:val="hybridMultilevel"/>
    <w:tmpl w:val="202C9470"/>
    <w:lvl w:ilvl="0" w:tplc="0662326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A866FC"/>
    <w:multiLevelType w:val="hybridMultilevel"/>
    <w:tmpl w:val="2EB2D5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036F7C"/>
    <w:multiLevelType w:val="hybridMultilevel"/>
    <w:tmpl w:val="91308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9E7FA4"/>
    <w:multiLevelType w:val="hybridMultilevel"/>
    <w:tmpl w:val="039CE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7F7D87"/>
    <w:multiLevelType w:val="hybridMultilevel"/>
    <w:tmpl w:val="E84E7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BF63F5"/>
    <w:multiLevelType w:val="hybridMultilevel"/>
    <w:tmpl w:val="0F744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682284"/>
    <w:multiLevelType w:val="hybridMultilevel"/>
    <w:tmpl w:val="273A59CE"/>
    <w:lvl w:ilvl="0" w:tplc="98E885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1F049F"/>
    <w:multiLevelType w:val="hybridMultilevel"/>
    <w:tmpl w:val="DB26F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8F4588"/>
    <w:multiLevelType w:val="hybridMultilevel"/>
    <w:tmpl w:val="6DBC4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A205E3"/>
    <w:multiLevelType w:val="hybridMultilevel"/>
    <w:tmpl w:val="E99A4D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D2B5D59"/>
    <w:multiLevelType w:val="hybridMultilevel"/>
    <w:tmpl w:val="B05E80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2447D9"/>
    <w:multiLevelType w:val="hybridMultilevel"/>
    <w:tmpl w:val="0F963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8517FF"/>
    <w:multiLevelType w:val="hybridMultilevel"/>
    <w:tmpl w:val="B15E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F96F4E"/>
    <w:multiLevelType w:val="hybridMultilevel"/>
    <w:tmpl w:val="AF92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1"/>
  </w:num>
  <w:num w:numId="15">
    <w:abstractNumId w:val="24"/>
  </w:num>
  <w:num w:numId="16">
    <w:abstractNumId w:val="13"/>
  </w:num>
  <w:num w:numId="17">
    <w:abstractNumId w:val="14"/>
  </w:num>
  <w:num w:numId="18">
    <w:abstractNumId w:val="32"/>
  </w:num>
  <w:num w:numId="19">
    <w:abstractNumId w:val="18"/>
  </w:num>
  <w:num w:numId="20">
    <w:abstractNumId w:val="12"/>
  </w:num>
  <w:num w:numId="21">
    <w:abstractNumId w:val="27"/>
  </w:num>
  <w:num w:numId="22">
    <w:abstractNumId w:val="29"/>
  </w:num>
  <w:num w:numId="23">
    <w:abstractNumId w:val="31"/>
  </w:num>
  <w:num w:numId="24">
    <w:abstractNumId w:val="26"/>
  </w:num>
  <w:num w:numId="25">
    <w:abstractNumId w:val="23"/>
  </w:num>
  <w:num w:numId="26">
    <w:abstractNumId w:val="19"/>
  </w:num>
  <w:num w:numId="27">
    <w:abstractNumId w:val="28"/>
  </w:num>
  <w:num w:numId="28">
    <w:abstractNumId w:val="22"/>
  </w:num>
  <w:num w:numId="29">
    <w:abstractNumId w:val="10"/>
  </w:num>
  <w:num w:numId="30">
    <w:abstractNumId w:val="15"/>
  </w:num>
  <w:num w:numId="31">
    <w:abstractNumId w:val="11"/>
  </w:num>
  <w:num w:numId="32">
    <w:abstractNumId w:val="16"/>
  </w:num>
  <w:num w:numId="33">
    <w:abstractNumId w:val="33"/>
  </w:num>
  <w:num w:numId="34">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67"/>
    <w:rsid w:val="00042AC4"/>
    <w:rsid w:val="00042C3F"/>
    <w:rsid w:val="00042E73"/>
    <w:rsid w:val="00042F4F"/>
    <w:rsid w:val="000430F1"/>
    <w:rsid w:val="000432D4"/>
    <w:rsid w:val="00043403"/>
    <w:rsid w:val="00043624"/>
    <w:rsid w:val="000437BB"/>
    <w:rsid w:val="00043B28"/>
    <w:rsid w:val="00043CBB"/>
    <w:rsid w:val="00043D2A"/>
    <w:rsid w:val="00044222"/>
    <w:rsid w:val="00044331"/>
    <w:rsid w:val="000444A5"/>
    <w:rsid w:val="0004450B"/>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2D1"/>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9A1"/>
    <w:rsid w:val="000A3D26"/>
    <w:rsid w:val="000A3DC3"/>
    <w:rsid w:val="000A3DCE"/>
    <w:rsid w:val="000A3E62"/>
    <w:rsid w:val="000A411F"/>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3E9"/>
    <w:rsid w:val="000A757B"/>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BEB"/>
    <w:rsid w:val="000E2DCF"/>
    <w:rsid w:val="000E3012"/>
    <w:rsid w:val="000E3261"/>
    <w:rsid w:val="000E333D"/>
    <w:rsid w:val="000E34DE"/>
    <w:rsid w:val="000E3511"/>
    <w:rsid w:val="000E3648"/>
    <w:rsid w:val="000E3D74"/>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A94"/>
    <w:rsid w:val="000F2B0F"/>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78"/>
    <w:rsid w:val="001154A8"/>
    <w:rsid w:val="001154E9"/>
    <w:rsid w:val="0011590C"/>
    <w:rsid w:val="00115990"/>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17C"/>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A1A"/>
    <w:rsid w:val="00131BB6"/>
    <w:rsid w:val="00132070"/>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A4F"/>
    <w:rsid w:val="00152C78"/>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138"/>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C12"/>
    <w:rsid w:val="001B4F49"/>
    <w:rsid w:val="001B5138"/>
    <w:rsid w:val="001B5298"/>
    <w:rsid w:val="001B53F8"/>
    <w:rsid w:val="001B5733"/>
    <w:rsid w:val="001B59C3"/>
    <w:rsid w:val="001B5FD5"/>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3CC"/>
    <w:rsid w:val="001F43FB"/>
    <w:rsid w:val="001F441F"/>
    <w:rsid w:val="001F4B81"/>
    <w:rsid w:val="001F4BA0"/>
    <w:rsid w:val="001F5083"/>
    <w:rsid w:val="001F50ED"/>
    <w:rsid w:val="001F5100"/>
    <w:rsid w:val="001F523A"/>
    <w:rsid w:val="001F5303"/>
    <w:rsid w:val="001F5366"/>
    <w:rsid w:val="001F55C0"/>
    <w:rsid w:val="001F5603"/>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FA5"/>
    <w:rsid w:val="002070B8"/>
    <w:rsid w:val="002072CC"/>
    <w:rsid w:val="0020765C"/>
    <w:rsid w:val="00207676"/>
    <w:rsid w:val="00207B69"/>
    <w:rsid w:val="00207C46"/>
    <w:rsid w:val="00210235"/>
    <w:rsid w:val="002102BC"/>
    <w:rsid w:val="002105FF"/>
    <w:rsid w:val="00210697"/>
    <w:rsid w:val="002107BB"/>
    <w:rsid w:val="002108E5"/>
    <w:rsid w:val="002108ED"/>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6D1"/>
    <w:rsid w:val="002807BB"/>
    <w:rsid w:val="00280918"/>
    <w:rsid w:val="00280A13"/>
    <w:rsid w:val="00280A75"/>
    <w:rsid w:val="00280D3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72"/>
    <w:rsid w:val="00287E3A"/>
    <w:rsid w:val="00287E57"/>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DE2"/>
    <w:rsid w:val="00301F1F"/>
    <w:rsid w:val="00302133"/>
    <w:rsid w:val="003021D2"/>
    <w:rsid w:val="00302358"/>
    <w:rsid w:val="0030289E"/>
    <w:rsid w:val="00302C8D"/>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762"/>
    <w:rsid w:val="00351781"/>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033"/>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53"/>
    <w:rsid w:val="0038792D"/>
    <w:rsid w:val="00387A82"/>
    <w:rsid w:val="00387C16"/>
    <w:rsid w:val="00387D62"/>
    <w:rsid w:val="00390035"/>
    <w:rsid w:val="0039027C"/>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6107"/>
    <w:rsid w:val="003C6276"/>
    <w:rsid w:val="003C6317"/>
    <w:rsid w:val="003C665E"/>
    <w:rsid w:val="003C678B"/>
    <w:rsid w:val="003C6869"/>
    <w:rsid w:val="003C68A6"/>
    <w:rsid w:val="003C6977"/>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86E"/>
    <w:rsid w:val="004129AD"/>
    <w:rsid w:val="00412A60"/>
    <w:rsid w:val="00412AF7"/>
    <w:rsid w:val="00412B8B"/>
    <w:rsid w:val="00412BB5"/>
    <w:rsid w:val="00412C64"/>
    <w:rsid w:val="00412CCB"/>
    <w:rsid w:val="00412F59"/>
    <w:rsid w:val="00412FEC"/>
    <w:rsid w:val="004131EA"/>
    <w:rsid w:val="00413D86"/>
    <w:rsid w:val="00413F80"/>
    <w:rsid w:val="004141B4"/>
    <w:rsid w:val="00414361"/>
    <w:rsid w:val="004143A2"/>
    <w:rsid w:val="004143AC"/>
    <w:rsid w:val="004147BB"/>
    <w:rsid w:val="00414843"/>
    <w:rsid w:val="004148AA"/>
    <w:rsid w:val="00414957"/>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79A"/>
    <w:rsid w:val="004577B3"/>
    <w:rsid w:val="004578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A9B"/>
    <w:rsid w:val="00497C82"/>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C0F"/>
    <w:rsid w:val="004B7E0F"/>
    <w:rsid w:val="004B7F3E"/>
    <w:rsid w:val="004C0413"/>
    <w:rsid w:val="004C051A"/>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6C7"/>
    <w:rsid w:val="004D36E0"/>
    <w:rsid w:val="004D39CC"/>
    <w:rsid w:val="004D3B02"/>
    <w:rsid w:val="004D4005"/>
    <w:rsid w:val="004D4096"/>
    <w:rsid w:val="004D414D"/>
    <w:rsid w:val="004D4184"/>
    <w:rsid w:val="004D424B"/>
    <w:rsid w:val="004D45E3"/>
    <w:rsid w:val="004D481F"/>
    <w:rsid w:val="004D4AB7"/>
    <w:rsid w:val="004D4CBF"/>
    <w:rsid w:val="004D508A"/>
    <w:rsid w:val="004D52F4"/>
    <w:rsid w:val="004D5676"/>
    <w:rsid w:val="004D56E5"/>
    <w:rsid w:val="004D5D11"/>
    <w:rsid w:val="004D63C7"/>
    <w:rsid w:val="004D6A08"/>
    <w:rsid w:val="004D6B8C"/>
    <w:rsid w:val="004D6C26"/>
    <w:rsid w:val="004D6E39"/>
    <w:rsid w:val="004D6FA5"/>
    <w:rsid w:val="004D7363"/>
    <w:rsid w:val="004D73E3"/>
    <w:rsid w:val="004D75C5"/>
    <w:rsid w:val="004D774D"/>
    <w:rsid w:val="004D787A"/>
    <w:rsid w:val="004D7973"/>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4F7"/>
    <w:rsid w:val="004F7519"/>
    <w:rsid w:val="004F755C"/>
    <w:rsid w:val="004F764D"/>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95"/>
    <w:rsid w:val="00517601"/>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7CD"/>
    <w:rsid w:val="0052382E"/>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A90"/>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5E1"/>
    <w:rsid w:val="00570715"/>
    <w:rsid w:val="00570723"/>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7D9"/>
    <w:rsid w:val="005819E8"/>
    <w:rsid w:val="00581A15"/>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2F"/>
    <w:rsid w:val="005A1045"/>
    <w:rsid w:val="005A105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7F"/>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A2F"/>
    <w:rsid w:val="005B1B6B"/>
    <w:rsid w:val="005B1CF7"/>
    <w:rsid w:val="005B1D02"/>
    <w:rsid w:val="005B1DD1"/>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13F"/>
    <w:rsid w:val="005B5384"/>
    <w:rsid w:val="005B5494"/>
    <w:rsid w:val="005B54DD"/>
    <w:rsid w:val="005B55E4"/>
    <w:rsid w:val="005B57C1"/>
    <w:rsid w:val="005B5CDA"/>
    <w:rsid w:val="005B5E5B"/>
    <w:rsid w:val="005B5EA5"/>
    <w:rsid w:val="005B61CF"/>
    <w:rsid w:val="005B6459"/>
    <w:rsid w:val="005B676D"/>
    <w:rsid w:val="005B699B"/>
    <w:rsid w:val="005B69D4"/>
    <w:rsid w:val="005B6BF1"/>
    <w:rsid w:val="005B6C0C"/>
    <w:rsid w:val="005B6C30"/>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921"/>
    <w:rsid w:val="005D0A06"/>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815"/>
    <w:rsid w:val="0061197F"/>
    <w:rsid w:val="00611B9B"/>
    <w:rsid w:val="00611C02"/>
    <w:rsid w:val="00611C49"/>
    <w:rsid w:val="00611CE3"/>
    <w:rsid w:val="00611F89"/>
    <w:rsid w:val="00612111"/>
    <w:rsid w:val="006121B0"/>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9ED"/>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4A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3E0"/>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1EE8"/>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1C"/>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799"/>
    <w:rsid w:val="006F7B46"/>
    <w:rsid w:val="006F7D21"/>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66E"/>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EC9"/>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52"/>
    <w:rsid w:val="007607F5"/>
    <w:rsid w:val="007608AB"/>
    <w:rsid w:val="007608F0"/>
    <w:rsid w:val="00760961"/>
    <w:rsid w:val="00760990"/>
    <w:rsid w:val="00760C1B"/>
    <w:rsid w:val="00760C32"/>
    <w:rsid w:val="00760C96"/>
    <w:rsid w:val="0076103D"/>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699"/>
    <w:rsid w:val="00783A48"/>
    <w:rsid w:val="00783D0A"/>
    <w:rsid w:val="00783DFF"/>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58"/>
    <w:rsid w:val="00785AD2"/>
    <w:rsid w:val="00785D9A"/>
    <w:rsid w:val="00785FD9"/>
    <w:rsid w:val="00786150"/>
    <w:rsid w:val="0078659A"/>
    <w:rsid w:val="00786720"/>
    <w:rsid w:val="00786B0F"/>
    <w:rsid w:val="00786C83"/>
    <w:rsid w:val="00786EB6"/>
    <w:rsid w:val="00786FB7"/>
    <w:rsid w:val="00787037"/>
    <w:rsid w:val="007871BC"/>
    <w:rsid w:val="007872B7"/>
    <w:rsid w:val="00787495"/>
    <w:rsid w:val="007875E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5B1"/>
    <w:rsid w:val="007945F2"/>
    <w:rsid w:val="0079479F"/>
    <w:rsid w:val="007947A5"/>
    <w:rsid w:val="007949FE"/>
    <w:rsid w:val="00794AFB"/>
    <w:rsid w:val="00794B47"/>
    <w:rsid w:val="00794BE4"/>
    <w:rsid w:val="00794BF7"/>
    <w:rsid w:val="00794E5D"/>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94"/>
    <w:rsid w:val="007A7CD9"/>
    <w:rsid w:val="007B00E7"/>
    <w:rsid w:val="007B0270"/>
    <w:rsid w:val="007B05B7"/>
    <w:rsid w:val="007B06DA"/>
    <w:rsid w:val="007B0734"/>
    <w:rsid w:val="007B0810"/>
    <w:rsid w:val="007B09B9"/>
    <w:rsid w:val="007B09C8"/>
    <w:rsid w:val="007B0DA4"/>
    <w:rsid w:val="007B0DCB"/>
    <w:rsid w:val="007B0E15"/>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71"/>
    <w:rsid w:val="007C1949"/>
    <w:rsid w:val="007C1FA9"/>
    <w:rsid w:val="007C2116"/>
    <w:rsid w:val="007C2201"/>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446"/>
    <w:rsid w:val="007D1509"/>
    <w:rsid w:val="007D16A6"/>
    <w:rsid w:val="007D1841"/>
    <w:rsid w:val="007D1873"/>
    <w:rsid w:val="007D18FA"/>
    <w:rsid w:val="007D1A04"/>
    <w:rsid w:val="007D1A8C"/>
    <w:rsid w:val="007D1AF2"/>
    <w:rsid w:val="007D1D4D"/>
    <w:rsid w:val="007D1DFD"/>
    <w:rsid w:val="007D2009"/>
    <w:rsid w:val="007D21C0"/>
    <w:rsid w:val="007D25E5"/>
    <w:rsid w:val="007D2648"/>
    <w:rsid w:val="007D27C0"/>
    <w:rsid w:val="007D29FA"/>
    <w:rsid w:val="007D30B3"/>
    <w:rsid w:val="007D3239"/>
    <w:rsid w:val="007D328E"/>
    <w:rsid w:val="007D32AD"/>
    <w:rsid w:val="007D32E3"/>
    <w:rsid w:val="007D33CF"/>
    <w:rsid w:val="007D33D7"/>
    <w:rsid w:val="007D34BB"/>
    <w:rsid w:val="007D3743"/>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2F"/>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C11"/>
    <w:rsid w:val="00844F84"/>
    <w:rsid w:val="008452E0"/>
    <w:rsid w:val="00845327"/>
    <w:rsid w:val="00845355"/>
    <w:rsid w:val="00845486"/>
    <w:rsid w:val="00845601"/>
    <w:rsid w:val="008456AB"/>
    <w:rsid w:val="00845B50"/>
    <w:rsid w:val="00845E08"/>
    <w:rsid w:val="00845E5D"/>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573"/>
    <w:rsid w:val="00856574"/>
    <w:rsid w:val="00856612"/>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2E8"/>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9EA"/>
    <w:rsid w:val="00874A39"/>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A35"/>
    <w:rsid w:val="008A5B37"/>
    <w:rsid w:val="008A5D43"/>
    <w:rsid w:val="008A607F"/>
    <w:rsid w:val="008A60B1"/>
    <w:rsid w:val="008A6125"/>
    <w:rsid w:val="008A6774"/>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3DD"/>
    <w:rsid w:val="008C14FA"/>
    <w:rsid w:val="008C1662"/>
    <w:rsid w:val="008C1695"/>
    <w:rsid w:val="008C172A"/>
    <w:rsid w:val="008C19D8"/>
    <w:rsid w:val="008C1AD3"/>
    <w:rsid w:val="008C1B40"/>
    <w:rsid w:val="008C1C0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9C5"/>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AD"/>
    <w:rsid w:val="009430E2"/>
    <w:rsid w:val="0094334D"/>
    <w:rsid w:val="009433CE"/>
    <w:rsid w:val="0094351C"/>
    <w:rsid w:val="00943719"/>
    <w:rsid w:val="00943EDD"/>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417D"/>
    <w:rsid w:val="009741F4"/>
    <w:rsid w:val="0097436A"/>
    <w:rsid w:val="009744F1"/>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1C0"/>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899"/>
    <w:rsid w:val="00981C8E"/>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572"/>
    <w:rsid w:val="00993862"/>
    <w:rsid w:val="009939BF"/>
    <w:rsid w:val="00993A53"/>
    <w:rsid w:val="00993A5A"/>
    <w:rsid w:val="00993AB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E1"/>
    <w:rsid w:val="009B0F5B"/>
    <w:rsid w:val="009B0FE3"/>
    <w:rsid w:val="009B111F"/>
    <w:rsid w:val="009B1596"/>
    <w:rsid w:val="009B1828"/>
    <w:rsid w:val="009B1D26"/>
    <w:rsid w:val="009B227D"/>
    <w:rsid w:val="009B2466"/>
    <w:rsid w:val="009B246B"/>
    <w:rsid w:val="009B2643"/>
    <w:rsid w:val="009B26E2"/>
    <w:rsid w:val="009B278A"/>
    <w:rsid w:val="009B278E"/>
    <w:rsid w:val="009B2869"/>
    <w:rsid w:val="009B2A7E"/>
    <w:rsid w:val="009B2CD9"/>
    <w:rsid w:val="009B2CFD"/>
    <w:rsid w:val="009B2D04"/>
    <w:rsid w:val="009B2E0F"/>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C10"/>
    <w:rsid w:val="009B6081"/>
    <w:rsid w:val="009B64C0"/>
    <w:rsid w:val="009B658F"/>
    <w:rsid w:val="009B68EE"/>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16A"/>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30F0"/>
    <w:rsid w:val="00A53314"/>
    <w:rsid w:val="00A533BC"/>
    <w:rsid w:val="00A537E2"/>
    <w:rsid w:val="00A53986"/>
    <w:rsid w:val="00A53BF7"/>
    <w:rsid w:val="00A540FD"/>
    <w:rsid w:val="00A54180"/>
    <w:rsid w:val="00A541FC"/>
    <w:rsid w:val="00A542CD"/>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AF6"/>
    <w:rsid w:val="00B06BED"/>
    <w:rsid w:val="00B06BF5"/>
    <w:rsid w:val="00B06F62"/>
    <w:rsid w:val="00B06F6A"/>
    <w:rsid w:val="00B06F83"/>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6C9"/>
    <w:rsid w:val="00B259A6"/>
    <w:rsid w:val="00B259DB"/>
    <w:rsid w:val="00B25D9E"/>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7B"/>
    <w:rsid w:val="00B27493"/>
    <w:rsid w:val="00B274F7"/>
    <w:rsid w:val="00B2767D"/>
    <w:rsid w:val="00B2781D"/>
    <w:rsid w:val="00B278AE"/>
    <w:rsid w:val="00B27A5D"/>
    <w:rsid w:val="00B27AE1"/>
    <w:rsid w:val="00B27E0D"/>
    <w:rsid w:val="00B27E5F"/>
    <w:rsid w:val="00B27EB8"/>
    <w:rsid w:val="00B27FB8"/>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20"/>
    <w:rsid w:val="00B3208C"/>
    <w:rsid w:val="00B32098"/>
    <w:rsid w:val="00B320A5"/>
    <w:rsid w:val="00B3225D"/>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D5C"/>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EB7"/>
    <w:rsid w:val="00BA4F4C"/>
    <w:rsid w:val="00BA515E"/>
    <w:rsid w:val="00BA535B"/>
    <w:rsid w:val="00BA535F"/>
    <w:rsid w:val="00BA55ED"/>
    <w:rsid w:val="00BA55F1"/>
    <w:rsid w:val="00BA574F"/>
    <w:rsid w:val="00BA5CF1"/>
    <w:rsid w:val="00BA5DD9"/>
    <w:rsid w:val="00BA63F6"/>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C7"/>
    <w:rsid w:val="00BF4F42"/>
    <w:rsid w:val="00BF513E"/>
    <w:rsid w:val="00BF52B6"/>
    <w:rsid w:val="00BF55C7"/>
    <w:rsid w:val="00BF565F"/>
    <w:rsid w:val="00BF588A"/>
    <w:rsid w:val="00BF58E9"/>
    <w:rsid w:val="00BF5AA3"/>
    <w:rsid w:val="00BF5AF6"/>
    <w:rsid w:val="00BF5DB9"/>
    <w:rsid w:val="00BF5FC8"/>
    <w:rsid w:val="00BF60ED"/>
    <w:rsid w:val="00BF6121"/>
    <w:rsid w:val="00BF61B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530"/>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5A6"/>
    <w:rsid w:val="00C337A8"/>
    <w:rsid w:val="00C33AAE"/>
    <w:rsid w:val="00C33F42"/>
    <w:rsid w:val="00C3448A"/>
    <w:rsid w:val="00C346B7"/>
    <w:rsid w:val="00C347E1"/>
    <w:rsid w:val="00C348FC"/>
    <w:rsid w:val="00C34C59"/>
    <w:rsid w:val="00C350F7"/>
    <w:rsid w:val="00C35103"/>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F"/>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2F3F"/>
    <w:rsid w:val="00CD351B"/>
    <w:rsid w:val="00CD36D5"/>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D34"/>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0D21"/>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BD7"/>
    <w:rsid w:val="00D41BE0"/>
    <w:rsid w:val="00D41C2A"/>
    <w:rsid w:val="00D41EC2"/>
    <w:rsid w:val="00D41F76"/>
    <w:rsid w:val="00D425AE"/>
    <w:rsid w:val="00D425B4"/>
    <w:rsid w:val="00D42661"/>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DD1"/>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E4"/>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9A"/>
    <w:rsid w:val="00D942B5"/>
    <w:rsid w:val="00D945B1"/>
    <w:rsid w:val="00D946FF"/>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5E4"/>
    <w:rsid w:val="00DB2716"/>
    <w:rsid w:val="00DB275D"/>
    <w:rsid w:val="00DB293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CD2"/>
    <w:rsid w:val="00DD1D1D"/>
    <w:rsid w:val="00DD1D4B"/>
    <w:rsid w:val="00DD1E7E"/>
    <w:rsid w:val="00DD1EAD"/>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26E"/>
    <w:rsid w:val="00DE430A"/>
    <w:rsid w:val="00DE479C"/>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72"/>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8BD"/>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DF0"/>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66C"/>
    <w:rsid w:val="00E23946"/>
    <w:rsid w:val="00E239D3"/>
    <w:rsid w:val="00E240CC"/>
    <w:rsid w:val="00E244CA"/>
    <w:rsid w:val="00E244DB"/>
    <w:rsid w:val="00E2451D"/>
    <w:rsid w:val="00E245C8"/>
    <w:rsid w:val="00E24843"/>
    <w:rsid w:val="00E24AED"/>
    <w:rsid w:val="00E24B6D"/>
    <w:rsid w:val="00E24E76"/>
    <w:rsid w:val="00E24EDB"/>
    <w:rsid w:val="00E250AD"/>
    <w:rsid w:val="00E25143"/>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1A0"/>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B3F"/>
    <w:rsid w:val="00E66B9D"/>
    <w:rsid w:val="00E66CB7"/>
    <w:rsid w:val="00E671E7"/>
    <w:rsid w:val="00E67473"/>
    <w:rsid w:val="00E6770C"/>
    <w:rsid w:val="00E679BA"/>
    <w:rsid w:val="00E679F5"/>
    <w:rsid w:val="00E67BE7"/>
    <w:rsid w:val="00E67CBE"/>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69C"/>
    <w:rsid w:val="00EB07B8"/>
    <w:rsid w:val="00EB08F8"/>
    <w:rsid w:val="00EB0A0D"/>
    <w:rsid w:val="00EB0A79"/>
    <w:rsid w:val="00EB0C51"/>
    <w:rsid w:val="00EB0DD3"/>
    <w:rsid w:val="00EB0FFF"/>
    <w:rsid w:val="00EB1118"/>
    <w:rsid w:val="00EB116D"/>
    <w:rsid w:val="00EB144C"/>
    <w:rsid w:val="00EB15C3"/>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5E4"/>
    <w:rsid w:val="00EB7604"/>
    <w:rsid w:val="00EB778D"/>
    <w:rsid w:val="00EB799D"/>
    <w:rsid w:val="00EB7BA1"/>
    <w:rsid w:val="00EB7DBF"/>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1FE9"/>
    <w:rsid w:val="00ED26B7"/>
    <w:rsid w:val="00ED288D"/>
    <w:rsid w:val="00ED29A0"/>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19"/>
    <w:rsid w:val="00ED53B2"/>
    <w:rsid w:val="00ED543D"/>
    <w:rsid w:val="00ED54FD"/>
    <w:rsid w:val="00ED551B"/>
    <w:rsid w:val="00ED555B"/>
    <w:rsid w:val="00ED5601"/>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28B"/>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EF7F60"/>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526"/>
    <w:rsid w:val="00F078A0"/>
    <w:rsid w:val="00F07951"/>
    <w:rsid w:val="00F07A70"/>
    <w:rsid w:val="00F07BEA"/>
    <w:rsid w:val="00F07D93"/>
    <w:rsid w:val="00F07FA9"/>
    <w:rsid w:val="00F10273"/>
    <w:rsid w:val="00F1095F"/>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DB2"/>
    <w:rsid w:val="00F91E9D"/>
    <w:rsid w:val="00F91F19"/>
    <w:rsid w:val="00F91F70"/>
    <w:rsid w:val="00F920E0"/>
    <w:rsid w:val="00F92113"/>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D1C"/>
    <w:rsid w:val="00F96D51"/>
    <w:rsid w:val="00F96EFD"/>
    <w:rsid w:val="00F97183"/>
    <w:rsid w:val="00F97235"/>
    <w:rsid w:val="00F976AD"/>
    <w:rsid w:val="00F9784B"/>
    <w:rsid w:val="00F97B82"/>
    <w:rsid w:val="00F97C5F"/>
    <w:rsid w:val="00F97D61"/>
    <w:rsid w:val="00F97D70"/>
    <w:rsid w:val="00F97E4B"/>
    <w:rsid w:val="00F97E96"/>
    <w:rsid w:val="00FA04FF"/>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4FDB"/>
    <w:rsid w:val="00FA5097"/>
    <w:rsid w:val="00FA53E0"/>
    <w:rsid w:val="00FA5481"/>
    <w:rsid w:val="00FA553C"/>
    <w:rsid w:val="00FA56E1"/>
    <w:rsid w:val="00FA57E8"/>
    <w:rsid w:val="00FA57FB"/>
    <w:rsid w:val="00FA5B0D"/>
    <w:rsid w:val="00FA6218"/>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9D"/>
    <w:rsid w:val="00FE5630"/>
    <w:rsid w:val="00FE566C"/>
    <w:rsid w:val="00FE5703"/>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doi.org/10.5694/mja2.51763" TargetMode="External"/><Relationship Id="rId26" Type="http://schemas.openxmlformats.org/officeDocument/2006/relationships/hyperlink" Target="https://www.nice.org.uk/guidance/ng228" TargetMode="External"/><Relationship Id="rId39" Type="http://schemas.openxmlformats.org/officeDocument/2006/relationships/hyperlink" Target="https://www.safetyandquality.gov.au/node/5725" TargetMode="External"/><Relationship Id="rId3" Type="http://schemas.openxmlformats.org/officeDocument/2006/relationships/styles" Target="styles.xml"/><Relationship Id="rId21" Type="http://schemas.openxmlformats.org/officeDocument/2006/relationships/hyperlink" Target="https://www.safetyandquality.gov.au/our-work/medication-safety" TargetMode="External"/><Relationship Id="rId34" Type="http://schemas.openxmlformats.org/officeDocument/2006/relationships/hyperlink" Target="https://www.safetyandquality.gov.au/publications-and-resources/resource-library/covid-19-infection-prevention-and-control-risk-management-guidance" TargetMode="External"/><Relationship Id="rId42" Type="http://schemas.openxmlformats.org/officeDocument/2006/relationships/image" Target="media/image6.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www.nice.org.uk/guidance/ng37" TargetMode="External"/><Relationship Id="rId33" Type="http://schemas.openxmlformats.org/officeDocument/2006/relationships/hyperlink" Target="http://www.safetyandquality.gov.au/environmental-cleaning" TargetMode="External"/><Relationship Id="rId38" Type="http://schemas.openxmlformats.org/officeDocument/2006/relationships/hyperlink" Target="https://www.safetyandquality.gov.au/node/5724"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26099/j2ag-mx88" TargetMode="External"/><Relationship Id="rId20" Type="http://schemas.openxmlformats.org/officeDocument/2006/relationships/hyperlink" Target="https://dx.doi.org/10.1136/bmjqs-2022-015275" TargetMode="External"/><Relationship Id="rId29" Type="http://schemas.openxmlformats.org/officeDocument/2006/relationships/hyperlink" Target="https://www.safetyandquality.gov.au/publications-and-resources/resource-library/infection-prevention-and-control-poster-combined-contact-and-droplet-precautions" TargetMode="External"/><Relationship Id="rId41" Type="http://schemas.openxmlformats.org/officeDocument/2006/relationships/hyperlink" Target="https://www.safetyandquality.gov.au/sites/default/files/2020-07/covid-19_and_face_masks_-_information_for_consumer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nice.org.uk/guidance" TargetMode="External"/><Relationship Id="rId32" Type="http://schemas.openxmlformats.org/officeDocument/2006/relationships/image" Target="media/image4.PNG"/><Relationship Id="rId37" Type="http://schemas.openxmlformats.org/officeDocument/2006/relationships/image" Target="media/image5.PNG"/><Relationship Id="rId40" Type="http://schemas.openxmlformats.org/officeDocument/2006/relationships/hyperlink" Target="https://www.safetyandquality.gov.au/publications-and-resources/resource-library/covid-19-and-face-masks-information-consumer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afetyandquality.gov.au/publications-and-resources/resource-library/national-safety-and-quality-mental-health-standards-community-managed-organisations-2022" TargetMode="External"/><Relationship Id="rId23" Type="http://schemas.openxmlformats.org/officeDocument/2006/relationships/hyperlink" Target="https://academic.oup.com/intqhc/advance-articles" TargetMode="External"/><Relationship Id="rId28" Type="http://schemas.openxmlformats.org/officeDocument/2006/relationships/hyperlink" Target="https://www.safetyandquality.gov.au/publications-and-resources/resource-library/covid-19-infection-prevention-and-control-risk-management-guidance" TargetMode="External"/><Relationship Id="rId3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dx.doi.org/10.1136/bmjqs-2021-014185" TargetMode="External"/><Relationship Id="rId31" Type="http://schemas.openxmlformats.org/officeDocument/2006/relationships/hyperlink" Target="https://www.safetyandquality.gov.au/publications-and-resources/resource-library/poster-combined-airborne-and-contact-precautions" TargetMode="External"/><Relationship Id="rId44" Type="http://schemas.openxmlformats.org/officeDocument/2006/relationships/hyperlink" Target="https://www.aci.health.nsw.gov.au/covid-19/critical-intelligence-unit"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qualitysafety.bmj.com/content/early/recent" TargetMode="External"/><Relationship Id="rId27" Type="http://schemas.openxmlformats.org/officeDocument/2006/relationships/hyperlink" Target="https://www.safetyandquality.gov.au/covid-19" TargetMode="External"/><Relationship Id="rId30" Type="http://schemas.openxmlformats.org/officeDocument/2006/relationships/image" Target="media/image3.png"/><Relationship Id="rId35" Type="http://schemas.openxmlformats.org/officeDocument/2006/relationships/hyperlink" Target="https://www.safetyandquality.gov.au/our-work/cognitive-impairment/cognitive-impairment-and-covid-19" TargetMode="External"/><Relationship Id="rId43" Type="http://schemas.openxmlformats.org/officeDocument/2006/relationships/hyperlink" Target="https://covid19evidence.net.au/"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10</Pages>
  <Words>2508</Words>
  <Characters>16836</Characters>
  <Application>Microsoft Office Word</Application>
  <DocSecurity>0</DocSecurity>
  <Lines>350</Lines>
  <Paragraphs>154</Paragraphs>
  <ScaleCrop>false</ScaleCrop>
  <HeadingPairs>
    <vt:vector size="2" baseType="variant">
      <vt:variant>
        <vt:lpstr>Title</vt:lpstr>
      </vt:variant>
      <vt:variant>
        <vt:i4>1</vt:i4>
      </vt:variant>
    </vt:vector>
  </HeadingPairs>
  <TitlesOfParts>
    <vt:vector size="1" baseType="lpstr">
      <vt:lpstr>Draft On the Radar Issue 585</vt:lpstr>
    </vt:vector>
  </TitlesOfParts>
  <Company>ACSQHC</Company>
  <LinksUpToDate>false</LinksUpToDate>
  <CharactersWithSpaces>19190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585</dc:title>
  <dc:subject/>
  <dc:creator>Dr Niall Johnson</dc:creator>
  <cp:keywords>On the Radar</cp:keywords>
  <dc:description/>
  <cp:lastModifiedBy>JOHNSON, Niall</cp:lastModifiedBy>
  <cp:revision>15</cp:revision>
  <cp:lastPrinted>2018-03-02T02:34:00Z</cp:lastPrinted>
  <dcterms:created xsi:type="dcterms:W3CDTF">2022-11-20T21:37:00Z</dcterms:created>
  <dcterms:modified xsi:type="dcterms:W3CDTF">2022-11-24T23:24:00Z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