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98B6" w14:textId="51C07545" w:rsidR="00466C72" w:rsidRPr="00466C72" w:rsidRDefault="006F4572" w:rsidP="00466C72">
      <w:pPr>
        <w:pStyle w:val="Category"/>
        <w:rPr>
          <w:smallCaps/>
        </w:rPr>
      </w:pPr>
      <w:bookmarkStart w:id="0" w:name="_Toc476822632"/>
      <w:bookmarkStart w:id="1" w:name="_Toc476822653"/>
      <w:r>
        <w:rPr>
          <w:smallCaps/>
        </w:rPr>
        <w:t>FACT SHEET</w:t>
      </w:r>
      <w:r w:rsidR="00466C72" w:rsidRPr="00466C72">
        <w:rPr>
          <w:smallCaps/>
        </w:rPr>
        <w:t xml:space="preserve"> </w:t>
      </w:r>
    </w:p>
    <w:p w14:paraId="640B4842" w14:textId="5CE1D84A" w:rsidR="00466C72" w:rsidRDefault="00466C72" w:rsidP="00466C72">
      <w:pPr>
        <w:pStyle w:val="Category"/>
        <w:rPr>
          <w:b w:val="0"/>
          <w:bCs/>
        </w:rPr>
      </w:pPr>
      <w:r w:rsidRPr="00466C72">
        <w:rPr>
          <w:b w:val="0"/>
          <w:bCs/>
        </w:rPr>
        <w:t xml:space="preserve">for </w:t>
      </w:r>
      <w:r w:rsidR="000429EE">
        <w:rPr>
          <w:b w:val="0"/>
          <w:bCs/>
        </w:rPr>
        <w:t>clinicians</w:t>
      </w:r>
    </w:p>
    <w:bookmarkEnd w:id="0"/>
    <w:bookmarkEnd w:id="1"/>
    <w:p w14:paraId="775E6E93" w14:textId="77777777" w:rsidR="003E4A94" w:rsidRDefault="003E4A94" w:rsidP="003E4A94">
      <w:pPr>
        <w:pStyle w:val="Title"/>
        <w:spacing w:after="120"/>
      </w:pPr>
      <w:r>
        <w:t xml:space="preserve">Safer insulin prescribing </w:t>
      </w:r>
    </w:p>
    <w:p w14:paraId="7CC4F50F" w14:textId="77777777" w:rsidR="003E4A94" w:rsidRPr="00A2136D" w:rsidRDefault="003E4A94" w:rsidP="00A2136D">
      <w:pPr>
        <w:pStyle w:val="Subtitle"/>
      </w:pPr>
      <w:r w:rsidRPr="00A2136D">
        <w:t xml:space="preserve">Guidance for Australian prescribers </w:t>
      </w:r>
    </w:p>
    <w:p w14:paraId="2AFA43CD" w14:textId="77777777" w:rsidR="003E4A94" w:rsidRDefault="003E4A94" w:rsidP="003E4A94">
      <w:pPr>
        <w:pStyle w:val="Heading2"/>
      </w:pPr>
      <w:r>
        <w:t xml:space="preserve">Purpose </w:t>
      </w:r>
    </w:p>
    <w:p w14:paraId="5E07D2FB" w14:textId="77777777" w:rsidR="003E4A94" w:rsidRDefault="003E4A94" w:rsidP="003E4A94">
      <w:r>
        <w:t>To highlight the importance of detailed prescribing for safe and quality use of insulin.</w:t>
      </w:r>
    </w:p>
    <w:p w14:paraId="6D35DA45" w14:textId="77777777" w:rsidR="003E4A94" w:rsidRDefault="003E4A94" w:rsidP="003E4A94">
      <w:pPr>
        <w:pStyle w:val="Heading2"/>
      </w:pPr>
      <w:r>
        <w:t xml:space="preserve">Key points </w:t>
      </w:r>
    </w:p>
    <w:p w14:paraId="46038945" w14:textId="77777777" w:rsidR="003E4A94" w:rsidRDefault="003E4A94" w:rsidP="003E4A94">
      <w:r>
        <w:t xml:space="preserve">Insulins are high-risk medicines with a high incidence of medication error and related harm when used incorrectly. </w:t>
      </w:r>
    </w:p>
    <w:p w14:paraId="10B5EDD1" w14:textId="77777777" w:rsidR="003E4A94" w:rsidRDefault="003E4A94" w:rsidP="003E4A94">
      <w:r>
        <w:t>There is a risk of fatal hypoglycaemic events should an individual inadvertently take the wrong dose, formulation or brand of insulin.</w:t>
      </w:r>
      <w:r>
        <w:rPr>
          <w:rStyle w:val="Superscript"/>
        </w:rPr>
        <w:t>1,2</w:t>
      </w:r>
      <w:r>
        <w:t xml:space="preserve"> </w:t>
      </w:r>
    </w:p>
    <w:p w14:paraId="2E7124EC" w14:textId="77777777" w:rsidR="003E4A94" w:rsidRDefault="003E4A94" w:rsidP="003E4A94">
      <w:r>
        <w:t xml:space="preserve">Safe and quality use of insulins requires clear information transfer from initial prescribing to dispensing to administration by consumers and/or their </w:t>
      </w:r>
      <w:proofErr w:type="spellStart"/>
      <w:r>
        <w:t>carers</w:t>
      </w:r>
      <w:proofErr w:type="spellEnd"/>
      <w:r>
        <w:t>.</w:t>
      </w:r>
    </w:p>
    <w:p w14:paraId="45A23BD7" w14:textId="77777777" w:rsidR="003E4A94" w:rsidRDefault="003E4A94" w:rsidP="003E4A94">
      <w:r>
        <w:t xml:space="preserve">To safely prescribe insulins, always include the following on all prescriptions for insulin: </w:t>
      </w:r>
    </w:p>
    <w:p w14:paraId="7BDE733B" w14:textId="77777777" w:rsidR="003E4A94" w:rsidRDefault="003E4A94" w:rsidP="009A39F2">
      <w:pPr>
        <w:pStyle w:val="ListParagraph"/>
        <w:numPr>
          <w:ilvl w:val="0"/>
          <w:numId w:val="33"/>
        </w:numPr>
      </w:pPr>
      <w:r>
        <w:t>Active ingredient name</w:t>
      </w:r>
    </w:p>
    <w:p w14:paraId="1FF78D41" w14:textId="77777777" w:rsidR="003E4A94" w:rsidRDefault="003E4A94" w:rsidP="009A39F2">
      <w:pPr>
        <w:pStyle w:val="ListParagraph"/>
        <w:numPr>
          <w:ilvl w:val="0"/>
          <w:numId w:val="33"/>
        </w:numPr>
      </w:pPr>
      <w:r>
        <w:t>Strength with ‘units’ written in full</w:t>
      </w:r>
    </w:p>
    <w:p w14:paraId="76F2C2F6" w14:textId="77777777" w:rsidR="003E4A94" w:rsidRDefault="003E4A94" w:rsidP="009A39F2">
      <w:pPr>
        <w:pStyle w:val="ListParagraph"/>
        <w:numPr>
          <w:ilvl w:val="0"/>
          <w:numId w:val="33"/>
        </w:numPr>
      </w:pPr>
      <w:r>
        <w:t>Brand name</w:t>
      </w:r>
    </w:p>
    <w:p w14:paraId="5A2E5B17" w14:textId="77777777" w:rsidR="003E4A94" w:rsidRDefault="003E4A94" w:rsidP="009A39F2">
      <w:pPr>
        <w:pStyle w:val="ListParagraph"/>
        <w:numPr>
          <w:ilvl w:val="0"/>
          <w:numId w:val="33"/>
        </w:numPr>
      </w:pPr>
      <w:r>
        <w:t>Formulation</w:t>
      </w:r>
    </w:p>
    <w:p w14:paraId="3F6967C8" w14:textId="77777777" w:rsidR="003E4A94" w:rsidRDefault="003E4A94" w:rsidP="009A39F2">
      <w:pPr>
        <w:pStyle w:val="ListParagraph"/>
        <w:numPr>
          <w:ilvl w:val="0"/>
          <w:numId w:val="33"/>
        </w:numPr>
      </w:pPr>
      <w:r>
        <w:t>Route</w:t>
      </w:r>
    </w:p>
    <w:p w14:paraId="49BF491C" w14:textId="77777777" w:rsidR="003E4A94" w:rsidRDefault="003E4A94" w:rsidP="009A39F2">
      <w:pPr>
        <w:pStyle w:val="ListParagraph"/>
        <w:numPr>
          <w:ilvl w:val="0"/>
          <w:numId w:val="33"/>
        </w:numPr>
      </w:pPr>
      <w:r>
        <w:t>Dose with ‘units’ written in full</w:t>
      </w:r>
    </w:p>
    <w:p w14:paraId="4A648EC3" w14:textId="77777777" w:rsidR="003E4A94" w:rsidRDefault="003E4A94" w:rsidP="009A39F2">
      <w:pPr>
        <w:pStyle w:val="ListParagraph"/>
        <w:numPr>
          <w:ilvl w:val="0"/>
          <w:numId w:val="33"/>
        </w:numPr>
      </w:pPr>
      <w:r>
        <w:t>Frequency and timing of dose.</w:t>
      </w:r>
    </w:p>
    <w:p w14:paraId="0EC5B5A5" w14:textId="77777777" w:rsidR="003E4A94" w:rsidRDefault="003E4A94" w:rsidP="003E4A94">
      <w:pPr>
        <w:pStyle w:val="Heading2"/>
      </w:pPr>
      <w:r>
        <w:t xml:space="preserve">Background </w:t>
      </w:r>
    </w:p>
    <w:p w14:paraId="51D63682" w14:textId="77777777" w:rsidR="003E4A94" w:rsidRDefault="003E4A94" w:rsidP="003E4A94">
      <w:r>
        <w:t>Insulin products come in multiple strengths, different formulations, and mixed combinations of active ingredients with look-alike, sound-alike names. There is a high risk of confusion and incorrect product selection, leading to patient harm.</w:t>
      </w:r>
      <w:r>
        <w:rPr>
          <w:rStyle w:val="Superscript"/>
        </w:rPr>
        <w:t>3</w:t>
      </w:r>
    </w:p>
    <w:p w14:paraId="21F60294" w14:textId="77777777" w:rsidR="003E4A94" w:rsidRDefault="003E4A94" w:rsidP="003E4A94">
      <w:r>
        <w:t>Medication errors involving the wrong name or wrong dose of insulin are common, compounded by similar looking packaging and delivery devices.</w:t>
      </w:r>
      <w:r>
        <w:rPr>
          <w:rStyle w:val="Superscript"/>
        </w:rPr>
        <w:t>1,2</w:t>
      </w:r>
    </w:p>
    <w:p w14:paraId="75CDAA13" w14:textId="77777777" w:rsidR="003E4A94" w:rsidRDefault="003E4A94" w:rsidP="003E4A94">
      <w:pPr>
        <w:pStyle w:val="Heading2"/>
      </w:pPr>
      <w:r>
        <w:t>Always include the brand name</w:t>
      </w:r>
    </w:p>
    <w:p w14:paraId="6E029196" w14:textId="77777777" w:rsidR="003E4A94" w:rsidRDefault="003E4A94" w:rsidP="003E4A94">
      <w:r>
        <w:t>Prescribing medicines using the active ingredient name is safe in most situations and an important part of understanding how to use medicines. However, insulin products cause confusion. Prescribing insulins by brand name</w:t>
      </w:r>
      <w:r>
        <w:rPr>
          <w:rStyle w:val="Superscript"/>
        </w:rPr>
        <w:t>4,5</w:t>
      </w:r>
      <w:r>
        <w:t>, in addition to the active ingredient name helps ensure the prescription is clear</w:t>
      </w:r>
      <w:r>
        <w:rPr>
          <w:rStyle w:val="Superscript"/>
        </w:rPr>
        <w:t>3</w:t>
      </w:r>
      <w:r>
        <w:t xml:space="preserve"> for both clinicians and consumers. Without the brand name, the prescription may be incorrectly dispensed and administered.</w:t>
      </w:r>
    </w:p>
    <w:tbl>
      <w:tblPr>
        <w:tblStyle w:val="Alertbox"/>
        <w:tblW w:w="5000" w:type="pct"/>
        <w:tblLook w:val="0620" w:firstRow="1" w:lastRow="0" w:firstColumn="0" w:lastColumn="0" w:noHBand="1" w:noVBand="1"/>
        <w:tblDescription w:val="General practice software and active ingredient prescribing"/>
      </w:tblPr>
      <w:tblGrid>
        <w:gridCol w:w="9518"/>
      </w:tblGrid>
      <w:tr w:rsidR="003E4A94" w14:paraId="2D99BC09" w14:textId="77777777" w:rsidTr="00A32F5A">
        <w:trPr>
          <w:trHeight w:val="60"/>
        </w:trPr>
        <w:tc>
          <w:tcPr>
            <w:tcW w:w="5000" w:type="pct"/>
          </w:tcPr>
          <w:p w14:paraId="73981CE7" w14:textId="18F96DEE" w:rsidR="003E4A94" w:rsidRPr="00A32F5A" w:rsidRDefault="00A32F5A" w:rsidP="003D7E7B">
            <w:pPr>
              <w:pStyle w:val="Heading3"/>
              <w:spacing w:after="0"/>
              <w:outlineLvl w:val="2"/>
            </w:pPr>
            <w:r w:rsidRPr="00A32F5A">
              <w:rPr>
                <w:noProof/>
              </w:rPr>
              <w:lastRenderedPageBreak/>
              <w:drawing>
                <wp:anchor distT="0" distB="0" distL="114300" distR="114300" simplePos="0" relativeHeight="251664384" behindDoc="0" locked="0" layoutInCell="1" allowOverlap="1" wp14:anchorId="453351C5" wp14:editId="4D635B12">
                  <wp:simplePos x="0" y="0"/>
                  <wp:positionH relativeFrom="column">
                    <wp:posOffset>8999</wp:posOffset>
                  </wp:positionH>
                  <wp:positionV relativeFrom="paragraph">
                    <wp:posOffset>147320</wp:posOffset>
                  </wp:positionV>
                  <wp:extent cx="533400" cy="533400"/>
                  <wp:effectExtent l="0" t="0" r="0" b="0"/>
                  <wp:wrapSquare wrapText="bothSides"/>
                  <wp:docPr id="2" name="Picture 2" descr="Ale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lert icon"/>
                          <pic:cNvPicPr/>
                        </pic:nvPicPr>
                        <pic:blipFill>
                          <a:blip r:embed="rId8"/>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3E4A94" w:rsidRPr="00A32F5A">
              <w:t>General practice software and active ingredient</w:t>
            </w:r>
            <w:r w:rsidR="00F126DB">
              <w:t> </w:t>
            </w:r>
            <w:r w:rsidR="003E4A94" w:rsidRPr="00A32F5A">
              <w:t>prescribing</w:t>
            </w:r>
          </w:p>
        </w:tc>
      </w:tr>
      <w:tr w:rsidR="003E4A94" w14:paraId="6DDEEA20" w14:textId="77777777" w:rsidTr="00A32F5A">
        <w:trPr>
          <w:trHeight w:val="60"/>
        </w:trPr>
        <w:tc>
          <w:tcPr>
            <w:tcW w:w="5000" w:type="pct"/>
          </w:tcPr>
          <w:p w14:paraId="7DCF7151" w14:textId="77777777" w:rsidR="003E4A94" w:rsidRDefault="003E4A94" w:rsidP="003D7E7B">
            <w:pPr>
              <w:spacing w:before="0"/>
            </w:pPr>
            <w:r>
              <w:t xml:space="preserve">Prescriptions are generated with the active ingredient name for most medicines, including those on the </w:t>
            </w:r>
            <w:hyperlink r:id="rId9" w:history="1">
              <w:r>
                <w:rPr>
                  <w:rStyle w:val="Hyperlink"/>
                </w:rPr>
                <w:t>List of Medicines for Brand Consideration (LMBC)</w:t>
              </w:r>
            </w:hyperlink>
            <w:r>
              <w:t xml:space="preserve">. Prescribing software has been developed to alert prescribers to include the brand name for medicines on the LMBC. However, systems differ, and alerts are not always active or may be overlooked. Prescribers need to be vigilant and check the brand name has been included on all prescriptions for insulin. </w:t>
            </w:r>
          </w:p>
          <w:p w14:paraId="1A3B3EA4" w14:textId="77777777" w:rsidR="003E4A94" w:rsidRDefault="003E4A94" w:rsidP="00924F27">
            <w:r>
              <w:t xml:space="preserve">For further details refer to the </w:t>
            </w:r>
            <w:hyperlink r:id="rId10" w:history="1">
              <w:r>
                <w:rPr>
                  <w:rStyle w:val="Hyperlinkitalics"/>
                </w:rPr>
                <w:t>Active ingredient prescribing – User guide for Australian prescribers</w:t>
              </w:r>
            </w:hyperlink>
            <w:r>
              <w:t>.</w:t>
            </w:r>
          </w:p>
        </w:tc>
      </w:tr>
    </w:tbl>
    <w:p w14:paraId="7D516097" w14:textId="3718B562" w:rsidR="003E4A94" w:rsidRDefault="003E4A94" w:rsidP="00FC620F">
      <w:pPr>
        <w:spacing w:before="360" w:after="360"/>
      </w:pPr>
      <w:r>
        <w:t>Insulin safety advice, both locally and internationally</w:t>
      </w:r>
      <w:r>
        <w:rPr>
          <w:rStyle w:val="Superscript"/>
        </w:rPr>
        <w:t>6,7</w:t>
      </w:r>
      <w:r>
        <w:t xml:space="preserve">, emphasises the need to include the brand name on a prescription for insulin to support safe use. The examples in Box 1 and Box 2 on page 2 </w:t>
      </w:r>
      <w:r w:rsidR="0020496B">
        <w:t xml:space="preserve">and page 3 </w:t>
      </w:r>
      <w:r>
        <w:t xml:space="preserve">highlight this. </w:t>
      </w:r>
    </w:p>
    <w:tbl>
      <w:tblPr>
        <w:tblStyle w:val="Highlighbox"/>
        <w:tblW w:w="5000" w:type="pct"/>
        <w:tblLook w:val="0620" w:firstRow="1" w:lastRow="0" w:firstColumn="0" w:lastColumn="0" w:noHBand="1" w:noVBand="1"/>
        <w:tblDescription w:val="Box 1: Insulin aspart formulations"/>
      </w:tblPr>
      <w:tblGrid>
        <w:gridCol w:w="9518"/>
      </w:tblGrid>
      <w:tr w:rsidR="001A1981" w14:paraId="6255DACF" w14:textId="77777777" w:rsidTr="001A1981">
        <w:trPr>
          <w:trHeight w:val="113"/>
        </w:trPr>
        <w:tc>
          <w:tcPr>
            <w:tcW w:w="5000" w:type="pct"/>
          </w:tcPr>
          <w:p w14:paraId="58CD983A" w14:textId="77777777" w:rsidR="003E4A94" w:rsidRDefault="003E4A94" w:rsidP="00EC739A">
            <w:pPr>
              <w:pStyle w:val="Heading3"/>
              <w:spacing w:after="0"/>
              <w:outlineLvl w:val="2"/>
            </w:pPr>
            <w:r>
              <w:rPr>
                <w:rStyle w:val="Strong"/>
                <w:b/>
                <w:bCs/>
              </w:rPr>
              <w:t xml:space="preserve">Box 1: Insulin </w:t>
            </w:r>
            <w:proofErr w:type="spellStart"/>
            <w:r>
              <w:rPr>
                <w:rStyle w:val="Strong"/>
                <w:b/>
                <w:bCs/>
              </w:rPr>
              <w:t>aspart</w:t>
            </w:r>
            <w:proofErr w:type="spellEnd"/>
            <w:r>
              <w:rPr>
                <w:rStyle w:val="Strong"/>
                <w:b/>
                <w:bCs/>
              </w:rPr>
              <w:t xml:space="preserve"> formulations</w:t>
            </w:r>
          </w:p>
        </w:tc>
      </w:tr>
      <w:tr w:rsidR="001A1981" w14:paraId="7ECAEADE" w14:textId="77777777" w:rsidTr="001A1981">
        <w:trPr>
          <w:trHeight w:val="113"/>
        </w:trPr>
        <w:tc>
          <w:tcPr>
            <w:tcW w:w="5000" w:type="pct"/>
          </w:tcPr>
          <w:p w14:paraId="0CB45FC6" w14:textId="789DD7B3" w:rsidR="003E4A94" w:rsidRDefault="003E4A94" w:rsidP="00B44A2D">
            <w:pPr>
              <w:spacing w:after="0"/>
            </w:pPr>
            <w:proofErr w:type="spellStart"/>
            <w:r>
              <w:t>Fiasp</w:t>
            </w:r>
            <w:proofErr w:type="spellEnd"/>
            <w:r>
              <w:t xml:space="preserve"> is a novel formulation of insulin </w:t>
            </w:r>
            <w:proofErr w:type="spellStart"/>
            <w:r>
              <w:t>aspart</w:t>
            </w:r>
            <w:proofErr w:type="spellEnd"/>
            <w:r>
              <w:t xml:space="preserve">. The inclusion of nicotinamide allows a faster onset of action and a greater early glucose-lowering effect compared to the originator brand of insulin </w:t>
            </w:r>
            <w:proofErr w:type="spellStart"/>
            <w:r>
              <w:t>aspart</w:t>
            </w:r>
            <w:proofErr w:type="spellEnd"/>
            <w:r>
              <w:t>, NovoRapid.</w:t>
            </w:r>
            <w:r>
              <w:rPr>
                <w:rStyle w:val="Superscript"/>
              </w:rPr>
              <w:t>8</w:t>
            </w:r>
            <w:r>
              <w:t xml:space="preserve"> </w:t>
            </w:r>
          </w:p>
        </w:tc>
      </w:tr>
      <w:tr w:rsidR="001A1981" w14:paraId="0E97C6B9" w14:textId="77777777" w:rsidTr="001A1981">
        <w:trPr>
          <w:trHeight w:val="113"/>
        </w:trPr>
        <w:tc>
          <w:tcPr>
            <w:tcW w:w="5000" w:type="pct"/>
            <w:shd w:val="clear" w:color="auto" w:fill="E12827"/>
          </w:tcPr>
          <w:p w14:paraId="557BEF4A" w14:textId="4732E311" w:rsidR="001A1981" w:rsidRDefault="001A1981" w:rsidP="00F91DBC">
            <w:pPr>
              <w:pStyle w:val="Redhighlight"/>
            </w:pPr>
            <w:proofErr w:type="spellStart"/>
            <w:r>
              <w:t>Fiasp</w:t>
            </w:r>
            <w:proofErr w:type="spellEnd"/>
            <w:r>
              <w:t xml:space="preserve"> </w:t>
            </w:r>
            <w:r w:rsidRPr="00E25485">
              <w:t>and</w:t>
            </w:r>
            <w:r>
              <w:t xml:space="preserve"> </w:t>
            </w:r>
            <w:proofErr w:type="spellStart"/>
            <w:r>
              <w:t>NovoRapid</w:t>
            </w:r>
            <w:proofErr w:type="spellEnd"/>
            <w:r>
              <w:t xml:space="preserve"> brands of insulin </w:t>
            </w:r>
            <w:proofErr w:type="spellStart"/>
            <w:r>
              <w:t>aspart</w:t>
            </w:r>
            <w:proofErr w:type="spellEnd"/>
            <w:r>
              <w:t xml:space="preserve"> are not </w:t>
            </w:r>
            <w:r w:rsidRPr="00F91DBC">
              <w:t>equivalent</w:t>
            </w:r>
            <w:r>
              <w:t xml:space="preserve"> or interchangeable.</w:t>
            </w:r>
          </w:p>
        </w:tc>
      </w:tr>
      <w:tr w:rsidR="001A1981" w14:paraId="270BB136" w14:textId="77777777" w:rsidTr="001A1981">
        <w:trPr>
          <w:trHeight w:val="113"/>
        </w:trPr>
        <w:tc>
          <w:tcPr>
            <w:tcW w:w="5000" w:type="pct"/>
          </w:tcPr>
          <w:p w14:paraId="069A3B9D" w14:textId="77777777" w:rsidR="001A1981" w:rsidRDefault="001A1981" w:rsidP="00D53C64">
            <w:pPr>
              <w:spacing w:before="240"/>
              <w:rPr>
                <w:rStyle w:val="Superscript"/>
              </w:rPr>
            </w:pPr>
            <w:proofErr w:type="spellStart"/>
            <w:r>
              <w:t>Fiasp</w:t>
            </w:r>
            <w:proofErr w:type="spellEnd"/>
            <w:r>
              <w:t xml:space="preserve"> has a greater risk of hypoglycaemia with delay in food intake.</w:t>
            </w:r>
            <w:r>
              <w:rPr>
                <w:rStyle w:val="Superscript"/>
              </w:rPr>
              <w:t xml:space="preserve">5 </w:t>
            </w:r>
          </w:p>
          <w:p w14:paraId="65EDA517" w14:textId="77777777" w:rsidR="001A1981" w:rsidRDefault="001A1981" w:rsidP="001A1981">
            <w:proofErr w:type="spellStart"/>
            <w:r>
              <w:t>Fiasp</w:t>
            </w:r>
            <w:proofErr w:type="spellEnd"/>
            <w:r>
              <w:t xml:space="preserve"> and </w:t>
            </w:r>
            <w:proofErr w:type="spellStart"/>
            <w:r>
              <w:t>NovoRapid</w:t>
            </w:r>
            <w:proofErr w:type="spellEnd"/>
            <w:r>
              <w:t xml:space="preserve"> are available in the same strength, with similar delivery systems. When prescribed by active ingredient without the brand name, their descriptions may both appear as </w:t>
            </w:r>
            <w:r>
              <w:rPr>
                <w:rStyle w:val="Strong"/>
              </w:rPr>
              <w:t xml:space="preserve">insulin </w:t>
            </w:r>
            <w:proofErr w:type="spellStart"/>
            <w:r>
              <w:rPr>
                <w:rStyle w:val="Strong"/>
              </w:rPr>
              <w:t>aspart</w:t>
            </w:r>
            <w:proofErr w:type="spellEnd"/>
            <w:r>
              <w:rPr>
                <w:rStyle w:val="Strong"/>
              </w:rPr>
              <w:t xml:space="preserve"> 100 units/mL injection</w:t>
            </w:r>
            <w:r>
              <w:t xml:space="preserve">. </w:t>
            </w:r>
          </w:p>
          <w:p w14:paraId="68E33FE4" w14:textId="77777777" w:rsidR="001A1981" w:rsidRDefault="001A1981" w:rsidP="001A1981">
            <w:r>
              <w:t xml:space="preserve">Including the </w:t>
            </w:r>
            <w:r>
              <w:rPr>
                <w:rStyle w:val="Strong"/>
              </w:rPr>
              <w:t>brand name</w:t>
            </w:r>
            <w:r>
              <w:t xml:space="preserve"> will distinguish between the two products and avoid selection errors at the point of dispensing</w:t>
            </w:r>
            <w:r>
              <w:rPr>
                <w:rStyle w:val="Superscript"/>
              </w:rPr>
              <w:t>5</w:t>
            </w:r>
            <w:r>
              <w:t>:</w:t>
            </w:r>
          </w:p>
          <w:p w14:paraId="7116F42D" w14:textId="77777777" w:rsidR="001A1981" w:rsidRDefault="001A1981" w:rsidP="00D51677">
            <w:pPr>
              <w:pStyle w:val="ListParagraph"/>
              <w:numPr>
                <w:ilvl w:val="0"/>
                <w:numId w:val="34"/>
              </w:numPr>
            </w:pPr>
            <w:r>
              <w:t xml:space="preserve">Insulin </w:t>
            </w:r>
            <w:proofErr w:type="spellStart"/>
            <w:r>
              <w:t>aspart</w:t>
            </w:r>
            <w:proofErr w:type="spellEnd"/>
            <w:r>
              <w:t xml:space="preserve"> 100 units/mL injection (</w:t>
            </w:r>
            <w:proofErr w:type="spellStart"/>
            <w:r>
              <w:t>Fiasp</w:t>
            </w:r>
            <w:proofErr w:type="spellEnd"/>
            <w:r>
              <w:t>)</w:t>
            </w:r>
          </w:p>
          <w:p w14:paraId="52F1F332" w14:textId="18A26733" w:rsidR="001A1981" w:rsidRDefault="001A1981" w:rsidP="00D51677">
            <w:pPr>
              <w:pStyle w:val="ListParagraph"/>
              <w:numPr>
                <w:ilvl w:val="0"/>
                <w:numId w:val="34"/>
              </w:numPr>
            </w:pPr>
            <w:r>
              <w:t xml:space="preserve">Insulin </w:t>
            </w:r>
            <w:proofErr w:type="spellStart"/>
            <w:r>
              <w:t>aspart</w:t>
            </w:r>
            <w:proofErr w:type="spellEnd"/>
            <w:r>
              <w:t xml:space="preserve"> 100 units/mL injection (</w:t>
            </w:r>
            <w:proofErr w:type="spellStart"/>
            <w:r>
              <w:t>NovoRapid</w:t>
            </w:r>
            <w:proofErr w:type="spellEnd"/>
            <w:r>
              <w:t>).</w:t>
            </w:r>
          </w:p>
        </w:tc>
      </w:tr>
    </w:tbl>
    <w:p w14:paraId="5D49AA03" w14:textId="73929258" w:rsidR="002D46E6" w:rsidRDefault="002D46E6" w:rsidP="0052640B">
      <w:pPr>
        <w:pStyle w:val="Heading2"/>
        <w:spacing w:before="360"/>
      </w:pPr>
      <w:r>
        <w:br w:type="page"/>
      </w:r>
    </w:p>
    <w:tbl>
      <w:tblPr>
        <w:tblStyle w:val="Highlighbox"/>
        <w:tblW w:w="5000" w:type="pct"/>
        <w:tblLook w:val="0000" w:firstRow="0" w:lastRow="0" w:firstColumn="0" w:lastColumn="0" w:noHBand="0" w:noVBand="0"/>
        <w:tblDescription w:val="Box 2: Insulin glargine – high-concentration "/>
      </w:tblPr>
      <w:tblGrid>
        <w:gridCol w:w="9518"/>
      </w:tblGrid>
      <w:tr w:rsidR="00AA45AD" w14:paraId="7BDD8F1B" w14:textId="77777777" w:rsidTr="00924F27">
        <w:trPr>
          <w:trHeight w:val="20"/>
        </w:trPr>
        <w:tc>
          <w:tcPr>
            <w:tcW w:w="5000" w:type="pct"/>
          </w:tcPr>
          <w:p w14:paraId="34820A9A" w14:textId="77777777" w:rsidR="00AA45AD" w:rsidRDefault="00AA45AD" w:rsidP="00924F27">
            <w:pPr>
              <w:pStyle w:val="Heading3"/>
              <w:spacing w:after="0"/>
              <w:jc w:val="both"/>
              <w:outlineLvl w:val="2"/>
            </w:pPr>
            <w:r>
              <w:rPr>
                <w:rStyle w:val="Strong"/>
                <w:b/>
                <w:bCs/>
                <w:spacing w:val="-3"/>
              </w:rPr>
              <w:lastRenderedPageBreak/>
              <w:t xml:space="preserve">Box 2: Insulin glargine – high-concentration </w:t>
            </w:r>
          </w:p>
        </w:tc>
      </w:tr>
      <w:tr w:rsidR="00AA45AD" w14:paraId="7D6F1DBF" w14:textId="77777777" w:rsidTr="00924F27">
        <w:trPr>
          <w:trHeight w:val="20"/>
        </w:trPr>
        <w:tc>
          <w:tcPr>
            <w:tcW w:w="5000" w:type="pct"/>
          </w:tcPr>
          <w:p w14:paraId="7DC804DA" w14:textId="77777777" w:rsidR="00AA45AD" w:rsidRDefault="00AA45AD" w:rsidP="00924F27">
            <w:pPr>
              <w:spacing w:after="0"/>
            </w:pPr>
            <w:r>
              <w:t xml:space="preserve">Insulin glargine is a long-acting insulin that can cause prolonged hypoglycaemia if administered incorrectly. It is available in two strengths, 100 units/mL and 300 units/mL and in various delivery systems including vial, cartridge and pen. </w:t>
            </w:r>
          </w:p>
        </w:tc>
      </w:tr>
      <w:tr w:rsidR="00AA45AD" w14:paraId="4D52484F" w14:textId="77777777" w:rsidTr="00924F27">
        <w:trPr>
          <w:trHeight w:val="20"/>
        </w:trPr>
        <w:tc>
          <w:tcPr>
            <w:tcW w:w="5000" w:type="pct"/>
            <w:shd w:val="clear" w:color="auto" w:fill="E12827"/>
          </w:tcPr>
          <w:p w14:paraId="2AD520A6" w14:textId="77777777" w:rsidR="00AA45AD" w:rsidRDefault="00AA45AD" w:rsidP="00924F27">
            <w:pPr>
              <w:pStyle w:val="Redhighlight"/>
            </w:pPr>
            <w:r>
              <w:t>Different concentrations of insulin glargine are not equivalent or directly interchangeable.</w:t>
            </w:r>
          </w:p>
        </w:tc>
      </w:tr>
      <w:tr w:rsidR="00AA45AD" w14:paraId="086C9016" w14:textId="77777777" w:rsidTr="00924F27">
        <w:trPr>
          <w:trHeight w:val="20"/>
        </w:trPr>
        <w:tc>
          <w:tcPr>
            <w:tcW w:w="5000" w:type="pct"/>
          </w:tcPr>
          <w:p w14:paraId="68ACEDE4" w14:textId="77777777" w:rsidR="00AA45AD" w:rsidRDefault="00AA45AD" w:rsidP="00924F27">
            <w:pPr>
              <w:spacing w:before="240"/>
            </w:pPr>
            <w:r>
              <w:t>The 300 units/mL formulation (</w:t>
            </w:r>
            <w:proofErr w:type="spellStart"/>
            <w:r>
              <w:t>Toujeo</w:t>
            </w:r>
            <w:proofErr w:type="spellEnd"/>
            <w:r>
              <w:t>) is three times more concentrated than the 100 units/mL formulation (</w:t>
            </w:r>
            <w:proofErr w:type="spellStart"/>
            <w:r>
              <w:t>Optisulin</w:t>
            </w:r>
            <w:proofErr w:type="spellEnd"/>
            <w:r>
              <w:t>). This results in slower absorption, more consistent insulin activity, and a longer duration of action.</w:t>
            </w:r>
            <w:r>
              <w:rPr>
                <w:rStyle w:val="Superscript"/>
              </w:rPr>
              <w:t>9</w:t>
            </w:r>
            <w:r>
              <w:t xml:space="preserve"> </w:t>
            </w:r>
          </w:p>
          <w:p w14:paraId="4D2F32F2" w14:textId="77777777" w:rsidR="00AA45AD" w:rsidRDefault="00AA45AD" w:rsidP="00924F27">
            <w:r>
              <w:t>Administration errors and harm have been reported in association with inadvertent use of high concentration insulin glargine.</w:t>
            </w:r>
            <w:r>
              <w:rPr>
                <w:rStyle w:val="Superscript"/>
              </w:rPr>
              <w:t>10</w:t>
            </w:r>
            <w:r>
              <w:t xml:space="preserve"> Careful dose adjustments and close monitoring are required if switching from one formulation to the other to reduce the risk of hypoglycaemia.</w:t>
            </w:r>
            <w:r>
              <w:rPr>
                <w:rStyle w:val="Superscript"/>
              </w:rPr>
              <w:t>10</w:t>
            </w:r>
          </w:p>
          <w:p w14:paraId="26C25611" w14:textId="77777777" w:rsidR="00AA45AD" w:rsidRDefault="00AA45AD" w:rsidP="00924F27">
            <w:r>
              <w:t xml:space="preserve">It is important to specify the strength on the prescription. Including the </w:t>
            </w:r>
            <w:r>
              <w:rPr>
                <w:rStyle w:val="Strong"/>
              </w:rPr>
              <w:t>brand name</w:t>
            </w:r>
            <w:r>
              <w:t xml:space="preserve"> will emphasise the product to be used.</w:t>
            </w:r>
          </w:p>
        </w:tc>
      </w:tr>
    </w:tbl>
    <w:p w14:paraId="527039BE" w14:textId="77777777" w:rsidR="00AA45AD" w:rsidRDefault="00AA45AD" w:rsidP="0052640B">
      <w:pPr>
        <w:pStyle w:val="Heading2"/>
        <w:spacing w:before="360"/>
      </w:pPr>
      <w:r>
        <w:br w:type="page"/>
      </w:r>
    </w:p>
    <w:p w14:paraId="2A09A4BC" w14:textId="060A411A" w:rsidR="003E4A94" w:rsidRDefault="003E4A94" w:rsidP="0052640B">
      <w:pPr>
        <w:pStyle w:val="Heading2"/>
        <w:spacing w:before="360"/>
      </w:pPr>
      <w:r>
        <w:lastRenderedPageBreak/>
        <w:t xml:space="preserve">Stop, Think, Check! </w:t>
      </w:r>
    </w:p>
    <w:tbl>
      <w:tblPr>
        <w:tblStyle w:val="MDBAsimple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Description w:val="Stop, Think, Check! "/>
      </w:tblPr>
      <w:tblGrid>
        <w:gridCol w:w="1296"/>
        <w:gridCol w:w="8342"/>
      </w:tblGrid>
      <w:tr w:rsidR="002A6278" w14:paraId="530BB95F" w14:textId="77777777" w:rsidTr="007209EC">
        <w:tc>
          <w:tcPr>
            <w:tcW w:w="625" w:type="pct"/>
            <w:shd w:val="clear" w:color="auto" w:fill="FCE7DD"/>
            <w:vAlign w:val="center"/>
          </w:tcPr>
          <w:p w14:paraId="2BB7EC93" w14:textId="2E0DD17F" w:rsidR="002D46E6" w:rsidRDefault="002D46E6" w:rsidP="007209EC">
            <w:pPr>
              <w:spacing w:before="0" w:after="0"/>
            </w:pPr>
            <w:r w:rsidRPr="002D46E6">
              <w:rPr>
                <w:noProof/>
              </w:rPr>
              <w:drawing>
                <wp:inline distT="0" distB="0" distL="0" distR="0" wp14:anchorId="156DE42E" wp14:editId="78161C75">
                  <wp:extent cx="685800" cy="685800"/>
                  <wp:effectExtent l="0" t="0" r="0" b="0"/>
                  <wp:docPr id="3" name="Picture 3" descr="S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p icon"/>
                          <pic:cNvPicPr/>
                        </pic:nvPicPr>
                        <pic:blipFill>
                          <a:blip r:embed="rId11"/>
                          <a:stretch>
                            <a:fillRect/>
                          </a:stretch>
                        </pic:blipFill>
                        <pic:spPr>
                          <a:xfrm>
                            <a:off x="0" y="0"/>
                            <a:ext cx="685800" cy="685800"/>
                          </a:xfrm>
                          <a:prstGeom prst="rect">
                            <a:avLst/>
                          </a:prstGeom>
                        </pic:spPr>
                      </pic:pic>
                    </a:graphicData>
                  </a:graphic>
                </wp:inline>
              </w:drawing>
            </w:r>
          </w:p>
        </w:tc>
        <w:tc>
          <w:tcPr>
            <w:tcW w:w="4375" w:type="pct"/>
            <w:shd w:val="clear" w:color="auto" w:fill="FCE7DD"/>
            <w:vAlign w:val="center"/>
          </w:tcPr>
          <w:p w14:paraId="49FB918D" w14:textId="65A366EE" w:rsidR="002D46E6" w:rsidRDefault="002D46E6" w:rsidP="007209EC">
            <w:pPr>
              <w:pStyle w:val="Heading3"/>
              <w:spacing w:before="240"/>
              <w:outlineLvl w:val="2"/>
            </w:pPr>
            <w:r>
              <w:t>Stop and review the active ingredient name, strength, and formulation when selecting and prescribing an insulin product for your patient</w:t>
            </w:r>
          </w:p>
        </w:tc>
      </w:tr>
      <w:tr w:rsidR="002A6278" w14:paraId="275BA3F5" w14:textId="77777777" w:rsidTr="00E954DF">
        <w:tc>
          <w:tcPr>
            <w:tcW w:w="625" w:type="pct"/>
          </w:tcPr>
          <w:p w14:paraId="598B33FD" w14:textId="632AAE3B" w:rsidR="001D6CD7" w:rsidRPr="002D46E6" w:rsidRDefault="001D6CD7" w:rsidP="00A047FE">
            <w:pPr>
              <w:spacing w:before="0" w:after="0"/>
              <w:jc w:val="center"/>
            </w:pPr>
            <w:r w:rsidRPr="002D46E6">
              <w:rPr>
                <w:noProof/>
              </w:rPr>
              <w:drawing>
                <wp:inline distT="0" distB="0" distL="0" distR="0" wp14:anchorId="776AF701" wp14:editId="5D92DEF1">
                  <wp:extent cx="368300" cy="35514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a:fillRect/>
                          </a:stretch>
                        </pic:blipFill>
                        <pic:spPr>
                          <a:xfrm>
                            <a:off x="0" y="0"/>
                            <a:ext cx="368300" cy="355146"/>
                          </a:xfrm>
                          <a:prstGeom prst="rect">
                            <a:avLst/>
                          </a:prstGeom>
                        </pic:spPr>
                      </pic:pic>
                    </a:graphicData>
                  </a:graphic>
                </wp:inline>
              </w:drawing>
            </w:r>
          </w:p>
        </w:tc>
        <w:tc>
          <w:tcPr>
            <w:tcW w:w="4375" w:type="pct"/>
          </w:tcPr>
          <w:p w14:paraId="4C565730" w14:textId="68F3A239" w:rsidR="001D6CD7" w:rsidRDefault="001D6CD7" w:rsidP="00067C95">
            <w:pPr>
              <w:spacing w:after="240"/>
            </w:pPr>
            <w:r>
              <w:t xml:space="preserve">Insulins </w:t>
            </w:r>
            <w:r w:rsidRPr="001D6CD7">
              <w:t>have</w:t>
            </w:r>
            <w:r>
              <w:t xml:space="preserve"> similar looking and sounding names, strengths, and forms, which may be easily misread in a medicine selection list.</w:t>
            </w:r>
          </w:p>
        </w:tc>
      </w:tr>
      <w:tr w:rsidR="002A6278" w14:paraId="4FC062C0" w14:textId="77777777" w:rsidTr="007209EC">
        <w:tc>
          <w:tcPr>
            <w:tcW w:w="625" w:type="pct"/>
            <w:shd w:val="clear" w:color="auto" w:fill="FFF1E2"/>
            <w:vAlign w:val="center"/>
          </w:tcPr>
          <w:p w14:paraId="03D3419D" w14:textId="51489812" w:rsidR="00A047FE" w:rsidRDefault="002D46E6" w:rsidP="007209EC">
            <w:pPr>
              <w:spacing w:before="0" w:after="0"/>
            </w:pPr>
            <w:r w:rsidRPr="002D46E6">
              <w:rPr>
                <w:noProof/>
              </w:rPr>
              <w:drawing>
                <wp:inline distT="0" distB="0" distL="0" distR="0" wp14:anchorId="567B2D00" wp14:editId="5B642794">
                  <wp:extent cx="685800" cy="685800"/>
                  <wp:effectExtent l="0" t="0" r="0" b="0"/>
                  <wp:docPr id="5" name="Picture 5" descr="Clipboard and p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ipboard and pen icon"/>
                          <pic:cNvPicPr/>
                        </pic:nvPicPr>
                        <pic:blipFill>
                          <a:blip r:embed="rId13"/>
                          <a:stretch>
                            <a:fillRect/>
                          </a:stretch>
                        </pic:blipFill>
                        <pic:spPr>
                          <a:xfrm>
                            <a:off x="0" y="0"/>
                            <a:ext cx="685800" cy="685800"/>
                          </a:xfrm>
                          <a:prstGeom prst="rect">
                            <a:avLst/>
                          </a:prstGeom>
                        </pic:spPr>
                      </pic:pic>
                    </a:graphicData>
                  </a:graphic>
                </wp:inline>
              </w:drawing>
            </w:r>
          </w:p>
        </w:tc>
        <w:tc>
          <w:tcPr>
            <w:tcW w:w="4375" w:type="pct"/>
            <w:shd w:val="clear" w:color="auto" w:fill="FFF1E2"/>
            <w:vAlign w:val="center"/>
          </w:tcPr>
          <w:p w14:paraId="5A88DE2E" w14:textId="71EA9BD2" w:rsidR="002D46E6" w:rsidRPr="001D6CD7" w:rsidRDefault="002D46E6" w:rsidP="007209EC">
            <w:pPr>
              <w:pStyle w:val="Heading3"/>
              <w:spacing w:before="240"/>
              <w:outlineLvl w:val="2"/>
            </w:pPr>
            <w:r>
              <w:t>Think about the clarity of your prescription for the pharmacist to dispense, nurse to administer, or patient to</w:t>
            </w:r>
            <w:r w:rsidR="0089715A">
              <w:t> </w:t>
            </w:r>
            <w:r>
              <w:t>use</w:t>
            </w:r>
          </w:p>
        </w:tc>
      </w:tr>
      <w:tr w:rsidR="002A6278" w14:paraId="26DF1A60" w14:textId="77777777" w:rsidTr="00E954DF">
        <w:tc>
          <w:tcPr>
            <w:tcW w:w="625" w:type="pct"/>
          </w:tcPr>
          <w:p w14:paraId="28E14234" w14:textId="2A5D7075" w:rsidR="001D6CD7" w:rsidRPr="002D46E6" w:rsidRDefault="001D6CD7" w:rsidP="00A047FE">
            <w:pPr>
              <w:spacing w:before="0" w:after="0"/>
              <w:jc w:val="center"/>
            </w:pPr>
            <w:r w:rsidRPr="00A047FE">
              <w:rPr>
                <w:noProof/>
              </w:rPr>
              <w:drawing>
                <wp:inline distT="0" distB="0" distL="0" distR="0" wp14:anchorId="5DB00980" wp14:editId="45695AE7">
                  <wp:extent cx="35560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stretch>
                            <a:fillRect/>
                          </a:stretch>
                        </pic:blipFill>
                        <pic:spPr>
                          <a:xfrm>
                            <a:off x="0" y="0"/>
                            <a:ext cx="355600" cy="1371600"/>
                          </a:xfrm>
                          <a:prstGeom prst="rect">
                            <a:avLst/>
                          </a:prstGeom>
                        </pic:spPr>
                      </pic:pic>
                    </a:graphicData>
                  </a:graphic>
                </wp:inline>
              </w:drawing>
            </w:r>
          </w:p>
        </w:tc>
        <w:tc>
          <w:tcPr>
            <w:tcW w:w="4375" w:type="pct"/>
          </w:tcPr>
          <w:p w14:paraId="435443C5" w14:textId="4BACE0B3" w:rsidR="001D6CD7" w:rsidRDefault="001D6CD7" w:rsidP="001D6CD7">
            <w:r>
              <w:t>An unclear or incomplete prescription can impact the safe use and administration of</w:t>
            </w:r>
            <w:r w:rsidR="002A6278">
              <w:t> </w:t>
            </w:r>
            <w:r>
              <w:t xml:space="preserve">insulin. </w:t>
            </w:r>
          </w:p>
          <w:p w14:paraId="12B8A480" w14:textId="2A015F13" w:rsidR="001D6CD7" w:rsidRDefault="001D6CD7" w:rsidP="001D6CD7">
            <w:r>
              <w:t>Workloads may be impacted, and therapy delayed if a prescription is unclear or</w:t>
            </w:r>
            <w:r w:rsidR="009D6F97">
              <w:t> </w:t>
            </w:r>
            <w:r>
              <w:t xml:space="preserve">ambiguous. </w:t>
            </w:r>
          </w:p>
          <w:p w14:paraId="508B845C" w14:textId="77777777" w:rsidR="001D6CD7" w:rsidRDefault="001D6CD7" w:rsidP="001D6CD7">
            <w:r>
              <w:t xml:space="preserve">Think about your patient’s understanding of their insulin. For instance: </w:t>
            </w:r>
          </w:p>
          <w:p w14:paraId="1361B0AA" w14:textId="77777777" w:rsidR="001D6CD7" w:rsidRDefault="001D6CD7" w:rsidP="001D6CD7">
            <w:pPr>
              <w:pStyle w:val="ListParagraph"/>
              <w:numPr>
                <w:ilvl w:val="0"/>
                <w:numId w:val="35"/>
              </w:numPr>
            </w:pPr>
            <w:r>
              <w:t xml:space="preserve">Is this a new insulin for them? </w:t>
            </w:r>
          </w:p>
          <w:p w14:paraId="25C32B2C" w14:textId="77777777" w:rsidR="001D6CD7" w:rsidRDefault="001D6CD7" w:rsidP="001D6CD7">
            <w:pPr>
              <w:pStyle w:val="ListParagraph"/>
              <w:numPr>
                <w:ilvl w:val="0"/>
                <w:numId w:val="35"/>
              </w:numPr>
            </w:pPr>
            <w:r>
              <w:t>Do they know the active ingredient name and brand name of their insulin?</w:t>
            </w:r>
          </w:p>
          <w:p w14:paraId="4B5C006A" w14:textId="77777777" w:rsidR="001D6CD7" w:rsidRDefault="001D6CD7" w:rsidP="001D6CD7">
            <w:pPr>
              <w:pStyle w:val="ListParagraph"/>
              <w:numPr>
                <w:ilvl w:val="0"/>
                <w:numId w:val="35"/>
              </w:numPr>
            </w:pPr>
            <w:r>
              <w:t xml:space="preserve">Do they know what the delivery device looks like and how to administer correctly? </w:t>
            </w:r>
          </w:p>
          <w:p w14:paraId="64B5A09A" w14:textId="2388BCA6" w:rsidR="001D6CD7" w:rsidRPr="001D6CD7" w:rsidRDefault="001D6CD7" w:rsidP="00067C95">
            <w:pPr>
              <w:pStyle w:val="ListParagraph"/>
              <w:numPr>
                <w:ilvl w:val="0"/>
                <w:numId w:val="35"/>
              </w:numPr>
              <w:spacing w:after="240"/>
              <w:ind w:left="714" w:hanging="357"/>
            </w:pPr>
            <w:r w:rsidRPr="001D6CD7">
              <w:t>Do they know what dose to administer, how often and at what time? Is this clear on the prescription?</w:t>
            </w:r>
          </w:p>
        </w:tc>
      </w:tr>
      <w:tr w:rsidR="002A6278" w14:paraId="608CD57C" w14:textId="77777777" w:rsidTr="007209EC">
        <w:tc>
          <w:tcPr>
            <w:tcW w:w="625" w:type="pct"/>
            <w:shd w:val="clear" w:color="auto" w:fill="E8EFE5"/>
            <w:vAlign w:val="center"/>
          </w:tcPr>
          <w:p w14:paraId="22994A00" w14:textId="51F70D3A" w:rsidR="002D46E6" w:rsidRDefault="002D46E6" w:rsidP="007209EC">
            <w:r w:rsidRPr="002D46E6">
              <w:rPr>
                <w:noProof/>
              </w:rPr>
              <w:drawing>
                <wp:inline distT="0" distB="0" distL="0" distR="0" wp14:anchorId="0DC3524D" wp14:editId="76128CAC">
                  <wp:extent cx="685800" cy="685800"/>
                  <wp:effectExtent l="0" t="0" r="0" b="0"/>
                  <wp:docPr id="7" name="Picture 7"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ck icon"/>
                          <pic:cNvPicPr/>
                        </pic:nvPicPr>
                        <pic:blipFill>
                          <a:blip r:embed="rId15"/>
                          <a:stretch>
                            <a:fillRect/>
                          </a:stretch>
                        </pic:blipFill>
                        <pic:spPr>
                          <a:xfrm>
                            <a:off x="0" y="0"/>
                            <a:ext cx="685800" cy="685800"/>
                          </a:xfrm>
                          <a:prstGeom prst="rect">
                            <a:avLst/>
                          </a:prstGeom>
                        </pic:spPr>
                      </pic:pic>
                    </a:graphicData>
                  </a:graphic>
                </wp:inline>
              </w:drawing>
            </w:r>
          </w:p>
        </w:tc>
        <w:tc>
          <w:tcPr>
            <w:tcW w:w="4375" w:type="pct"/>
            <w:shd w:val="clear" w:color="auto" w:fill="E8EFE5"/>
            <w:vAlign w:val="center"/>
          </w:tcPr>
          <w:p w14:paraId="6DB8AB34" w14:textId="65C73FB6" w:rsidR="002D46E6" w:rsidRDefault="002D46E6" w:rsidP="007209EC">
            <w:pPr>
              <w:pStyle w:val="Heading3"/>
              <w:outlineLvl w:val="2"/>
            </w:pPr>
            <w:r>
              <w:t>Check the brand name is included on the prescription for</w:t>
            </w:r>
            <w:r w:rsidR="0089715A">
              <w:t> </w:t>
            </w:r>
            <w:r>
              <w:t>insulin</w:t>
            </w:r>
          </w:p>
        </w:tc>
      </w:tr>
      <w:tr w:rsidR="0089715A" w14:paraId="69C11689" w14:textId="77777777" w:rsidTr="00E954DF">
        <w:tc>
          <w:tcPr>
            <w:tcW w:w="625" w:type="pct"/>
          </w:tcPr>
          <w:p w14:paraId="3A409900" w14:textId="77777777" w:rsidR="0089715A" w:rsidRPr="002D46E6" w:rsidRDefault="0089715A" w:rsidP="00A047FE">
            <w:pPr>
              <w:spacing w:before="0" w:after="0"/>
              <w:jc w:val="center"/>
            </w:pPr>
          </w:p>
        </w:tc>
        <w:tc>
          <w:tcPr>
            <w:tcW w:w="4375" w:type="pct"/>
          </w:tcPr>
          <w:p w14:paraId="5B3A61A6" w14:textId="62AE7696" w:rsidR="0089715A" w:rsidRDefault="0089715A" w:rsidP="0089715A">
            <w:r>
              <w:t>This will remove ambiguity and minimise risks of prescribing, dispensing and administration errors. General practice prescribing software should have a pop-up alert or check box. Make sure it is activated! This alert will prompt you include the brand name.</w:t>
            </w:r>
          </w:p>
        </w:tc>
      </w:tr>
    </w:tbl>
    <w:p w14:paraId="54F07AE2" w14:textId="77777777" w:rsidR="003E4A94" w:rsidRDefault="003E4A94" w:rsidP="003E4A94">
      <w:pPr>
        <w:pStyle w:val="Heading2"/>
      </w:pPr>
      <w:r>
        <w:t xml:space="preserve">Useful resources </w:t>
      </w:r>
    </w:p>
    <w:p w14:paraId="28A723B8" w14:textId="54D91E19" w:rsidR="003E4A94" w:rsidRDefault="003E7AB8" w:rsidP="007C1E35">
      <w:pPr>
        <w:pStyle w:val="ListParagraph"/>
        <w:numPr>
          <w:ilvl w:val="0"/>
          <w:numId w:val="36"/>
        </w:numPr>
      </w:pPr>
      <w:hyperlink r:id="rId16" w:history="1">
        <w:r w:rsidR="003E4A94">
          <w:rPr>
            <w:rStyle w:val="Hyperlink"/>
          </w:rPr>
          <w:t>New South Wales Therapeutic Advisory Group. Know your insulins</w:t>
        </w:r>
      </w:hyperlink>
      <w:r w:rsidR="003E4A94">
        <w:t xml:space="preserve"> – version 1.3, March</w:t>
      </w:r>
      <w:r w:rsidR="008A2BFB">
        <w:t> </w:t>
      </w:r>
      <w:r w:rsidR="003E4A94">
        <w:t xml:space="preserve">2022                     </w:t>
      </w:r>
    </w:p>
    <w:p w14:paraId="2F1207BC" w14:textId="77777777" w:rsidR="003E4A94" w:rsidRDefault="003E7AB8" w:rsidP="007C1E35">
      <w:pPr>
        <w:pStyle w:val="ListParagraph"/>
        <w:numPr>
          <w:ilvl w:val="0"/>
          <w:numId w:val="36"/>
        </w:numPr>
      </w:pPr>
      <w:hyperlink r:id="rId17" w:history="1">
        <w:r w:rsidR="003E4A94">
          <w:rPr>
            <w:rStyle w:val="Hyperlink"/>
          </w:rPr>
          <w:t>Western Australia Health. Know your insulins.</w:t>
        </w:r>
      </w:hyperlink>
      <w:r w:rsidR="003E4A94">
        <w:t xml:space="preserve"> September 2020. Western Australia Medication Safety Collaborative.</w:t>
      </w:r>
    </w:p>
    <w:p w14:paraId="61BF927C" w14:textId="77777777" w:rsidR="003E4A94" w:rsidRDefault="003E4A94" w:rsidP="003E4A94">
      <w:pPr>
        <w:pStyle w:val="Heading2"/>
      </w:pPr>
      <w:r>
        <w:lastRenderedPageBreak/>
        <w:t>Questions</w:t>
      </w:r>
    </w:p>
    <w:p w14:paraId="0D637B10" w14:textId="77777777" w:rsidR="003E4A94" w:rsidRDefault="003E4A94" w:rsidP="003E4A94">
      <w:r>
        <w:t xml:space="preserve">For more information, please visit: </w:t>
      </w:r>
      <w:hyperlink r:id="rId18" w:history="1">
        <w:r>
          <w:rPr>
            <w:rStyle w:val="Hyperlink"/>
          </w:rPr>
          <w:t>safetyandquality.gov.au/our-work/medication-safety</w:t>
        </w:r>
      </w:hyperlink>
      <w:r>
        <w:t>.</w:t>
      </w:r>
    </w:p>
    <w:p w14:paraId="3C74CA63" w14:textId="77777777" w:rsidR="003E4A94" w:rsidRDefault="003E4A94" w:rsidP="003E4A94">
      <w:r>
        <w:t xml:space="preserve">You can also contact the Medication Safety team at: </w:t>
      </w:r>
      <w:hyperlink r:id="rId19" w:history="1">
        <w:r>
          <w:rPr>
            <w:rStyle w:val="Hyperlink"/>
          </w:rPr>
          <w:t>medsafety@safetyandquality.gov.au</w:t>
        </w:r>
      </w:hyperlink>
      <w:r>
        <w:t>.</w:t>
      </w:r>
    </w:p>
    <w:p w14:paraId="764E05E9" w14:textId="77777777" w:rsidR="003E4A94" w:rsidRDefault="003E4A94" w:rsidP="0022735C">
      <w:pPr>
        <w:pStyle w:val="Heading2"/>
      </w:pPr>
      <w:r>
        <w:t>References</w:t>
      </w:r>
    </w:p>
    <w:p w14:paraId="2A45BAB9" w14:textId="77777777" w:rsidR="003E4A94" w:rsidRDefault="003E4A94" w:rsidP="0022735C">
      <w:pPr>
        <w:pStyle w:val="ListParagraph"/>
        <w:numPr>
          <w:ilvl w:val="0"/>
          <w:numId w:val="37"/>
        </w:numPr>
        <w:ind w:left="426" w:hanging="426"/>
      </w:pPr>
      <w:proofErr w:type="spellStart"/>
      <w:r>
        <w:t>Setra</w:t>
      </w:r>
      <w:proofErr w:type="spellEnd"/>
      <w:r>
        <w:t xml:space="preserve"> A, Jani Y. A Longitudinal Assessment of the Quality of Insulin Prescribing with Different Prescribing Systems. Pharmacy (Basel). 2021;9(1):53. Published 2021 Mar 5. </w:t>
      </w:r>
      <w:hyperlink r:id="rId20" w:history="1">
        <w:r>
          <w:rPr>
            <w:rStyle w:val="Hyperlink"/>
          </w:rPr>
          <w:t>doi:10.3390/pharmacy9010053</w:t>
        </w:r>
      </w:hyperlink>
      <w:r>
        <w:t xml:space="preserve"> </w:t>
      </w:r>
    </w:p>
    <w:p w14:paraId="50192771" w14:textId="77777777" w:rsidR="003E4A94" w:rsidRDefault="003E4A94" w:rsidP="0022735C">
      <w:pPr>
        <w:pStyle w:val="ListParagraph"/>
        <w:numPr>
          <w:ilvl w:val="0"/>
          <w:numId w:val="37"/>
        </w:numPr>
        <w:ind w:left="426" w:hanging="426"/>
      </w:pPr>
      <w:r>
        <w:t>Institute for Safe Medicines Practices. 2017 ISMP Guidelines for Optimizing Safe Subcutaneous Insulin Use in Adults. [Accessed 9 May 2022]. Available online: </w:t>
      </w:r>
      <w:hyperlink r:id="rId21" w:history="1">
        <w:r>
          <w:rPr>
            <w:rStyle w:val="Hyperlink"/>
          </w:rPr>
          <w:t>www.ismp.org/sites/default/files/attachments/2017-11/ISMP138-Insulin%20Guideline-051517-2-WEB.pdf</w:t>
        </w:r>
      </w:hyperlink>
    </w:p>
    <w:p w14:paraId="700B0AE4" w14:textId="77777777" w:rsidR="003E4A94" w:rsidRDefault="003E4A94" w:rsidP="0022735C">
      <w:pPr>
        <w:pStyle w:val="ListParagraph"/>
        <w:numPr>
          <w:ilvl w:val="0"/>
          <w:numId w:val="37"/>
        </w:numPr>
        <w:ind w:left="426" w:hanging="426"/>
      </w:pPr>
      <w:r>
        <w:t xml:space="preserve">National Institute for Health and Care Excellence. Type 1 diabetes in adults: diagnosis and management. NICE guideline – updated 2022. [Accessed 9 May 2022]. Available online: </w:t>
      </w:r>
      <w:hyperlink r:id="rId22" w:history="1">
        <w:r>
          <w:rPr>
            <w:rStyle w:val="Hyperlink"/>
          </w:rPr>
          <w:t>www.nice.org.uk/guidance/ng17</w:t>
        </w:r>
      </w:hyperlink>
      <w:r>
        <w:t xml:space="preserve"> </w:t>
      </w:r>
    </w:p>
    <w:p w14:paraId="72ADBBCB" w14:textId="77777777" w:rsidR="003E4A94" w:rsidRDefault="003E4A94" w:rsidP="0022735C">
      <w:pPr>
        <w:pStyle w:val="ListParagraph"/>
        <w:numPr>
          <w:ilvl w:val="0"/>
          <w:numId w:val="37"/>
        </w:numPr>
        <w:ind w:left="426" w:hanging="426"/>
      </w:pPr>
      <w:r>
        <w:t>National Health Service Sunderland Clinical Commissioning Group. Sunderland diabetes network – Recommendations for safe prescribing of insulin. Reviewed September 2017.</w:t>
      </w:r>
    </w:p>
    <w:p w14:paraId="0E0A5B67" w14:textId="77777777" w:rsidR="003E4A94" w:rsidRDefault="003E4A94" w:rsidP="0022735C">
      <w:pPr>
        <w:pStyle w:val="ListParagraph"/>
        <w:numPr>
          <w:ilvl w:val="0"/>
          <w:numId w:val="37"/>
        </w:numPr>
        <w:ind w:left="426" w:hanging="426"/>
      </w:pPr>
      <w:r>
        <w:t xml:space="preserve">South Australia Health. Medication Safety Notice – New Insulin </w:t>
      </w:r>
      <w:proofErr w:type="spellStart"/>
      <w:r>
        <w:t>aspart</w:t>
      </w:r>
      <w:proofErr w:type="spellEnd"/>
      <w:r>
        <w:t xml:space="preserve"> formulations – </w:t>
      </w:r>
      <w:proofErr w:type="spellStart"/>
      <w:r>
        <w:t>Fiasp</w:t>
      </w:r>
      <w:proofErr w:type="spellEnd"/>
      <w:r>
        <w:t xml:space="preserve"> and </w:t>
      </w:r>
      <w:proofErr w:type="spellStart"/>
      <w:r>
        <w:t>NovoRapid</w:t>
      </w:r>
      <w:proofErr w:type="spellEnd"/>
      <w:r>
        <w:t xml:space="preserve"> brand awareness and medication safety considerations. No. SA 21/03 Published June 2021.</w:t>
      </w:r>
    </w:p>
    <w:p w14:paraId="3E612D40" w14:textId="77777777" w:rsidR="003E4A94" w:rsidRDefault="003E4A94" w:rsidP="0022735C">
      <w:pPr>
        <w:pStyle w:val="ListParagraph"/>
        <w:numPr>
          <w:ilvl w:val="0"/>
          <w:numId w:val="37"/>
        </w:numPr>
        <w:ind w:left="426" w:hanging="426"/>
      </w:pPr>
      <w:r>
        <w:t>World Health Organization, Geneva. Medication Safety in High-risk Situations. Published 2019.</w:t>
      </w:r>
    </w:p>
    <w:p w14:paraId="3111B7E2" w14:textId="77777777" w:rsidR="003E4A94" w:rsidRDefault="003E4A94" w:rsidP="0022735C">
      <w:pPr>
        <w:pStyle w:val="ListParagraph"/>
        <w:numPr>
          <w:ilvl w:val="0"/>
          <w:numId w:val="37"/>
        </w:numPr>
        <w:ind w:left="426" w:hanging="426"/>
      </w:pPr>
      <w:r>
        <w:t>Diggle J. How to minimise insulin errors. Diabetes &amp; Primary Care. Vol 21 (5): 149–50. Published 2019.</w:t>
      </w:r>
    </w:p>
    <w:p w14:paraId="0FC82575" w14:textId="77777777" w:rsidR="003E4A94" w:rsidRDefault="003E4A94" w:rsidP="0022735C">
      <w:pPr>
        <w:pStyle w:val="ListParagraph"/>
        <w:numPr>
          <w:ilvl w:val="0"/>
          <w:numId w:val="37"/>
        </w:numPr>
        <w:ind w:left="426" w:hanging="426"/>
      </w:pPr>
      <w:proofErr w:type="spellStart"/>
      <w:r>
        <w:t>NovoNordisk</w:t>
      </w:r>
      <w:proofErr w:type="spellEnd"/>
      <w:r>
        <w:t xml:space="preserve">. </w:t>
      </w:r>
      <w:proofErr w:type="spellStart"/>
      <w:r>
        <w:t>Fiasp</w:t>
      </w:r>
      <w:proofErr w:type="spellEnd"/>
      <w:r>
        <w:t xml:space="preserve"> Australian product information. December 2021. [Accessed 11 May 2022]. Available online: </w:t>
      </w:r>
      <w:hyperlink r:id="rId23" w:history="1">
        <w:r>
          <w:rPr>
            <w:rStyle w:val="Hyperlink"/>
          </w:rPr>
          <w:t>www.ebs.tga.gov.au/ebs/picmi/picmirepository.nsf/pdf?OpenAgent&amp;id=CP-2017-PI-02153-1</w:t>
        </w:r>
      </w:hyperlink>
      <w:r>
        <w:t xml:space="preserve"> </w:t>
      </w:r>
    </w:p>
    <w:p w14:paraId="0C51B081" w14:textId="77777777" w:rsidR="003E4A94" w:rsidRDefault="003E4A94" w:rsidP="0022735C">
      <w:pPr>
        <w:pStyle w:val="ListParagraph"/>
        <w:numPr>
          <w:ilvl w:val="0"/>
          <w:numId w:val="37"/>
        </w:numPr>
        <w:ind w:left="426" w:hanging="426"/>
      </w:pPr>
      <w:r>
        <w:t>National Prescribing Service – Radar. Insulin glargine 300 IU/mL solution (</w:t>
      </w:r>
      <w:proofErr w:type="spellStart"/>
      <w:r>
        <w:t>Toujeo</w:t>
      </w:r>
      <w:proofErr w:type="spellEnd"/>
      <w:r>
        <w:t xml:space="preserve">) for diabetes mellitus A long-acting insulin for adults with type 1 or type 2 diabetes. June 2018 [Accessed 7 June 2022] Available online: </w:t>
      </w:r>
      <w:hyperlink r:id="rId24" w:history="1">
        <w:r>
          <w:rPr>
            <w:rStyle w:val="Hyperlink"/>
          </w:rPr>
          <w:t>www.nps.org.au/radar/articles/insulin-glargine-300-iu-m-l-solution-toujeo-for-diabetes-mellitus</w:t>
        </w:r>
      </w:hyperlink>
    </w:p>
    <w:p w14:paraId="34ED04C7" w14:textId="77777777" w:rsidR="003E4A94" w:rsidRDefault="003E4A94" w:rsidP="0022735C">
      <w:pPr>
        <w:pStyle w:val="ListParagraph"/>
        <w:numPr>
          <w:ilvl w:val="0"/>
          <w:numId w:val="37"/>
        </w:numPr>
        <w:ind w:left="426" w:hanging="426"/>
      </w:pPr>
      <w:r>
        <w:t xml:space="preserve">New South Wales Health. Safety Notice – High Concentration Insulin Products (Updated). No. 007/19. Published June 2019. </w:t>
      </w:r>
    </w:p>
    <w:p w14:paraId="40FB07BF" w14:textId="4CC5F4AD" w:rsidR="00423FC4" w:rsidRPr="00423FC4" w:rsidRDefault="00423FC4" w:rsidP="00423FC4">
      <w:pPr>
        <w:sectPr w:rsidR="00423FC4" w:rsidRPr="00423FC4" w:rsidSect="00A901B3">
          <w:headerReference w:type="even" r:id="rId25"/>
          <w:headerReference w:type="default" r:id="rId26"/>
          <w:footerReference w:type="even" r:id="rId27"/>
          <w:footerReference w:type="default" r:id="rId28"/>
          <w:pgSz w:w="11906" w:h="16838"/>
          <w:pgMar w:top="2126" w:right="1134" w:bottom="1418" w:left="1134" w:header="709" w:footer="709" w:gutter="0"/>
          <w:cols w:space="708"/>
          <w:docGrid w:linePitch="360"/>
        </w:sectPr>
      </w:pPr>
    </w:p>
    <w:p w14:paraId="1F64B81D" w14:textId="277F3558" w:rsidR="00195458" w:rsidRPr="0026569B" w:rsidRDefault="003E7AB8" w:rsidP="00466CA3">
      <w:pPr>
        <w:spacing w:before="1200" w:after="60"/>
        <w:rPr>
          <w:rFonts w:cstheme="minorHAnsi"/>
          <w:b/>
          <w:bCs/>
          <w:sz w:val="27"/>
          <w:szCs w:val="27"/>
        </w:rPr>
      </w:pPr>
      <w:hyperlink r:id="rId29" w:history="1">
        <w:r w:rsidR="00195458" w:rsidRPr="0026569B">
          <w:rPr>
            <w:rStyle w:val="Hyperlink"/>
            <w:rFonts w:cstheme="minorHAnsi"/>
            <w:b/>
            <w:bCs/>
            <w:color w:val="007EA5" w:themeColor="accent2" w:themeShade="BF"/>
            <w:sz w:val="27"/>
            <w:szCs w:val="27"/>
            <w:u w:val="none"/>
          </w:rPr>
          <w:t>safetyandquality.gov.au</w:t>
        </w:r>
      </w:hyperlink>
    </w:p>
    <w:p w14:paraId="6D08FD41" w14:textId="4147495C" w:rsidR="00C477AC" w:rsidRPr="00146BFB" w:rsidRDefault="001918F7" w:rsidP="00146BFB">
      <w:pPr>
        <w:pStyle w:val="FootnoteText"/>
        <w:tabs>
          <w:tab w:val="right" w:pos="8931"/>
        </w:tabs>
        <w:spacing w:before="140"/>
        <w:rPr>
          <w:rStyle w:val="Roman"/>
          <w:rFonts w:eastAsiaTheme="majorEastAsia"/>
          <w:sz w:val="16"/>
          <w:szCs w:val="16"/>
        </w:rPr>
      </w:pPr>
      <w:r w:rsidRPr="00146BFB">
        <w:rPr>
          <w:noProof/>
          <w:sz w:val="16"/>
          <w:szCs w:val="16"/>
          <w:lang w:val="en-US" w:eastAsia="en-US"/>
        </w:rPr>
        <w:drawing>
          <wp:anchor distT="0" distB="0" distL="114300" distR="114300" simplePos="0" relativeHeight="251663360" behindDoc="0" locked="0" layoutInCell="1" allowOverlap="1" wp14:anchorId="52E40C1F" wp14:editId="5445298F">
            <wp:simplePos x="0" y="0"/>
            <wp:positionH relativeFrom="column">
              <wp:posOffset>-1905</wp:posOffset>
            </wp:positionH>
            <wp:positionV relativeFrom="paragraph">
              <wp:posOffset>62715</wp:posOffset>
            </wp:positionV>
            <wp:extent cx="596265" cy="211455"/>
            <wp:effectExtent l="0" t="0" r="635" b="444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BFB">
        <w:rPr>
          <w:rStyle w:val="Roman"/>
          <w:rFonts w:eastAsiaTheme="majorEastAsia"/>
          <w:sz w:val="16"/>
          <w:szCs w:val="16"/>
        </w:rPr>
        <w:t xml:space="preserve">© Australian Commission on </w:t>
      </w:r>
      <w:r w:rsidR="00146BFB" w:rsidRPr="00146BFB">
        <w:rPr>
          <w:rStyle w:val="Roman"/>
          <w:rFonts w:eastAsiaTheme="majorEastAsia"/>
          <w:sz w:val="16"/>
          <w:szCs w:val="16"/>
        </w:rPr>
        <w:br/>
      </w:r>
      <w:r w:rsidRPr="00146BFB">
        <w:rPr>
          <w:rStyle w:val="Roman"/>
          <w:rFonts w:eastAsiaTheme="majorEastAsia"/>
          <w:sz w:val="16"/>
          <w:szCs w:val="16"/>
        </w:rPr>
        <w:t>Safety</w:t>
      </w:r>
      <w:r w:rsidR="00146BFB" w:rsidRPr="00146BFB">
        <w:rPr>
          <w:rStyle w:val="Roman"/>
          <w:rFonts w:eastAsiaTheme="majorEastAsia"/>
          <w:sz w:val="16"/>
          <w:szCs w:val="16"/>
        </w:rPr>
        <w:t xml:space="preserve"> </w:t>
      </w:r>
      <w:r w:rsidRPr="00146BFB">
        <w:rPr>
          <w:rStyle w:val="Roman"/>
          <w:rFonts w:eastAsiaTheme="majorEastAsia"/>
          <w:sz w:val="16"/>
          <w:szCs w:val="16"/>
        </w:rPr>
        <w:t>and</w:t>
      </w:r>
      <w:r w:rsidR="00146BFB">
        <w:rPr>
          <w:rStyle w:val="Roman"/>
          <w:rFonts w:eastAsiaTheme="majorEastAsia"/>
          <w:sz w:val="16"/>
          <w:szCs w:val="16"/>
        </w:rPr>
        <w:softHyphen/>
      </w:r>
      <w:r w:rsidR="00146BFB">
        <w:rPr>
          <w:rStyle w:val="Roman"/>
          <w:rFonts w:eastAsiaTheme="majorEastAsia"/>
          <w:sz w:val="16"/>
          <w:szCs w:val="16"/>
        </w:rPr>
        <w:softHyphen/>
      </w:r>
      <w:r w:rsidRPr="00146BFB">
        <w:rPr>
          <w:rStyle w:val="Roman"/>
          <w:rFonts w:eastAsiaTheme="majorEastAsia"/>
          <w:sz w:val="16"/>
          <w:szCs w:val="16"/>
        </w:rPr>
        <w:t xml:space="preserve"> </w:t>
      </w:r>
      <w:r w:rsidR="00146BFB" w:rsidRPr="00146BFB">
        <w:rPr>
          <w:rStyle w:val="Roman"/>
          <w:rFonts w:eastAsiaTheme="majorEastAsia"/>
          <w:sz w:val="16"/>
          <w:szCs w:val="16"/>
        </w:rPr>
        <w:softHyphen/>
      </w:r>
      <w:r w:rsidRPr="00146BFB">
        <w:rPr>
          <w:rStyle w:val="Roman"/>
          <w:rFonts w:eastAsiaTheme="majorEastAsia"/>
          <w:sz w:val="16"/>
          <w:szCs w:val="16"/>
        </w:rPr>
        <w:t>Quality in Health Care 20</w:t>
      </w:r>
      <w:r w:rsidR="003A70CE" w:rsidRPr="00146BFB">
        <w:rPr>
          <w:rStyle w:val="Roman"/>
          <w:rFonts w:eastAsiaTheme="majorEastAsia"/>
          <w:sz w:val="16"/>
          <w:szCs w:val="16"/>
        </w:rPr>
        <w:t>2</w:t>
      </w:r>
      <w:r w:rsidR="008F4FAB">
        <w:rPr>
          <w:rStyle w:val="Roman"/>
          <w:rFonts w:eastAsiaTheme="majorEastAsia"/>
          <w:sz w:val="16"/>
          <w:szCs w:val="16"/>
        </w:rPr>
        <w:t>2</w:t>
      </w:r>
      <w:r w:rsidR="007B5D1E" w:rsidRPr="00146BFB">
        <w:rPr>
          <w:sz w:val="16"/>
          <w:szCs w:val="16"/>
        </w:rPr>
        <w:t xml:space="preserve"> </w:t>
      </w:r>
      <w:r w:rsidR="007B5D1E" w:rsidRPr="00146BFB" w:rsidDel="00174535">
        <w:rPr>
          <w:rStyle w:val="Roman"/>
          <w:rFonts w:eastAsiaTheme="majorEastAsia"/>
          <w:sz w:val="16"/>
          <w:szCs w:val="16"/>
        </w:rPr>
        <w:t xml:space="preserve"> </w:t>
      </w:r>
      <w:r w:rsidR="00820059" w:rsidRPr="00146BFB">
        <w:rPr>
          <w:rStyle w:val="Roman"/>
          <w:rFonts w:eastAsiaTheme="majorEastAsia"/>
          <w:sz w:val="16"/>
          <w:szCs w:val="16"/>
        </w:rPr>
        <w:br/>
      </w:r>
    </w:p>
    <w:p w14:paraId="4FD3C59B" w14:textId="595D5E21" w:rsidR="00C477AC" w:rsidRDefault="006D0C40" w:rsidP="00820059">
      <w:pPr>
        <w:pStyle w:val="FootnoteText"/>
        <w:spacing w:before="0"/>
        <w:ind w:left="-142"/>
      </w:pPr>
      <w:r w:rsidRPr="006D0C40">
        <w:rPr>
          <w:noProof/>
        </w:rPr>
        <w:t xml:space="preserve"> </w:t>
      </w:r>
      <w:r w:rsidR="0028150E" w:rsidRPr="0028150E">
        <w:rPr>
          <w:noProof/>
        </w:rPr>
        <w:t xml:space="preserve"> </w:t>
      </w:r>
    </w:p>
    <w:sectPr w:rsidR="00C477AC" w:rsidSect="000E0981">
      <w:type w:val="continuous"/>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A524" w14:textId="77777777" w:rsidR="003E7AB8" w:rsidRDefault="003E7AB8" w:rsidP="000B0274">
      <w:r>
        <w:separator/>
      </w:r>
    </w:p>
    <w:p w14:paraId="40441D56" w14:textId="77777777" w:rsidR="003E7AB8" w:rsidRDefault="003E7AB8"/>
    <w:p w14:paraId="10263C1E" w14:textId="77777777" w:rsidR="003E7AB8" w:rsidRDefault="003E7AB8"/>
    <w:p w14:paraId="25DD1681" w14:textId="77777777" w:rsidR="003E7AB8" w:rsidRDefault="003E7AB8"/>
  </w:endnote>
  <w:endnote w:type="continuationSeparator" w:id="0">
    <w:p w14:paraId="1656570C" w14:textId="77777777" w:rsidR="003E7AB8" w:rsidRDefault="003E7AB8" w:rsidP="000B0274">
      <w:r>
        <w:continuationSeparator/>
      </w:r>
    </w:p>
    <w:p w14:paraId="095614C5" w14:textId="77777777" w:rsidR="003E7AB8" w:rsidRDefault="003E7AB8"/>
    <w:p w14:paraId="46677FE4" w14:textId="77777777" w:rsidR="003E7AB8" w:rsidRDefault="003E7AB8"/>
    <w:p w14:paraId="0BA21BC2" w14:textId="77777777" w:rsidR="003E7AB8" w:rsidRDefault="003E7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Arial Bold">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20B0604020202020204"/>
    <w:charset w:val="00"/>
    <w:family w:val="auto"/>
    <w:notTrueType/>
    <w:pitch w:val="variable"/>
    <w:sig w:usb0="00000003" w:usb1="00000000" w:usb2="00000000" w:usb3="00000000" w:csb0="0000000B" w:csb1="00000000"/>
  </w:font>
  <w:font w:name="MinionPro-Regular">
    <w:altName w:val="Arial"/>
    <w:panose1 w:val="02040503050306020203"/>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Calluna-It">
    <w:altName w:val="Arial"/>
    <w:panose1 w:val="0000050000000000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roximaNova-Bold">
    <w:altName w:val="Proxima Nova"/>
    <w:panose1 w:val="02000506030000020004"/>
    <w:charset w:val="00"/>
    <w:family w:val="auto"/>
    <w:notTrueType/>
    <w:pitch w:val="variable"/>
    <w:sig w:usb0="20000287" w:usb1="00000001" w:usb2="00000000"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pPr>
      <w:pStyle w:val="Footer"/>
    </w:pPr>
  </w:p>
  <w:p w14:paraId="15F8C43E" w14:textId="77777777" w:rsidR="000D3447" w:rsidRDefault="000D3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3ACF" w14:textId="408D0373" w:rsidR="000D3447" w:rsidRPr="00F63F23" w:rsidRDefault="00F63F23" w:rsidP="00F63F23">
    <w:pPr>
      <w:pStyle w:val="Footer"/>
      <w:tabs>
        <w:tab w:val="right" w:pos="9638"/>
      </w:tabs>
      <w:rPr>
        <w:b/>
        <w:bCs/>
        <w:iCs/>
        <w:lang w:val="en-GB"/>
      </w:rPr>
    </w:pPr>
    <w:r w:rsidRPr="00F63F23">
      <w:rPr>
        <w:lang w:val="en-GB"/>
      </w:rPr>
      <w:t xml:space="preserve">Safer insulin prescribing: </w:t>
    </w:r>
    <w:r w:rsidRPr="00F63F23">
      <w:rPr>
        <w:iCs/>
        <w:lang w:val="en-GB"/>
      </w:rPr>
      <w:t>Guidance for Australian prescribers</w:t>
    </w:r>
    <w:r w:rsidRPr="00F63F23">
      <w:rPr>
        <w:b/>
        <w:bCs/>
        <w:iCs/>
        <w:lang w:val="en-GB"/>
      </w:rPr>
      <w:t xml:space="preserve"> </w:t>
    </w:r>
    <w:r w:rsidR="0026569B" w:rsidRPr="0026569B">
      <w:tab/>
    </w:r>
    <w:r w:rsidR="00830412">
      <w:tab/>
    </w:r>
    <w:r w:rsidR="0026569B" w:rsidRPr="0026569B">
      <w:fldChar w:fldCharType="begin"/>
    </w:r>
    <w:r w:rsidR="0026569B" w:rsidRPr="0026569B">
      <w:instrText xml:space="preserve"> PAGE </w:instrText>
    </w:r>
    <w:r w:rsidR="0026569B" w:rsidRPr="0026569B">
      <w:fldChar w:fldCharType="separate"/>
    </w:r>
    <w:r w:rsidR="0026569B" w:rsidRPr="0026569B">
      <w:t>1</w:t>
    </w:r>
    <w:r w:rsidR="0026569B" w:rsidRPr="002656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2790" w14:textId="77777777" w:rsidR="003E7AB8" w:rsidRDefault="003E7AB8" w:rsidP="000B0274">
      <w:r>
        <w:separator/>
      </w:r>
    </w:p>
    <w:p w14:paraId="5A9E958E" w14:textId="77777777" w:rsidR="003E7AB8" w:rsidRDefault="003E7AB8"/>
    <w:p w14:paraId="10DC450D" w14:textId="77777777" w:rsidR="003E7AB8" w:rsidRDefault="003E7AB8"/>
    <w:p w14:paraId="6D51BCBE" w14:textId="77777777" w:rsidR="003E7AB8" w:rsidRDefault="003E7AB8"/>
  </w:footnote>
  <w:footnote w:type="continuationSeparator" w:id="0">
    <w:p w14:paraId="0DA5A6D4" w14:textId="77777777" w:rsidR="003E7AB8" w:rsidRDefault="003E7AB8" w:rsidP="000B0274">
      <w:r>
        <w:continuationSeparator/>
      </w:r>
    </w:p>
    <w:p w14:paraId="26FDD6AD" w14:textId="77777777" w:rsidR="003E7AB8" w:rsidRDefault="003E7AB8"/>
    <w:p w14:paraId="73218582" w14:textId="77777777" w:rsidR="003E7AB8" w:rsidRDefault="003E7AB8"/>
    <w:p w14:paraId="680BC42F" w14:textId="77777777" w:rsidR="003E7AB8" w:rsidRDefault="003E7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Pr>
      <w:pStyle w:val="Header"/>
    </w:pPr>
  </w:p>
  <w:p w14:paraId="42D3D454" w14:textId="77777777" w:rsidR="000D3447" w:rsidRDefault="000D3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B42" w14:textId="27C572CB" w:rsidR="000D3447" w:rsidRDefault="0036588B" w:rsidP="00423FC4">
    <w:pPr>
      <w:pStyle w:val="Header"/>
      <w:tabs>
        <w:tab w:val="clear" w:pos="4513"/>
        <w:tab w:val="clear" w:pos="9026"/>
        <w:tab w:val="right" w:pos="9638"/>
      </w:tabs>
      <w:ind w:left="-142"/>
    </w:pPr>
    <w:r w:rsidRPr="00FB375B">
      <w:rPr>
        <w:rFonts w:eastAsiaTheme="majorEastAsia"/>
        <w:noProof/>
        <w:lang w:val="en-US" w:eastAsia="en-US"/>
      </w:rPr>
      <w:drawing>
        <wp:inline distT="0" distB="0" distL="0" distR="0" wp14:anchorId="752AEEBE" wp14:editId="3E628E3B">
          <wp:extent cx="3921369" cy="553493"/>
          <wp:effectExtent l="0" t="0" r="3175" b="5715"/>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302" cy="574091"/>
                  </a:xfrm>
                  <a:prstGeom prst="rect">
                    <a:avLst/>
                  </a:prstGeom>
                </pic:spPr>
              </pic:pic>
            </a:graphicData>
          </a:graphic>
        </wp:inline>
      </w:drawing>
    </w:r>
    <w:r w:rsidR="00423F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A29"/>
    <w:multiLevelType w:val="hybridMultilevel"/>
    <w:tmpl w:val="EFD0B5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22043"/>
    <w:multiLevelType w:val="hybridMultilevel"/>
    <w:tmpl w:val="9F72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57E3742"/>
    <w:multiLevelType w:val="hybridMultilevel"/>
    <w:tmpl w:val="31A0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25123B0"/>
    <w:multiLevelType w:val="hybridMultilevel"/>
    <w:tmpl w:val="A08202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97C354E"/>
    <w:multiLevelType w:val="hybridMultilevel"/>
    <w:tmpl w:val="6F0A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B495BBB"/>
    <w:multiLevelType w:val="hybridMultilevel"/>
    <w:tmpl w:val="BCB6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927E4"/>
    <w:multiLevelType w:val="hybridMultilevel"/>
    <w:tmpl w:val="FEA6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23935D3"/>
    <w:multiLevelType w:val="hybridMultilevel"/>
    <w:tmpl w:val="1774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1D6B46"/>
    <w:multiLevelType w:val="hybridMultilevel"/>
    <w:tmpl w:val="395E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74D2069"/>
    <w:multiLevelType w:val="hybridMultilevel"/>
    <w:tmpl w:val="4996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8373784"/>
    <w:multiLevelType w:val="hybridMultilevel"/>
    <w:tmpl w:val="474E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FCE5E00"/>
    <w:multiLevelType w:val="hybridMultilevel"/>
    <w:tmpl w:val="BC06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94782"/>
    <w:multiLevelType w:val="hybridMultilevel"/>
    <w:tmpl w:val="38EC0B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4B020B"/>
    <w:multiLevelType w:val="hybridMultilevel"/>
    <w:tmpl w:val="1192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2230E"/>
    <w:multiLevelType w:val="hybridMultilevel"/>
    <w:tmpl w:val="0B54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1635B45"/>
    <w:multiLevelType w:val="hybridMultilevel"/>
    <w:tmpl w:val="6BF8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49F7402"/>
    <w:multiLevelType w:val="hybridMultilevel"/>
    <w:tmpl w:val="A46A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A3B46"/>
    <w:multiLevelType w:val="hybridMultilevel"/>
    <w:tmpl w:val="4804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AE346B0"/>
    <w:multiLevelType w:val="hybridMultilevel"/>
    <w:tmpl w:val="2D5E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3576A"/>
    <w:multiLevelType w:val="hybridMultilevel"/>
    <w:tmpl w:val="9CCA8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F82BE3"/>
    <w:multiLevelType w:val="hybridMultilevel"/>
    <w:tmpl w:val="B3DEC6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68B077D"/>
    <w:multiLevelType w:val="hybridMultilevel"/>
    <w:tmpl w:val="D93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9CA0B38"/>
    <w:multiLevelType w:val="hybridMultilevel"/>
    <w:tmpl w:val="47B0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2"/>
  </w:num>
  <w:num w:numId="4">
    <w:abstractNumId w:val="22"/>
  </w:num>
  <w:num w:numId="5">
    <w:abstractNumId w:val="18"/>
  </w:num>
  <w:num w:numId="6">
    <w:abstractNumId w:val="5"/>
  </w:num>
  <w:num w:numId="7">
    <w:abstractNumId w:val="7"/>
  </w:num>
  <w:num w:numId="8">
    <w:abstractNumId w:val="2"/>
  </w:num>
  <w:num w:numId="9">
    <w:abstractNumId w:val="33"/>
  </w:num>
  <w:num w:numId="10">
    <w:abstractNumId w:val="10"/>
  </w:num>
  <w:num w:numId="11">
    <w:abstractNumId w:val="8"/>
  </w:num>
  <w:num w:numId="12">
    <w:abstractNumId w:val="30"/>
  </w:num>
  <w:num w:numId="13">
    <w:abstractNumId w:val="9"/>
  </w:num>
  <w:num w:numId="14">
    <w:abstractNumId w:val="16"/>
  </w:num>
  <w:num w:numId="15">
    <w:abstractNumId w:val="35"/>
  </w:num>
  <w:num w:numId="16">
    <w:abstractNumId w:val="24"/>
  </w:num>
  <w:num w:numId="17">
    <w:abstractNumId w:val="15"/>
  </w:num>
  <w:num w:numId="18">
    <w:abstractNumId w:val="17"/>
  </w:num>
  <w:num w:numId="19">
    <w:abstractNumId w:val="21"/>
  </w:num>
  <w:num w:numId="20">
    <w:abstractNumId w:val="27"/>
  </w:num>
  <w:num w:numId="21">
    <w:abstractNumId w:val="13"/>
  </w:num>
  <w:num w:numId="22">
    <w:abstractNumId w:val="20"/>
  </w:num>
  <w:num w:numId="23">
    <w:abstractNumId w:val="26"/>
  </w:num>
  <w:num w:numId="24">
    <w:abstractNumId w:val="19"/>
  </w:num>
  <w:num w:numId="25">
    <w:abstractNumId w:val="31"/>
  </w:num>
  <w:num w:numId="26">
    <w:abstractNumId w:val="34"/>
  </w:num>
  <w:num w:numId="27">
    <w:abstractNumId w:val="25"/>
  </w:num>
  <w:num w:numId="28">
    <w:abstractNumId w:val="11"/>
  </w:num>
  <w:num w:numId="29">
    <w:abstractNumId w:val="23"/>
  </w:num>
  <w:num w:numId="30">
    <w:abstractNumId w:val="28"/>
  </w:num>
  <w:num w:numId="31">
    <w:abstractNumId w:val="29"/>
  </w:num>
  <w:num w:numId="32">
    <w:abstractNumId w:val="0"/>
  </w:num>
  <w:num w:numId="33">
    <w:abstractNumId w:val="14"/>
  </w:num>
  <w:num w:numId="34">
    <w:abstractNumId w:val="6"/>
  </w:num>
  <w:num w:numId="35">
    <w:abstractNumId w:val="3"/>
  </w:num>
  <w:num w:numId="36">
    <w:abstractNumId w:val="36"/>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1053B"/>
    <w:rsid w:val="00012782"/>
    <w:rsid w:val="00017900"/>
    <w:rsid w:val="00020DBD"/>
    <w:rsid w:val="00025A92"/>
    <w:rsid w:val="0003162D"/>
    <w:rsid w:val="00036F5E"/>
    <w:rsid w:val="000406F8"/>
    <w:rsid w:val="000429A5"/>
    <w:rsid w:val="000429EE"/>
    <w:rsid w:val="00043671"/>
    <w:rsid w:val="000439D0"/>
    <w:rsid w:val="00047E9F"/>
    <w:rsid w:val="00050775"/>
    <w:rsid w:val="00054B74"/>
    <w:rsid w:val="00067456"/>
    <w:rsid w:val="00067C95"/>
    <w:rsid w:val="00070C9E"/>
    <w:rsid w:val="0008065C"/>
    <w:rsid w:val="00090EFF"/>
    <w:rsid w:val="00095DA6"/>
    <w:rsid w:val="000A3F0D"/>
    <w:rsid w:val="000A4C01"/>
    <w:rsid w:val="000B0274"/>
    <w:rsid w:val="000B0BFE"/>
    <w:rsid w:val="000B79D3"/>
    <w:rsid w:val="000C0F93"/>
    <w:rsid w:val="000C1722"/>
    <w:rsid w:val="000C1DD4"/>
    <w:rsid w:val="000C7A69"/>
    <w:rsid w:val="000D017D"/>
    <w:rsid w:val="000D3447"/>
    <w:rsid w:val="000D6405"/>
    <w:rsid w:val="000D6722"/>
    <w:rsid w:val="000E0981"/>
    <w:rsid w:val="000E1515"/>
    <w:rsid w:val="000E2F2E"/>
    <w:rsid w:val="000F0D77"/>
    <w:rsid w:val="0010673D"/>
    <w:rsid w:val="00106CF5"/>
    <w:rsid w:val="001102B8"/>
    <w:rsid w:val="00115403"/>
    <w:rsid w:val="00116540"/>
    <w:rsid w:val="00120FCB"/>
    <w:rsid w:val="00131E52"/>
    <w:rsid w:val="00135A95"/>
    <w:rsid w:val="00143A76"/>
    <w:rsid w:val="00145BE3"/>
    <w:rsid w:val="00146A66"/>
    <w:rsid w:val="00146BFB"/>
    <w:rsid w:val="001507C6"/>
    <w:rsid w:val="00157B31"/>
    <w:rsid w:val="00160453"/>
    <w:rsid w:val="0017280A"/>
    <w:rsid w:val="00174535"/>
    <w:rsid w:val="0017675C"/>
    <w:rsid w:val="00183675"/>
    <w:rsid w:val="001852DE"/>
    <w:rsid w:val="001859B5"/>
    <w:rsid w:val="001860B2"/>
    <w:rsid w:val="001918F7"/>
    <w:rsid w:val="001921ED"/>
    <w:rsid w:val="00195458"/>
    <w:rsid w:val="00196AC8"/>
    <w:rsid w:val="001A11A5"/>
    <w:rsid w:val="001A1981"/>
    <w:rsid w:val="001B15D1"/>
    <w:rsid w:val="001B2BAA"/>
    <w:rsid w:val="001B3443"/>
    <w:rsid w:val="001D05E4"/>
    <w:rsid w:val="001D52EE"/>
    <w:rsid w:val="001D6CD7"/>
    <w:rsid w:val="001E1042"/>
    <w:rsid w:val="001E38B8"/>
    <w:rsid w:val="001E77C4"/>
    <w:rsid w:val="001F6D10"/>
    <w:rsid w:val="002027C5"/>
    <w:rsid w:val="0020496B"/>
    <w:rsid w:val="00223943"/>
    <w:rsid w:val="0022735C"/>
    <w:rsid w:val="00227909"/>
    <w:rsid w:val="0023112B"/>
    <w:rsid w:val="0023231A"/>
    <w:rsid w:val="00237ADF"/>
    <w:rsid w:val="00245D81"/>
    <w:rsid w:val="0024767D"/>
    <w:rsid w:val="00247F3B"/>
    <w:rsid w:val="002503C3"/>
    <w:rsid w:val="00251167"/>
    <w:rsid w:val="00255596"/>
    <w:rsid w:val="002555F1"/>
    <w:rsid w:val="00255DCB"/>
    <w:rsid w:val="00261F43"/>
    <w:rsid w:val="002625FB"/>
    <w:rsid w:val="00263A63"/>
    <w:rsid w:val="00264A5A"/>
    <w:rsid w:val="0026569B"/>
    <w:rsid w:val="002662B4"/>
    <w:rsid w:val="0026675D"/>
    <w:rsid w:val="00267635"/>
    <w:rsid w:val="0028150E"/>
    <w:rsid w:val="00281FD4"/>
    <w:rsid w:val="00291EBD"/>
    <w:rsid w:val="002A6278"/>
    <w:rsid w:val="002C1CA0"/>
    <w:rsid w:val="002C54B8"/>
    <w:rsid w:val="002C6AF0"/>
    <w:rsid w:val="002D0EB0"/>
    <w:rsid w:val="002D46E6"/>
    <w:rsid w:val="002E195D"/>
    <w:rsid w:val="002E2DBA"/>
    <w:rsid w:val="002E3986"/>
    <w:rsid w:val="002E3D84"/>
    <w:rsid w:val="002E6A48"/>
    <w:rsid w:val="002E7082"/>
    <w:rsid w:val="002E7977"/>
    <w:rsid w:val="002F0A0A"/>
    <w:rsid w:val="002F3AE3"/>
    <w:rsid w:val="002F5DF1"/>
    <w:rsid w:val="002F7E6F"/>
    <w:rsid w:val="00302458"/>
    <w:rsid w:val="00304E73"/>
    <w:rsid w:val="0030786C"/>
    <w:rsid w:val="00312A62"/>
    <w:rsid w:val="00316683"/>
    <w:rsid w:val="00317452"/>
    <w:rsid w:val="00331CEE"/>
    <w:rsid w:val="00341BEE"/>
    <w:rsid w:val="00343286"/>
    <w:rsid w:val="0034680F"/>
    <w:rsid w:val="00350BE1"/>
    <w:rsid w:val="003624CA"/>
    <w:rsid w:val="003657DB"/>
    <w:rsid w:val="0036588B"/>
    <w:rsid w:val="003808E4"/>
    <w:rsid w:val="00386683"/>
    <w:rsid w:val="003873C6"/>
    <w:rsid w:val="00392002"/>
    <w:rsid w:val="00392A85"/>
    <w:rsid w:val="00396AFB"/>
    <w:rsid w:val="003A3DB2"/>
    <w:rsid w:val="003A70CE"/>
    <w:rsid w:val="003C297A"/>
    <w:rsid w:val="003C540E"/>
    <w:rsid w:val="003C5F0C"/>
    <w:rsid w:val="003D0532"/>
    <w:rsid w:val="003D17F9"/>
    <w:rsid w:val="003D437B"/>
    <w:rsid w:val="003D4829"/>
    <w:rsid w:val="003D7E7B"/>
    <w:rsid w:val="003E4A94"/>
    <w:rsid w:val="003E6E73"/>
    <w:rsid w:val="003E76C8"/>
    <w:rsid w:val="003E7AB8"/>
    <w:rsid w:val="003F3F0B"/>
    <w:rsid w:val="0040152C"/>
    <w:rsid w:val="00402CBA"/>
    <w:rsid w:val="00407B4B"/>
    <w:rsid w:val="00412E9D"/>
    <w:rsid w:val="00414952"/>
    <w:rsid w:val="00423FC4"/>
    <w:rsid w:val="00425504"/>
    <w:rsid w:val="0042727E"/>
    <w:rsid w:val="004305D6"/>
    <w:rsid w:val="00440CC0"/>
    <w:rsid w:val="004437F3"/>
    <w:rsid w:val="00447D31"/>
    <w:rsid w:val="00455560"/>
    <w:rsid w:val="00466C72"/>
    <w:rsid w:val="00466CA3"/>
    <w:rsid w:val="004703AE"/>
    <w:rsid w:val="00470AB8"/>
    <w:rsid w:val="00470E68"/>
    <w:rsid w:val="00471561"/>
    <w:rsid w:val="00477E9B"/>
    <w:rsid w:val="00482ECA"/>
    <w:rsid w:val="00485794"/>
    <w:rsid w:val="004867E2"/>
    <w:rsid w:val="00486826"/>
    <w:rsid w:val="004A0670"/>
    <w:rsid w:val="004A4851"/>
    <w:rsid w:val="004A5C81"/>
    <w:rsid w:val="004B097A"/>
    <w:rsid w:val="004B2999"/>
    <w:rsid w:val="004C3664"/>
    <w:rsid w:val="004C4927"/>
    <w:rsid w:val="004E067A"/>
    <w:rsid w:val="004E179B"/>
    <w:rsid w:val="004E2389"/>
    <w:rsid w:val="004E50C2"/>
    <w:rsid w:val="004E58C1"/>
    <w:rsid w:val="004E5D43"/>
    <w:rsid w:val="00505268"/>
    <w:rsid w:val="0051563D"/>
    <w:rsid w:val="005179C7"/>
    <w:rsid w:val="0052107C"/>
    <w:rsid w:val="005221B7"/>
    <w:rsid w:val="0052640B"/>
    <w:rsid w:val="00530100"/>
    <w:rsid w:val="00536E0C"/>
    <w:rsid w:val="005408C7"/>
    <w:rsid w:val="005422E7"/>
    <w:rsid w:val="005437FD"/>
    <w:rsid w:val="00544A4E"/>
    <w:rsid w:val="00553E33"/>
    <w:rsid w:val="00562F72"/>
    <w:rsid w:val="00566B97"/>
    <w:rsid w:val="00570C6C"/>
    <w:rsid w:val="00584334"/>
    <w:rsid w:val="0059380A"/>
    <w:rsid w:val="0059724C"/>
    <w:rsid w:val="005A1AA7"/>
    <w:rsid w:val="005A4D0B"/>
    <w:rsid w:val="005A701E"/>
    <w:rsid w:val="005A735B"/>
    <w:rsid w:val="005B04D8"/>
    <w:rsid w:val="005B6AA2"/>
    <w:rsid w:val="005C090D"/>
    <w:rsid w:val="005C1496"/>
    <w:rsid w:val="005C5EF4"/>
    <w:rsid w:val="005C6AAE"/>
    <w:rsid w:val="005D1073"/>
    <w:rsid w:val="005D5D06"/>
    <w:rsid w:val="005D62B5"/>
    <w:rsid w:val="005E2614"/>
    <w:rsid w:val="00607B0B"/>
    <w:rsid w:val="00614E29"/>
    <w:rsid w:val="0062216A"/>
    <w:rsid w:val="00623529"/>
    <w:rsid w:val="00625634"/>
    <w:rsid w:val="00630199"/>
    <w:rsid w:val="006317C9"/>
    <w:rsid w:val="00632475"/>
    <w:rsid w:val="00632C35"/>
    <w:rsid w:val="00641773"/>
    <w:rsid w:val="00641CB0"/>
    <w:rsid w:val="0064239F"/>
    <w:rsid w:val="00656A90"/>
    <w:rsid w:val="00664F67"/>
    <w:rsid w:val="00670F54"/>
    <w:rsid w:val="006728F9"/>
    <w:rsid w:val="006767BC"/>
    <w:rsid w:val="006803BA"/>
    <w:rsid w:val="006922F5"/>
    <w:rsid w:val="006947D9"/>
    <w:rsid w:val="006A0017"/>
    <w:rsid w:val="006A0F51"/>
    <w:rsid w:val="006A16DD"/>
    <w:rsid w:val="006A2587"/>
    <w:rsid w:val="006A3D78"/>
    <w:rsid w:val="006B3CFC"/>
    <w:rsid w:val="006C0CD8"/>
    <w:rsid w:val="006C5AEE"/>
    <w:rsid w:val="006C679A"/>
    <w:rsid w:val="006C786F"/>
    <w:rsid w:val="006D09FE"/>
    <w:rsid w:val="006D0C40"/>
    <w:rsid w:val="006D5FB1"/>
    <w:rsid w:val="006D732F"/>
    <w:rsid w:val="006E688D"/>
    <w:rsid w:val="006E71A6"/>
    <w:rsid w:val="006F1432"/>
    <w:rsid w:val="006F4572"/>
    <w:rsid w:val="006F7964"/>
    <w:rsid w:val="007028EC"/>
    <w:rsid w:val="007035D8"/>
    <w:rsid w:val="0070703E"/>
    <w:rsid w:val="00711E21"/>
    <w:rsid w:val="00715168"/>
    <w:rsid w:val="0071637F"/>
    <w:rsid w:val="0072079E"/>
    <w:rsid w:val="007209EC"/>
    <w:rsid w:val="00722691"/>
    <w:rsid w:val="007238E8"/>
    <w:rsid w:val="007333AD"/>
    <w:rsid w:val="007360BF"/>
    <w:rsid w:val="007400BC"/>
    <w:rsid w:val="007406E6"/>
    <w:rsid w:val="007449EB"/>
    <w:rsid w:val="00747CE1"/>
    <w:rsid w:val="00751D3D"/>
    <w:rsid w:val="0075251A"/>
    <w:rsid w:val="007545C7"/>
    <w:rsid w:val="0076005C"/>
    <w:rsid w:val="0076111D"/>
    <w:rsid w:val="007635C1"/>
    <w:rsid w:val="00766B42"/>
    <w:rsid w:val="00767274"/>
    <w:rsid w:val="0076731D"/>
    <w:rsid w:val="00767650"/>
    <w:rsid w:val="00777B2E"/>
    <w:rsid w:val="0078070C"/>
    <w:rsid w:val="00784541"/>
    <w:rsid w:val="0079277C"/>
    <w:rsid w:val="0079330B"/>
    <w:rsid w:val="007968CC"/>
    <w:rsid w:val="00796FB7"/>
    <w:rsid w:val="0079708B"/>
    <w:rsid w:val="007B04A9"/>
    <w:rsid w:val="007B16AC"/>
    <w:rsid w:val="007B5D05"/>
    <w:rsid w:val="007B5D1E"/>
    <w:rsid w:val="007B6CA2"/>
    <w:rsid w:val="007C1E35"/>
    <w:rsid w:val="007C2217"/>
    <w:rsid w:val="007C471C"/>
    <w:rsid w:val="007C52D3"/>
    <w:rsid w:val="007D4258"/>
    <w:rsid w:val="007E000D"/>
    <w:rsid w:val="007F3645"/>
    <w:rsid w:val="007F58DD"/>
    <w:rsid w:val="007F6791"/>
    <w:rsid w:val="007F7B82"/>
    <w:rsid w:val="00805E44"/>
    <w:rsid w:val="00811C26"/>
    <w:rsid w:val="00820059"/>
    <w:rsid w:val="008264EB"/>
    <w:rsid w:val="00827924"/>
    <w:rsid w:val="00830412"/>
    <w:rsid w:val="00830756"/>
    <w:rsid w:val="00844E54"/>
    <w:rsid w:val="00856DF5"/>
    <w:rsid w:val="00857E76"/>
    <w:rsid w:val="00865932"/>
    <w:rsid w:val="00872059"/>
    <w:rsid w:val="00873673"/>
    <w:rsid w:val="008803A1"/>
    <w:rsid w:val="0088122A"/>
    <w:rsid w:val="008839CD"/>
    <w:rsid w:val="00884696"/>
    <w:rsid w:val="00892AC8"/>
    <w:rsid w:val="0089715A"/>
    <w:rsid w:val="008A07AF"/>
    <w:rsid w:val="008A2BFB"/>
    <w:rsid w:val="008A4AC8"/>
    <w:rsid w:val="008A58F9"/>
    <w:rsid w:val="008B55D3"/>
    <w:rsid w:val="008D09DE"/>
    <w:rsid w:val="008E59EB"/>
    <w:rsid w:val="008E5D6A"/>
    <w:rsid w:val="008F4FAB"/>
    <w:rsid w:val="0091137C"/>
    <w:rsid w:val="00912024"/>
    <w:rsid w:val="0091384C"/>
    <w:rsid w:val="0092204C"/>
    <w:rsid w:val="00922DEE"/>
    <w:rsid w:val="009238AA"/>
    <w:rsid w:val="009244B8"/>
    <w:rsid w:val="00933B21"/>
    <w:rsid w:val="009364EE"/>
    <w:rsid w:val="00941048"/>
    <w:rsid w:val="009424A5"/>
    <w:rsid w:val="00943D7C"/>
    <w:rsid w:val="0094763E"/>
    <w:rsid w:val="00950089"/>
    <w:rsid w:val="0095539D"/>
    <w:rsid w:val="00957E88"/>
    <w:rsid w:val="00961B39"/>
    <w:rsid w:val="00961FBE"/>
    <w:rsid w:val="00964277"/>
    <w:rsid w:val="0097582E"/>
    <w:rsid w:val="00977D26"/>
    <w:rsid w:val="00977E26"/>
    <w:rsid w:val="00984227"/>
    <w:rsid w:val="009917C7"/>
    <w:rsid w:val="00991AF5"/>
    <w:rsid w:val="0099343F"/>
    <w:rsid w:val="00995094"/>
    <w:rsid w:val="009A007B"/>
    <w:rsid w:val="009A0425"/>
    <w:rsid w:val="009A263C"/>
    <w:rsid w:val="009A39F2"/>
    <w:rsid w:val="009B053D"/>
    <w:rsid w:val="009B64E3"/>
    <w:rsid w:val="009C5964"/>
    <w:rsid w:val="009D0B90"/>
    <w:rsid w:val="009D6852"/>
    <w:rsid w:val="009D6F97"/>
    <w:rsid w:val="009E0725"/>
    <w:rsid w:val="009E0D48"/>
    <w:rsid w:val="009E1F38"/>
    <w:rsid w:val="009E270E"/>
    <w:rsid w:val="009E6B78"/>
    <w:rsid w:val="009E6D37"/>
    <w:rsid w:val="009F1EC9"/>
    <w:rsid w:val="009F4ACF"/>
    <w:rsid w:val="009F5557"/>
    <w:rsid w:val="00A02BFF"/>
    <w:rsid w:val="00A047FE"/>
    <w:rsid w:val="00A0554C"/>
    <w:rsid w:val="00A06F15"/>
    <w:rsid w:val="00A1015B"/>
    <w:rsid w:val="00A15082"/>
    <w:rsid w:val="00A16AEE"/>
    <w:rsid w:val="00A2136D"/>
    <w:rsid w:val="00A32F5A"/>
    <w:rsid w:val="00A369E8"/>
    <w:rsid w:val="00A4199A"/>
    <w:rsid w:val="00A4512D"/>
    <w:rsid w:val="00A467D6"/>
    <w:rsid w:val="00A541E1"/>
    <w:rsid w:val="00A54775"/>
    <w:rsid w:val="00A5502C"/>
    <w:rsid w:val="00A55572"/>
    <w:rsid w:val="00A5694A"/>
    <w:rsid w:val="00A569EB"/>
    <w:rsid w:val="00A57DD0"/>
    <w:rsid w:val="00A6672E"/>
    <w:rsid w:val="00A705AF"/>
    <w:rsid w:val="00A73C2F"/>
    <w:rsid w:val="00A75B58"/>
    <w:rsid w:val="00A77349"/>
    <w:rsid w:val="00A901B3"/>
    <w:rsid w:val="00A931E2"/>
    <w:rsid w:val="00A93A18"/>
    <w:rsid w:val="00A950FE"/>
    <w:rsid w:val="00A964DB"/>
    <w:rsid w:val="00A96DED"/>
    <w:rsid w:val="00AA0A90"/>
    <w:rsid w:val="00AA3A3E"/>
    <w:rsid w:val="00AA45AD"/>
    <w:rsid w:val="00AA6DC2"/>
    <w:rsid w:val="00AA7B58"/>
    <w:rsid w:val="00AB0A6E"/>
    <w:rsid w:val="00AB40AB"/>
    <w:rsid w:val="00AB64E5"/>
    <w:rsid w:val="00AB6E76"/>
    <w:rsid w:val="00AB6ED9"/>
    <w:rsid w:val="00AC637F"/>
    <w:rsid w:val="00AD01B4"/>
    <w:rsid w:val="00AD055C"/>
    <w:rsid w:val="00AD52A0"/>
    <w:rsid w:val="00AD5717"/>
    <w:rsid w:val="00AE164C"/>
    <w:rsid w:val="00AE68FA"/>
    <w:rsid w:val="00AF6154"/>
    <w:rsid w:val="00B07615"/>
    <w:rsid w:val="00B12015"/>
    <w:rsid w:val="00B163F6"/>
    <w:rsid w:val="00B213FD"/>
    <w:rsid w:val="00B24DF4"/>
    <w:rsid w:val="00B2665E"/>
    <w:rsid w:val="00B30753"/>
    <w:rsid w:val="00B328AF"/>
    <w:rsid w:val="00B32DD1"/>
    <w:rsid w:val="00B35212"/>
    <w:rsid w:val="00B3720C"/>
    <w:rsid w:val="00B37974"/>
    <w:rsid w:val="00B41409"/>
    <w:rsid w:val="00B42851"/>
    <w:rsid w:val="00B44A2D"/>
    <w:rsid w:val="00B456E0"/>
    <w:rsid w:val="00B459E9"/>
    <w:rsid w:val="00B47076"/>
    <w:rsid w:val="00B53823"/>
    <w:rsid w:val="00B56B37"/>
    <w:rsid w:val="00B57759"/>
    <w:rsid w:val="00B60D44"/>
    <w:rsid w:val="00B60D86"/>
    <w:rsid w:val="00B904EC"/>
    <w:rsid w:val="00B91269"/>
    <w:rsid w:val="00B91454"/>
    <w:rsid w:val="00B93CD5"/>
    <w:rsid w:val="00B9432A"/>
    <w:rsid w:val="00B95A67"/>
    <w:rsid w:val="00BA0015"/>
    <w:rsid w:val="00BA2A5D"/>
    <w:rsid w:val="00BA2DE8"/>
    <w:rsid w:val="00BA4AEE"/>
    <w:rsid w:val="00BA5233"/>
    <w:rsid w:val="00BC07E4"/>
    <w:rsid w:val="00BC4293"/>
    <w:rsid w:val="00BC49CF"/>
    <w:rsid w:val="00BC4D09"/>
    <w:rsid w:val="00BD0B57"/>
    <w:rsid w:val="00BD649D"/>
    <w:rsid w:val="00BE0DE7"/>
    <w:rsid w:val="00BE6832"/>
    <w:rsid w:val="00BF2561"/>
    <w:rsid w:val="00BF5905"/>
    <w:rsid w:val="00BF6152"/>
    <w:rsid w:val="00C06314"/>
    <w:rsid w:val="00C23604"/>
    <w:rsid w:val="00C308FA"/>
    <w:rsid w:val="00C31839"/>
    <w:rsid w:val="00C31A7F"/>
    <w:rsid w:val="00C32280"/>
    <w:rsid w:val="00C35287"/>
    <w:rsid w:val="00C35DEC"/>
    <w:rsid w:val="00C35F32"/>
    <w:rsid w:val="00C436EE"/>
    <w:rsid w:val="00C477AC"/>
    <w:rsid w:val="00C51BE7"/>
    <w:rsid w:val="00C565EF"/>
    <w:rsid w:val="00C63431"/>
    <w:rsid w:val="00C64BBB"/>
    <w:rsid w:val="00C74935"/>
    <w:rsid w:val="00C7543A"/>
    <w:rsid w:val="00C82FD9"/>
    <w:rsid w:val="00C900CC"/>
    <w:rsid w:val="00C911AD"/>
    <w:rsid w:val="00CA04C6"/>
    <w:rsid w:val="00CB052E"/>
    <w:rsid w:val="00CB0684"/>
    <w:rsid w:val="00CB2190"/>
    <w:rsid w:val="00CB5999"/>
    <w:rsid w:val="00CB5B1A"/>
    <w:rsid w:val="00CB733F"/>
    <w:rsid w:val="00CC35A0"/>
    <w:rsid w:val="00CC36EF"/>
    <w:rsid w:val="00CC4B8E"/>
    <w:rsid w:val="00CC697B"/>
    <w:rsid w:val="00CE1712"/>
    <w:rsid w:val="00CE3387"/>
    <w:rsid w:val="00CE3A39"/>
    <w:rsid w:val="00CE7355"/>
    <w:rsid w:val="00CF4118"/>
    <w:rsid w:val="00CF66EF"/>
    <w:rsid w:val="00D07C0D"/>
    <w:rsid w:val="00D10D90"/>
    <w:rsid w:val="00D116AD"/>
    <w:rsid w:val="00D13C42"/>
    <w:rsid w:val="00D16B25"/>
    <w:rsid w:val="00D24922"/>
    <w:rsid w:val="00D301EA"/>
    <w:rsid w:val="00D31DC2"/>
    <w:rsid w:val="00D40DEC"/>
    <w:rsid w:val="00D41AE5"/>
    <w:rsid w:val="00D42B9A"/>
    <w:rsid w:val="00D469E4"/>
    <w:rsid w:val="00D4728F"/>
    <w:rsid w:val="00D51677"/>
    <w:rsid w:val="00D5354B"/>
    <w:rsid w:val="00D53C64"/>
    <w:rsid w:val="00D563D0"/>
    <w:rsid w:val="00D738DB"/>
    <w:rsid w:val="00D73FE2"/>
    <w:rsid w:val="00D7465B"/>
    <w:rsid w:val="00D77486"/>
    <w:rsid w:val="00D81026"/>
    <w:rsid w:val="00D812BD"/>
    <w:rsid w:val="00D96327"/>
    <w:rsid w:val="00DA73AC"/>
    <w:rsid w:val="00DB07A4"/>
    <w:rsid w:val="00DB5454"/>
    <w:rsid w:val="00DB5911"/>
    <w:rsid w:val="00DC0477"/>
    <w:rsid w:val="00DC0D24"/>
    <w:rsid w:val="00DD047B"/>
    <w:rsid w:val="00DD3EF0"/>
    <w:rsid w:val="00DD5D99"/>
    <w:rsid w:val="00DE75D8"/>
    <w:rsid w:val="00DF515C"/>
    <w:rsid w:val="00E015E6"/>
    <w:rsid w:val="00E13C5C"/>
    <w:rsid w:val="00E209BF"/>
    <w:rsid w:val="00E236C6"/>
    <w:rsid w:val="00E25485"/>
    <w:rsid w:val="00E34F33"/>
    <w:rsid w:val="00E40F95"/>
    <w:rsid w:val="00E41CF8"/>
    <w:rsid w:val="00E4269D"/>
    <w:rsid w:val="00E4312B"/>
    <w:rsid w:val="00E520C2"/>
    <w:rsid w:val="00E57576"/>
    <w:rsid w:val="00E604B3"/>
    <w:rsid w:val="00E60650"/>
    <w:rsid w:val="00E60EE1"/>
    <w:rsid w:val="00E708F6"/>
    <w:rsid w:val="00E716B4"/>
    <w:rsid w:val="00E80C50"/>
    <w:rsid w:val="00E86B67"/>
    <w:rsid w:val="00E9314D"/>
    <w:rsid w:val="00E954DF"/>
    <w:rsid w:val="00EA33D5"/>
    <w:rsid w:val="00EA5E02"/>
    <w:rsid w:val="00EA5FD0"/>
    <w:rsid w:val="00EA63B1"/>
    <w:rsid w:val="00EB0020"/>
    <w:rsid w:val="00EB384D"/>
    <w:rsid w:val="00EC739A"/>
    <w:rsid w:val="00EC7D3F"/>
    <w:rsid w:val="00ED0DD3"/>
    <w:rsid w:val="00ED43C9"/>
    <w:rsid w:val="00ED648B"/>
    <w:rsid w:val="00EE0940"/>
    <w:rsid w:val="00EE16DD"/>
    <w:rsid w:val="00EE31B0"/>
    <w:rsid w:val="00EE356F"/>
    <w:rsid w:val="00EE397E"/>
    <w:rsid w:val="00EE65B1"/>
    <w:rsid w:val="00EF0A8E"/>
    <w:rsid w:val="00EF1C55"/>
    <w:rsid w:val="00EF1C95"/>
    <w:rsid w:val="00EF2774"/>
    <w:rsid w:val="00EF3CE9"/>
    <w:rsid w:val="00EF4059"/>
    <w:rsid w:val="00EF5586"/>
    <w:rsid w:val="00F078B7"/>
    <w:rsid w:val="00F126DB"/>
    <w:rsid w:val="00F1278D"/>
    <w:rsid w:val="00F14BFD"/>
    <w:rsid w:val="00F17566"/>
    <w:rsid w:val="00F238F2"/>
    <w:rsid w:val="00F332B3"/>
    <w:rsid w:val="00F34D63"/>
    <w:rsid w:val="00F41C35"/>
    <w:rsid w:val="00F4438C"/>
    <w:rsid w:val="00F45323"/>
    <w:rsid w:val="00F46ED7"/>
    <w:rsid w:val="00F549D7"/>
    <w:rsid w:val="00F556DB"/>
    <w:rsid w:val="00F560D5"/>
    <w:rsid w:val="00F63F23"/>
    <w:rsid w:val="00F73D95"/>
    <w:rsid w:val="00F76DD2"/>
    <w:rsid w:val="00F77044"/>
    <w:rsid w:val="00F8015E"/>
    <w:rsid w:val="00F80A08"/>
    <w:rsid w:val="00F83598"/>
    <w:rsid w:val="00F83E61"/>
    <w:rsid w:val="00F85766"/>
    <w:rsid w:val="00F91CCA"/>
    <w:rsid w:val="00F91DBC"/>
    <w:rsid w:val="00F931D3"/>
    <w:rsid w:val="00F95769"/>
    <w:rsid w:val="00FA289A"/>
    <w:rsid w:val="00FB375B"/>
    <w:rsid w:val="00FB6425"/>
    <w:rsid w:val="00FB694C"/>
    <w:rsid w:val="00FC620F"/>
    <w:rsid w:val="00FC7F5D"/>
    <w:rsid w:val="00FD1D84"/>
    <w:rsid w:val="00FD50A4"/>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74535"/>
    <w:pPr>
      <w:spacing w:before="120" w:after="120"/>
    </w:pPr>
  </w:style>
  <w:style w:type="paragraph" w:styleId="Heading1">
    <w:name w:val="heading 1"/>
    <w:basedOn w:val="Normal"/>
    <w:next w:val="Normal"/>
    <w:qFormat/>
    <w:rsid w:val="00C74935"/>
    <w:pPr>
      <w:keepNext/>
      <w:spacing w:before="240"/>
      <w:outlineLvl w:val="0"/>
    </w:pPr>
    <w:rPr>
      <w:rFonts w:cs="Arial"/>
      <w:b/>
      <w:bCs/>
      <w:color w:val="1178A2"/>
      <w:kern w:val="28"/>
      <w:sz w:val="40"/>
      <w:szCs w:val="32"/>
    </w:rPr>
  </w:style>
  <w:style w:type="paragraph" w:styleId="Heading2">
    <w:name w:val="heading 2"/>
    <w:basedOn w:val="Heading1"/>
    <w:next w:val="Normal"/>
    <w:qFormat/>
    <w:rsid w:val="003E4A94"/>
    <w:pPr>
      <w:spacing w:before="300" w:after="240"/>
      <w:outlineLvl w:val="1"/>
    </w:pPr>
    <w:rPr>
      <w:bCs w:val="0"/>
      <w:iCs/>
      <w:color w:val="125370" w:themeColor="accent3"/>
      <w:sz w:val="32"/>
      <w:szCs w:val="28"/>
    </w:rPr>
  </w:style>
  <w:style w:type="paragraph" w:styleId="Heading3">
    <w:name w:val="heading 3"/>
    <w:basedOn w:val="Heading2"/>
    <w:next w:val="Normal"/>
    <w:qFormat/>
    <w:rsid w:val="006A0017"/>
    <w:pPr>
      <w:outlineLvl w:val="2"/>
    </w:pPr>
    <w:rPr>
      <w:bCs/>
      <w:kern w:val="26"/>
      <w:sz w:val="28"/>
      <w:szCs w:val="26"/>
    </w:rPr>
  </w:style>
  <w:style w:type="paragraph" w:styleId="Heading4">
    <w:name w:val="heading 4"/>
    <w:basedOn w:val="Normal"/>
    <w:next w:val="Normal"/>
    <w:qFormat/>
    <w:rsid w:val="00943D7C"/>
    <w:pPr>
      <w:keepNext/>
      <w:spacing w:before="240" w:after="24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Title"/>
    <w:next w:val="Normal"/>
    <w:link w:val="SubtitleChar"/>
    <w:uiPriority w:val="99"/>
    <w:qFormat/>
    <w:locked/>
    <w:rsid w:val="00A2136D"/>
    <w:pPr>
      <w:numPr>
        <w:ilvl w:val="1"/>
      </w:numPr>
      <w:spacing w:before="120"/>
      <w:ind w:right="397"/>
    </w:pPr>
    <w:rPr>
      <w:rFonts w:ascii="Arial" w:hAnsi="Arial"/>
      <w:iCs/>
      <w:color w:val="1178A2" w:themeColor="accent1"/>
      <w:sz w:val="44"/>
      <w:szCs w:val="52"/>
    </w:rPr>
  </w:style>
  <w:style w:type="character" w:customStyle="1" w:styleId="SubtitleChar">
    <w:name w:val="Subtitle Char"/>
    <w:basedOn w:val="DefaultParagraphFont"/>
    <w:link w:val="Subtitle"/>
    <w:uiPriority w:val="99"/>
    <w:rsid w:val="00A2136D"/>
    <w:rPr>
      <w:rFonts w:ascii="Arial" w:eastAsiaTheme="majorEastAsia" w:hAnsi="Arial" w:cs="Times New Roman (Headings CS)"/>
      <w:b/>
      <w:iCs/>
      <w:color w:val="1178A2" w:themeColor="accent1"/>
      <w:spacing w:val="-2"/>
      <w:kern w:val="28"/>
      <w:sz w:val="44"/>
      <w:szCs w:val="52"/>
      <w:lang w:val="en-GB"/>
    </w:rPr>
  </w:style>
  <w:style w:type="paragraph" w:styleId="Title">
    <w:name w:val="Title"/>
    <w:basedOn w:val="Normal"/>
    <w:next w:val="Normal"/>
    <w:link w:val="TitleChar"/>
    <w:uiPriority w:val="99"/>
    <w:qFormat/>
    <w:rsid w:val="00CC35A0"/>
    <w:pPr>
      <w:spacing w:before="480" w:after="480"/>
      <w:contextualSpacing/>
    </w:pPr>
    <w:rPr>
      <w:rFonts w:ascii="Arial Bold" w:eastAsiaTheme="majorEastAsia" w:hAnsi="Arial Bold" w:cs="Times New Roman (Headings CS)"/>
      <w:b/>
      <w:color w:val="0A4A63"/>
      <w:spacing w:val="-2"/>
      <w:kern w:val="28"/>
      <w:sz w:val="56"/>
      <w:szCs w:val="56"/>
      <w:lang w:val="en-GB"/>
    </w:rPr>
  </w:style>
  <w:style w:type="character" w:customStyle="1" w:styleId="TitleChar">
    <w:name w:val="Title Char"/>
    <w:basedOn w:val="DefaultParagraphFont"/>
    <w:link w:val="Title"/>
    <w:uiPriority w:val="99"/>
    <w:rsid w:val="00CC35A0"/>
    <w:rPr>
      <w:rFonts w:ascii="Arial Bold" w:eastAsiaTheme="majorEastAsia" w:hAnsi="Arial Bold" w:cs="Times New Roman (Headings CS)"/>
      <w:b/>
      <w:color w:val="0A4A63"/>
      <w:spacing w:val="-2"/>
      <w:kern w:val="28"/>
      <w:sz w:val="56"/>
      <w:szCs w:val="56"/>
      <w:lang w:val="en-GB"/>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423FC4"/>
    <w:rPr>
      <w:color w:val="1178A2" w:themeColor="accent1"/>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uiPriority w:val="99"/>
    <w:qFormat/>
    <w:rsid w:val="00304E73"/>
    <w:pPr>
      <w:spacing w:before="0" w:after="0"/>
      <w:jc w:val="right"/>
    </w:pPr>
    <w:rPr>
      <w:color w:val="000000" w:themeColor="text1"/>
      <w:spacing w:val="-2"/>
      <w:sz w:val="28"/>
      <w:szCs w:val="40"/>
      <w:lang w:val="en-US"/>
    </w:rPr>
  </w:style>
  <w:style w:type="table" w:styleId="PlainTable1">
    <w:name w:val="Plain Table 1"/>
    <w:basedOn w:val="TableNormal"/>
    <w:uiPriority w:val="98"/>
    <w:locked/>
    <w:rsid w:val="00C82F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HeadMisc">
    <w:name w:val="References Head (Misc)"/>
    <w:basedOn w:val="Normal"/>
    <w:uiPriority w:val="99"/>
    <w:rsid w:val="006A0017"/>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NumberedMisc">
    <w:name w:val="References List Numbered (Misc)"/>
    <w:basedOn w:val="Normal"/>
    <w:uiPriority w:val="99"/>
    <w:rsid w:val="006A0017"/>
    <w:pPr>
      <w:widowControl w:val="0"/>
      <w:suppressAutoHyphens/>
      <w:autoSpaceDE w:val="0"/>
      <w:autoSpaceDN w:val="0"/>
      <w:adjustRightInd w:val="0"/>
      <w:spacing w:before="0" w:after="28" w:line="230" w:lineRule="atLeast"/>
      <w:ind w:left="283" w:hanging="283"/>
      <w:textAlignment w:val="center"/>
    </w:pPr>
    <w:rPr>
      <w:rFonts w:ascii="Open Sans" w:eastAsiaTheme="minorEastAsia" w:hAnsi="Open Sans" w:cs="Open Sans"/>
      <w:color w:val="000000"/>
      <w:sz w:val="17"/>
      <w:szCs w:val="17"/>
      <w:lang w:val="en-GB" w:eastAsia="en-GB"/>
    </w:rPr>
  </w:style>
  <w:style w:type="paragraph" w:customStyle="1" w:styleId="NormalBodystyles">
    <w:name w:val="Normal (Body styles)"/>
    <w:basedOn w:val="Normal"/>
    <w:uiPriority w:val="99"/>
    <w:rsid w:val="005A701E"/>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5A701E"/>
    <w:pPr>
      <w:widowControl w:val="0"/>
      <w:suppressAutoHyphens/>
      <w:autoSpaceDE w:val="0"/>
      <w:autoSpaceDN w:val="0"/>
      <w:adjustRightInd w:val="0"/>
      <w:spacing w:before="170" w:after="170" w:line="320" w:lineRule="atLeast"/>
      <w:textAlignment w:val="center"/>
    </w:pPr>
    <w:rPr>
      <w:rFonts w:ascii="Proxima Nova" w:eastAsiaTheme="minorEastAsia" w:hAnsi="Proxima Nova" w:cs="Proxima Nova"/>
      <w:b/>
      <w:bCs/>
      <w:color w:val="003565"/>
      <w:sz w:val="30"/>
      <w:szCs w:val="30"/>
      <w:lang w:val="en-GB" w:eastAsia="en-GB"/>
    </w:rPr>
  </w:style>
  <w:style w:type="paragraph" w:customStyle="1" w:styleId="NormalBeforeListBodystyles">
    <w:name w:val="Normal Before List (Body styles)"/>
    <w:basedOn w:val="NormalBodystyles"/>
    <w:next w:val="BulletLists"/>
    <w:uiPriority w:val="99"/>
    <w:rsid w:val="005A701E"/>
    <w:pPr>
      <w:keepNext/>
      <w:spacing w:after="57"/>
    </w:pPr>
  </w:style>
  <w:style w:type="paragraph" w:customStyle="1" w:styleId="StepsLists">
    <w:name w:val="Steps (Lists)"/>
    <w:basedOn w:val="NormalBodystyles"/>
    <w:uiPriority w:val="99"/>
    <w:rsid w:val="005A701E"/>
    <w:pPr>
      <w:tabs>
        <w:tab w:val="left" w:pos="397"/>
      </w:tabs>
      <w:spacing w:before="57" w:after="0"/>
      <w:ind w:left="397"/>
    </w:pPr>
  </w:style>
  <w:style w:type="paragraph" w:customStyle="1" w:styleId="StepsLetterFirstLists">
    <w:name w:val="Steps Letter First (Lists)"/>
    <w:basedOn w:val="Normal"/>
    <w:uiPriority w:val="99"/>
    <w:rsid w:val="005A701E"/>
    <w:pPr>
      <w:widowControl w:val="0"/>
      <w:tabs>
        <w:tab w:val="left" w:pos="227"/>
        <w:tab w:val="left" w:pos="255"/>
      </w:tabs>
      <w:suppressAutoHyphens/>
      <w:autoSpaceDE w:val="0"/>
      <w:autoSpaceDN w:val="0"/>
      <w:adjustRightInd w:val="0"/>
      <w:spacing w:before="0" w:after="28" w:line="250" w:lineRule="atLeast"/>
      <w:ind w:left="624" w:hanging="227"/>
      <w:textAlignment w:val="center"/>
    </w:pPr>
    <w:rPr>
      <w:rFonts w:ascii="Open Sans" w:eastAsiaTheme="minorEastAsia" w:hAnsi="Open Sans" w:cs="Open Sans"/>
      <w:color w:val="000000"/>
      <w:sz w:val="19"/>
      <w:szCs w:val="19"/>
      <w:lang w:val="en-GB" w:eastAsia="en-GB"/>
    </w:rPr>
  </w:style>
  <w:style w:type="paragraph" w:customStyle="1" w:styleId="StepsLetterContLists">
    <w:name w:val="Steps Letter Cont (Lists)"/>
    <w:basedOn w:val="Normal"/>
    <w:uiPriority w:val="99"/>
    <w:rsid w:val="005A701E"/>
    <w:pPr>
      <w:widowControl w:val="0"/>
      <w:tabs>
        <w:tab w:val="left" w:pos="227"/>
        <w:tab w:val="left" w:pos="255"/>
      </w:tabs>
      <w:suppressAutoHyphens/>
      <w:autoSpaceDE w:val="0"/>
      <w:autoSpaceDN w:val="0"/>
      <w:adjustRightInd w:val="0"/>
      <w:spacing w:before="0" w:after="28" w:line="250" w:lineRule="atLeast"/>
      <w:ind w:left="624" w:hanging="227"/>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5A701E"/>
    <w:pPr>
      <w:widowControl w:val="0"/>
      <w:suppressAutoHyphens/>
      <w:autoSpaceDE w:val="0"/>
      <w:autoSpaceDN w:val="0"/>
      <w:adjustRightInd w:val="0"/>
      <w:spacing w:before="113" w:after="142"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BulletLists">
    <w:name w:val="Bullet (Lists)"/>
    <w:basedOn w:val="NormalBodystyles"/>
    <w:uiPriority w:val="99"/>
    <w:rsid w:val="005A701E"/>
    <w:pPr>
      <w:tabs>
        <w:tab w:val="left" w:pos="255"/>
      </w:tabs>
      <w:spacing w:after="57"/>
      <w:ind w:left="255" w:hanging="255"/>
    </w:pPr>
  </w:style>
  <w:style w:type="paragraph" w:customStyle="1" w:styleId="BulletLastLists">
    <w:name w:val="Bullet Last (Lists)"/>
    <w:basedOn w:val="BulletLists"/>
    <w:uiPriority w:val="99"/>
    <w:rsid w:val="005A701E"/>
    <w:pPr>
      <w:spacing w:after="170"/>
    </w:pPr>
  </w:style>
  <w:style w:type="character" w:customStyle="1" w:styleId="Hyperlinkitalics">
    <w:name w:val="Hyperlink (italics)"/>
    <w:basedOn w:val="Hyperlink"/>
    <w:uiPriority w:val="99"/>
    <w:qFormat/>
    <w:rsid w:val="007F7B82"/>
    <w:rPr>
      <w:i/>
      <w:color w:val="1178A2" w:themeColor="accent1"/>
      <w:u w:val="single"/>
    </w:rPr>
  </w:style>
  <w:style w:type="character" w:customStyle="1" w:styleId="BoldSteps">
    <w:name w:val="Bold (Steps)"/>
    <w:basedOn w:val="DefaultParagraphFont"/>
    <w:uiPriority w:val="99"/>
    <w:rsid w:val="00A569EB"/>
    <w:rPr>
      <w:rFonts w:ascii="Proxima Nova Extrabold" w:hAnsi="Proxima Nova Extrabold" w:cs="Proxima Nova Extrabold"/>
      <w:b/>
      <w:bCs/>
      <w:color w:val="003565"/>
      <w:sz w:val="22"/>
      <w:szCs w:val="22"/>
    </w:rPr>
  </w:style>
  <w:style w:type="paragraph" w:customStyle="1" w:styleId="Heading2spanHeadings">
    <w:name w:val="Heading 2 (span) (Headings)"/>
    <w:basedOn w:val="Heading2"/>
    <w:uiPriority w:val="99"/>
    <w:rsid w:val="003E4A94"/>
    <w:pPr>
      <w:widowControl w:val="0"/>
      <w:autoSpaceDE w:val="0"/>
      <w:autoSpaceDN w:val="0"/>
      <w:adjustRightInd w:val="0"/>
      <w:spacing w:line="288" w:lineRule="auto"/>
      <w:textAlignment w:val="center"/>
      <w:outlineLvl w:val="9"/>
    </w:pPr>
    <w:rPr>
      <w:rFonts w:ascii="Arial" w:eastAsiaTheme="minorEastAsia" w:hAnsi="Arial"/>
      <w:bCs/>
      <w:iCs w:val="0"/>
      <w:kern w:val="0"/>
      <w:szCs w:val="32"/>
      <w:lang w:val="en-US" w:eastAsia="en-GB"/>
    </w:rPr>
  </w:style>
  <w:style w:type="table" w:customStyle="1" w:styleId="Alertbox">
    <w:name w:val="Alert box"/>
    <w:basedOn w:val="TableNormal"/>
    <w:uiPriority w:val="99"/>
    <w:rsid w:val="00A32F5A"/>
    <w:pPr>
      <w:spacing w:after="0"/>
    </w:pPr>
    <w:tblPr>
      <w:tblBorders>
        <w:top w:val="single" w:sz="48" w:space="0" w:color="E12827"/>
        <w:left w:val="single" w:sz="48" w:space="0" w:color="E12827"/>
        <w:bottom w:val="single" w:sz="48" w:space="0" w:color="E12827"/>
        <w:right w:val="single" w:sz="48" w:space="0" w:color="E12827"/>
      </w:tblBorders>
      <w:tblCellMar>
        <w:left w:w="340" w:type="dxa"/>
        <w:bottom w:w="227" w:type="dxa"/>
        <w:right w:w="340" w:type="dxa"/>
      </w:tblCellMar>
    </w:tblPr>
    <w:tcPr>
      <w:shd w:val="clear" w:color="auto" w:fill="FEF6F2"/>
    </w:tcPr>
  </w:style>
  <w:style w:type="table" w:customStyle="1" w:styleId="Highlighbox">
    <w:name w:val="Highligh box"/>
    <w:basedOn w:val="TableNormal"/>
    <w:uiPriority w:val="99"/>
    <w:rsid w:val="00017900"/>
    <w:pPr>
      <w:spacing w:after="0"/>
    </w:pPr>
    <w:tblPr>
      <w:tblBorders>
        <w:top w:val="single" w:sz="48" w:space="0" w:color="00A9DD" w:themeColor="accent2"/>
        <w:left w:val="single" w:sz="48" w:space="0" w:color="00A9DD" w:themeColor="accent2"/>
        <w:bottom w:val="single" w:sz="48" w:space="0" w:color="00A9DD" w:themeColor="accent2"/>
        <w:right w:val="single" w:sz="48" w:space="0" w:color="00A9DD" w:themeColor="accent2"/>
      </w:tblBorders>
      <w:tblCellMar>
        <w:left w:w="340" w:type="dxa"/>
        <w:bottom w:w="227" w:type="dxa"/>
        <w:right w:w="284" w:type="dxa"/>
      </w:tblCellMar>
    </w:tblPr>
    <w:tcPr>
      <w:shd w:val="clear" w:color="auto" w:fill="EEF6FB"/>
    </w:tcPr>
  </w:style>
  <w:style w:type="paragraph" w:customStyle="1" w:styleId="Redhighlight">
    <w:name w:val="Red highlight"/>
    <w:basedOn w:val="Normal"/>
    <w:qFormat/>
    <w:rsid w:val="00F91DBC"/>
    <w:pPr>
      <w:spacing w:before="240" w:after="0"/>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afetyandquality.gov.au/our-work/medication-safet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smp.org/sites/default/files/attachments/2017-11/ISMP138-Insulin%20Guideline-051517-2-WEB.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2.health.wa.gov.au/Articles/J_M/Medication-safety-resour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swtag.org.au/high-risk-medicines/" TargetMode="External"/><Relationship Id="rId20" Type="http://schemas.openxmlformats.org/officeDocument/2006/relationships/hyperlink" Target="https://doi.org/10.3390/pharmacy9010053" TargetMode="External"/><Relationship Id="rId29" Type="http://schemas.openxmlformats.org/officeDocument/2006/relationships/hyperlink" Target="http://www.safetyandquality.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nps.org.au/radar/articles/insulin-glargine-300-iu-m-l-solution-toujeo-for-diabetes-mellit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bs.tga.gov.au/ebs/picmi/picmirepository.nsf/pdf?OpenAgent&amp;id=CP-2017-PI-02153-1" TargetMode="External"/><Relationship Id="rId28" Type="http://schemas.openxmlformats.org/officeDocument/2006/relationships/footer" Target="footer2.xml"/><Relationship Id="rId10" Type="http://schemas.openxmlformats.org/officeDocument/2006/relationships/hyperlink" Target="https://www.safetyandquality.gov.au/our-work/medication-safety/active-ingredient-prescribing" TargetMode="External"/><Relationship Id="rId19" Type="http://schemas.openxmlformats.org/officeDocument/2006/relationships/hyperlink" Target="mailto:medsafety@safetyandquality.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resource-library/list-medicines-brand-consideration-lmbc" TargetMode="External"/><Relationship Id="rId14" Type="http://schemas.openxmlformats.org/officeDocument/2006/relationships/image" Target="media/image5.png"/><Relationship Id="rId22" Type="http://schemas.openxmlformats.org/officeDocument/2006/relationships/hyperlink" Target="http://www.nice.org.uk/guidance/ng17" TargetMode="External"/><Relationship Id="rId27" Type="http://schemas.openxmlformats.org/officeDocument/2006/relationships/footer" Target="footer1.xml"/><Relationship Id="rId30"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124</TotalTime>
  <Pages>5</Pages>
  <Words>1281</Words>
  <Characters>7880</Characters>
  <Application>Microsoft Office Word</Application>
  <DocSecurity>0</DocSecurity>
  <Lines>171</Lines>
  <Paragraphs>95</Paragraphs>
  <ScaleCrop>false</ScaleCrop>
  <HeadingPairs>
    <vt:vector size="2" baseType="variant">
      <vt:variant>
        <vt:lpstr>Title</vt:lpstr>
      </vt:variant>
      <vt:variant>
        <vt:i4>1</vt:i4>
      </vt:variant>
    </vt:vector>
  </HeadingPairs>
  <TitlesOfParts>
    <vt:vector size="1" baseType="lpstr">
      <vt:lpstr>Fact sheet for health services: NSQDMH Standards assessment framework</vt:lpstr>
    </vt:vector>
  </TitlesOfParts>
  <Manager/>
  <Company>Australian Commission on Safety and Quality in Health Care</Company>
  <LinksUpToDate>false</LinksUpToDate>
  <CharactersWithSpaces>9066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clinicians: Safer insulin prescribing: Guidance for Australian prescribers</dc:title>
  <dc:subject/>
  <dc:creator>Australian Commission on Safety and Quality in Health Care</dc:creator>
  <cp:keywords/>
  <dc:description/>
  <cp:lastModifiedBy>James</cp:lastModifiedBy>
  <cp:revision>137</cp:revision>
  <cp:lastPrinted>2020-03-04T03:32:00Z</cp:lastPrinted>
  <dcterms:created xsi:type="dcterms:W3CDTF">2020-05-04T03:27:00Z</dcterms:created>
  <dcterms:modified xsi:type="dcterms:W3CDTF">2022-10-18T04:45:00Z</dcterms:modified>
  <cp:category/>
</cp:coreProperties>
</file>