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4842" w14:textId="6AE98D45" w:rsidR="00466C72" w:rsidRPr="00A25D74" w:rsidRDefault="00A25D74" w:rsidP="00A25D74">
      <w:pPr>
        <w:pStyle w:val="ActionGuide"/>
      </w:pPr>
      <w:bookmarkStart w:id="0" w:name="_Toc476822632"/>
      <w:bookmarkStart w:id="1" w:name="_Toc476822653"/>
      <w:r w:rsidRPr="00A25D74">
        <w:t xml:space="preserve">ACTION GUIDE </w:t>
      </w:r>
      <w:r w:rsidRPr="0089165D">
        <w:rPr>
          <w:b w:val="0"/>
          <w:bCs/>
        </w:rPr>
        <w:t>– FOR DIGITAL MENTAL HEALTH SERVICE PROVIDERS</w:t>
      </w:r>
      <w:r w:rsidR="00466C72" w:rsidRPr="00A25D74">
        <w:t xml:space="preserve"> </w:t>
      </w:r>
    </w:p>
    <w:bookmarkEnd w:id="0"/>
    <w:bookmarkEnd w:id="1"/>
    <w:p w14:paraId="50D38CE5" w14:textId="77777777" w:rsidR="00084873" w:rsidRDefault="00084873" w:rsidP="00084873">
      <w:pPr>
        <w:pStyle w:val="Subtitle"/>
      </w:pPr>
      <w:r>
        <w:t>Clinical and Technical Governance Standard:</w:t>
      </w:r>
    </w:p>
    <w:p w14:paraId="5ED10621" w14:textId="64DA0ACE" w:rsidR="00084873" w:rsidRDefault="00F76599" w:rsidP="00084873">
      <w:pPr>
        <w:pStyle w:val="Title"/>
      </w:pPr>
      <w:r w:rsidRPr="00F76599">
        <w:t>Information security management</w:t>
      </w:r>
      <w:r>
        <w:t> </w:t>
      </w:r>
      <w:r w:rsidRPr="00F76599">
        <w:t>systems</w:t>
      </w:r>
      <w:r w:rsidR="00084873">
        <w:t xml:space="preserve"> </w:t>
      </w:r>
    </w:p>
    <w:p w14:paraId="0DAECAD1" w14:textId="77777777" w:rsidR="00F76599" w:rsidRDefault="00F76599" w:rsidP="00F76599">
      <w:pPr>
        <w:pStyle w:val="Intro"/>
      </w:pPr>
      <w:r>
        <w:t xml:space="preserve">Digital mental health service providers hold many types of valuable information, including sensitive personal and clinical health information. Healthcare is a target for cybercriminals because of the value and quantity of personal data held; good information security practice is therefore vital.  </w:t>
      </w:r>
    </w:p>
    <w:p w14:paraId="05A76E00" w14:textId="0791BF26" w:rsidR="00F76599" w:rsidRDefault="00F76599" w:rsidP="00F76599">
      <w:pPr>
        <w:pStyle w:val="Intro"/>
      </w:pPr>
      <w:r>
        <w:t xml:space="preserve">Information security deals with information assets and the protection of data from any form of threat. It should provide confidentiality, integrity, and availability for users and protect information from unauthorised access, data modification and removal. </w:t>
      </w:r>
    </w:p>
    <w:p w14:paraId="0333A0B7" w14:textId="7D5ED6AA" w:rsidR="00F76599" w:rsidRDefault="00106BD6" w:rsidP="00F76599">
      <w:pPr>
        <w:pStyle w:val="Heading1"/>
      </w:pPr>
      <w:r w:rsidRPr="00D10F83">
        <w:rPr>
          <w:noProof/>
        </w:rPr>
        <w:drawing>
          <wp:anchor distT="0" distB="0" distL="114300" distR="114300" simplePos="0" relativeHeight="251675648" behindDoc="0" locked="0" layoutInCell="1" allowOverlap="1" wp14:anchorId="7934EDFA" wp14:editId="4185A32B">
            <wp:simplePos x="0" y="0"/>
            <wp:positionH relativeFrom="column">
              <wp:posOffset>-16705</wp:posOffset>
            </wp:positionH>
            <wp:positionV relativeFrom="paragraph">
              <wp:posOffset>34932</wp:posOffset>
            </wp:positionV>
            <wp:extent cx="391795" cy="391795"/>
            <wp:effectExtent l="0" t="0" r="190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00F76599">
        <w:t>What is an information security management system?</w:t>
      </w:r>
    </w:p>
    <w:p w14:paraId="6EA92E1F" w14:textId="77777777" w:rsidR="00F76599" w:rsidRDefault="00F76599" w:rsidP="00F76599">
      <w:r>
        <w:t xml:space="preserve">An information security management system is a structured and systematic approach to managing information security and other IT-related risks. It includes wide-ranging controls to keep data secure from diverse security threats and vulnerabilities. It can help to assure general information security, as well as personal data protection. </w:t>
      </w:r>
    </w:p>
    <w:p w14:paraId="6B5B4A75" w14:textId="77777777" w:rsidR="00F76599" w:rsidRDefault="00F76599" w:rsidP="00F76599">
      <w:r>
        <w:t xml:space="preserve">The International Organization for Standardization (ISO) has developed </w:t>
      </w:r>
      <w:hyperlink r:id="rId9" w:history="1">
        <w:r>
          <w:rPr>
            <w:rStyle w:val="Hyperlink"/>
          </w:rPr>
          <w:t>ISO 27001</w:t>
        </w:r>
      </w:hyperlink>
      <w:r>
        <w:t>, a standard that provides a structured methodology dedicated to information security and the requirements for an information security management system. According to ISO 27001 the system should address:</w:t>
      </w:r>
    </w:p>
    <w:p w14:paraId="28444A57" w14:textId="77777777" w:rsidR="00F76599" w:rsidRDefault="00F76599" w:rsidP="00EF3463">
      <w:pPr>
        <w:pStyle w:val="ListBullet"/>
        <w:numPr>
          <w:ilvl w:val="0"/>
          <w:numId w:val="9"/>
        </w:numPr>
      </w:pPr>
      <w:r>
        <w:t>The relevant stakeholders for the service and their expectation for information security</w:t>
      </w:r>
    </w:p>
    <w:p w14:paraId="5EE4AB5E" w14:textId="77777777" w:rsidR="00F76599" w:rsidRDefault="00F76599" w:rsidP="00EF3463">
      <w:pPr>
        <w:pStyle w:val="ListBullet"/>
        <w:numPr>
          <w:ilvl w:val="0"/>
          <w:numId w:val="9"/>
        </w:numPr>
      </w:pPr>
      <w:r>
        <w:t>The risks for the information being handled by the service</w:t>
      </w:r>
    </w:p>
    <w:p w14:paraId="058F2518" w14:textId="77777777" w:rsidR="00F76599" w:rsidRDefault="00F76599" w:rsidP="00EF3463">
      <w:pPr>
        <w:pStyle w:val="ListBullet"/>
        <w:numPr>
          <w:ilvl w:val="0"/>
          <w:numId w:val="9"/>
        </w:numPr>
      </w:pPr>
      <w:r>
        <w:t>The safeguards and procedures in place to mitigate or manage risks</w:t>
      </w:r>
    </w:p>
    <w:p w14:paraId="5F8ECB6E" w14:textId="77777777" w:rsidR="00F76599" w:rsidRDefault="00F76599" w:rsidP="00EF3463">
      <w:pPr>
        <w:pStyle w:val="ListBullet"/>
        <w:numPr>
          <w:ilvl w:val="0"/>
          <w:numId w:val="9"/>
        </w:numPr>
      </w:pPr>
      <w:r>
        <w:t>The service’s information security objectives</w:t>
      </w:r>
    </w:p>
    <w:p w14:paraId="041F2045" w14:textId="77777777" w:rsidR="00F76599" w:rsidRDefault="00F76599" w:rsidP="00EF3463">
      <w:pPr>
        <w:pStyle w:val="ListBullet"/>
        <w:numPr>
          <w:ilvl w:val="0"/>
          <w:numId w:val="9"/>
        </w:numPr>
      </w:pPr>
      <w:r>
        <w:t>The process for measuring the effectiveness of safeguards and risk management procedures</w:t>
      </w:r>
    </w:p>
    <w:p w14:paraId="39259A5C" w14:textId="77777777" w:rsidR="00F76599" w:rsidRDefault="00F76599" w:rsidP="00EF3463">
      <w:pPr>
        <w:pStyle w:val="ListBullet"/>
        <w:numPr>
          <w:ilvl w:val="0"/>
          <w:numId w:val="9"/>
        </w:numPr>
      </w:pPr>
      <w:r>
        <w:t>Strategies for continuous improvement of the information security management system.</w:t>
      </w:r>
    </w:p>
    <w:p w14:paraId="2D537C98" w14:textId="77777777" w:rsidR="00F76599" w:rsidRDefault="00F76599" w:rsidP="00F76599">
      <w:pPr>
        <w:pStyle w:val="Heading1"/>
        <w:ind w:left="0"/>
      </w:pPr>
      <w:r>
        <w:t>Action in the NSQDMH Standards</w:t>
      </w:r>
    </w:p>
    <w:p w14:paraId="76DF9F6B" w14:textId="77777777" w:rsidR="00F76599" w:rsidRDefault="00F76599" w:rsidP="00F76599">
      <w:r>
        <w:t xml:space="preserve">Information security is addressed in </w:t>
      </w:r>
      <w:r>
        <w:rPr>
          <w:rStyle w:val="Bold"/>
        </w:rPr>
        <w:t>Action 1.35</w:t>
      </w:r>
      <w:r>
        <w:t xml:space="preserve"> of the National Safety and Quality Digital Mental Health (NSQDMH) Standards which requires service providers to have an information security management system in place that protects the security and stability of the data held by a digital mental health service.</w:t>
      </w:r>
    </w:p>
    <w:p w14:paraId="5159388D" w14:textId="7819FFED" w:rsidR="00F76599" w:rsidRDefault="00106BD6" w:rsidP="00F85522">
      <w:pPr>
        <w:pStyle w:val="Heading1"/>
      </w:pPr>
      <w:r w:rsidRPr="00D10F83">
        <w:rPr>
          <w:noProof/>
        </w:rPr>
        <w:lastRenderedPageBreak/>
        <w:drawing>
          <wp:anchor distT="0" distB="0" distL="114300" distR="114300" simplePos="0" relativeHeight="251673600" behindDoc="0" locked="0" layoutInCell="1" allowOverlap="1" wp14:anchorId="187C1FE3" wp14:editId="23FAF6F8">
            <wp:simplePos x="0" y="0"/>
            <wp:positionH relativeFrom="column">
              <wp:posOffset>-20320</wp:posOffset>
            </wp:positionH>
            <wp:positionV relativeFrom="paragraph">
              <wp:posOffset>-95997</wp:posOffset>
            </wp:positionV>
            <wp:extent cx="391795" cy="391795"/>
            <wp:effectExtent l="0" t="0" r="1905" b="190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00F76599">
        <w:t>Risks, threats and vulnerabilities</w:t>
      </w:r>
    </w:p>
    <w:p w14:paraId="66DB5010" w14:textId="134E608B" w:rsidR="00F76599" w:rsidRDefault="00F76599" w:rsidP="00F76599">
      <w:r>
        <w:t xml:space="preserve">It can be helpful to define some of the key terms used when discussing information security. According to the </w:t>
      </w:r>
      <w:hyperlink r:id="rId11" w:history="1">
        <w:r w:rsidRPr="00343B68">
          <w:rPr>
            <w:rStyle w:val="Hyperlink"/>
          </w:rPr>
          <w:t>Australian Cyber Security Centre</w:t>
        </w:r>
      </w:hyperlink>
      <w:r>
        <w:t xml:space="preserve">, </w:t>
      </w:r>
      <w:r>
        <w:rPr>
          <w:rStyle w:val="Bold"/>
        </w:rPr>
        <w:t>a security risk</w:t>
      </w:r>
      <w:r>
        <w:t xml:space="preserve"> to an information security management system is any event that could result in the compromise, loss of integrity or unavailability of data or resources, or deliberate harm to people measured in terms of its likelihood and consequences.</w:t>
      </w:r>
    </w:p>
    <w:p w14:paraId="069B63A9" w14:textId="77777777" w:rsidR="00F76599" w:rsidRDefault="00F76599" w:rsidP="00F76599">
      <w:r>
        <w:t xml:space="preserve">A </w:t>
      </w:r>
      <w:r>
        <w:rPr>
          <w:rStyle w:val="Bold"/>
        </w:rPr>
        <w:t>cyber threat</w:t>
      </w:r>
      <w:r>
        <w:t xml:space="preserve"> is any circumstance or event with the potential to harm systems or data. </w:t>
      </w:r>
      <w:r>
        <w:rPr>
          <w:rStyle w:val="Bold"/>
        </w:rPr>
        <w:t>Security vulnerability</w:t>
      </w:r>
      <w:r>
        <w:t xml:space="preserve"> is a weakness in a system’s security requirements, design, implementation or operation that could be accidentally triggered or intentionally exploited and result in violation of the system’s security policy.</w:t>
      </w:r>
    </w:p>
    <w:p w14:paraId="124B08D0" w14:textId="77777777" w:rsidR="00F76599" w:rsidRDefault="00F76599" w:rsidP="00F85522">
      <w:pPr>
        <w:spacing w:after="240"/>
      </w:pPr>
      <w:r>
        <w:t>Below are some examples of potential threats and vulnerabilities. It is important to note that threats can be both intentional and unintentional.</w:t>
      </w:r>
    </w:p>
    <w:tbl>
      <w:tblPr>
        <w:tblStyle w:val="MDBAsimpletable"/>
        <w:tblW w:w="5000" w:type="pct"/>
        <w:tblLook w:val="0620" w:firstRow="1" w:lastRow="0" w:firstColumn="0" w:lastColumn="0" w:noHBand="1" w:noVBand="1"/>
      </w:tblPr>
      <w:tblGrid>
        <w:gridCol w:w="9638"/>
      </w:tblGrid>
      <w:tr w:rsidR="00F76599" w:rsidRPr="00F85522" w14:paraId="38ACE800" w14:textId="77777777" w:rsidTr="00F85522">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639DD2CD" w14:textId="77777777" w:rsidR="00F76599" w:rsidRPr="00F85522" w:rsidRDefault="00F76599" w:rsidP="00F85522">
            <w:pPr>
              <w:spacing w:after="0"/>
            </w:pPr>
            <w:r w:rsidRPr="00F85522">
              <w:t>Threats</w:t>
            </w:r>
          </w:p>
        </w:tc>
      </w:tr>
      <w:tr w:rsidR="00F76599" w:rsidRPr="00F85522" w14:paraId="12714253" w14:textId="77777777" w:rsidTr="00F85522">
        <w:trPr>
          <w:trHeight w:val="60"/>
        </w:trPr>
        <w:tc>
          <w:tcPr>
            <w:tcW w:w="5000" w:type="pct"/>
          </w:tcPr>
          <w:p w14:paraId="5C4D268F" w14:textId="77777777" w:rsidR="00F76599" w:rsidRPr="00F85522" w:rsidRDefault="00F76599" w:rsidP="00EF3463">
            <w:pPr>
              <w:pStyle w:val="ListParagraph"/>
              <w:numPr>
                <w:ilvl w:val="0"/>
                <w:numId w:val="10"/>
              </w:numPr>
            </w:pPr>
            <w:r w:rsidRPr="00F85522">
              <w:t>Malicious actors using software including ransomware, malware or phishing attacks</w:t>
            </w:r>
          </w:p>
          <w:p w14:paraId="16CD1EA2" w14:textId="77777777" w:rsidR="00F76599" w:rsidRPr="00F85522" w:rsidRDefault="00F76599" w:rsidP="00EF3463">
            <w:pPr>
              <w:pStyle w:val="ListParagraph"/>
              <w:numPr>
                <w:ilvl w:val="0"/>
                <w:numId w:val="10"/>
              </w:numPr>
            </w:pPr>
            <w:r w:rsidRPr="00F85522">
              <w:t>Trusted insiders performing unauthorised access</w:t>
            </w:r>
          </w:p>
          <w:p w14:paraId="561CE8CB" w14:textId="77777777" w:rsidR="00F76599" w:rsidRPr="00F85522" w:rsidRDefault="00F76599" w:rsidP="00EF3463">
            <w:pPr>
              <w:pStyle w:val="ListParagraph"/>
              <w:numPr>
                <w:ilvl w:val="0"/>
                <w:numId w:val="10"/>
              </w:numPr>
            </w:pPr>
            <w:r w:rsidRPr="00F85522">
              <w:t>Damage resulting from testing</w:t>
            </w:r>
          </w:p>
          <w:p w14:paraId="2E1B9993" w14:textId="77777777" w:rsidR="00F76599" w:rsidRPr="00F85522" w:rsidRDefault="00F76599" w:rsidP="00EF3463">
            <w:pPr>
              <w:pStyle w:val="ListParagraph"/>
              <w:numPr>
                <w:ilvl w:val="0"/>
                <w:numId w:val="10"/>
              </w:numPr>
            </w:pPr>
            <w:r w:rsidRPr="00F85522">
              <w:t>Electricity failure</w:t>
            </w:r>
          </w:p>
          <w:p w14:paraId="73DF7078" w14:textId="77777777" w:rsidR="00F76599" w:rsidRPr="00F85522" w:rsidRDefault="00F76599" w:rsidP="00EF3463">
            <w:pPr>
              <w:pStyle w:val="ListParagraph"/>
              <w:numPr>
                <w:ilvl w:val="0"/>
                <w:numId w:val="10"/>
              </w:numPr>
            </w:pPr>
            <w:r w:rsidRPr="00F85522">
              <w:t>Equipment malfunction</w:t>
            </w:r>
          </w:p>
          <w:p w14:paraId="5DEAA427" w14:textId="77777777" w:rsidR="00F76599" w:rsidRPr="00F85522" w:rsidRDefault="00F76599" w:rsidP="00EF3463">
            <w:pPr>
              <w:pStyle w:val="ListParagraph"/>
              <w:numPr>
                <w:ilvl w:val="0"/>
                <w:numId w:val="10"/>
              </w:numPr>
            </w:pPr>
            <w:r w:rsidRPr="00F85522">
              <w:t>Loss or destruction of records</w:t>
            </w:r>
          </w:p>
          <w:p w14:paraId="0DA8500D" w14:textId="77777777" w:rsidR="00F76599" w:rsidRPr="00F85522" w:rsidRDefault="00F76599" w:rsidP="00EF3463">
            <w:pPr>
              <w:pStyle w:val="ListParagraph"/>
              <w:numPr>
                <w:ilvl w:val="0"/>
                <w:numId w:val="10"/>
              </w:numPr>
            </w:pPr>
            <w:r w:rsidRPr="00F85522">
              <w:t>Misconfigurations leaking sensitive data</w:t>
            </w:r>
          </w:p>
          <w:p w14:paraId="0D13BB12" w14:textId="77777777" w:rsidR="00F76599" w:rsidRPr="00F85522" w:rsidRDefault="00F76599" w:rsidP="00EF3463">
            <w:pPr>
              <w:pStyle w:val="ListParagraph"/>
              <w:numPr>
                <w:ilvl w:val="0"/>
                <w:numId w:val="10"/>
              </w:numPr>
            </w:pPr>
            <w:r w:rsidRPr="00F85522">
              <w:t>Maintenance errors</w:t>
            </w:r>
          </w:p>
          <w:p w14:paraId="48FC6BCB" w14:textId="77777777" w:rsidR="00F76599" w:rsidRPr="00F85522" w:rsidRDefault="00F76599" w:rsidP="00EF3463">
            <w:pPr>
              <w:pStyle w:val="ListParagraph"/>
              <w:numPr>
                <w:ilvl w:val="0"/>
                <w:numId w:val="10"/>
              </w:numPr>
            </w:pPr>
            <w:r w:rsidRPr="00F85522">
              <w:t>Software errors</w:t>
            </w:r>
          </w:p>
          <w:p w14:paraId="16C024D0" w14:textId="77777777" w:rsidR="00F76599" w:rsidRPr="00F85522" w:rsidRDefault="00F76599" w:rsidP="00EF3463">
            <w:pPr>
              <w:pStyle w:val="ListParagraph"/>
              <w:numPr>
                <w:ilvl w:val="0"/>
                <w:numId w:val="10"/>
              </w:numPr>
            </w:pPr>
            <w:r w:rsidRPr="00F85522">
              <w:t>Theft</w:t>
            </w:r>
          </w:p>
          <w:p w14:paraId="6450FFC6" w14:textId="77777777" w:rsidR="00F76599" w:rsidRPr="00F85522" w:rsidRDefault="00F76599" w:rsidP="00EF3463">
            <w:pPr>
              <w:pStyle w:val="ListParagraph"/>
              <w:numPr>
                <w:ilvl w:val="0"/>
                <w:numId w:val="10"/>
              </w:numPr>
            </w:pPr>
            <w:r w:rsidRPr="00F85522">
              <w:t>User error</w:t>
            </w:r>
          </w:p>
        </w:tc>
      </w:tr>
    </w:tbl>
    <w:p w14:paraId="1E0A1324" w14:textId="77777777" w:rsidR="00F76599" w:rsidRPr="00F85522" w:rsidRDefault="00F76599" w:rsidP="00F85522">
      <w:pPr>
        <w:spacing w:before="0" w:after="0"/>
      </w:pPr>
    </w:p>
    <w:p w14:paraId="038D0D45" w14:textId="6787A765" w:rsidR="00F76599" w:rsidRDefault="00F76599" w:rsidP="004D00F1">
      <w:pPr>
        <w:pStyle w:val="Toptip"/>
        <w:spacing w:before="0"/>
      </w:pPr>
      <w:r w:rsidRPr="00F85522">
        <w:rPr>
          <w:rStyle w:val="Purplebold"/>
        </w:rPr>
        <w:t>Top tip</w:t>
      </w:r>
      <w:r>
        <w:t xml:space="preserve">: The Department of Industry, </w:t>
      </w:r>
      <w:r w:rsidRPr="00F85522">
        <w:t>Science</w:t>
      </w:r>
      <w:r>
        <w:t xml:space="preserve">, Energy and Resources has developed a </w:t>
      </w:r>
      <w:hyperlink r:id="rId12" w:history="1">
        <w:r>
          <w:rPr>
            <w:rStyle w:val="Hyperlink"/>
          </w:rPr>
          <w:t>Cyber Security Assessment Tool</w:t>
        </w:r>
      </w:hyperlink>
      <w:r>
        <w:t xml:space="preserve"> to help businesses assess their cyber security strengths and areas for improvement.</w:t>
      </w:r>
    </w:p>
    <w:p w14:paraId="2926E88A" w14:textId="22B222FB" w:rsidR="003A0777" w:rsidRDefault="003A0777" w:rsidP="00F85522">
      <w:pPr>
        <w:spacing w:before="0" w:after="0"/>
      </w:pPr>
      <w:r>
        <w:br w:type="page"/>
      </w:r>
    </w:p>
    <w:tbl>
      <w:tblPr>
        <w:tblStyle w:val="MDBAsimpletable"/>
        <w:tblW w:w="5000" w:type="pct"/>
        <w:tblLook w:val="0620" w:firstRow="1" w:lastRow="0" w:firstColumn="0" w:lastColumn="0" w:noHBand="1" w:noVBand="1"/>
      </w:tblPr>
      <w:tblGrid>
        <w:gridCol w:w="9638"/>
      </w:tblGrid>
      <w:tr w:rsidR="00F76599" w:rsidRPr="00F85522" w14:paraId="7D7CBB5B" w14:textId="77777777" w:rsidTr="00F85522">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5542C497" w14:textId="77777777" w:rsidR="00F76599" w:rsidRPr="00F85522" w:rsidRDefault="00F76599" w:rsidP="00F85522">
            <w:pPr>
              <w:spacing w:after="0"/>
            </w:pPr>
            <w:r w:rsidRPr="00F85522">
              <w:lastRenderedPageBreak/>
              <w:t>Vulnerabilities</w:t>
            </w:r>
          </w:p>
        </w:tc>
      </w:tr>
      <w:tr w:rsidR="00F76599" w:rsidRPr="00F85522" w14:paraId="1DA8DDEA" w14:textId="77777777" w:rsidTr="00F85522">
        <w:trPr>
          <w:trHeight w:val="60"/>
        </w:trPr>
        <w:tc>
          <w:tcPr>
            <w:tcW w:w="5000" w:type="pct"/>
          </w:tcPr>
          <w:p w14:paraId="352C7E7B" w14:textId="77777777" w:rsidR="00F76599" w:rsidRPr="00F85522" w:rsidRDefault="00F76599" w:rsidP="00F85522">
            <w:r w:rsidRPr="00F85522">
              <w:t xml:space="preserve">Staff: </w:t>
            </w:r>
          </w:p>
          <w:p w14:paraId="06FD083C" w14:textId="77777777" w:rsidR="00F76599" w:rsidRPr="00F85522" w:rsidRDefault="00F76599" w:rsidP="00EF3463">
            <w:pPr>
              <w:pStyle w:val="ListParagraph"/>
              <w:numPr>
                <w:ilvl w:val="0"/>
                <w:numId w:val="11"/>
              </w:numPr>
            </w:pPr>
            <w:r w:rsidRPr="00F85522">
              <w:t>Inadequate segregation of duties and segregation of operational and testing facilities</w:t>
            </w:r>
          </w:p>
          <w:p w14:paraId="34318737" w14:textId="77777777" w:rsidR="00F76599" w:rsidRPr="00F85522" w:rsidRDefault="00F76599" w:rsidP="00EF3463">
            <w:pPr>
              <w:pStyle w:val="ListParagraph"/>
              <w:numPr>
                <w:ilvl w:val="0"/>
                <w:numId w:val="11"/>
              </w:numPr>
            </w:pPr>
            <w:r w:rsidRPr="00F85522">
              <w:t>Inadequate supervision or training of employees</w:t>
            </w:r>
          </w:p>
          <w:p w14:paraId="6B1D2344" w14:textId="77777777" w:rsidR="00F76599" w:rsidRPr="00F85522" w:rsidRDefault="00F76599" w:rsidP="00EF3463">
            <w:pPr>
              <w:pStyle w:val="ListParagraph"/>
              <w:numPr>
                <w:ilvl w:val="0"/>
                <w:numId w:val="11"/>
              </w:numPr>
            </w:pPr>
            <w:r w:rsidRPr="00F85522">
              <w:t>Lack of appropriate delegation and support</w:t>
            </w:r>
          </w:p>
          <w:p w14:paraId="57DEE32F" w14:textId="77777777" w:rsidR="00F76599" w:rsidRPr="00F85522" w:rsidRDefault="00F76599" w:rsidP="00F85522">
            <w:r w:rsidRPr="00F85522">
              <w:t>Systems management:</w:t>
            </w:r>
          </w:p>
          <w:p w14:paraId="1CBE691A" w14:textId="77777777" w:rsidR="00F76599" w:rsidRPr="00F85522" w:rsidRDefault="00F76599" w:rsidP="00EF3463">
            <w:pPr>
              <w:pStyle w:val="ListParagraph"/>
              <w:numPr>
                <w:ilvl w:val="0"/>
                <w:numId w:val="12"/>
              </w:numPr>
            </w:pPr>
            <w:r w:rsidRPr="00F85522">
              <w:t xml:space="preserve">Inadequate or irregular backup </w:t>
            </w:r>
          </w:p>
          <w:p w14:paraId="4FD2DAEB" w14:textId="77777777" w:rsidR="00F76599" w:rsidRPr="00F85522" w:rsidRDefault="00F76599" w:rsidP="00EF3463">
            <w:pPr>
              <w:pStyle w:val="ListParagraph"/>
              <w:numPr>
                <w:ilvl w:val="0"/>
                <w:numId w:val="12"/>
              </w:numPr>
            </w:pPr>
            <w:r w:rsidRPr="00F85522">
              <w:t>Inadequate password management</w:t>
            </w:r>
          </w:p>
          <w:p w14:paraId="6725465B" w14:textId="77777777" w:rsidR="00F76599" w:rsidRPr="00F85522" w:rsidRDefault="00F76599" w:rsidP="00EF3463">
            <w:pPr>
              <w:pStyle w:val="ListParagraph"/>
              <w:numPr>
                <w:ilvl w:val="0"/>
                <w:numId w:val="12"/>
              </w:numPr>
            </w:pPr>
            <w:r w:rsidRPr="00F85522">
              <w:t xml:space="preserve">Disposal of storage media without deleting data </w:t>
            </w:r>
          </w:p>
          <w:p w14:paraId="1C08FADC" w14:textId="77777777" w:rsidR="00F76599" w:rsidRPr="00F85522" w:rsidRDefault="00F76599" w:rsidP="00EF3463">
            <w:pPr>
              <w:pStyle w:val="ListParagraph"/>
              <w:numPr>
                <w:ilvl w:val="0"/>
                <w:numId w:val="12"/>
              </w:numPr>
            </w:pPr>
            <w:r w:rsidRPr="00F85522">
              <w:t>Insufficient software testing</w:t>
            </w:r>
          </w:p>
          <w:p w14:paraId="1F8C8FAF" w14:textId="77777777" w:rsidR="00F76599" w:rsidRPr="00F85522" w:rsidRDefault="00F76599" w:rsidP="00EF3463">
            <w:pPr>
              <w:pStyle w:val="ListParagraph"/>
              <w:numPr>
                <w:ilvl w:val="0"/>
                <w:numId w:val="12"/>
              </w:numPr>
            </w:pPr>
            <w:r w:rsidRPr="00F85522">
              <w:t>Lack of systems for identification and authentication</w:t>
            </w:r>
          </w:p>
          <w:p w14:paraId="6E70E42B" w14:textId="77777777" w:rsidR="00F76599" w:rsidRPr="00F85522" w:rsidRDefault="00F76599" w:rsidP="00EF3463">
            <w:pPr>
              <w:pStyle w:val="ListParagraph"/>
              <w:numPr>
                <w:ilvl w:val="0"/>
                <w:numId w:val="12"/>
              </w:numPr>
            </w:pPr>
            <w:r w:rsidRPr="00F85522">
              <w:t>Unprotected public network connections</w:t>
            </w:r>
          </w:p>
          <w:p w14:paraId="7BEE3D47" w14:textId="77777777" w:rsidR="00F76599" w:rsidRPr="00F85522" w:rsidRDefault="00F76599" w:rsidP="00EF3463">
            <w:pPr>
              <w:pStyle w:val="ListParagraph"/>
              <w:numPr>
                <w:ilvl w:val="0"/>
                <w:numId w:val="12"/>
              </w:numPr>
            </w:pPr>
            <w:r w:rsidRPr="00F85522">
              <w:t>User rights not reviewed regularly</w:t>
            </w:r>
          </w:p>
          <w:p w14:paraId="7DB1D024" w14:textId="77777777" w:rsidR="00F76599" w:rsidRPr="00F85522" w:rsidRDefault="00F76599" w:rsidP="00EF3463">
            <w:pPr>
              <w:pStyle w:val="ListParagraph"/>
              <w:numPr>
                <w:ilvl w:val="0"/>
                <w:numId w:val="12"/>
              </w:numPr>
            </w:pPr>
            <w:r w:rsidRPr="00F85522">
              <w:t>Uncontrolled copying of data</w:t>
            </w:r>
          </w:p>
          <w:p w14:paraId="298ADEF4" w14:textId="72C38B53" w:rsidR="00F76599" w:rsidRPr="00F85522" w:rsidRDefault="00F76599" w:rsidP="00EF3463">
            <w:pPr>
              <w:pStyle w:val="ListParagraph"/>
              <w:numPr>
                <w:ilvl w:val="0"/>
                <w:numId w:val="12"/>
              </w:numPr>
            </w:pPr>
            <w:r w:rsidRPr="00F85522">
              <w:t>Undocumented software</w:t>
            </w:r>
          </w:p>
          <w:p w14:paraId="4F980371" w14:textId="77777777" w:rsidR="00F76599" w:rsidRPr="00F85522" w:rsidRDefault="00F76599" w:rsidP="00F85522">
            <w:r w:rsidRPr="00F85522">
              <w:t>Equipment and maintenance:</w:t>
            </w:r>
          </w:p>
          <w:p w14:paraId="15C8E6DC" w14:textId="77777777" w:rsidR="00F76599" w:rsidRPr="00807D2C" w:rsidRDefault="00F76599" w:rsidP="00EF3463">
            <w:pPr>
              <w:pStyle w:val="ListParagraph"/>
              <w:numPr>
                <w:ilvl w:val="0"/>
                <w:numId w:val="13"/>
              </w:numPr>
            </w:pPr>
            <w:r w:rsidRPr="00807D2C">
              <w:t>Inadequate maintenance</w:t>
            </w:r>
          </w:p>
          <w:p w14:paraId="574D5379" w14:textId="77777777" w:rsidR="00F76599" w:rsidRPr="00807D2C" w:rsidRDefault="00F76599" w:rsidP="00EF3463">
            <w:pPr>
              <w:pStyle w:val="ListParagraph"/>
              <w:numPr>
                <w:ilvl w:val="0"/>
                <w:numId w:val="13"/>
              </w:numPr>
            </w:pPr>
            <w:r w:rsidRPr="00807D2C">
              <w:t>Lack of protection for mobile equipment</w:t>
            </w:r>
          </w:p>
          <w:p w14:paraId="4C8822B8" w14:textId="77777777" w:rsidR="00F76599" w:rsidRPr="00807D2C" w:rsidRDefault="00F76599" w:rsidP="00EF3463">
            <w:pPr>
              <w:pStyle w:val="ListParagraph"/>
              <w:numPr>
                <w:ilvl w:val="0"/>
                <w:numId w:val="13"/>
              </w:numPr>
            </w:pPr>
            <w:r w:rsidRPr="00807D2C">
              <w:t xml:space="preserve">Out of date equipment </w:t>
            </w:r>
          </w:p>
        </w:tc>
      </w:tr>
    </w:tbl>
    <w:p w14:paraId="6ADCF961" w14:textId="2B609D26" w:rsidR="00F76599" w:rsidRDefault="00106BD6" w:rsidP="00312EC3">
      <w:pPr>
        <w:pStyle w:val="Heading1"/>
      </w:pPr>
      <w:r w:rsidRPr="00D10F83">
        <w:rPr>
          <w:noProof/>
        </w:rPr>
        <w:drawing>
          <wp:anchor distT="0" distB="0" distL="114300" distR="114300" simplePos="0" relativeHeight="251671552" behindDoc="0" locked="0" layoutInCell="1" allowOverlap="1" wp14:anchorId="34797A32" wp14:editId="3651B859">
            <wp:simplePos x="0" y="0"/>
            <wp:positionH relativeFrom="column">
              <wp:posOffset>-19050</wp:posOffset>
            </wp:positionH>
            <wp:positionV relativeFrom="paragraph">
              <wp:posOffset>182768</wp:posOffset>
            </wp:positionV>
            <wp:extent cx="391795" cy="391795"/>
            <wp:effectExtent l="0" t="0" r="1905"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00F76599">
        <w:t>Cyber security roles</w:t>
      </w:r>
    </w:p>
    <w:p w14:paraId="3A57F3F4" w14:textId="623BF206" w:rsidR="00F76599" w:rsidRDefault="00F76599" w:rsidP="000F4825">
      <w:pPr>
        <w:spacing w:after="240"/>
      </w:pPr>
      <w:r>
        <w:t>Service providers should have appropriate cyber security roles in place, staffed by individuals with the appropriate skills and competencies, or who are able to access appropriate advice via external agencies or consultants. The </w:t>
      </w:r>
      <w:hyperlink r:id="rId13" w:history="1">
        <w:r w:rsidRPr="00343B68">
          <w:rPr>
            <w:rStyle w:val="Hyperlink"/>
          </w:rPr>
          <w:t>Australian Cyber Security Centre</w:t>
        </w:r>
      </w:hyperlink>
      <w:r>
        <w:t xml:space="preserve"> recommends that organisations appoint a Chief Information Security Officer or delegate a staff member with the overall responsibility of providing cybersecurity leadership and guidance. The Chief Information Security Officer is responsible for overseeing their organisation’s cyber security program and ensuring compliance with cyber security policy, standards, regulations and legislation. The Chief Information Security Officer should adopt a continuous approach to learning and upskilling in order to keep pace with evolving technologies and threats. </w:t>
      </w:r>
    </w:p>
    <w:p w14:paraId="5B3698E7" w14:textId="7B93E986" w:rsidR="00F76599" w:rsidRDefault="00F76599" w:rsidP="000F4825">
      <w:pPr>
        <w:pStyle w:val="Toptip"/>
        <w:spacing w:before="120"/>
      </w:pPr>
      <w:r w:rsidRPr="00820E3F">
        <w:rPr>
          <w:rStyle w:val="Purplebold"/>
        </w:rPr>
        <w:t>Top tip</w:t>
      </w:r>
      <w:r>
        <w:t xml:space="preserve">: The </w:t>
      </w:r>
      <w:hyperlink r:id="rId14" w:history="1">
        <w:r w:rsidRPr="00343B68">
          <w:rPr>
            <w:rStyle w:val="Hyperlink"/>
            <w:i w:val="0"/>
            <w:iCs w:val="0"/>
          </w:rPr>
          <w:t>Information Security Manual</w:t>
        </w:r>
      </w:hyperlink>
      <w:r>
        <w:t xml:space="preserve"> published by the Australian Cyber Security Centre provides detailed guidance on applying a cybersecurity framework, using a risk management approach and protecting systems and data from cyber threats.</w:t>
      </w:r>
    </w:p>
    <w:p w14:paraId="47FC1F9C" w14:textId="20B9FC65" w:rsidR="003A0777" w:rsidRDefault="003A0777" w:rsidP="003A0777">
      <w:r>
        <w:br w:type="page"/>
      </w:r>
    </w:p>
    <w:p w14:paraId="5894B7C6" w14:textId="63F5E0E0" w:rsidR="00F76599" w:rsidRDefault="00106BD6" w:rsidP="00820E3F">
      <w:pPr>
        <w:pStyle w:val="Heading1"/>
      </w:pPr>
      <w:r w:rsidRPr="00D10F83">
        <w:rPr>
          <w:noProof/>
        </w:rPr>
        <w:lastRenderedPageBreak/>
        <w:drawing>
          <wp:anchor distT="0" distB="0" distL="114300" distR="114300" simplePos="0" relativeHeight="251669504" behindDoc="0" locked="0" layoutInCell="1" allowOverlap="1" wp14:anchorId="6AC0DB3F" wp14:editId="7941479B">
            <wp:simplePos x="0" y="0"/>
            <wp:positionH relativeFrom="column">
              <wp:posOffset>-20320</wp:posOffset>
            </wp:positionH>
            <wp:positionV relativeFrom="paragraph">
              <wp:posOffset>-91963</wp:posOffset>
            </wp:positionV>
            <wp:extent cx="391795" cy="391795"/>
            <wp:effectExtent l="0" t="0" r="1905"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00F76599">
        <w:t xml:space="preserve">Risk assessment and action plan </w:t>
      </w:r>
    </w:p>
    <w:p w14:paraId="5C5B094F" w14:textId="77777777" w:rsidR="00F76599" w:rsidRDefault="00F76599" w:rsidP="00F76599">
      <w:r>
        <w:t>A critical step in developing an information security management system is to undertake a risk assessment of the likely threats the service may face. It is important for the service as a whole to agree on the parameters of the risk assessment, including how risk will be measured, what is encompassed (for example, both direct loss of an asset as well as reputational harm), and what is considered to be an acceptable level of risk.</w:t>
      </w:r>
    </w:p>
    <w:p w14:paraId="2B81087F" w14:textId="77777777" w:rsidR="00F76599" w:rsidRDefault="00F76599" w:rsidP="00DF21B2">
      <w:pPr>
        <w:spacing w:after="240"/>
      </w:pPr>
      <w:r>
        <w:t>Service providers should list all their information assets and the impact and likelihood of the associated risks to those assets. Service providers should also agree who is responsible for owning the risk and ensure that person has the skills and competency or can access appropriate support to respond effectively to these risks.</w:t>
      </w:r>
    </w:p>
    <w:tbl>
      <w:tblPr>
        <w:tblStyle w:val="MDBAsimpletable"/>
        <w:tblW w:w="5000" w:type="pct"/>
        <w:tblLook w:val="0620" w:firstRow="1" w:lastRow="0" w:firstColumn="0" w:lastColumn="0" w:noHBand="1" w:noVBand="1"/>
      </w:tblPr>
      <w:tblGrid>
        <w:gridCol w:w="9638"/>
      </w:tblGrid>
      <w:tr w:rsidR="00F76599" w14:paraId="12E8DE91" w14:textId="77777777" w:rsidTr="00DF21B2">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102FC017" w14:textId="77777777" w:rsidR="00F76599" w:rsidRPr="00DF21B2" w:rsidRDefault="00F76599" w:rsidP="00DF21B2">
            <w:pPr>
              <w:spacing w:after="0"/>
            </w:pPr>
            <w:r w:rsidRPr="00DF21B2">
              <w:t>Information system assets</w:t>
            </w:r>
          </w:p>
        </w:tc>
      </w:tr>
      <w:tr w:rsidR="00F76599" w14:paraId="5FD38D8A" w14:textId="77777777" w:rsidTr="00DF21B2">
        <w:trPr>
          <w:trHeight w:val="60"/>
        </w:trPr>
        <w:tc>
          <w:tcPr>
            <w:tcW w:w="5000" w:type="pct"/>
          </w:tcPr>
          <w:p w14:paraId="0AAF1A99" w14:textId="77777777" w:rsidR="00F76599" w:rsidRDefault="00F76599" w:rsidP="00EF3463">
            <w:pPr>
              <w:pStyle w:val="ListBullet"/>
              <w:numPr>
                <w:ilvl w:val="0"/>
                <w:numId w:val="14"/>
              </w:numPr>
            </w:pPr>
            <w:r>
              <w:t>Hardware: laptops, servers, printers and mobile phones</w:t>
            </w:r>
          </w:p>
          <w:p w14:paraId="7A9C22B7" w14:textId="77777777" w:rsidR="00F76599" w:rsidRDefault="00F76599" w:rsidP="00EF3463">
            <w:pPr>
              <w:pStyle w:val="ListBullet"/>
              <w:numPr>
                <w:ilvl w:val="0"/>
                <w:numId w:val="14"/>
              </w:numPr>
            </w:pPr>
            <w:r>
              <w:t>Software</w:t>
            </w:r>
          </w:p>
          <w:p w14:paraId="52ECBD17" w14:textId="77777777" w:rsidR="00F76599" w:rsidRDefault="00F76599" w:rsidP="00EF3463">
            <w:pPr>
              <w:pStyle w:val="ListBullet"/>
              <w:numPr>
                <w:ilvl w:val="0"/>
                <w:numId w:val="14"/>
              </w:numPr>
            </w:pPr>
            <w:r>
              <w:t>Information including databases and files</w:t>
            </w:r>
          </w:p>
          <w:p w14:paraId="5F1F09E0" w14:textId="77777777" w:rsidR="00F76599" w:rsidRDefault="00F76599" w:rsidP="00EF3463">
            <w:pPr>
              <w:pStyle w:val="ListBullet"/>
              <w:numPr>
                <w:ilvl w:val="0"/>
                <w:numId w:val="14"/>
              </w:numPr>
            </w:pPr>
            <w:r>
              <w:t>Infrastructure including offices, electricity and air-conditioning</w:t>
            </w:r>
          </w:p>
          <w:p w14:paraId="44CAAD24" w14:textId="77777777" w:rsidR="00F76599" w:rsidRDefault="00F76599" w:rsidP="00EF3463">
            <w:pPr>
              <w:pStyle w:val="ListBullet"/>
              <w:numPr>
                <w:ilvl w:val="0"/>
                <w:numId w:val="14"/>
              </w:numPr>
            </w:pPr>
            <w:r>
              <w:t>Staff</w:t>
            </w:r>
          </w:p>
          <w:p w14:paraId="2E6124F5" w14:textId="77777777" w:rsidR="00F76599" w:rsidRDefault="00F76599" w:rsidP="00EF3463">
            <w:pPr>
              <w:pStyle w:val="ListBullet"/>
              <w:numPr>
                <w:ilvl w:val="0"/>
                <w:numId w:val="14"/>
              </w:numPr>
            </w:pPr>
            <w:r>
              <w:t xml:space="preserve">Services such as legal services, </w:t>
            </w:r>
            <w:proofErr w:type="spellStart"/>
            <w:r>
              <w:t>DropBox</w:t>
            </w:r>
            <w:proofErr w:type="spellEnd"/>
            <w:r>
              <w:t>, etc.</w:t>
            </w:r>
          </w:p>
        </w:tc>
      </w:tr>
    </w:tbl>
    <w:p w14:paraId="1151CE79" w14:textId="15FC8DF1" w:rsidR="00F76599" w:rsidRDefault="00F76599" w:rsidP="00AF4586">
      <w:pPr>
        <w:spacing w:before="240"/>
      </w:pPr>
      <w:r>
        <w:t>Once a list of assets and risks are identified, providers are able to rate each risk according to its level of severity and determine the action to be taken. The Australian Cyber Security Centre </w:t>
      </w:r>
      <w:hyperlink r:id="rId15" w:history="1">
        <w:r w:rsidRPr="00343B68">
          <w:rPr>
            <w:rStyle w:val="Hyperlink"/>
            <w:i/>
            <w:iCs/>
          </w:rPr>
          <w:t>Information Security Manual</w:t>
        </w:r>
      </w:hyperlink>
      <w:r>
        <w:t xml:space="preserve"> includes advice on IT controls that can be applied to help minimise and mitigate a number of cyber security risks.</w:t>
      </w:r>
    </w:p>
    <w:p w14:paraId="0A6AC4C3" w14:textId="77777777" w:rsidR="00F76599" w:rsidRDefault="00F76599" w:rsidP="00E23184">
      <w:pPr>
        <w:spacing w:after="240"/>
      </w:pPr>
      <w:r>
        <w:t>Service providers should ensure they have documented all the actions taken in a risk assessment and action report detailing who is responsible for implementing actions, the expected time frame for implementation and the budget allowed.</w:t>
      </w:r>
    </w:p>
    <w:tbl>
      <w:tblPr>
        <w:tblStyle w:val="MDBAsimpletable"/>
        <w:tblW w:w="5000" w:type="pct"/>
        <w:tblLook w:val="0620" w:firstRow="1" w:lastRow="0" w:firstColumn="0" w:lastColumn="0" w:noHBand="1" w:noVBand="1"/>
      </w:tblPr>
      <w:tblGrid>
        <w:gridCol w:w="9638"/>
      </w:tblGrid>
      <w:tr w:rsidR="00F76599" w14:paraId="6FEEE911" w14:textId="77777777" w:rsidTr="00E23184">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3D0B2749" w14:textId="77777777" w:rsidR="00F76599" w:rsidRPr="00E23184" w:rsidRDefault="00F76599" w:rsidP="00E23184">
            <w:pPr>
              <w:spacing w:after="0"/>
            </w:pPr>
            <w:r w:rsidRPr="00E23184">
              <w:t>ISM risk management framework</w:t>
            </w:r>
          </w:p>
        </w:tc>
      </w:tr>
      <w:tr w:rsidR="00F76599" w14:paraId="3DFAFCC0" w14:textId="77777777" w:rsidTr="00E23184">
        <w:trPr>
          <w:trHeight w:val="60"/>
        </w:trPr>
        <w:tc>
          <w:tcPr>
            <w:tcW w:w="5000" w:type="pct"/>
          </w:tcPr>
          <w:p w14:paraId="3B70314E" w14:textId="77777777" w:rsidR="00F76599" w:rsidRDefault="00F76599" w:rsidP="00E23184">
            <w:pPr>
              <w:ind w:right="57"/>
            </w:pPr>
            <w:r>
              <w:t xml:space="preserve">The </w:t>
            </w:r>
            <w:r>
              <w:rPr>
                <w:rStyle w:val="Emphasis"/>
              </w:rPr>
              <w:t>Information Security Manual</w:t>
            </w:r>
            <w:r>
              <w:t xml:space="preserve"> outlines six key steps in its risk management framework. Note: The framework should be in place before a service commences operation. </w:t>
            </w:r>
          </w:p>
          <w:p w14:paraId="5A204830" w14:textId="77777777" w:rsidR="00F76599" w:rsidRPr="00E23184" w:rsidRDefault="00F76599" w:rsidP="00EF3463">
            <w:pPr>
              <w:pStyle w:val="ListParagraph"/>
              <w:numPr>
                <w:ilvl w:val="0"/>
                <w:numId w:val="15"/>
              </w:numPr>
            </w:pPr>
            <w:r w:rsidRPr="00E23184">
              <w:rPr>
                <w:rStyle w:val="Bold"/>
              </w:rPr>
              <w:t>Define the system</w:t>
            </w:r>
            <w:r w:rsidRPr="00E23184">
              <w:t xml:space="preserve"> – Determine the type, value and security objectives for the system based on an assessment of the impact if it were to be compromised</w:t>
            </w:r>
          </w:p>
          <w:p w14:paraId="237E44E3" w14:textId="77777777" w:rsidR="00F76599" w:rsidRPr="00E23184" w:rsidRDefault="00F76599" w:rsidP="00EF3463">
            <w:pPr>
              <w:pStyle w:val="ListParagraph"/>
              <w:numPr>
                <w:ilvl w:val="0"/>
                <w:numId w:val="15"/>
              </w:numPr>
            </w:pPr>
            <w:r w:rsidRPr="00E23184">
              <w:rPr>
                <w:rStyle w:val="Bold"/>
              </w:rPr>
              <w:t>Select controls</w:t>
            </w:r>
            <w:r w:rsidRPr="00E23184">
              <w:t xml:space="preserve"> – Select controls for the system and tailor them to achieve desired security objectives</w:t>
            </w:r>
          </w:p>
          <w:p w14:paraId="3E257E13" w14:textId="77777777" w:rsidR="00F76599" w:rsidRPr="00E23184" w:rsidRDefault="00F76599" w:rsidP="00EF3463">
            <w:pPr>
              <w:pStyle w:val="ListParagraph"/>
              <w:numPr>
                <w:ilvl w:val="0"/>
                <w:numId w:val="15"/>
              </w:numPr>
            </w:pPr>
            <w:r w:rsidRPr="00E23184">
              <w:rPr>
                <w:rStyle w:val="Bold"/>
              </w:rPr>
              <w:t>Implement controls</w:t>
            </w:r>
            <w:r w:rsidRPr="00E23184">
              <w:t xml:space="preserve"> – Implement controls for the system and its operating environment</w:t>
            </w:r>
          </w:p>
          <w:p w14:paraId="3F626EED" w14:textId="77777777" w:rsidR="00F76599" w:rsidRPr="00E23184" w:rsidRDefault="00F76599" w:rsidP="00EF3463">
            <w:pPr>
              <w:pStyle w:val="ListParagraph"/>
              <w:numPr>
                <w:ilvl w:val="0"/>
                <w:numId w:val="15"/>
              </w:numPr>
            </w:pPr>
            <w:r w:rsidRPr="00E23184">
              <w:rPr>
                <w:rStyle w:val="Bold"/>
              </w:rPr>
              <w:t>Assess controls</w:t>
            </w:r>
            <w:r w:rsidRPr="00E23184">
              <w:t xml:space="preserve"> – Assess controls for the system and its operating environment to determine if they have been implemented correctly and are operating as intended</w:t>
            </w:r>
          </w:p>
          <w:p w14:paraId="3E4653A3" w14:textId="77777777" w:rsidR="00F76599" w:rsidRPr="00E23184" w:rsidRDefault="00F76599" w:rsidP="00EF3463">
            <w:pPr>
              <w:pStyle w:val="ListParagraph"/>
              <w:numPr>
                <w:ilvl w:val="0"/>
                <w:numId w:val="15"/>
              </w:numPr>
            </w:pPr>
            <w:r w:rsidRPr="00E23184">
              <w:rPr>
                <w:rStyle w:val="Bold"/>
              </w:rPr>
              <w:t>Authorise the system</w:t>
            </w:r>
            <w:r w:rsidRPr="00E23184">
              <w:t xml:space="preserve"> – Authorise the system to operate based on the acceptance of the security risks associated with its operation</w:t>
            </w:r>
          </w:p>
          <w:p w14:paraId="2B037061" w14:textId="77777777" w:rsidR="00F76599" w:rsidRPr="00E23184" w:rsidRDefault="00F76599" w:rsidP="00EF3463">
            <w:pPr>
              <w:pStyle w:val="ListParagraph"/>
              <w:numPr>
                <w:ilvl w:val="0"/>
                <w:numId w:val="15"/>
              </w:numPr>
            </w:pPr>
            <w:r w:rsidRPr="00E23184">
              <w:rPr>
                <w:rStyle w:val="Bold"/>
              </w:rPr>
              <w:t>Monitor the system</w:t>
            </w:r>
            <w:r w:rsidRPr="00E23184">
              <w:t xml:space="preserve"> – Monitor the system, and associated cyber threats, security risks and controls, on an ongoing basis</w:t>
            </w:r>
          </w:p>
        </w:tc>
      </w:tr>
    </w:tbl>
    <w:p w14:paraId="05A2DE92" w14:textId="62F7D471" w:rsidR="00F76599" w:rsidRDefault="00106BD6" w:rsidP="007656A5">
      <w:pPr>
        <w:pStyle w:val="Heading1"/>
      </w:pPr>
      <w:r w:rsidRPr="00D10F83">
        <w:rPr>
          <w:noProof/>
        </w:rPr>
        <w:lastRenderedPageBreak/>
        <w:drawing>
          <wp:anchor distT="0" distB="0" distL="114300" distR="114300" simplePos="0" relativeHeight="251667456" behindDoc="0" locked="0" layoutInCell="1" allowOverlap="1" wp14:anchorId="589DEB9C" wp14:editId="27EC8671">
            <wp:simplePos x="0" y="0"/>
            <wp:positionH relativeFrom="column">
              <wp:posOffset>-19685</wp:posOffset>
            </wp:positionH>
            <wp:positionV relativeFrom="paragraph">
              <wp:posOffset>-79898</wp:posOffset>
            </wp:positionV>
            <wp:extent cx="391795" cy="391795"/>
            <wp:effectExtent l="0" t="0" r="1905"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00F76599">
        <w:t>Detecting and managing incidents</w:t>
      </w:r>
    </w:p>
    <w:p w14:paraId="54413A10" w14:textId="737F5293" w:rsidR="00F76599" w:rsidRDefault="00F76599" w:rsidP="00F76599">
      <w:pPr>
        <w:spacing w:after="85"/>
      </w:pPr>
      <w:r>
        <w:t>Cyber threats continue to evolve and it can be challenging to maintain ongoing security. The </w:t>
      </w:r>
      <w:hyperlink r:id="rId17" w:history="1">
        <w:r w:rsidRPr="00343B68">
          <w:rPr>
            <w:rStyle w:val="Hyperlink"/>
            <w:i/>
            <w:iCs/>
          </w:rPr>
          <w:t>Information Security Manual</w:t>
        </w:r>
      </w:hyperlink>
      <w:r>
        <w:t xml:space="preserve"> provides guidance on how to prepare for and manage a cyber security incident. This includes:</w:t>
      </w:r>
    </w:p>
    <w:p w14:paraId="655D6C66" w14:textId="77777777" w:rsidR="00F76599" w:rsidRDefault="00F76599" w:rsidP="00EF3463">
      <w:pPr>
        <w:pStyle w:val="ListBullet"/>
        <w:numPr>
          <w:ilvl w:val="0"/>
          <w:numId w:val="16"/>
        </w:numPr>
      </w:pPr>
      <w:r>
        <w:t>How to write an incident management policy and develop an incident register</w:t>
      </w:r>
    </w:p>
    <w:p w14:paraId="4C14772C" w14:textId="77777777" w:rsidR="00F76599" w:rsidRDefault="00F76599" w:rsidP="00EF3463">
      <w:pPr>
        <w:pStyle w:val="ListBullet"/>
        <w:numPr>
          <w:ilvl w:val="0"/>
          <w:numId w:val="16"/>
        </w:numPr>
      </w:pPr>
      <w:r>
        <w:t>How to handle and contain data spills</w:t>
      </w:r>
    </w:p>
    <w:p w14:paraId="482C9EF6" w14:textId="77777777" w:rsidR="00F76599" w:rsidRDefault="00F76599" w:rsidP="00EF3463">
      <w:pPr>
        <w:pStyle w:val="ListBullet"/>
        <w:numPr>
          <w:ilvl w:val="0"/>
          <w:numId w:val="16"/>
        </w:numPr>
      </w:pPr>
      <w:r>
        <w:t>How to handle and contain malicious code infections</w:t>
      </w:r>
    </w:p>
    <w:p w14:paraId="72DB243F" w14:textId="77777777" w:rsidR="00F76599" w:rsidRDefault="00F76599" w:rsidP="00EF3463">
      <w:pPr>
        <w:pStyle w:val="ListBullet"/>
        <w:numPr>
          <w:ilvl w:val="0"/>
          <w:numId w:val="16"/>
        </w:numPr>
      </w:pPr>
      <w:r>
        <w:t>How to handle and contain intrusions</w:t>
      </w:r>
    </w:p>
    <w:p w14:paraId="5C0A7FC5" w14:textId="77777777" w:rsidR="00F76599" w:rsidRDefault="00F76599" w:rsidP="00EF3463">
      <w:pPr>
        <w:pStyle w:val="ListBullet"/>
        <w:numPr>
          <w:ilvl w:val="0"/>
          <w:numId w:val="16"/>
        </w:numPr>
        <w:spacing w:after="85"/>
      </w:pPr>
      <w:r>
        <w:t>How to ensure the integrity of evidence collected following a cyber security incident.</w:t>
      </w:r>
    </w:p>
    <w:p w14:paraId="19D47E36" w14:textId="77777777" w:rsidR="00F76599" w:rsidRDefault="00F76599" w:rsidP="00F76599">
      <w:pPr>
        <w:spacing w:after="85"/>
      </w:pPr>
      <w:r>
        <w:t xml:space="preserve">In addition, the guide, </w:t>
      </w:r>
      <w:hyperlink r:id="rId18" w:history="1">
        <w:r w:rsidRPr="009E6B42">
          <w:rPr>
            <w:rStyle w:val="Hyperlink"/>
            <w:i/>
            <w:iCs/>
          </w:rPr>
          <w:t>Windows Event Logging and Forwarding</w:t>
        </w:r>
      </w:hyperlink>
      <w:r>
        <w:t xml:space="preserve"> provides advice on setting up systems to detect and investigate malicious activity.</w:t>
      </w:r>
    </w:p>
    <w:tbl>
      <w:tblPr>
        <w:tblStyle w:val="MDBAsimpletable"/>
        <w:tblW w:w="5000" w:type="pct"/>
        <w:tblLook w:val="0620" w:firstRow="1" w:lastRow="0" w:firstColumn="0" w:lastColumn="0" w:noHBand="1" w:noVBand="1"/>
      </w:tblPr>
      <w:tblGrid>
        <w:gridCol w:w="9638"/>
      </w:tblGrid>
      <w:tr w:rsidR="00F76599" w14:paraId="36268EA7" w14:textId="77777777" w:rsidTr="00572EFD">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07FAA8B3" w14:textId="77777777" w:rsidR="00F76599" w:rsidRPr="00572EFD" w:rsidRDefault="00F76599" w:rsidP="00572EFD">
            <w:pPr>
              <w:spacing w:after="0"/>
            </w:pPr>
            <w:r w:rsidRPr="00572EFD">
              <w:t>The Essential Eight Maturity Model</w:t>
            </w:r>
          </w:p>
        </w:tc>
      </w:tr>
      <w:tr w:rsidR="00F76599" w14:paraId="1352E04F" w14:textId="77777777" w:rsidTr="00572EFD">
        <w:trPr>
          <w:trHeight w:val="60"/>
        </w:trPr>
        <w:tc>
          <w:tcPr>
            <w:tcW w:w="5000" w:type="pct"/>
          </w:tcPr>
          <w:p w14:paraId="003B7C48" w14:textId="7B7E7E31" w:rsidR="00F76599" w:rsidRDefault="00F76599" w:rsidP="00572EFD">
            <w:pPr>
              <w:ind w:right="57"/>
            </w:pPr>
            <w:r>
              <w:t xml:space="preserve">The Australian Cyber Security Centre has developed eight essential strategies to help cyber security professionals mitigate cyber security incidents. These baseline strategies, known as the </w:t>
            </w:r>
            <w:hyperlink r:id="rId19" w:history="1">
              <w:r w:rsidRPr="00343B68">
                <w:rPr>
                  <w:rStyle w:val="Hyperlink"/>
                </w:rPr>
                <w:t>Essential Eight</w:t>
              </w:r>
            </w:hyperlink>
            <w:r>
              <w:t xml:space="preserve">, make it harder for adversaries to compromise systems. </w:t>
            </w:r>
          </w:p>
          <w:p w14:paraId="051B80F2" w14:textId="77777777" w:rsidR="00F76599" w:rsidRPr="00572EFD" w:rsidRDefault="00F76599" w:rsidP="00EF3463">
            <w:pPr>
              <w:pStyle w:val="ListParagraph"/>
              <w:numPr>
                <w:ilvl w:val="0"/>
                <w:numId w:val="17"/>
              </w:numPr>
            </w:pPr>
            <w:r w:rsidRPr="00572EFD">
              <w:t xml:space="preserve">Application control – prevent the execution of scripts, installers, etc. in specific circumstances </w:t>
            </w:r>
          </w:p>
          <w:p w14:paraId="0B2E6C88" w14:textId="77777777" w:rsidR="00F76599" w:rsidRPr="00572EFD" w:rsidRDefault="00F76599" w:rsidP="00EF3463">
            <w:pPr>
              <w:pStyle w:val="ListParagraph"/>
              <w:numPr>
                <w:ilvl w:val="0"/>
                <w:numId w:val="17"/>
              </w:numPr>
            </w:pPr>
            <w:r w:rsidRPr="00572EFD">
              <w:t>Patch applications – apply promptly and use a vulnerability scanner to identify missing updates</w:t>
            </w:r>
          </w:p>
          <w:p w14:paraId="0F064A21" w14:textId="77777777" w:rsidR="00F76599" w:rsidRPr="00572EFD" w:rsidRDefault="00F76599" w:rsidP="00EF3463">
            <w:pPr>
              <w:pStyle w:val="ListParagraph"/>
              <w:numPr>
                <w:ilvl w:val="0"/>
                <w:numId w:val="17"/>
              </w:numPr>
            </w:pPr>
            <w:r w:rsidRPr="00572EFD">
              <w:t>Configure MS Office macro settings – disable for users who do not have a demonstrated business requirement</w:t>
            </w:r>
          </w:p>
          <w:p w14:paraId="7F56816E" w14:textId="77777777" w:rsidR="00F76599" w:rsidRPr="00572EFD" w:rsidRDefault="00F76599" w:rsidP="00EF3463">
            <w:pPr>
              <w:pStyle w:val="ListParagraph"/>
              <w:numPr>
                <w:ilvl w:val="0"/>
                <w:numId w:val="17"/>
              </w:numPr>
            </w:pPr>
            <w:r w:rsidRPr="00572EFD">
              <w:t>User application hardening – for example, prevent web browsers from processing Java and advertisements from the internet</w:t>
            </w:r>
          </w:p>
          <w:p w14:paraId="34B04C50" w14:textId="77777777" w:rsidR="00F76599" w:rsidRPr="00572EFD" w:rsidRDefault="00F76599" w:rsidP="00EF3463">
            <w:pPr>
              <w:pStyle w:val="ListParagraph"/>
              <w:numPr>
                <w:ilvl w:val="0"/>
                <w:numId w:val="17"/>
              </w:numPr>
            </w:pPr>
            <w:r w:rsidRPr="00572EFD">
              <w:t>Restrict administrative privileges</w:t>
            </w:r>
          </w:p>
          <w:p w14:paraId="6A6C7825" w14:textId="77777777" w:rsidR="00F76599" w:rsidRPr="00572EFD" w:rsidRDefault="00F76599" w:rsidP="00EF3463">
            <w:pPr>
              <w:pStyle w:val="ListParagraph"/>
              <w:numPr>
                <w:ilvl w:val="0"/>
                <w:numId w:val="17"/>
              </w:numPr>
            </w:pPr>
            <w:r w:rsidRPr="00572EFD">
              <w:t>Patch operating systems promptly and scan for missing updates</w:t>
            </w:r>
          </w:p>
          <w:p w14:paraId="5E4A1089" w14:textId="77777777" w:rsidR="00F76599" w:rsidRPr="00572EFD" w:rsidRDefault="00F76599" w:rsidP="00EF3463">
            <w:pPr>
              <w:pStyle w:val="ListParagraph"/>
              <w:numPr>
                <w:ilvl w:val="0"/>
                <w:numId w:val="17"/>
              </w:numPr>
            </w:pPr>
            <w:r w:rsidRPr="00572EFD">
              <w:t xml:space="preserve">Multi-factor authentication </w:t>
            </w:r>
          </w:p>
          <w:p w14:paraId="5A694397" w14:textId="77777777" w:rsidR="00F76599" w:rsidRPr="00572EFD" w:rsidRDefault="00F76599" w:rsidP="00EF3463">
            <w:pPr>
              <w:pStyle w:val="ListParagraph"/>
              <w:numPr>
                <w:ilvl w:val="0"/>
                <w:numId w:val="17"/>
              </w:numPr>
            </w:pPr>
            <w:r w:rsidRPr="00572EFD">
              <w:t>Regular back-ups</w:t>
            </w:r>
          </w:p>
        </w:tc>
      </w:tr>
    </w:tbl>
    <w:p w14:paraId="29F2C6CC" w14:textId="77777777" w:rsidR="003A0777" w:rsidRDefault="003A0777" w:rsidP="00E229F5">
      <w:pPr>
        <w:pStyle w:val="Heading1"/>
      </w:pPr>
      <w:r>
        <w:br w:type="page"/>
      </w:r>
    </w:p>
    <w:p w14:paraId="05142BFA" w14:textId="4D82B1FB" w:rsidR="00F76599" w:rsidRDefault="00F83D66" w:rsidP="00E229F5">
      <w:pPr>
        <w:pStyle w:val="Heading1"/>
      </w:pPr>
      <w:r w:rsidRPr="00D10F83">
        <w:rPr>
          <w:noProof/>
        </w:rPr>
        <w:lastRenderedPageBreak/>
        <w:drawing>
          <wp:anchor distT="0" distB="0" distL="114300" distR="114300" simplePos="0" relativeHeight="251665408" behindDoc="0" locked="0" layoutInCell="1" allowOverlap="1" wp14:anchorId="26E12A49" wp14:editId="1513D89E">
            <wp:simplePos x="0" y="0"/>
            <wp:positionH relativeFrom="column">
              <wp:posOffset>-20320</wp:posOffset>
            </wp:positionH>
            <wp:positionV relativeFrom="paragraph">
              <wp:posOffset>-85613</wp:posOffset>
            </wp:positionV>
            <wp:extent cx="391795" cy="391795"/>
            <wp:effectExtent l="0" t="0" r="1905"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0"/>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00F76599">
        <w:t>Summary: Developing an information security management</w:t>
      </w:r>
      <w:r>
        <w:t> </w:t>
      </w:r>
      <w:r w:rsidR="00F76599">
        <w:t>system</w:t>
      </w:r>
    </w:p>
    <w:p w14:paraId="71E7C58C" w14:textId="77777777" w:rsidR="00F76599" w:rsidRDefault="00F76599" w:rsidP="00E229F5">
      <w:pPr>
        <w:pStyle w:val="Heading2"/>
      </w:pPr>
      <w:r>
        <w:t>Issue</w:t>
      </w:r>
    </w:p>
    <w:p w14:paraId="639280BF" w14:textId="77777777" w:rsidR="00F76599" w:rsidRDefault="00F76599" w:rsidP="00F76599">
      <w:r>
        <w:t>Protecting the security and stability of the data held by a digital mental health service</w:t>
      </w:r>
    </w:p>
    <w:p w14:paraId="06620704" w14:textId="77777777" w:rsidR="00F76599" w:rsidRDefault="00F76599" w:rsidP="00E229F5">
      <w:pPr>
        <w:pStyle w:val="Heading2"/>
      </w:pPr>
      <w:r>
        <w:t>Solution</w:t>
      </w:r>
    </w:p>
    <w:p w14:paraId="79B3DFF1" w14:textId="77777777" w:rsidR="00F76599" w:rsidRDefault="00F76599" w:rsidP="00F76599">
      <w:r>
        <w:t>Appoint a Chief Information Security Officer, undertake a risk assessment, develop a risk management framework</w:t>
      </w:r>
    </w:p>
    <w:p w14:paraId="04A3294D" w14:textId="77777777" w:rsidR="00F76599" w:rsidRDefault="00F76599" w:rsidP="00E229F5">
      <w:pPr>
        <w:pStyle w:val="Heading2"/>
      </w:pPr>
      <w:r>
        <w:t>Barriers</w:t>
      </w:r>
    </w:p>
    <w:p w14:paraId="02740F1F" w14:textId="77777777" w:rsidR="00F76599" w:rsidRDefault="00F76599" w:rsidP="00F76599">
      <w:r>
        <w:t>Lack of staff with appropriate skills and competencies, resourcing, evolving technologies</w:t>
      </w:r>
    </w:p>
    <w:p w14:paraId="3974C8D1" w14:textId="77777777" w:rsidR="00F76599" w:rsidRDefault="00F76599" w:rsidP="00E229F5">
      <w:pPr>
        <w:pStyle w:val="Heading2"/>
      </w:pPr>
      <w:r>
        <w:t>Enablers</w:t>
      </w:r>
    </w:p>
    <w:p w14:paraId="5048C861" w14:textId="77777777" w:rsidR="00F76599" w:rsidRDefault="00F76599" w:rsidP="00F76599">
      <w:r>
        <w:t xml:space="preserve">Appointing expert consultants, accessing resources from the Australian Cyber Security Centre, monitoring and reviewing risk assessment </w:t>
      </w:r>
    </w:p>
    <w:p w14:paraId="133C028A" w14:textId="77777777" w:rsidR="00F76599" w:rsidRDefault="00F76599" w:rsidP="00E229F5">
      <w:pPr>
        <w:pStyle w:val="Heading1"/>
        <w:ind w:left="0"/>
      </w:pPr>
      <w:r>
        <w:t>Find out more</w:t>
      </w:r>
    </w:p>
    <w:p w14:paraId="003A1EAF" w14:textId="77777777" w:rsidR="00F76599" w:rsidRDefault="00F76599" w:rsidP="00F76599">
      <w:pPr>
        <w:rPr>
          <w:rStyle w:val="Hyperlink"/>
        </w:rPr>
      </w:pPr>
      <w:r>
        <w:t xml:space="preserve">Service providers seeking further information and useful guidance on information security should access resources produced by the </w:t>
      </w:r>
      <w:hyperlink r:id="rId21" w:history="1">
        <w:r>
          <w:rPr>
            <w:rStyle w:val="Hyperlink"/>
          </w:rPr>
          <w:t>Australian Cyber Security Centre</w:t>
        </w:r>
      </w:hyperlink>
      <w:r>
        <w:t>.</w:t>
      </w:r>
    </w:p>
    <w:p w14:paraId="50B7DC0A" w14:textId="77777777" w:rsidR="00F76599" w:rsidRDefault="00F76599" w:rsidP="00F76599">
      <w:r>
        <w:t xml:space="preserve">You can learn more about the NSQDMH Standards and other supporting resources at </w:t>
      </w:r>
      <w:hyperlink r:id="rId22" w:history="1">
        <w:r>
          <w:rPr>
            <w:rStyle w:val="Hyperlink"/>
          </w:rPr>
          <w:t>safetyandquality.gov.au/DMHS</w:t>
        </w:r>
      </w:hyperlink>
      <w:r>
        <w:t xml:space="preserve">. </w:t>
      </w:r>
    </w:p>
    <w:p w14:paraId="759ADB14" w14:textId="249698D6" w:rsidR="00084873" w:rsidRPr="00084873" w:rsidRDefault="00F76599" w:rsidP="00DF7578">
      <w:r>
        <w:t xml:space="preserve">Contact the digital mental health program team at </w:t>
      </w:r>
      <w:r>
        <w:rPr>
          <w:rStyle w:val="Hyperlink"/>
        </w:rPr>
        <w:t>DMHS</w:t>
      </w:r>
      <w:hyperlink r:id="rId23" w:history="1">
        <w:r>
          <w:rPr>
            <w:rStyle w:val="Hyperlink"/>
          </w:rPr>
          <w:t>@safetyandquality.gov.au</w:t>
        </w:r>
      </w:hyperlink>
      <w:r>
        <w:t>.</w:t>
      </w:r>
    </w:p>
    <w:p w14:paraId="1F64B81D" w14:textId="66D684EB" w:rsidR="00195458" w:rsidRPr="0026569B" w:rsidRDefault="00445015" w:rsidP="002B1330">
      <w:pPr>
        <w:pStyle w:val="Website"/>
      </w:pPr>
      <w:hyperlink r:id="rId24" w:history="1">
        <w:r w:rsidR="00195458" w:rsidRPr="0026569B">
          <w:rPr>
            <w:rStyle w:val="Hyperlink"/>
            <w:rFonts w:cstheme="minorHAnsi"/>
            <w:b/>
            <w:bCs/>
            <w:color w:val="007EA5" w:themeColor="accent2" w:themeShade="BF"/>
            <w:sz w:val="27"/>
            <w:szCs w:val="27"/>
            <w:u w:val="none"/>
          </w:rPr>
          <w:t>safetyandquality.gov.au</w:t>
        </w:r>
      </w:hyperlink>
    </w:p>
    <w:p w14:paraId="6D08FD41" w14:textId="4147495C" w:rsidR="00C477AC" w:rsidRPr="00146BFB" w:rsidRDefault="001918F7" w:rsidP="00146BFB">
      <w:pPr>
        <w:pStyle w:val="FootnoteText"/>
        <w:tabs>
          <w:tab w:val="right" w:pos="8931"/>
        </w:tabs>
        <w:spacing w:before="140"/>
        <w:rPr>
          <w:rStyle w:val="Roman"/>
          <w:rFonts w:eastAsiaTheme="majorEastAsia"/>
          <w:sz w:val="16"/>
          <w:szCs w:val="16"/>
        </w:rPr>
      </w:pPr>
      <w:r w:rsidRPr="00146BFB">
        <w:rPr>
          <w:noProof/>
          <w:sz w:val="16"/>
          <w:szCs w:val="16"/>
          <w:lang w:val="en-US" w:eastAsia="en-US"/>
        </w:rPr>
        <w:drawing>
          <wp:anchor distT="0" distB="0" distL="114300" distR="114300" simplePos="0" relativeHeight="251663360" behindDoc="0" locked="0" layoutInCell="1" allowOverlap="1" wp14:anchorId="52E40C1F" wp14:editId="5445298F">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00146BFB" w:rsidRPr="00146BFB">
        <w:rPr>
          <w:rStyle w:val="Roman"/>
          <w:rFonts w:eastAsiaTheme="majorEastAsia"/>
          <w:sz w:val="16"/>
          <w:szCs w:val="16"/>
        </w:rPr>
        <w:br/>
      </w:r>
      <w:r w:rsidRPr="00146BFB">
        <w:rPr>
          <w:rStyle w:val="Roman"/>
          <w:rFonts w:eastAsiaTheme="majorEastAsia"/>
          <w:sz w:val="16"/>
          <w:szCs w:val="16"/>
        </w:rPr>
        <w:t>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8F4FAB">
        <w:rPr>
          <w:rStyle w:val="Roman"/>
          <w:rFonts w:eastAsiaTheme="majorEastAsia"/>
          <w:sz w:val="16"/>
          <w:szCs w:val="16"/>
        </w:rPr>
        <w:t>2</w:t>
      </w:r>
      <w:r w:rsidR="007B5D1E" w:rsidRPr="00146BFB">
        <w:rPr>
          <w:sz w:val="16"/>
          <w:szCs w:val="16"/>
        </w:rPr>
        <w:t xml:space="preserve"> </w:t>
      </w:r>
      <w:r w:rsidR="007B5D1E" w:rsidRPr="00146BFB" w:rsidDel="00174535">
        <w:rPr>
          <w:rStyle w:val="Roman"/>
          <w:rFonts w:eastAsiaTheme="majorEastAsia"/>
          <w:sz w:val="16"/>
          <w:szCs w:val="16"/>
        </w:rPr>
        <w:t xml:space="preserve"> </w:t>
      </w:r>
      <w:r w:rsidR="00820059" w:rsidRPr="00146BFB">
        <w:rPr>
          <w:rStyle w:val="Roman"/>
          <w:rFonts w:eastAsiaTheme="majorEastAsia"/>
          <w:sz w:val="16"/>
          <w:szCs w:val="16"/>
        </w:rPr>
        <w:br/>
      </w:r>
    </w:p>
    <w:p w14:paraId="4FD3C59B" w14:textId="595D5E21" w:rsidR="00C477AC" w:rsidRDefault="006D0C40" w:rsidP="00820059">
      <w:pPr>
        <w:pStyle w:val="FootnoteText"/>
        <w:spacing w:before="0"/>
        <w:ind w:left="-142"/>
      </w:pPr>
      <w:r w:rsidRPr="006D0C40">
        <w:rPr>
          <w:noProof/>
        </w:rPr>
        <w:t xml:space="preserve"> </w:t>
      </w:r>
      <w:r w:rsidR="0028150E" w:rsidRPr="0028150E">
        <w:rPr>
          <w:noProof/>
        </w:rPr>
        <w:t xml:space="preserve"> </w:t>
      </w:r>
    </w:p>
    <w:sectPr w:rsidR="00C477AC" w:rsidSect="000E0981">
      <w:headerReference w:type="even" r:id="rId26"/>
      <w:headerReference w:type="default" r:id="rId27"/>
      <w:footerReference w:type="even" r:id="rId28"/>
      <w:footerReference w:type="default" r:id="rId29"/>
      <w:headerReference w:type="first" r:id="rId30"/>
      <w:footerReference w:type="first" r:id="rId31"/>
      <w:type w:val="continuous"/>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08E3" w14:textId="77777777" w:rsidR="00EF3463" w:rsidRDefault="00EF3463" w:rsidP="000B0274">
      <w:r>
        <w:separator/>
      </w:r>
    </w:p>
    <w:p w14:paraId="3804A616" w14:textId="77777777" w:rsidR="00EF3463" w:rsidRDefault="00EF3463"/>
    <w:p w14:paraId="2564679F" w14:textId="77777777" w:rsidR="00EF3463" w:rsidRDefault="00EF3463"/>
  </w:endnote>
  <w:endnote w:type="continuationSeparator" w:id="0">
    <w:p w14:paraId="394D53EF" w14:textId="77777777" w:rsidR="00EF3463" w:rsidRDefault="00EF3463" w:rsidP="000B0274">
      <w:r>
        <w:continuationSeparator/>
      </w:r>
    </w:p>
    <w:p w14:paraId="6699D5B5" w14:textId="77777777" w:rsidR="00EF3463" w:rsidRDefault="00EF3463"/>
    <w:p w14:paraId="36A87172" w14:textId="77777777" w:rsidR="00EF3463" w:rsidRDefault="00EF3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4D"/>
    <w:family w:val="auto"/>
    <w:notTrueType/>
    <w:pitch w:val="default"/>
    <w:sig w:usb0="00000003" w:usb1="00000000" w:usb2="00000000" w:usb3="00000000" w:csb0="00000001" w:csb1="00000000"/>
  </w:font>
  <w:font w:name="Proxima Nova">
    <w:panose1 w:val="00000000000000000000"/>
    <w:charset w:val="00"/>
    <w:family w:val="auto"/>
    <w:notTrueType/>
    <w:pitch w:val="variable"/>
    <w:sig w:usb0="20000287" w:usb1="00000001" w:usb2="00000000" w:usb3="00000000" w:csb0="0000019F" w:csb1="00000000"/>
  </w:font>
  <w:font w:name="Proxima Nova Extrabold">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3ACF" w14:textId="0781F257" w:rsidR="000D3447" w:rsidRPr="00BF4D3B" w:rsidRDefault="0050126B" w:rsidP="00A6676A">
    <w:pPr>
      <w:pStyle w:val="Footer"/>
      <w:tabs>
        <w:tab w:val="clear" w:pos="9026"/>
        <w:tab w:val="right" w:pos="9638"/>
      </w:tabs>
      <w:rPr>
        <w:b/>
      </w:rPr>
    </w:pPr>
    <w:r w:rsidRPr="0050126B">
      <w:t xml:space="preserve">Action Guide: </w:t>
    </w:r>
    <w:r w:rsidR="00BF4D3B" w:rsidRPr="00BF4D3B">
      <w:rPr>
        <w:bCs/>
      </w:rPr>
      <w:t>Information security management </w:t>
    </w:r>
    <w:proofErr w:type="gramStart"/>
    <w:r w:rsidR="00BF4D3B" w:rsidRPr="00BF4D3B">
      <w:rPr>
        <w:bCs/>
      </w:rPr>
      <w:t>systems</w:t>
    </w:r>
    <w:r w:rsidR="00BF4D3B" w:rsidRPr="00BF4D3B">
      <w:rPr>
        <w:b/>
      </w:rPr>
      <w:t xml:space="preserve"> </w:t>
    </w:r>
    <w:r w:rsidR="00E700EC" w:rsidRPr="00E700EC">
      <w:rPr>
        <w:b/>
        <w:bCs/>
      </w:rPr>
      <w:t xml:space="preserve"> </w:t>
    </w:r>
    <w:r w:rsidR="00830412">
      <w:tab/>
    </w:r>
    <w:proofErr w:type="gramEnd"/>
    <w:r w:rsidR="0026569B" w:rsidRPr="0026569B">
      <w:fldChar w:fldCharType="begin"/>
    </w:r>
    <w:r w:rsidR="0026569B" w:rsidRPr="0026569B">
      <w:instrText xml:space="preserve"> PAGE </w:instrText>
    </w:r>
    <w:r w:rsidR="0026569B" w:rsidRPr="0026569B">
      <w:fldChar w:fldCharType="separate"/>
    </w:r>
    <w:r w:rsidR="0026569B" w:rsidRPr="0026569B">
      <w:t>1</w:t>
    </w:r>
    <w:r w:rsidR="0026569B" w:rsidRPr="0026569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CB1E" w14:textId="77777777" w:rsidR="00A6676A" w:rsidRDefault="00A6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BE63" w14:textId="77777777" w:rsidR="00EF3463" w:rsidRDefault="00EF3463" w:rsidP="000B0274">
      <w:r>
        <w:separator/>
      </w:r>
    </w:p>
    <w:p w14:paraId="513DE04A" w14:textId="77777777" w:rsidR="00EF3463" w:rsidRDefault="00EF3463"/>
    <w:p w14:paraId="4DD24854" w14:textId="77777777" w:rsidR="00EF3463" w:rsidRDefault="00EF3463"/>
  </w:footnote>
  <w:footnote w:type="continuationSeparator" w:id="0">
    <w:p w14:paraId="4DC72F5F" w14:textId="77777777" w:rsidR="00EF3463" w:rsidRDefault="00EF3463" w:rsidP="000B0274">
      <w:r>
        <w:continuationSeparator/>
      </w:r>
    </w:p>
    <w:p w14:paraId="6D714080" w14:textId="77777777" w:rsidR="00EF3463" w:rsidRDefault="00EF3463"/>
    <w:p w14:paraId="2CC46B68" w14:textId="77777777" w:rsidR="00EF3463" w:rsidRDefault="00EF3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B42" w14:textId="53D21426" w:rsidR="000D3447" w:rsidRDefault="0036588B" w:rsidP="00423FC4">
    <w:pPr>
      <w:pStyle w:val="Header"/>
      <w:tabs>
        <w:tab w:val="clear" w:pos="4513"/>
        <w:tab w:val="clear" w:pos="9026"/>
        <w:tab w:val="right" w:pos="9638"/>
      </w:tabs>
      <w:ind w:left="-142"/>
    </w:pPr>
    <w:r w:rsidRPr="00FB375B">
      <w:rPr>
        <w:rFonts w:eastAsiaTheme="majorEastAsia"/>
        <w:noProof/>
        <w:lang w:val="en-US" w:eastAsia="en-US"/>
      </w:rPr>
      <w:drawing>
        <wp:inline distT="0" distB="0" distL="0" distR="0" wp14:anchorId="752AEEBE" wp14:editId="3E628E3B">
          <wp:extent cx="3921369" cy="553493"/>
          <wp:effectExtent l="0" t="0" r="3175" b="5715"/>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302" cy="574091"/>
                  </a:xfrm>
                  <a:prstGeom prst="rect">
                    <a:avLst/>
                  </a:prstGeom>
                </pic:spPr>
              </pic:pic>
            </a:graphicData>
          </a:graphic>
        </wp:inline>
      </w:drawing>
    </w:r>
    <w:r w:rsidR="00423FC4">
      <w:tab/>
    </w:r>
    <w:r w:rsidR="00423FC4" w:rsidRPr="00423FC4">
      <w:rPr>
        <w:noProof/>
      </w:rPr>
      <w:drawing>
        <wp:inline distT="0" distB="0" distL="0" distR="0" wp14:anchorId="3D5BD231" wp14:editId="1E9147E2">
          <wp:extent cx="2028177" cy="489141"/>
          <wp:effectExtent l="0" t="0" r="4445" b="0"/>
          <wp:docPr id="2" name="Picture 2" descr="National Safety and Quality Digital Mental Health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Safety and Quality Digital Mental Health Standards logo"/>
                  <pic:cNvPicPr/>
                </pic:nvPicPr>
                <pic:blipFill rotWithShape="1">
                  <a:blip r:embed="rId2"/>
                  <a:srcRect t="-1" r="14" b="-24337"/>
                  <a:stretch/>
                </pic:blipFill>
                <pic:spPr bwMode="auto">
                  <a:xfrm>
                    <a:off x="0" y="0"/>
                    <a:ext cx="2031053" cy="4898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9A40" w14:textId="77777777" w:rsidR="00A6676A" w:rsidRDefault="00A66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D45BA"/>
    <w:multiLevelType w:val="hybridMultilevel"/>
    <w:tmpl w:val="8D3C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A6FAC"/>
    <w:multiLevelType w:val="hybridMultilevel"/>
    <w:tmpl w:val="D87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847CF"/>
    <w:multiLevelType w:val="hybridMultilevel"/>
    <w:tmpl w:val="110C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B8971A5"/>
    <w:multiLevelType w:val="hybridMultilevel"/>
    <w:tmpl w:val="1FD8F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F01F4D"/>
    <w:multiLevelType w:val="hybridMultilevel"/>
    <w:tmpl w:val="0982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144BD"/>
    <w:multiLevelType w:val="hybridMultilevel"/>
    <w:tmpl w:val="70E68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BC7C68"/>
    <w:multiLevelType w:val="hybridMultilevel"/>
    <w:tmpl w:val="0F0E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A79B0"/>
    <w:multiLevelType w:val="hybridMultilevel"/>
    <w:tmpl w:val="353C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670AE"/>
    <w:multiLevelType w:val="hybridMultilevel"/>
    <w:tmpl w:val="471EE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3"/>
  </w:num>
  <w:num w:numId="5">
    <w:abstractNumId w:val="12"/>
  </w:num>
  <w:num w:numId="6">
    <w:abstractNumId w:val="5"/>
  </w:num>
  <w:num w:numId="7">
    <w:abstractNumId w:val="6"/>
  </w:num>
  <w:num w:numId="8">
    <w:abstractNumId w:val="1"/>
  </w:num>
  <w:num w:numId="9">
    <w:abstractNumId w:val="3"/>
  </w:num>
  <w:num w:numId="10">
    <w:abstractNumId w:val="9"/>
  </w:num>
  <w:num w:numId="11">
    <w:abstractNumId w:val="2"/>
  </w:num>
  <w:num w:numId="12">
    <w:abstractNumId w:val="7"/>
  </w:num>
  <w:num w:numId="13">
    <w:abstractNumId w:val="14"/>
  </w:num>
  <w:num w:numId="14">
    <w:abstractNumId w:val="10"/>
  </w:num>
  <w:num w:numId="15">
    <w:abstractNumId w:val="16"/>
  </w:num>
  <w:num w:numId="16">
    <w:abstractNumId w:val="1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1053B"/>
    <w:rsid w:val="00012782"/>
    <w:rsid w:val="00020DBD"/>
    <w:rsid w:val="00025A92"/>
    <w:rsid w:val="00026922"/>
    <w:rsid w:val="0003162D"/>
    <w:rsid w:val="00036F5E"/>
    <w:rsid w:val="00037EA2"/>
    <w:rsid w:val="000406F8"/>
    <w:rsid w:val="00043671"/>
    <w:rsid w:val="00047E9F"/>
    <w:rsid w:val="00050775"/>
    <w:rsid w:val="00054B74"/>
    <w:rsid w:val="00067456"/>
    <w:rsid w:val="000706C7"/>
    <w:rsid w:val="000761F1"/>
    <w:rsid w:val="000777F8"/>
    <w:rsid w:val="0008065C"/>
    <w:rsid w:val="00084873"/>
    <w:rsid w:val="00085B39"/>
    <w:rsid w:val="00090EFF"/>
    <w:rsid w:val="00095DA6"/>
    <w:rsid w:val="000A3C26"/>
    <w:rsid w:val="000A3F0D"/>
    <w:rsid w:val="000A4C01"/>
    <w:rsid w:val="000B0274"/>
    <w:rsid w:val="000B0BFE"/>
    <w:rsid w:val="000B5FA8"/>
    <w:rsid w:val="000B79D3"/>
    <w:rsid w:val="000C0F93"/>
    <w:rsid w:val="000C1722"/>
    <w:rsid w:val="000C1DD4"/>
    <w:rsid w:val="000C7A69"/>
    <w:rsid w:val="000D017D"/>
    <w:rsid w:val="000D3447"/>
    <w:rsid w:val="000D6405"/>
    <w:rsid w:val="000D6722"/>
    <w:rsid w:val="000E0981"/>
    <w:rsid w:val="000E1515"/>
    <w:rsid w:val="000E2F2E"/>
    <w:rsid w:val="000F0D77"/>
    <w:rsid w:val="000F4825"/>
    <w:rsid w:val="000F7A50"/>
    <w:rsid w:val="0010673D"/>
    <w:rsid w:val="00106BD6"/>
    <w:rsid w:val="00106CF5"/>
    <w:rsid w:val="00106E67"/>
    <w:rsid w:val="00115403"/>
    <w:rsid w:val="00120FCB"/>
    <w:rsid w:val="0012717B"/>
    <w:rsid w:val="00131E52"/>
    <w:rsid w:val="00135A95"/>
    <w:rsid w:val="00143A76"/>
    <w:rsid w:val="001452DC"/>
    <w:rsid w:val="00145BE3"/>
    <w:rsid w:val="00146A66"/>
    <w:rsid w:val="00146BFB"/>
    <w:rsid w:val="001507C6"/>
    <w:rsid w:val="001558CD"/>
    <w:rsid w:val="00157B31"/>
    <w:rsid w:val="00160453"/>
    <w:rsid w:val="00171746"/>
    <w:rsid w:val="0017280A"/>
    <w:rsid w:val="00174535"/>
    <w:rsid w:val="0017675C"/>
    <w:rsid w:val="00177E5B"/>
    <w:rsid w:val="00183675"/>
    <w:rsid w:val="001852DE"/>
    <w:rsid w:val="001859B5"/>
    <w:rsid w:val="001860B2"/>
    <w:rsid w:val="001918F7"/>
    <w:rsid w:val="001921ED"/>
    <w:rsid w:val="00195458"/>
    <w:rsid w:val="00196AC8"/>
    <w:rsid w:val="001A11A5"/>
    <w:rsid w:val="001B15D1"/>
    <w:rsid w:val="001B3443"/>
    <w:rsid w:val="001B3632"/>
    <w:rsid w:val="001C6E08"/>
    <w:rsid w:val="001D05E4"/>
    <w:rsid w:val="001D52EE"/>
    <w:rsid w:val="001E1042"/>
    <w:rsid w:val="001E38B8"/>
    <w:rsid w:val="001E77C4"/>
    <w:rsid w:val="001F6D10"/>
    <w:rsid w:val="00200920"/>
    <w:rsid w:val="002027C5"/>
    <w:rsid w:val="0023112B"/>
    <w:rsid w:val="0023231A"/>
    <w:rsid w:val="00237ADF"/>
    <w:rsid w:val="00245810"/>
    <w:rsid w:val="00245D81"/>
    <w:rsid w:val="0024767D"/>
    <w:rsid w:val="00247F3B"/>
    <w:rsid w:val="002503C3"/>
    <w:rsid w:val="00251167"/>
    <w:rsid w:val="00255596"/>
    <w:rsid w:val="002555F1"/>
    <w:rsid w:val="00255DCB"/>
    <w:rsid w:val="00261F43"/>
    <w:rsid w:val="002625FB"/>
    <w:rsid w:val="00263A63"/>
    <w:rsid w:val="00264A5A"/>
    <w:rsid w:val="0026569B"/>
    <w:rsid w:val="002662B4"/>
    <w:rsid w:val="0026675D"/>
    <w:rsid w:val="00267635"/>
    <w:rsid w:val="002751A7"/>
    <w:rsid w:val="0028150E"/>
    <w:rsid w:val="00281FD4"/>
    <w:rsid w:val="00290E3F"/>
    <w:rsid w:val="00291EBD"/>
    <w:rsid w:val="002B1330"/>
    <w:rsid w:val="002C1CA0"/>
    <w:rsid w:val="002C6AF0"/>
    <w:rsid w:val="002D0EB0"/>
    <w:rsid w:val="002E083F"/>
    <w:rsid w:val="002E195D"/>
    <w:rsid w:val="002E2DBA"/>
    <w:rsid w:val="002E3986"/>
    <w:rsid w:val="002E6A48"/>
    <w:rsid w:val="002E7082"/>
    <w:rsid w:val="002E7977"/>
    <w:rsid w:val="002F0A0A"/>
    <w:rsid w:val="002F3AE3"/>
    <w:rsid w:val="002F51A8"/>
    <w:rsid w:val="002F69EC"/>
    <w:rsid w:val="002F7E6F"/>
    <w:rsid w:val="00302458"/>
    <w:rsid w:val="00302AFC"/>
    <w:rsid w:val="00302C40"/>
    <w:rsid w:val="0030786C"/>
    <w:rsid w:val="0031144E"/>
    <w:rsid w:val="00312A62"/>
    <w:rsid w:val="00312EC3"/>
    <w:rsid w:val="00316683"/>
    <w:rsid w:val="00317452"/>
    <w:rsid w:val="00341BEE"/>
    <w:rsid w:val="00343286"/>
    <w:rsid w:val="00343B68"/>
    <w:rsid w:val="0034680F"/>
    <w:rsid w:val="00350BE1"/>
    <w:rsid w:val="003624CA"/>
    <w:rsid w:val="003657DB"/>
    <w:rsid w:val="0036588B"/>
    <w:rsid w:val="003808E4"/>
    <w:rsid w:val="003818C7"/>
    <w:rsid w:val="00383B3F"/>
    <w:rsid w:val="00386683"/>
    <w:rsid w:val="003873C6"/>
    <w:rsid w:val="00392002"/>
    <w:rsid w:val="00392A85"/>
    <w:rsid w:val="00396AFB"/>
    <w:rsid w:val="003A0777"/>
    <w:rsid w:val="003A37B2"/>
    <w:rsid w:val="003A3DB2"/>
    <w:rsid w:val="003A70CE"/>
    <w:rsid w:val="003B7FA9"/>
    <w:rsid w:val="003C297A"/>
    <w:rsid w:val="003C540E"/>
    <w:rsid w:val="003C5F0C"/>
    <w:rsid w:val="003D0532"/>
    <w:rsid w:val="003D17F9"/>
    <w:rsid w:val="003D437B"/>
    <w:rsid w:val="003D4829"/>
    <w:rsid w:val="003E005D"/>
    <w:rsid w:val="003E6E73"/>
    <w:rsid w:val="003E76C8"/>
    <w:rsid w:val="003F01A3"/>
    <w:rsid w:val="003F3F0B"/>
    <w:rsid w:val="0040070D"/>
    <w:rsid w:val="0040152C"/>
    <w:rsid w:val="0040173A"/>
    <w:rsid w:val="00401FB2"/>
    <w:rsid w:val="00402CBA"/>
    <w:rsid w:val="004075F5"/>
    <w:rsid w:val="00407B4B"/>
    <w:rsid w:val="00412E9D"/>
    <w:rsid w:val="00414952"/>
    <w:rsid w:val="00423FC4"/>
    <w:rsid w:val="00425504"/>
    <w:rsid w:val="0042727E"/>
    <w:rsid w:val="004305D6"/>
    <w:rsid w:val="00440CC0"/>
    <w:rsid w:val="004437F3"/>
    <w:rsid w:val="00445015"/>
    <w:rsid w:val="00446E28"/>
    <w:rsid w:val="00447D31"/>
    <w:rsid w:val="00455560"/>
    <w:rsid w:val="00466C72"/>
    <w:rsid w:val="00470AB8"/>
    <w:rsid w:val="00477E9B"/>
    <w:rsid w:val="00482ECA"/>
    <w:rsid w:val="00485794"/>
    <w:rsid w:val="004867E2"/>
    <w:rsid w:val="00486826"/>
    <w:rsid w:val="004A0670"/>
    <w:rsid w:val="004A4851"/>
    <w:rsid w:val="004A5C81"/>
    <w:rsid w:val="004B2558"/>
    <w:rsid w:val="004B2999"/>
    <w:rsid w:val="004C3664"/>
    <w:rsid w:val="004C4927"/>
    <w:rsid w:val="004D00F1"/>
    <w:rsid w:val="004E067A"/>
    <w:rsid w:val="004E179B"/>
    <w:rsid w:val="004E2389"/>
    <w:rsid w:val="004E50C2"/>
    <w:rsid w:val="004E58C1"/>
    <w:rsid w:val="004E5D43"/>
    <w:rsid w:val="0050126B"/>
    <w:rsid w:val="00505268"/>
    <w:rsid w:val="005119F8"/>
    <w:rsid w:val="0051563D"/>
    <w:rsid w:val="005179C7"/>
    <w:rsid w:val="0052107C"/>
    <w:rsid w:val="00521607"/>
    <w:rsid w:val="00521CE2"/>
    <w:rsid w:val="005221B7"/>
    <w:rsid w:val="00530100"/>
    <w:rsid w:val="00536E0C"/>
    <w:rsid w:val="005408C7"/>
    <w:rsid w:val="005422E7"/>
    <w:rsid w:val="005437FD"/>
    <w:rsid w:val="005445ED"/>
    <w:rsid w:val="00544A4E"/>
    <w:rsid w:val="00553E33"/>
    <w:rsid w:val="00554A81"/>
    <w:rsid w:val="005616FC"/>
    <w:rsid w:val="00561D76"/>
    <w:rsid w:val="00562F72"/>
    <w:rsid w:val="00566B97"/>
    <w:rsid w:val="00570C6C"/>
    <w:rsid w:val="00572EFD"/>
    <w:rsid w:val="00584334"/>
    <w:rsid w:val="0059380A"/>
    <w:rsid w:val="0059724C"/>
    <w:rsid w:val="005A1AA7"/>
    <w:rsid w:val="005A4D0B"/>
    <w:rsid w:val="005A701E"/>
    <w:rsid w:val="005A735B"/>
    <w:rsid w:val="005B04D8"/>
    <w:rsid w:val="005B69BD"/>
    <w:rsid w:val="005C090D"/>
    <w:rsid w:val="005C1496"/>
    <w:rsid w:val="005C5EF4"/>
    <w:rsid w:val="005C6AAE"/>
    <w:rsid w:val="005D1073"/>
    <w:rsid w:val="005D1415"/>
    <w:rsid w:val="005D5D06"/>
    <w:rsid w:val="005D62B5"/>
    <w:rsid w:val="005E2614"/>
    <w:rsid w:val="00607B0B"/>
    <w:rsid w:val="00614E29"/>
    <w:rsid w:val="00621121"/>
    <w:rsid w:val="0062216A"/>
    <w:rsid w:val="00625634"/>
    <w:rsid w:val="00627BDD"/>
    <w:rsid w:val="00627F24"/>
    <w:rsid w:val="00630199"/>
    <w:rsid w:val="006317C9"/>
    <w:rsid w:val="00632475"/>
    <w:rsid w:val="00632C35"/>
    <w:rsid w:val="00634AC8"/>
    <w:rsid w:val="00641773"/>
    <w:rsid w:val="00641CB0"/>
    <w:rsid w:val="0064239F"/>
    <w:rsid w:val="00656A90"/>
    <w:rsid w:val="00664708"/>
    <w:rsid w:val="00664F67"/>
    <w:rsid w:val="00670F54"/>
    <w:rsid w:val="006728F9"/>
    <w:rsid w:val="006767BC"/>
    <w:rsid w:val="006803BA"/>
    <w:rsid w:val="006922F5"/>
    <w:rsid w:val="006947D9"/>
    <w:rsid w:val="006A0017"/>
    <w:rsid w:val="006A16DD"/>
    <w:rsid w:val="006A2587"/>
    <w:rsid w:val="006A3D78"/>
    <w:rsid w:val="006A707C"/>
    <w:rsid w:val="006B3CFC"/>
    <w:rsid w:val="006C0CD8"/>
    <w:rsid w:val="006C2923"/>
    <w:rsid w:val="006C5AEE"/>
    <w:rsid w:val="006C679A"/>
    <w:rsid w:val="006C7A1B"/>
    <w:rsid w:val="006D0408"/>
    <w:rsid w:val="006D09FE"/>
    <w:rsid w:val="006D0C40"/>
    <w:rsid w:val="006D5D48"/>
    <w:rsid w:val="006D5FB1"/>
    <w:rsid w:val="006D732F"/>
    <w:rsid w:val="006E363F"/>
    <w:rsid w:val="006E688D"/>
    <w:rsid w:val="006F1432"/>
    <w:rsid w:val="006F4572"/>
    <w:rsid w:val="006F7964"/>
    <w:rsid w:val="007028EC"/>
    <w:rsid w:val="007035D8"/>
    <w:rsid w:val="0070703E"/>
    <w:rsid w:val="00711E21"/>
    <w:rsid w:val="00715168"/>
    <w:rsid w:val="0071637F"/>
    <w:rsid w:val="0072079E"/>
    <w:rsid w:val="00721BDB"/>
    <w:rsid w:val="00722691"/>
    <w:rsid w:val="007238E8"/>
    <w:rsid w:val="007333AD"/>
    <w:rsid w:val="00733466"/>
    <w:rsid w:val="007360BF"/>
    <w:rsid w:val="007406E6"/>
    <w:rsid w:val="007449EB"/>
    <w:rsid w:val="00747CE1"/>
    <w:rsid w:val="00751D3D"/>
    <w:rsid w:val="007545C7"/>
    <w:rsid w:val="00755764"/>
    <w:rsid w:val="0076005C"/>
    <w:rsid w:val="0076111D"/>
    <w:rsid w:val="007635C1"/>
    <w:rsid w:val="007656A5"/>
    <w:rsid w:val="00766B42"/>
    <w:rsid w:val="00766ED5"/>
    <w:rsid w:val="0076731D"/>
    <w:rsid w:val="00767650"/>
    <w:rsid w:val="00772CA3"/>
    <w:rsid w:val="00777B2E"/>
    <w:rsid w:val="0078070C"/>
    <w:rsid w:val="00784541"/>
    <w:rsid w:val="00790409"/>
    <w:rsid w:val="0079277C"/>
    <w:rsid w:val="0079330B"/>
    <w:rsid w:val="007968CC"/>
    <w:rsid w:val="00796FB7"/>
    <w:rsid w:val="0079708B"/>
    <w:rsid w:val="007A2846"/>
    <w:rsid w:val="007B04A9"/>
    <w:rsid w:val="007B16AC"/>
    <w:rsid w:val="007B5D05"/>
    <w:rsid w:val="007B5D1E"/>
    <w:rsid w:val="007C2217"/>
    <w:rsid w:val="007C471C"/>
    <w:rsid w:val="007C52D3"/>
    <w:rsid w:val="007D4258"/>
    <w:rsid w:val="007D485C"/>
    <w:rsid w:val="007E000D"/>
    <w:rsid w:val="007F3645"/>
    <w:rsid w:val="007F58DD"/>
    <w:rsid w:val="007F6791"/>
    <w:rsid w:val="00805E44"/>
    <w:rsid w:val="00807D2C"/>
    <w:rsid w:val="00811C26"/>
    <w:rsid w:val="00820059"/>
    <w:rsid w:val="00820E3F"/>
    <w:rsid w:val="008264EB"/>
    <w:rsid w:val="00827924"/>
    <w:rsid w:val="00830412"/>
    <w:rsid w:val="00830756"/>
    <w:rsid w:val="00835333"/>
    <w:rsid w:val="00844E54"/>
    <w:rsid w:val="00856DF5"/>
    <w:rsid w:val="00857E76"/>
    <w:rsid w:val="008612E6"/>
    <w:rsid w:val="00865932"/>
    <w:rsid w:val="00872059"/>
    <w:rsid w:val="00873673"/>
    <w:rsid w:val="008803A1"/>
    <w:rsid w:val="0088122A"/>
    <w:rsid w:val="008839CD"/>
    <w:rsid w:val="0089165D"/>
    <w:rsid w:val="00892AC8"/>
    <w:rsid w:val="008938D5"/>
    <w:rsid w:val="008A07AF"/>
    <w:rsid w:val="008A4AC8"/>
    <w:rsid w:val="008A58F9"/>
    <w:rsid w:val="008B5FBC"/>
    <w:rsid w:val="008C0F81"/>
    <w:rsid w:val="008D09DE"/>
    <w:rsid w:val="008E59EB"/>
    <w:rsid w:val="008E5D6A"/>
    <w:rsid w:val="008F16FB"/>
    <w:rsid w:val="008F4FAB"/>
    <w:rsid w:val="0091137C"/>
    <w:rsid w:val="00912024"/>
    <w:rsid w:val="0091384C"/>
    <w:rsid w:val="0092204C"/>
    <w:rsid w:val="00922DEE"/>
    <w:rsid w:val="009238AA"/>
    <w:rsid w:val="009244B8"/>
    <w:rsid w:val="00933B21"/>
    <w:rsid w:val="00941048"/>
    <w:rsid w:val="009424A5"/>
    <w:rsid w:val="00950089"/>
    <w:rsid w:val="0095539D"/>
    <w:rsid w:val="00957E88"/>
    <w:rsid w:val="00961B39"/>
    <w:rsid w:val="00961FBE"/>
    <w:rsid w:val="00964277"/>
    <w:rsid w:val="0097582E"/>
    <w:rsid w:val="00977D26"/>
    <w:rsid w:val="00977E26"/>
    <w:rsid w:val="00984227"/>
    <w:rsid w:val="00991AF5"/>
    <w:rsid w:val="0099343F"/>
    <w:rsid w:val="00995094"/>
    <w:rsid w:val="009A007B"/>
    <w:rsid w:val="009A0425"/>
    <w:rsid w:val="009A263C"/>
    <w:rsid w:val="009B053D"/>
    <w:rsid w:val="009B64E3"/>
    <w:rsid w:val="009C5964"/>
    <w:rsid w:val="009D0B90"/>
    <w:rsid w:val="009D6852"/>
    <w:rsid w:val="009E0725"/>
    <w:rsid w:val="009E0D48"/>
    <w:rsid w:val="009E1F38"/>
    <w:rsid w:val="009E270E"/>
    <w:rsid w:val="009E6B42"/>
    <w:rsid w:val="009E6B78"/>
    <w:rsid w:val="009E6D37"/>
    <w:rsid w:val="009F1EC9"/>
    <w:rsid w:val="009F4ACF"/>
    <w:rsid w:val="009F5557"/>
    <w:rsid w:val="00A010DA"/>
    <w:rsid w:val="00A02BFF"/>
    <w:rsid w:val="00A0554C"/>
    <w:rsid w:val="00A06B42"/>
    <w:rsid w:val="00A06F15"/>
    <w:rsid w:val="00A1015B"/>
    <w:rsid w:val="00A15082"/>
    <w:rsid w:val="00A16AEE"/>
    <w:rsid w:val="00A211F1"/>
    <w:rsid w:val="00A25D74"/>
    <w:rsid w:val="00A369E8"/>
    <w:rsid w:val="00A4199A"/>
    <w:rsid w:val="00A4512D"/>
    <w:rsid w:val="00A467D6"/>
    <w:rsid w:val="00A541E1"/>
    <w:rsid w:val="00A54775"/>
    <w:rsid w:val="00A5502C"/>
    <w:rsid w:val="00A55572"/>
    <w:rsid w:val="00A5694A"/>
    <w:rsid w:val="00A655B0"/>
    <w:rsid w:val="00A6672E"/>
    <w:rsid w:val="00A6676A"/>
    <w:rsid w:val="00A705AF"/>
    <w:rsid w:val="00A73C2F"/>
    <w:rsid w:val="00A75B58"/>
    <w:rsid w:val="00A75BFD"/>
    <w:rsid w:val="00A77349"/>
    <w:rsid w:val="00A931E2"/>
    <w:rsid w:val="00A93A18"/>
    <w:rsid w:val="00A964DB"/>
    <w:rsid w:val="00A96DED"/>
    <w:rsid w:val="00AA04AF"/>
    <w:rsid w:val="00AA0A90"/>
    <w:rsid w:val="00AA3A3E"/>
    <w:rsid w:val="00AA6DC2"/>
    <w:rsid w:val="00AA7B58"/>
    <w:rsid w:val="00AB0A6E"/>
    <w:rsid w:val="00AB2FDB"/>
    <w:rsid w:val="00AB40AB"/>
    <w:rsid w:val="00AB64E5"/>
    <w:rsid w:val="00AB6E76"/>
    <w:rsid w:val="00AB6ED9"/>
    <w:rsid w:val="00AC637F"/>
    <w:rsid w:val="00AD01B4"/>
    <w:rsid w:val="00AD055C"/>
    <w:rsid w:val="00AD52A0"/>
    <w:rsid w:val="00AD5717"/>
    <w:rsid w:val="00AE164C"/>
    <w:rsid w:val="00AE68FA"/>
    <w:rsid w:val="00AE72F7"/>
    <w:rsid w:val="00AF4586"/>
    <w:rsid w:val="00AF6154"/>
    <w:rsid w:val="00B0536B"/>
    <w:rsid w:val="00B07615"/>
    <w:rsid w:val="00B163F6"/>
    <w:rsid w:val="00B17B1E"/>
    <w:rsid w:val="00B213FD"/>
    <w:rsid w:val="00B21839"/>
    <w:rsid w:val="00B24DF4"/>
    <w:rsid w:val="00B2665E"/>
    <w:rsid w:val="00B30753"/>
    <w:rsid w:val="00B316D7"/>
    <w:rsid w:val="00B328AF"/>
    <w:rsid w:val="00B32DD1"/>
    <w:rsid w:val="00B3720C"/>
    <w:rsid w:val="00B37974"/>
    <w:rsid w:val="00B41409"/>
    <w:rsid w:val="00B42851"/>
    <w:rsid w:val="00B43C6E"/>
    <w:rsid w:val="00B456E0"/>
    <w:rsid w:val="00B459E9"/>
    <w:rsid w:val="00B47076"/>
    <w:rsid w:val="00B53823"/>
    <w:rsid w:val="00B56B37"/>
    <w:rsid w:val="00B57759"/>
    <w:rsid w:val="00B60D44"/>
    <w:rsid w:val="00B60D86"/>
    <w:rsid w:val="00B904EC"/>
    <w:rsid w:val="00B91269"/>
    <w:rsid w:val="00B91454"/>
    <w:rsid w:val="00B93CD5"/>
    <w:rsid w:val="00B9432A"/>
    <w:rsid w:val="00B95A67"/>
    <w:rsid w:val="00BA0015"/>
    <w:rsid w:val="00BA2A5D"/>
    <w:rsid w:val="00BA2DE8"/>
    <w:rsid w:val="00BA4AEE"/>
    <w:rsid w:val="00BA5233"/>
    <w:rsid w:val="00BC07E4"/>
    <w:rsid w:val="00BC4293"/>
    <w:rsid w:val="00BC479B"/>
    <w:rsid w:val="00BC49CF"/>
    <w:rsid w:val="00BC4D09"/>
    <w:rsid w:val="00BD0B57"/>
    <w:rsid w:val="00BD649D"/>
    <w:rsid w:val="00BE0DE7"/>
    <w:rsid w:val="00BE6832"/>
    <w:rsid w:val="00BF14D0"/>
    <w:rsid w:val="00BF2561"/>
    <w:rsid w:val="00BF4D3B"/>
    <w:rsid w:val="00BF5905"/>
    <w:rsid w:val="00BF6152"/>
    <w:rsid w:val="00C02629"/>
    <w:rsid w:val="00C06314"/>
    <w:rsid w:val="00C23604"/>
    <w:rsid w:val="00C308FA"/>
    <w:rsid w:val="00C31839"/>
    <w:rsid w:val="00C31A7F"/>
    <w:rsid w:val="00C32280"/>
    <w:rsid w:val="00C35287"/>
    <w:rsid w:val="00C35DEC"/>
    <w:rsid w:val="00C35F32"/>
    <w:rsid w:val="00C436EE"/>
    <w:rsid w:val="00C446F4"/>
    <w:rsid w:val="00C477AC"/>
    <w:rsid w:val="00C51BE7"/>
    <w:rsid w:val="00C565EF"/>
    <w:rsid w:val="00C62E70"/>
    <w:rsid w:val="00C63431"/>
    <w:rsid w:val="00C64BBB"/>
    <w:rsid w:val="00C74935"/>
    <w:rsid w:val="00C7543A"/>
    <w:rsid w:val="00C82FD9"/>
    <w:rsid w:val="00C900CC"/>
    <w:rsid w:val="00C911AD"/>
    <w:rsid w:val="00C915E2"/>
    <w:rsid w:val="00CA04C6"/>
    <w:rsid w:val="00CB0684"/>
    <w:rsid w:val="00CB1B36"/>
    <w:rsid w:val="00CB2190"/>
    <w:rsid w:val="00CB5999"/>
    <w:rsid w:val="00CB5B1A"/>
    <w:rsid w:val="00CB733F"/>
    <w:rsid w:val="00CC36EF"/>
    <w:rsid w:val="00CC4B8E"/>
    <w:rsid w:val="00CC697B"/>
    <w:rsid w:val="00CE1712"/>
    <w:rsid w:val="00CE3387"/>
    <w:rsid w:val="00CE3A39"/>
    <w:rsid w:val="00CE7355"/>
    <w:rsid w:val="00CF4118"/>
    <w:rsid w:val="00D07C0D"/>
    <w:rsid w:val="00D10D90"/>
    <w:rsid w:val="00D10F83"/>
    <w:rsid w:val="00D116AD"/>
    <w:rsid w:val="00D13C42"/>
    <w:rsid w:val="00D16B25"/>
    <w:rsid w:val="00D24922"/>
    <w:rsid w:val="00D26BE5"/>
    <w:rsid w:val="00D301EA"/>
    <w:rsid w:val="00D31DC2"/>
    <w:rsid w:val="00D40DEC"/>
    <w:rsid w:val="00D41AE5"/>
    <w:rsid w:val="00D42B9A"/>
    <w:rsid w:val="00D469E4"/>
    <w:rsid w:val="00D4728F"/>
    <w:rsid w:val="00D5354B"/>
    <w:rsid w:val="00D563D0"/>
    <w:rsid w:val="00D738DB"/>
    <w:rsid w:val="00D73FE2"/>
    <w:rsid w:val="00D7465B"/>
    <w:rsid w:val="00D81026"/>
    <w:rsid w:val="00D812BD"/>
    <w:rsid w:val="00D83E8B"/>
    <w:rsid w:val="00D95542"/>
    <w:rsid w:val="00D96327"/>
    <w:rsid w:val="00DB07A4"/>
    <w:rsid w:val="00DB5454"/>
    <w:rsid w:val="00DB5911"/>
    <w:rsid w:val="00DC0477"/>
    <w:rsid w:val="00DC0D24"/>
    <w:rsid w:val="00DD047B"/>
    <w:rsid w:val="00DD5D99"/>
    <w:rsid w:val="00DE5EB7"/>
    <w:rsid w:val="00DE75D8"/>
    <w:rsid w:val="00DF21B2"/>
    <w:rsid w:val="00DF515C"/>
    <w:rsid w:val="00DF60F2"/>
    <w:rsid w:val="00DF7578"/>
    <w:rsid w:val="00DF77DA"/>
    <w:rsid w:val="00E015E6"/>
    <w:rsid w:val="00E0497F"/>
    <w:rsid w:val="00E13C5C"/>
    <w:rsid w:val="00E209BF"/>
    <w:rsid w:val="00E229F5"/>
    <w:rsid w:val="00E23184"/>
    <w:rsid w:val="00E236C6"/>
    <w:rsid w:val="00E34F33"/>
    <w:rsid w:val="00E40F95"/>
    <w:rsid w:val="00E41CF8"/>
    <w:rsid w:val="00E4269D"/>
    <w:rsid w:val="00E4312B"/>
    <w:rsid w:val="00E47830"/>
    <w:rsid w:val="00E520C2"/>
    <w:rsid w:val="00E57576"/>
    <w:rsid w:val="00E604B3"/>
    <w:rsid w:val="00E60650"/>
    <w:rsid w:val="00E60EE1"/>
    <w:rsid w:val="00E700EC"/>
    <w:rsid w:val="00E708F6"/>
    <w:rsid w:val="00E716B4"/>
    <w:rsid w:val="00E80567"/>
    <w:rsid w:val="00E8425B"/>
    <w:rsid w:val="00E86B67"/>
    <w:rsid w:val="00E9314D"/>
    <w:rsid w:val="00EA33D5"/>
    <w:rsid w:val="00EA5E02"/>
    <w:rsid w:val="00EA5FD0"/>
    <w:rsid w:val="00EA63B1"/>
    <w:rsid w:val="00EB0020"/>
    <w:rsid w:val="00EC1752"/>
    <w:rsid w:val="00EC783E"/>
    <w:rsid w:val="00EC7D3F"/>
    <w:rsid w:val="00ED0AF7"/>
    <w:rsid w:val="00ED0DD3"/>
    <w:rsid w:val="00ED0FC5"/>
    <w:rsid w:val="00ED43C9"/>
    <w:rsid w:val="00ED648B"/>
    <w:rsid w:val="00EE16DD"/>
    <w:rsid w:val="00EE31B0"/>
    <w:rsid w:val="00EE356F"/>
    <w:rsid w:val="00EE397E"/>
    <w:rsid w:val="00EE65B1"/>
    <w:rsid w:val="00EF0A8E"/>
    <w:rsid w:val="00EF1C55"/>
    <w:rsid w:val="00EF1C95"/>
    <w:rsid w:val="00EF2774"/>
    <w:rsid w:val="00EF3463"/>
    <w:rsid w:val="00EF3CE9"/>
    <w:rsid w:val="00EF4059"/>
    <w:rsid w:val="00EF5586"/>
    <w:rsid w:val="00F078B7"/>
    <w:rsid w:val="00F07AEE"/>
    <w:rsid w:val="00F1278D"/>
    <w:rsid w:val="00F142FF"/>
    <w:rsid w:val="00F14BFD"/>
    <w:rsid w:val="00F17566"/>
    <w:rsid w:val="00F238F2"/>
    <w:rsid w:val="00F332B3"/>
    <w:rsid w:val="00F34D63"/>
    <w:rsid w:val="00F3653D"/>
    <w:rsid w:val="00F41C35"/>
    <w:rsid w:val="00F42D76"/>
    <w:rsid w:val="00F432CC"/>
    <w:rsid w:val="00F4438C"/>
    <w:rsid w:val="00F44CA1"/>
    <w:rsid w:val="00F45323"/>
    <w:rsid w:val="00F46ED7"/>
    <w:rsid w:val="00F549D7"/>
    <w:rsid w:val="00F556DB"/>
    <w:rsid w:val="00F560D5"/>
    <w:rsid w:val="00F646D6"/>
    <w:rsid w:val="00F67A21"/>
    <w:rsid w:val="00F71B1E"/>
    <w:rsid w:val="00F73D95"/>
    <w:rsid w:val="00F76599"/>
    <w:rsid w:val="00F76DD2"/>
    <w:rsid w:val="00F77044"/>
    <w:rsid w:val="00F8015E"/>
    <w:rsid w:val="00F8015F"/>
    <w:rsid w:val="00F80A08"/>
    <w:rsid w:val="00F83598"/>
    <w:rsid w:val="00F83D66"/>
    <w:rsid w:val="00F85522"/>
    <w:rsid w:val="00F85766"/>
    <w:rsid w:val="00F91CCA"/>
    <w:rsid w:val="00F931D3"/>
    <w:rsid w:val="00F95769"/>
    <w:rsid w:val="00FA289A"/>
    <w:rsid w:val="00FB375B"/>
    <w:rsid w:val="00FB6425"/>
    <w:rsid w:val="00FB694C"/>
    <w:rsid w:val="00FC7F5D"/>
    <w:rsid w:val="00FD1D84"/>
    <w:rsid w:val="00FD50A4"/>
    <w:rsid w:val="00FE58D5"/>
    <w:rsid w:val="00FE5CA3"/>
    <w:rsid w:val="00FF08C3"/>
    <w:rsid w:val="00FF6974"/>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25D74"/>
    <w:pPr>
      <w:spacing w:before="120" w:after="120"/>
    </w:pPr>
  </w:style>
  <w:style w:type="paragraph" w:styleId="Heading1">
    <w:name w:val="heading 1"/>
    <w:basedOn w:val="Normal"/>
    <w:next w:val="Normal"/>
    <w:qFormat/>
    <w:rsid w:val="00D10F83"/>
    <w:pPr>
      <w:keepNext/>
      <w:spacing w:before="440" w:after="240"/>
      <w:ind w:left="680"/>
      <w:outlineLvl w:val="0"/>
    </w:pPr>
    <w:rPr>
      <w:rFonts w:cs="Arial"/>
      <w:b/>
      <w:bCs/>
      <w:color w:val="5C528A"/>
      <w:kern w:val="28"/>
      <w:sz w:val="28"/>
      <w:szCs w:val="24"/>
    </w:rPr>
  </w:style>
  <w:style w:type="paragraph" w:styleId="Heading2">
    <w:name w:val="heading 2"/>
    <w:basedOn w:val="Heading1"/>
    <w:next w:val="Normal"/>
    <w:qFormat/>
    <w:rsid w:val="00177E5B"/>
    <w:pPr>
      <w:spacing w:before="180" w:after="120"/>
      <w:ind w:left="0"/>
      <w:outlineLvl w:val="1"/>
    </w:pPr>
    <w:rPr>
      <w:color w:val="000000" w:themeColor="text1"/>
      <w:sz w:val="24"/>
      <w:szCs w:val="22"/>
    </w:rPr>
  </w:style>
  <w:style w:type="paragraph" w:styleId="Heading3">
    <w:name w:val="heading 3"/>
    <w:basedOn w:val="Heading2"/>
    <w:next w:val="Normal"/>
    <w:qFormat/>
    <w:rsid w:val="006A0017"/>
    <w:pPr>
      <w:outlineLvl w:val="2"/>
    </w:pPr>
    <w:rPr>
      <w:bCs w:val="0"/>
      <w:kern w:val="26"/>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Title"/>
    <w:next w:val="Normal"/>
    <w:link w:val="SubtitleChar"/>
    <w:uiPriority w:val="98"/>
    <w:locked/>
    <w:rsid w:val="002F51A8"/>
    <w:pPr>
      <w:numPr>
        <w:ilvl w:val="1"/>
      </w:numPr>
      <w:spacing w:before="600" w:after="0"/>
    </w:pPr>
    <w:rPr>
      <w:iCs/>
      <w:color w:val="5C528A"/>
      <w:sz w:val="32"/>
    </w:rPr>
  </w:style>
  <w:style w:type="character" w:customStyle="1" w:styleId="SubtitleChar">
    <w:name w:val="Subtitle Char"/>
    <w:basedOn w:val="DefaultParagraphFont"/>
    <w:link w:val="Subtitle"/>
    <w:uiPriority w:val="98"/>
    <w:rsid w:val="002F51A8"/>
    <w:rPr>
      <w:rFonts w:ascii="Arial Bold" w:eastAsiaTheme="majorEastAsia" w:hAnsi="Arial Bold" w:cs="Times New Roman (Headings CS)"/>
      <w:b/>
      <w:iCs/>
      <w:color w:val="5C528A"/>
      <w:spacing w:val="-6"/>
      <w:kern w:val="28"/>
      <w:sz w:val="32"/>
      <w:szCs w:val="50"/>
    </w:rPr>
  </w:style>
  <w:style w:type="paragraph" w:styleId="Title">
    <w:name w:val="Title"/>
    <w:basedOn w:val="Normal"/>
    <w:next w:val="Normal"/>
    <w:link w:val="TitleChar"/>
    <w:uiPriority w:val="99"/>
    <w:qFormat/>
    <w:rsid w:val="008938D5"/>
    <w:pPr>
      <w:spacing w:before="0" w:after="300"/>
      <w:contextualSpacing/>
    </w:pPr>
    <w:rPr>
      <w:rFonts w:ascii="Arial Bold" w:eastAsiaTheme="majorEastAsia" w:hAnsi="Arial Bold" w:cs="Times New Roman (Headings CS)"/>
      <w:b/>
      <w:color w:val="000000" w:themeColor="text1"/>
      <w:spacing w:val="-6"/>
      <w:kern w:val="28"/>
      <w:sz w:val="50"/>
      <w:szCs w:val="50"/>
    </w:rPr>
  </w:style>
  <w:style w:type="character" w:customStyle="1" w:styleId="TitleChar">
    <w:name w:val="Title Char"/>
    <w:basedOn w:val="DefaultParagraphFont"/>
    <w:link w:val="Title"/>
    <w:uiPriority w:val="99"/>
    <w:rsid w:val="008938D5"/>
    <w:rPr>
      <w:rFonts w:ascii="Arial Bold" w:eastAsiaTheme="majorEastAsia" w:hAnsi="Arial Bold" w:cs="Times New Roman (Headings CS)"/>
      <w:b/>
      <w:color w:val="000000" w:themeColor="text1"/>
      <w:spacing w:val="-6"/>
      <w:kern w:val="28"/>
      <w:sz w:val="50"/>
      <w:szCs w:val="50"/>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Toptip"/>
    <w:next w:val="Normal"/>
    <w:link w:val="QuoteChar"/>
    <w:uiPriority w:val="99"/>
    <w:qFormat/>
    <w:rsid w:val="00B0536B"/>
    <w:pPr>
      <w:spacing w:before="60"/>
    </w:pPr>
    <w:rPr>
      <w:b/>
      <w:iCs w:val="0"/>
      <w:color w:val="5C528A"/>
    </w:rPr>
  </w:style>
  <w:style w:type="character" w:customStyle="1" w:styleId="QuoteChar">
    <w:name w:val="Quote Char"/>
    <w:basedOn w:val="DefaultParagraphFont"/>
    <w:link w:val="Quote"/>
    <w:uiPriority w:val="29"/>
    <w:rsid w:val="00B0536B"/>
    <w:rPr>
      <w:rFonts w:ascii="Arial" w:eastAsiaTheme="minorEastAsia" w:hAnsi="Arial" w:cs="Open Sans"/>
      <w:b/>
      <w:i/>
      <w:color w:val="5C528A"/>
      <w:szCs w:val="19"/>
      <w:lang w:val="en-GB" w:eastAsia="en-GB"/>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423FC4"/>
    <w:rPr>
      <w:color w:val="1178A2" w:themeColor="accent1"/>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316D7"/>
    <w:pPr>
      <w:spacing w:after="0"/>
    </w:pPr>
    <w:rPr>
      <w:rFonts w:ascii="Arial" w:eastAsia="Calibri" w:hAnsi="Arial"/>
      <w:lang w:eastAsia="en-US"/>
    </w:rPr>
    <w:tblPr>
      <w:tblStyleRowBandSize w:val="1"/>
      <w:tblCellMar>
        <w:top w:w="85" w:type="dxa"/>
        <w:left w:w="340" w:type="dxa"/>
        <w:bottom w:w="85" w:type="dxa"/>
        <w:right w:w="227" w:type="dxa"/>
      </w:tblCellMar>
    </w:tblPr>
    <w:tcPr>
      <w:shd w:val="clear" w:color="auto" w:fill="F5F5F9"/>
    </w:tcPr>
    <w:tblStylePr w:type="firstRow">
      <w:pPr>
        <w:wordWrap/>
        <w:spacing w:beforeLines="0" w:before="240" w:beforeAutospacing="0" w:afterLines="0" w:after="0" w:afterAutospacing="0" w:line="240" w:lineRule="auto"/>
      </w:pPr>
      <w:rPr>
        <w:rFonts w:ascii="Arial" w:hAnsi="Arial"/>
        <w:b/>
        <w:color w:val="auto"/>
        <w:sz w:val="24"/>
      </w:rPr>
      <w:tblPr/>
      <w:trPr>
        <w:tblHeader/>
      </w:tr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7A2846"/>
    <w:rPr>
      <w:spacing w:val="0"/>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uiPriority w:val="99"/>
    <w:qFormat/>
    <w:rsid w:val="000B5FA8"/>
    <w:pPr>
      <w:spacing w:before="0" w:after="0"/>
      <w:jc w:val="right"/>
    </w:pPr>
    <w:rPr>
      <w:color w:val="000000" w:themeColor="text1"/>
      <w:sz w:val="28"/>
      <w:szCs w:val="40"/>
      <w:lang w:val="en-US"/>
    </w:rPr>
  </w:style>
  <w:style w:type="table" w:styleId="PlainTable1">
    <w:name w:val="Plain Table 1"/>
    <w:basedOn w:val="TableNormal"/>
    <w:uiPriority w:val="98"/>
    <w:locked/>
    <w:rsid w:val="00C82F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HeadMisc">
    <w:name w:val="References Head (Misc)"/>
    <w:basedOn w:val="Normal"/>
    <w:uiPriority w:val="99"/>
    <w:rsid w:val="006A0017"/>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NumberedMisc">
    <w:name w:val="References List Numbered (Misc)"/>
    <w:basedOn w:val="Normal"/>
    <w:uiPriority w:val="99"/>
    <w:rsid w:val="006A0017"/>
    <w:pPr>
      <w:widowControl w:val="0"/>
      <w:suppressAutoHyphens/>
      <w:autoSpaceDE w:val="0"/>
      <w:autoSpaceDN w:val="0"/>
      <w:adjustRightInd w:val="0"/>
      <w:spacing w:before="0" w:after="28" w:line="230" w:lineRule="atLeast"/>
      <w:ind w:left="283" w:hanging="283"/>
      <w:textAlignment w:val="center"/>
    </w:pPr>
    <w:rPr>
      <w:rFonts w:ascii="Open Sans" w:eastAsiaTheme="minorEastAsia" w:hAnsi="Open Sans" w:cs="Open Sans"/>
      <w:color w:val="000000"/>
      <w:sz w:val="17"/>
      <w:szCs w:val="17"/>
      <w:lang w:val="en-GB" w:eastAsia="en-GB"/>
    </w:rPr>
  </w:style>
  <w:style w:type="paragraph" w:customStyle="1" w:styleId="NormalBodystyles">
    <w:name w:val="Normal (Body styles)"/>
    <w:basedOn w:val="Normal"/>
    <w:uiPriority w:val="99"/>
    <w:rsid w:val="005A701E"/>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5A701E"/>
    <w:pPr>
      <w:widowControl w:val="0"/>
      <w:suppressAutoHyphens/>
      <w:autoSpaceDE w:val="0"/>
      <w:autoSpaceDN w:val="0"/>
      <w:adjustRightInd w:val="0"/>
      <w:spacing w:before="170" w:after="170" w:line="320" w:lineRule="atLeast"/>
      <w:textAlignment w:val="center"/>
    </w:pPr>
    <w:rPr>
      <w:rFonts w:ascii="Proxima Nova" w:eastAsiaTheme="minorEastAsia" w:hAnsi="Proxima Nova" w:cs="Proxima Nova"/>
      <w:b/>
      <w:bCs/>
      <w:color w:val="003565"/>
      <w:sz w:val="30"/>
      <w:szCs w:val="30"/>
      <w:lang w:val="en-GB" w:eastAsia="en-GB"/>
    </w:rPr>
  </w:style>
  <w:style w:type="paragraph" w:customStyle="1" w:styleId="NormalBeforeListBodystyles">
    <w:name w:val="Normal Before List (Body styles)"/>
    <w:basedOn w:val="NormalBodystyles"/>
    <w:next w:val="BulletLists"/>
    <w:uiPriority w:val="99"/>
    <w:rsid w:val="005A701E"/>
    <w:pPr>
      <w:keepNext/>
      <w:spacing w:after="57"/>
    </w:pPr>
  </w:style>
  <w:style w:type="paragraph" w:customStyle="1" w:styleId="StepsLists">
    <w:name w:val="Steps (Lists)"/>
    <w:basedOn w:val="NormalBodystyles"/>
    <w:uiPriority w:val="99"/>
    <w:rsid w:val="005A701E"/>
    <w:pPr>
      <w:tabs>
        <w:tab w:val="left" w:pos="397"/>
      </w:tabs>
      <w:spacing w:before="57" w:after="0"/>
      <w:ind w:left="397"/>
    </w:pPr>
  </w:style>
  <w:style w:type="paragraph" w:customStyle="1" w:styleId="StepsLetterFirstLists">
    <w:name w:val="Steps Letter Firs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StepsLetterContLists">
    <w:name w:val="Steps Letter Con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5A701E"/>
    <w:pPr>
      <w:widowControl w:val="0"/>
      <w:suppressAutoHyphens/>
      <w:autoSpaceDE w:val="0"/>
      <w:autoSpaceDN w:val="0"/>
      <w:adjustRightInd w:val="0"/>
      <w:spacing w:before="113" w:after="142"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Lists">
    <w:name w:val="Bullet (Lists)"/>
    <w:basedOn w:val="NormalBodystyles"/>
    <w:uiPriority w:val="99"/>
    <w:rsid w:val="005A701E"/>
    <w:pPr>
      <w:tabs>
        <w:tab w:val="left" w:pos="255"/>
      </w:tabs>
      <w:spacing w:after="57"/>
      <w:ind w:left="255" w:hanging="255"/>
    </w:pPr>
  </w:style>
  <w:style w:type="paragraph" w:customStyle="1" w:styleId="BulletLastLists">
    <w:name w:val="Bullet Last (Lists)"/>
    <w:basedOn w:val="BulletLists"/>
    <w:uiPriority w:val="99"/>
    <w:rsid w:val="005A701E"/>
    <w:pPr>
      <w:spacing w:after="170"/>
    </w:pPr>
  </w:style>
  <w:style w:type="character" w:customStyle="1" w:styleId="Strongbold">
    <w:name w:val="Strong (bold)"/>
    <w:uiPriority w:val="99"/>
    <w:rsid w:val="005A701E"/>
    <w:rPr>
      <w:b/>
      <w:bCs/>
    </w:rPr>
  </w:style>
  <w:style w:type="character" w:customStyle="1" w:styleId="BoldSteps">
    <w:name w:val="Bold (Steps)"/>
    <w:basedOn w:val="Strongbold"/>
    <w:uiPriority w:val="99"/>
    <w:rsid w:val="005A701E"/>
    <w:rPr>
      <w:rFonts w:ascii="Proxima Nova Extrabold" w:hAnsi="Proxima Nova Extrabold" w:cs="Proxima Nova Extrabold"/>
      <w:b/>
      <w:bCs/>
      <w:color w:val="003565"/>
      <w:sz w:val="22"/>
      <w:szCs w:val="22"/>
    </w:rPr>
  </w:style>
  <w:style w:type="character" w:customStyle="1" w:styleId="Strongsemibold">
    <w:name w:val="Strong (semibold)"/>
    <w:basedOn w:val="Strongbold"/>
    <w:uiPriority w:val="99"/>
    <w:rsid w:val="005A701E"/>
    <w:rPr>
      <w:b/>
      <w:bCs/>
    </w:rPr>
  </w:style>
  <w:style w:type="paragraph" w:customStyle="1" w:styleId="H1AStandardtitle">
    <w:name w:val="H1A Standard title"/>
    <w:basedOn w:val="Normal"/>
    <w:next w:val="NoParagraphStyle"/>
    <w:uiPriority w:val="99"/>
    <w:rsid w:val="000B5FA8"/>
    <w:pPr>
      <w:widowControl w:val="0"/>
      <w:suppressAutoHyphens/>
      <w:autoSpaceDE w:val="0"/>
      <w:autoSpaceDN w:val="0"/>
      <w:adjustRightInd w:val="0"/>
      <w:spacing w:before="0" w:after="0" w:line="320" w:lineRule="atLeast"/>
      <w:textAlignment w:val="center"/>
    </w:pPr>
    <w:rPr>
      <w:rFonts w:ascii="Proxima Nova" w:eastAsiaTheme="minorEastAsia" w:hAnsi="Proxima Nova" w:cs="Proxima Nova"/>
      <w:b/>
      <w:bCs/>
      <w:color w:val="5A5288"/>
      <w:sz w:val="28"/>
      <w:szCs w:val="28"/>
      <w:lang w:val="en-GB" w:eastAsia="en-GB"/>
    </w:rPr>
  </w:style>
  <w:style w:type="paragraph" w:customStyle="1" w:styleId="H1Titlespan">
    <w:name w:val="H1 Title (span)"/>
    <w:basedOn w:val="NoParagraphStyle"/>
    <w:next w:val="NoParagraphStyle"/>
    <w:uiPriority w:val="99"/>
    <w:rsid w:val="000B5FA8"/>
    <w:pPr>
      <w:suppressAutoHyphens/>
      <w:spacing w:after="227" w:line="460" w:lineRule="atLeast"/>
    </w:pPr>
    <w:rPr>
      <w:rFonts w:ascii="Proxima Nova" w:eastAsiaTheme="minorEastAsia" w:hAnsi="Proxima Nova" w:cs="Proxima Nova"/>
      <w:b/>
      <w:bCs/>
      <w:spacing w:val="-5"/>
      <w:sz w:val="48"/>
      <w:szCs w:val="48"/>
      <w:lang w:eastAsia="en-GB"/>
    </w:rPr>
  </w:style>
  <w:style w:type="paragraph" w:customStyle="1" w:styleId="Intro">
    <w:name w:val="Intro"/>
    <w:basedOn w:val="NoParagraphStyle"/>
    <w:next w:val="NoParagraphStyle"/>
    <w:uiPriority w:val="99"/>
    <w:rsid w:val="00B17B1E"/>
    <w:pPr>
      <w:tabs>
        <w:tab w:val="left" w:pos="283"/>
      </w:tabs>
      <w:suppressAutoHyphens/>
      <w:spacing w:after="240" w:line="240" w:lineRule="auto"/>
    </w:pPr>
    <w:rPr>
      <w:rFonts w:ascii="Arial" w:eastAsiaTheme="minorEastAsia" w:hAnsi="Arial" w:cs="Open Sans"/>
      <w:b/>
      <w:spacing w:val="-2"/>
      <w:sz w:val="22"/>
      <w:szCs w:val="22"/>
      <w:lang w:eastAsia="en-GB"/>
    </w:rPr>
  </w:style>
  <w:style w:type="paragraph" w:customStyle="1" w:styleId="H2SectionHeading">
    <w:name w:val="H2 Section Heading •"/>
    <w:basedOn w:val="NoParagraphStyle"/>
    <w:next w:val="NoParagraphStyle"/>
    <w:uiPriority w:val="99"/>
    <w:rsid w:val="000B5FA8"/>
    <w:pPr>
      <w:shd w:val="clear" w:color="auto" w:fill="5A5288"/>
      <w:tabs>
        <w:tab w:val="left" w:pos="283"/>
      </w:tabs>
      <w:suppressAutoHyphens/>
      <w:spacing w:before="340" w:after="283" w:line="200" w:lineRule="atLeast"/>
      <w:ind w:left="283"/>
    </w:pPr>
    <w:rPr>
      <w:rFonts w:ascii="Proxima Nova" w:eastAsiaTheme="minorEastAsia" w:hAnsi="Proxima Nova" w:cs="Proxima Nova"/>
      <w:b/>
      <w:bCs/>
      <w:caps/>
      <w:color w:val="FFFFFF"/>
      <w:sz w:val="19"/>
      <w:szCs w:val="19"/>
      <w:lang w:eastAsia="en-GB"/>
    </w:rPr>
  </w:style>
  <w:style w:type="paragraph" w:customStyle="1" w:styleId="Toptip">
    <w:name w:val="Top tip"/>
    <w:basedOn w:val="Normal"/>
    <w:uiPriority w:val="99"/>
    <w:rsid w:val="00B0536B"/>
    <w:pPr>
      <w:widowControl w:val="0"/>
      <w:pBdr>
        <w:left w:val="single" w:sz="36" w:space="12" w:color="5C528A"/>
      </w:pBdr>
      <w:tabs>
        <w:tab w:val="left" w:pos="283"/>
      </w:tabs>
      <w:suppressAutoHyphens/>
      <w:autoSpaceDE w:val="0"/>
      <w:autoSpaceDN w:val="0"/>
      <w:adjustRightInd w:val="0"/>
      <w:spacing w:before="180" w:after="0"/>
      <w:ind w:left="369"/>
      <w:textAlignment w:val="center"/>
    </w:pPr>
    <w:rPr>
      <w:rFonts w:ascii="Arial" w:eastAsiaTheme="minorEastAsia" w:hAnsi="Arial" w:cs="Open Sans"/>
      <w:i/>
      <w:iCs/>
      <w:color w:val="000000"/>
      <w:szCs w:val="19"/>
      <w:lang w:val="en-GB" w:eastAsia="en-GB"/>
    </w:rPr>
  </w:style>
  <w:style w:type="paragraph" w:customStyle="1" w:styleId="H2SectionHeadingwithCircle">
    <w:name w:val="H2 Section Heading (with Circle)"/>
    <w:basedOn w:val="H2SectionHeading"/>
    <w:next w:val="NoParagraphStyle"/>
    <w:uiPriority w:val="99"/>
    <w:rsid w:val="000B5FA8"/>
    <w:pPr>
      <w:ind w:left="624"/>
    </w:pPr>
  </w:style>
  <w:style w:type="paragraph" w:customStyle="1" w:styleId="QuoteAttribution">
    <w:name w:val="Quote Attribution"/>
    <w:basedOn w:val="Toptip"/>
    <w:next w:val="NoParagraphStyle"/>
    <w:uiPriority w:val="99"/>
    <w:rsid w:val="00B0536B"/>
    <w:pPr>
      <w:spacing w:before="60"/>
    </w:pPr>
    <w:rPr>
      <w:i w:val="0"/>
      <w:color w:val="5C528A"/>
    </w:rPr>
  </w:style>
  <w:style w:type="paragraph" w:customStyle="1" w:styleId="TFHolder">
    <w:name w:val="# TF Holder #"/>
    <w:basedOn w:val="Normal"/>
    <w:uiPriority w:val="99"/>
    <w:rsid w:val="000B5FA8"/>
    <w:pPr>
      <w:widowControl w:val="0"/>
      <w:tabs>
        <w:tab w:val="left" w:pos="283"/>
      </w:tabs>
      <w:suppressAutoHyphens/>
      <w:autoSpaceDE w:val="0"/>
      <w:autoSpaceDN w:val="0"/>
      <w:adjustRightInd w:val="0"/>
      <w:spacing w:before="170" w:after="283" w:line="260" w:lineRule="atLeast"/>
      <w:textAlignment w:val="center"/>
    </w:pPr>
    <w:rPr>
      <w:rFonts w:ascii="Open Sans" w:eastAsiaTheme="minorEastAsia" w:hAnsi="Open Sans" w:cs="Open Sans"/>
      <w:color w:val="000000"/>
      <w:spacing w:val="-2"/>
      <w:sz w:val="19"/>
      <w:szCs w:val="19"/>
      <w:lang w:val="en-GB" w:eastAsia="en-GB"/>
    </w:rPr>
  </w:style>
  <w:style w:type="paragraph" w:customStyle="1" w:styleId="H3">
    <w:name w:val="H3 •"/>
    <w:basedOn w:val="NoParagraphStyle"/>
    <w:next w:val="NoParagraphStyle"/>
    <w:uiPriority w:val="99"/>
    <w:rsid w:val="000B5FA8"/>
    <w:pPr>
      <w:suppressAutoHyphens/>
      <w:spacing w:after="57" w:line="260" w:lineRule="atLeast"/>
    </w:pPr>
    <w:rPr>
      <w:rFonts w:ascii="Proxima Nova" w:eastAsiaTheme="minorEastAsia" w:hAnsi="Proxima Nova" w:cs="Proxima Nova"/>
      <w:b/>
      <w:bCs/>
      <w:spacing w:val="-2"/>
      <w:sz w:val="22"/>
      <w:szCs w:val="22"/>
      <w:lang w:eastAsia="en-GB"/>
    </w:rPr>
  </w:style>
  <w:style w:type="paragraph" w:customStyle="1" w:styleId="H3noafter">
    <w:name w:val="H3 (no # after)"/>
    <w:basedOn w:val="H3"/>
    <w:next w:val="NoParagraphStyle"/>
    <w:uiPriority w:val="99"/>
    <w:rsid w:val="000B5FA8"/>
    <w:pPr>
      <w:spacing w:after="0"/>
    </w:pPr>
  </w:style>
  <w:style w:type="paragraph" w:customStyle="1" w:styleId="H2SectionHeadingabove">
    <w:name w:val="H2 Section Heading (# above)"/>
    <w:basedOn w:val="NoParagraphStyle"/>
    <w:next w:val="NoParagraphStyle"/>
    <w:uiPriority w:val="99"/>
    <w:rsid w:val="000B5FA8"/>
    <w:pPr>
      <w:shd w:val="clear" w:color="auto" w:fill="5A5288"/>
      <w:tabs>
        <w:tab w:val="left" w:pos="283"/>
      </w:tabs>
      <w:suppressAutoHyphens/>
      <w:spacing w:before="680" w:after="283" w:line="200" w:lineRule="atLeast"/>
      <w:ind w:left="283"/>
    </w:pPr>
    <w:rPr>
      <w:rFonts w:ascii="Proxima Nova" w:eastAsiaTheme="minorEastAsia" w:hAnsi="Proxima Nova" w:cs="Proxima Nova"/>
      <w:b/>
      <w:bCs/>
      <w:caps/>
      <w:color w:val="FFFFFF"/>
      <w:sz w:val="19"/>
      <w:szCs w:val="19"/>
      <w:lang w:eastAsia="en-GB"/>
    </w:rPr>
  </w:style>
  <w:style w:type="paragraph" w:customStyle="1" w:styleId="ListNumbersnoindent">
    <w:name w:val="List Numbers (no indent)"/>
    <w:basedOn w:val="ListBullet"/>
    <w:uiPriority w:val="99"/>
    <w:rsid w:val="000B5FA8"/>
    <w:pPr>
      <w:widowControl w:val="0"/>
      <w:tabs>
        <w:tab w:val="clear" w:pos="360"/>
        <w:tab w:val="left" w:pos="283"/>
      </w:tabs>
      <w:suppressAutoHyphens/>
      <w:autoSpaceDE w:val="0"/>
      <w:autoSpaceDN w:val="0"/>
      <w:adjustRightInd w:val="0"/>
      <w:spacing w:before="0" w:after="113" w:line="260" w:lineRule="atLeast"/>
      <w:ind w:left="454" w:hanging="283"/>
      <w:contextualSpacing w:val="0"/>
      <w:textAlignment w:val="center"/>
    </w:pPr>
    <w:rPr>
      <w:rFonts w:ascii="Open Sans" w:eastAsiaTheme="minorEastAsia" w:hAnsi="Open Sans" w:cs="Open Sans"/>
      <w:color w:val="000000"/>
      <w:spacing w:val="-2"/>
      <w:sz w:val="19"/>
      <w:szCs w:val="19"/>
      <w:lang w:val="en-GB" w:eastAsia="en-GB"/>
    </w:rPr>
  </w:style>
  <w:style w:type="character" w:customStyle="1" w:styleId="Hyperlinkitalics">
    <w:name w:val="Hyperlink (italics)"/>
    <w:basedOn w:val="Hyperlink"/>
    <w:uiPriority w:val="99"/>
    <w:rsid w:val="000B5FA8"/>
    <w:rPr>
      <w:i/>
      <w:iCs/>
      <w:color w:val="1178A2" w:themeColor="accent1"/>
      <w:u w:val="thick"/>
    </w:rPr>
  </w:style>
  <w:style w:type="character" w:customStyle="1" w:styleId="Bold">
    <w:name w:val="Bold"/>
    <w:uiPriority w:val="99"/>
    <w:rsid w:val="000B5FA8"/>
    <w:rPr>
      <w:b/>
      <w:bCs/>
      <w:color w:val="000000"/>
    </w:rPr>
  </w:style>
  <w:style w:type="character" w:customStyle="1" w:styleId="Designernotes">
    <w:name w:val="Designer notes"/>
    <w:uiPriority w:val="99"/>
    <w:rsid w:val="000B5FA8"/>
    <w:rPr>
      <w:sz w:val="19"/>
      <w:szCs w:val="19"/>
      <w:u w:val="thick" w:color="FFFF00"/>
    </w:rPr>
  </w:style>
  <w:style w:type="character" w:customStyle="1" w:styleId="Purplebold">
    <w:name w:val="Purple bold"/>
    <w:basedOn w:val="DefaultParagraphFont"/>
    <w:uiPriority w:val="1"/>
    <w:qFormat/>
    <w:rsid w:val="00DF77DA"/>
    <w:rPr>
      <w:b/>
      <w:i/>
      <w:color w:val="5C528A"/>
    </w:rPr>
  </w:style>
  <w:style w:type="paragraph" w:customStyle="1" w:styleId="ActionGuide">
    <w:name w:val="Action Guide"/>
    <w:basedOn w:val="Normal"/>
    <w:qFormat/>
    <w:rsid w:val="00766ED5"/>
    <w:pPr>
      <w:pBdr>
        <w:top w:val="single" w:sz="24" w:space="2" w:color="5C528A"/>
        <w:left w:val="single" w:sz="48" w:space="6" w:color="5C528A"/>
        <w:bottom w:val="single" w:sz="24" w:space="2" w:color="5C528A"/>
        <w:right w:val="single" w:sz="18" w:space="6" w:color="5C528A"/>
      </w:pBdr>
      <w:shd w:val="clear" w:color="5C528A" w:fill="5C528A"/>
    </w:pPr>
    <w:rPr>
      <w:b/>
      <w:color w:val="FFFFFF" w:themeColor="background1"/>
      <w:sz w:val="26"/>
    </w:rPr>
  </w:style>
  <w:style w:type="paragraph" w:customStyle="1" w:styleId="Website">
    <w:name w:val="Website"/>
    <w:basedOn w:val="Normal"/>
    <w:qFormat/>
    <w:rsid w:val="002B1330"/>
    <w:pPr>
      <w:spacing w:before="720" w:after="60"/>
    </w:pPr>
  </w:style>
  <w:style w:type="paragraph" w:customStyle="1" w:styleId="LargeNormalspan">
    <w:name w:val="Large Normal (span)"/>
    <w:basedOn w:val="NoParagraphStyle"/>
    <w:next w:val="NoParagraphStyle"/>
    <w:uiPriority w:val="99"/>
    <w:rsid w:val="00F67A21"/>
    <w:pPr>
      <w:tabs>
        <w:tab w:val="left" w:pos="283"/>
      </w:tabs>
      <w:suppressAutoHyphens/>
      <w:spacing w:after="170" w:line="300" w:lineRule="atLeast"/>
      <w:ind w:right="1134"/>
    </w:pPr>
    <w:rPr>
      <w:rFonts w:ascii="Open Sans" w:eastAsiaTheme="minorEastAsia" w:hAnsi="Open Sans" w:cs="Open Sans"/>
      <w:spacing w:val="-2"/>
      <w:sz w:val="22"/>
      <w:szCs w:val="22"/>
      <w:lang w:eastAsia="en-GB"/>
    </w:rPr>
  </w:style>
  <w:style w:type="paragraph" w:customStyle="1" w:styleId="ListNumbers">
    <w:name w:val="List Numbers"/>
    <w:basedOn w:val="ListBullet"/>
    <w:uiPriority w:val="99"/>
    <w:rsid w:val="00F67A21"/>
    <w:pPr>
      <w:widowControl w:val="0"/>
      <w:tabs>
        <w:tab w:val="clear" w:pos="360"/>
        <w:tab w:val="left" w:pos="283"/>
      </w:tabs>
      <w:suppressAutoHyphens/>
      <w:autoSpaceDE w:val="0"/>
      <w:autoSpaceDN w:val="0"/>
      <w:adjustRightInd w:val="0"/>
      <w:spacing w:before="0" w:after="113" w:line="260" w:lineRule="atLeast"/>
      <w:ind w:left="510" w:hanging="283"/>
      <w:contextualSpacing w:val="0"/>
      <w:textAlignment w:val="center"/>
    </w:pPr>
    <w:rPr>
      <w:rFonts w:ascii="Open Sans" w:eastAsiaTheme="minorEastAsia" w:hAnsi="Open Sans" w:cs="Open Sans"/>
      <w:color w:val="000000"/>
      <w:spacing w:val="-2"/>
      <w:sz w:val="19"/>
      <w:szCs w:val="19"/>
      <w:lang w:val="en-GB" w:eastAsia="en-GB"/>
    </w:rPr>
  </w:style>
  <w:style w:type="paragraph" w:customStyle="1" w:styleId="H2SectionHeadingwithCircleabove">
    <w:name w:val="H2 Section Heading (with Circle) (# above)"/>
    <w:basedOn w:val="H2SectionHeadingwithCircle"/>
    <w:next w:val="NoParagraphStyle"/>
    <w:uiPriority w:val="99"/>
    <w:rsid w:val="00F67A21"/>
    <w:pPr>
      <w:spacing w:before="680"/>
    </w:pPr>
  </w:style>
  <w:style w:type="paragraph" w:styleId="ListNumber">
    <w:name w:val="List Number"/>
    <w:basedOn w:val="ListBullet"/>
    <w:uiPriority w:val="99"/>
    <w:locked/>
    <w:rsid w:val="00F76599"/>
    <w:pPr>
      <w:widowControl w:val="0"/>
      <w:tabs>
        <w:tab w:val="clear" w:pos="360"/>
        <w:tab w:val="left" w:pos="283"/>
      </w:tabs>
      <w:suppressAutoHyphens/>
      <w:autoSpaceDE w:val="0"/>
      <w:autoSpaceDN w:val="0"/>
      <w:adjustRightInd w:val="0"/>
      <w:spacing w:before="0" w:after="113" w:line="260" w:lineRule="atLeast"/>
      <w:ind w:left="510" w:hanging="283"/>
      <w:contextualSpacing w:val="0"/>
      <w:textAlignment w:val="center"/>
    </w:pPr>
    <w:rPr>
      <w:rFonts w:ascii="Open Sans" w:eastAsiaTheme="minorEastAsia" w:hAnsi="Open Sans" w:cs="Open Sans"/>
      <w:color w:val="000000"/>
      <w:spacing w:val="-2"/>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ber.gov.au" TargetMode="External"/><Relationship Id="rId18" Type="http://schemas.openxmlformats.org/officeDocument/2006/relationships/hyperlink" Target="https://www.cyber.gov.au/sites/default/files/2021-10/PROTECT%20-%20Windows%20Event%20Logging%20and%20Forwarding%20%28October%202021%29.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yber.gov.au" TargetMode="External"/><Relationship Id="rId7" Type="http://schemas.openxmlformats.org/officeDocument/2006/relationships/endnotes" Target="endnotes.xml"/><Relationship Id="rId12" Type="http://schemas.openxmlformats.org/officeDocument/2006/relationships/hyperlink" Target="https://digitaltools.business.gov.au/jfe/form/SV_0dnd9cF15I8LnH8?ref=acsc" TargetMode="External"/><Relationship Id="rId17" Type="http://schemas.openxmlformats.org/officeDocument/2006/relationships/hyperlink" Target="https://www.cyber.gov.au/sites/default/files/2022-12/Information%20Security%20Manual%20%28December%202022%29.pdf"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gov.au" TargetMode="External"/><Relationship Id="rId24" Type="http://schemas.openxmlformats.org/officeDocument/2006/relationships/hyperlink" Target="http://www.safetyandquality.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yber.gov.au/sites/default/files/2022-12/Information%20Security%20Manual%20%28December%202022%29.pdf" TargetMode="External"/><Relationship Id="rId23" Type="http://schemas.openxmlformats.org/officeDocument/2006/relationships/hyperlink" Target="mailto:DMHS%40safetyandquality.gov.au?subject="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cyber.gov.au/acsc/view-all-content/publications/essential-eight-maturity-mode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so.org/standard/73906.html" TargetMode="External"/><Relationship Id="rId14" Type="http://schemas.openxmlformats.org/officeDocument/2006/relationships/hyperlink" Target="https://www.cyber.gov.au/sites/default/files/2022-12/Information%20Security%20Manual%20%28December%202022%29.pdf" TargetMode="External"/><Relationship Id="rId22" Type="http://schemas.openxmlformats.org/officeDocument/2006/relationships/hyperlink" Target="https://www.safetyandquality.gov.au/standards/national-safety-and-quality-digital-mental-health-standards"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1485</Words>
  <Characters>10108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Action Guide: Healthcare rights</vt:lpstr>
    </vt:vector>
  </TitlesOfParts>
  <Manager/>
  <Company>Australian Commission on Safety and Quality in Health Care</Company>
  <LinksUpToDate>false</LinksUpToDate>
  <CharactersWithSpaces>11570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Guide: Incident management systems and open disclosure</dc:title>
  <dc:subject/>
  <dc:creator>Australian Commission on Safety and Quality in Health Care</dc:creator>
  <cp:keywords/>
  <dc:description/>
  <cp:lastModifiedBy>JESSOP, Tommy</cp:lastModifiedBy>
  <cp:revision>2</cp:revision>
  <cp:lastPrinted>2020-03-04T03:32:00Z</cp:lastPrinted>
  <dcterms:created xsi:type="dcterms:W3CDTF">2023-02-17T03:57:00Z</dcterms:created>
  <dcterms:modified xsi:type="dcterms:W3CDTF">2023-02-17T03:57:00Z</dcterms:modified>
  <cp:category/>
</cp:coreProperties>
</file>