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B5701" w14:textId="01E49EDD" w:rsidR="00B24DF4" w:rsidRPr="00F46944" w:rsidRDefault="00B24DF4" w:rsidP="009424A5">
      <w:pPr>
        <w:rPr>
          <w:rFonts w:asciiTheme="majorHAnsi" w:hAnsiTheme="majorHAnsi" w:cstheme="majorHAnsi"/>
        </w:rPr>
      </w:pPr>
      <w:bookmarkStart w:id="0" w:name="_Toc476822632"/>
      <w:bookmarkStart w:id="1" w:name="_Toc476822653"/>
      <w:r w:rsidRPr="00F46944">
        <w:rPr>
          <w:rFonts w:asciiTheme="majorHAnsi" w:eastAsiaTheme="majorEastAsia" w:hAnsiTheme="majorHAnsi" w:cstheme="majorHAnsi"/>
          <w:noProof/>
        </w:rPr>
        <w:drawing>
          <wp:inline distT="0" distB="0" distL="0" distR="0" wp14:anchorId="1613E1EA" wp14:editId="70118679">
            <wp:extent cx="4248150" cy="599617"/>
            <wp:effectExtent l="0" t="0" r="0" b="0"/>
            <wp:docPr id="3" name="Picture 3"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02768" cy="607326"/>
                    </a:xfrm>
                    <a:prstGeom prst="rect">
                      <a:avLst/>
                    </a:prstGeom>
                  </pic:spPr>
                </pic:pic>
              </a:graphicData>
            </a:graphic>
          </wp:inline>
        </w:drawing>
      </w:r>
      <w:bookmarkStart w:id="2" w:name="_Hlk121387737"/>
      <w:bookmarkEnd w:id="0"/>
      <w:bookmarkEnd w:id="1"/>
      <w:bookmarkEnd w:id="2"/>
      <w:r w:rsidR="002C6FB0" w:rsidRPr="00F46944">
        <w:rPr>
          <w:rFonts w:asciiTheme="majorHAnsi" w:hAnsiTheme="majorHAnsi" w:cstheme="majorHAnsi"/>
          <w:noProof/>
        </w:rPr>
        <w:drawing>
          <wp:inline distT="0" distB="0" distL="0" distR="0" wp14:anchorId="3AAF2DA5" wp14:editId="3425ED15">
            <wp:extent cx="1562100" cy="522605"/>
            <wp:effectExtent l="0" t="0" r="0" b="0"/>
            <wp:docPr id="2" name="Picture 2" descr="Antimicrobial Use and Resistance i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timicrobial Use and Resistance in Australia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2100" cy="522605"/>
                    </a:xfrm>
                    <a:prstGeom prst="rect">
                      <a:avLst/>
                    </a:prstGeom>
                  </pic:spPr>
                </pic:pic>
              </a:graphicData>
            </a:graphic>
          </wp:inline>
        </w:drawing>
      </w:r>
    </w:p>
    <w:p w14:paraId="0FD04004" w14:textId="317C3B17" w:rsidR="00BC07E4" w:rsidRPr="00F46944" w:rsidRDefault="00BC07E4" w:rsidP="00BC07E4">
      <w:pPr>
        <w:rPr>
          <w:rFonts w:asciiTheme="majorHAnsi" w:eastAsiaTheme="majorEastAsia" w:hAnsiTheme="majorHAnsi" w:cstheme="majorHAnsi"/>
        </w:rPr>
      </w:pPr>
    </w:p>
    <w:p w14:paraId="4334982B" w14:textId="2080939D" w:rsidR="00BC07E4" w:rsidRPr="00F46944" w:rsidRDefault="00BC07E4" w:rsidP="00BC07E4">
      <w:pPr>
        <w:rPr>
          <w:rFonts w:eastAsiaTheme="majorEastAsia" w:cstheme="minorHAnsi"/>
          <w:sz w:val="20"/>
          <w:szCs w:val="20"/>
          <w:highlight w:val="yellow"/>
        </w:rPr>
      </w:pPr>
    </w:p>
    <w:p w14:paraId="469FD218" w14:textId="66581232" w:rsidR="00B15DE9" w:rsidRPr="00F46944" w:rsidRDefault="00B15DE9" w:rsidP="00B15DE9">
      <w:pPr>
        <w:pStyle w:val="PublicationDate"/>
        <w:rPr>
          <w:rFonts w:cstheme="minorHAnsi"/>
        </w:rPr>
      </w:pPr>
    </w:p>
    <w:p w14:paraId="7C4BAF4B" w14:textId="2103E755" w:rsidR="00B15DE9" w:rsidRPr="00F46944" w:rsidRDefault="00B15DE9" w:rsidP="00B15DE9">
      <w:pPr>
        <w:pStyle w:val="PublicationDate"/>
        <w:rPr>
          <w:rFonts w:cstheme="minorHAnsi"/>
        </w:rPr>
      </w:pPr>
    </w:p>
    <w:p w14:paraId="4083765B" w14:textId="0AC08DF7" w:rsidR="00EE4732" w:rsidRPr="00F46944" w:rsidRDefault="00EE4732" w:rsidP="00B15DE9">
      <w:pPr>
        <w:pStyle w:val="PublicationDate"/>
        <w:rPr>
          <w:rFonts w:cstheme="minorHAnsi"/>
        </w:rPr>
      </w:pPr>
    </w:p>
    <w:p w14:paraId="7E90CDF9" w14:textId="756A7942" w:rsidR="00B15DE9" w:rsidRPr="00F46944" w:rsidRDefault="0034124C" w:rsidP="00B15DE9">
      <w:pPr>
        <w:pStyle w:val="PublicationDate"/>
        <w:rPr>
          <w:rFonts w:cstheme="minorHAnsi"/>
        </w:rPr>
      </w:pPr>
      <w:r>
        <w:rPr>
          <w:rFonts w:cstheme="minorHAnsi"/>
        </w:rPr>
        <w:t xml:space="preserve">November </w:t>
      </w:r>
      <w:r w:rsidR="00B15DE9" w:rsidRPr="00F46944">
        <w:rPr>
          <w:rFonts w:cstheme="minorHAnsi"/>
        </w:rPr>
        <w:t>2022</w:t>
      </w:r>
    </w:p>
    <w:p w14:paraId="143AC1DF" w14:textId="75D0466F" w:rsidR="00B15DE9" w:rsidRPr="00F46944" w:rsidRDefault="00B15DE9" w:rsidP="00B15DE9">
      <w:pPr>
        <w:pStyle w:val="PublicationDate"/>
        <w:rPr>
          <w:rFonts w:cstheme="minorHAnsi"/>
        </w:rPr>
      </w:pPr>
    </w:p>
    <w:p w14:paraId="2D2C3798" w14:textId="71188E13" w:rsidR="00B15DE9" w:rsidRPr="00F46944" w:rsidRDefault="00B15DE9" w:rsidP="00B15DE9">
      <w:pPr>
        <w:pStyle w:val="PublicationDate"/>
        <w:rPr>
          <w:rFonts w:cstheme="minorHAnsi"/>
        </w:rPr>
      </w:pPr>
    </w:p>
    <w:p w14:paraId="6C47A286" w14:textId="6CFE8AF3" w:rsidR="000B0274" w:rsidRPr="00F46944" w:rsidRDefault="00474436" w:rsidP="009424A5">
      <w:pPr>
        <w:pStyle w:val="Title"/>
        <w:rPr>
          <w:rFonts w:asciiTheme="minorHAnsi" w:hAnsiTheme="minorHAnsi" w:cstheme="minorHAnsi"/>
          <w:color w:val="auto"/>
        </w:rPr>
      </w:pPr>
      <w:r w:rsidRPr="00F46944">
        <w:rPr>
          <w:rFonts w:asciiTheme="minorHAnsi" w:hAnsiTheme="minorHAnsi" w:cstheme="minorHAnsi"/>
          <w:color w:val="auto"/>
        </w:rPr>
        <w:t xml:space="preserve">Antimicrobial </w:t>
      </w:r>
      <w:r w:rsidR="004A73BB" w:rsidRPr="00F46944">
        <w:rPr>
          <w:rFonts w:asciiTheme="minorHAnsi" w:hAnsiTheme="minorHAnsi" w:cstheme="minorHAnsi"/>
          <w:color w:val="auto"/>
        </w:rPr>
        <w:t>u</w:t>
      </w:r>
      <w:r w:rsidRPr="00F46944">
        <w:rPr>
          <w:rFonts w:asciiTheme="minorHAnsi" w:hAnsiTheme="minorHAnsi" w:cstheme="minorHAnsi"/>
          <w:color w:val="auto"/>
        </w:rPr>
        <w:t>se</w:t>
      </w:r>
      <w:r w:rsidR="00046902" w:rsidRPr="00F46944">
        <w:rPr>
          <w:rFonts w:asciiTheme="minorHAnsi" w:hAnsiTheme="minorHAnsi" w:cstheme="minorHAnsi"/>
          <w:color w:val="auto"/>
        </w:rPr>
        <w:t xml:space="preserve"> </w:t>
      </w:r>
      <w:r w:rsidR="00F41DEB" w:rsidRPr="00F46944">
        <w:rPr>
          <w:rFonts w:asciiTheme="minorHAnsi" w:hAnsiTheme="minorHAnsi" w:cstheme="minorHAnsi"/>
          <w:color w:val="auto"/>
        </w:rPr>
        <w:t xml:space="preserve">and appropriateness </w:t>
      </w:r>
      <w:r w:rsidR="004A73BB" w:rsidRPr="00F46944">
        <w:rPr>
          <w:rFonts w:asciiTheme="minorHAnsi" w:hAnsiTheme="minorHAnsi" w:cstheme="minorHAnsi"/>
          <w:color w:val="auto"/>
        </w:rPr>
        <w:t>in the</w:t>
      </w:r>
      <w:r w:rsidR="00466846" w:rsidRPr="00F46944">
        <w:rPr>
          <w:rFonts w:asciiTheme="minorHAnsi" w:hAnsiTheme="minorHAnsi" w:cstheme="minorHAnsi"/>
          <w:color w:val="auto"/>
        </w:rPr>
        <w:br/>
      </w:r>
      <w:r w:rsidR="004A73BB" w:rsidRPr="00F46944">
        <w:rPr>
          <w:rFonts w:asciiTheme="minorHAnsi" w:hAnsiTheme="minorHAnsi" w:cstheme="minorHAnsi"/>
          <w:color w:val="auto"/>
        </w:rPr>
        <w:t>community</w:t>
      </w:r>
      <w:r w:rsidR="00116E13">
        <w:rPr>
          <w:rFonts w:asciiTheme="minorHAnsi" w:hAnsiTheme="minorHAnsi" w:cstheme="minorHAnsi"/>
          <w:color w:val="auto"/>
        </w:rPr>
        <w:t>:</w:t>
      </w:r>
      <w:r w:rsidR="004A73BB" w:rsidRPr="00F46944">
        <w:rPr>
          <w:rFonts w:asciiTheme="minorHAnsi" w:hAnsiTheme="minorHAnsi" w:cstheme="minorHAnsi"/>
          <w:color w:val="auto"/>
        </w:rPr>
        <w:t xml:space="preserve"> </w:t>
      </w:r>
      <w:r w:rsidR="00B15DE9" w:rsidRPr="00F46944">
        <w:rPr>
          <w:rFonts w:asciiTheme="minorHAnsi" w:hAnsiTheme="minorHAnsi" w:cstheme="minorHAnsi"/>
          <w:color w:val="auto"/>
        </w:rPr>
        <w:t>20</w:t>
      </w:r>
      <w:r w:rsidR="00F41DEB" w:rsidRPr="00F46944">
        <w:rPr>
          <w:rFonts w:asciiTheme="minorHAnsi" w:hAnsiTheme="minorHAnsi" w:cstheme="minorHAnsi"/>
          <w:color w:val="auto"/>
        </w:rPr>
        <w:t>20</w:t>
      </w:r>
      <w:r w:rsidR="00AD2283">
        <w:rPr>
          <w:rFonts w:asciiTheme="minorHAnsi" w:hAnsiTheme="minorHAnsi" w:cstheme="minorHAnsi"/>
          <w:color w:val="auto"/>
        </w:rPr>
        <w:t>–</w:t>
      </w:r>
      <w:r w:rsidR="00B15DE9" w:rsidRPr="00F46944">
        <w:rPr>
          <w:rFonts w:asciiTheme="minorHAnsi" w:hAnsiTheme="minorHAnsi" w:cstheme="minorHAnsi"/>
          <w:color w:val="auto"/>
        </w:rPr>
        <w:t>2</w:t>
      </w:r>
      <w:r w:rsidR="00547AA0">
        <w:rPr>
          <w:rFonts w:asciiTheme="minorHAnsi" w:hAnsiTheme="minorHAnsi" w:cstheme="minorHAnsi"/>
          <w:color w:val="auto"/>
        </w:rPr>
        <w:t>02</w:t>
      </w:r>
      <w:r w:rsidR="00B15DE9" w:rsidRPr="00F46944">
        <w:rPr>
          <w:rFonts w:asciiTheme="minorHAnsi" w:hAnsiTheme="minorHAnsi" w:cstheme="minorHAnsi"/>
          <w:color w:val="auto"/>
        </w:rPr>
        <w:t>1</w:t>
      </w:r>
    </w:p>
    <w:p w14:paraId="0CD76CF8" w14:textId="11BDEB4D" w:rsidR="00942FCF" w:rsidRDefault="00942FCF" w:rsidP="00942FCF">
      <w:pPr>
        <w:rPr>
          <w:rFonts w:cstheme="minorHAnsi"/>
        </w:rPr>
      </w:pPr>
    </w:p>
    <w:p w14:paraId="3DF8A045" w14:textId="062952DB" w:rsidR="002C6FB0" w:rsidRDefault="002C6FB0" w:rsidP="00942FCF">
      <w:pPr>
        <w:rPr>
          <w:rFonts w:cstheme="minorHAnsi"/>
        </w:rPr>
      </w:pPr>
    </w:p>
    <w:p w14:paraId="175F713F" w14:textId="77777777" w:rsidR="002C6FB0" w:rsidRPr="00F46944" w:rsidRDefault="002C6FB0" w:rsidP="00942FCF">
      <w:pPr>
        <w:rPr>
          <w:rFonts w:cstheme="minorHAnsi"/>
        </w:rPr>
      </w:pPr>
    </w:p>
    <w:p w14:paraId="23792C0F" w14:textId="77777777" w:rsidR="00BC07E4" w:rsidRPr="00F46944" w:rsidRDefault="00352ACA" w:rsidP="002C6FB0">
      <w:pPr>
        <w:ind w:left="-1474"/>
        <w:rPr>
          <w:rFonts w:cstheme="minorHAnsi"/>
        </w:rPr>
      </w:pPr>
      <w:bookmarkStart w:id="3" w:name="_Toc476822633"/>
      <w:bookmarkStart w:id="4" w:name="_Toc476822654"/>
      <w:bookmarkStart w:id="5" w:name="_Toc476822854"/>
      <w:bookmarkStart w:id="6" w:name="_Toc476823158"/>
      <w:bookmarkStart w:id="7" w:name="_Toc476823667"/>
      <w:r w:rsidRPr="00F46944">
        <w:rPr>
          <w:noProof/>
        </w:rPr>
        <w:drawing>
          <wp:inline distT="0" distB="0" distL="0" distR="0" wp14:anchorId="471B0BAA" wp14:editId="4DBD61C5">
            <wp:extent cx="7560000" cy="2920383"/>
            <wp:effectExtent l="0" t="0" r="3175"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000" cy="2920383"/>
                    </a:xfrm>
                    <a:prstGeom prst="rect">
                      <a:avLst/>
                    </a:prstGeom>
                    <a:noFill/>
                    <a:ln>
                      <a:noFill/>
                    </a:ln>
                  </pic:spPr>
                </pic:pic>
              </a:graphicData>
            </a:graphic>
          </wp:inline>
        </w:drawing>
      </w:r>
      <w:r w:rsidR="00BC07E4" w:rsidRPr="00F46944">
        <w:rPr>
          <w:rFonts w:cstheme="minorHAnsi"/>
        </w:rPr>
        <w:br w:type="page"/>
      </w:r>
    </w:p>
    <w:p w14:paraId="3A7D4293" w14:textId="77777777" w:rsidR="00A359C1" w:rsidRPr="00F46944" w:rsidRDefault="00A359C1" w:rsidP="009A007B">
      <w:pPr>
        <w:rPr>
          <w:rFonts w:cstheme="minorHAnsi"/>
        </w:rPr>
      </w:pPr>
    </w:p>
    <w:p w14:paraId="47911E4A" w14:textId="77777777" w:rsidR="00A359C1" w:rsidRPr="00F46944" w:rsidRDefault="00A359C1" w:rsidP="009A007B">
      <w:pPr>
        <w:rPr>
          <w:rFonts w:cstheme="minorHAnsi"/>
        </w:rPr>
      </w:pPr>
    </w:p>
    <w:p w14:paraId="373DC11F" w14:textId="77777777" w:rsidR="00A359C1" w:rsidRPr="00F46944" w:rsidRDefault="00A359C1" w:rsidP="009A007B">
      <w:pPr>
        <w:rPr>
          <w:rFonts w:cstheme="minorHAnsi"/>
        </w:rPr>
      </w:pPr>
    </w:p>
    <w:p w14:paraId="7C9EC160" w14:textId="77777777" w:rsidR="00A359C1" w:rsidRPr="00F46944" w:rsidRDefault="00A359C1" w:rsidP="009A007B">
      <w:pPr>
        <w:rPr>
          <w:rFonts w:cstheme="minorHAnsi"/>
        </w:rPr>
      </w:pPr>
    </w:p>
    <w:p w14:paraId="118F48BD" w14:textId="77777777" w:rsidR="00A359C1" w:rsidRPr="00F46944" w:rsidRDefault="00A359C1" w:rsidP="009A007B">
      <w:pPr>
        <w:rPr>
          <w:rFonts w:cstheme="minorHAnsi"/>
        </w:rPr>
      </w:pPr>
    </w:p>
    <w:p w14:paraId="7A9BFB6F" w14:textId="716D84DF" w:rsidR="009A007B" w:rsidRPr="00F46944" w:rsidRDefault="009A007B" w:rsidP="009A007B">
      <w:pPr>
        <w:rPr>
          <w:rFonts w:cstheme="minorHAnsi"/>
        </w:rPr>
      </w:pPr>
      <w:r w:rsidRPr="00F46944">
        <w:rPr>
          <w:rFonts w:cstheme="minorHAnsi"/>
        </w:rPr>
        <w:t>Published by the Australian Commission on Safety and Quality in Health Care</w:t>
      </w:r>
      <w:r w:rsidRPr="00F46944">
        <w:rPr>
          <w:rFonts w:cstheme="minorHAnsi"/>
        </w:rPr>
        <w:br/>
        <w:t>Level 5, 255 E</w:t>
      </w:r>
      <w:r w:rsidR="000406F8" w:rsidRPr="00F46944">
        <w:rPr>
          <w:rFonts w:cstheme="minorHAnsi"/>
        </w:rPr>
        <w:t>lizabeth Street, Sydney NSW 2000</w:t>
      </w:r>
    </w:p>
    <w:p w14:paraId="4D09D62C" w14:textId="77777777" w:rsidR="009A007B" w:rsidRPr="00F46944" w:rsidRDefault="009A007B" w:rsidP="009A007B">
      <w:pPr>
        <w:rPr>
          <w:rFonts w:cstheme="minorHAnsi"/>
        </w:rPr>
      </w:pPr>
      <w:r w:rsidRPr="00F46944">
        <w:rPr>
          <w:rFonts w:cstheme="minorHAnsi"/>
        </w:rPr>
        <w:t>Phone: (02) 9126 3600</w:t>
      </w:r>
    </w:p>
    <w:p w14:paraId="0D6A31C6" w14:textId="2BCC2A3C" w:rsidR="009A007B" w:rsidRPr="00F46944" w:rsidRDefault="009A007B" w:rsidP="009A007B">
      <w:pPr>
        <w:rPr>
          <w:rFonts w:cstheme="minorHAnsi"/>
          <w:snapToGrid w:val="0"/>
          <w:color w:val="000000"/>
          <w:w w:val="0"/>
          <w:sz w:val="0"/>
          <w:szCs w:val="0"/>
          <w:highlight w:val="yellow"/>
          <w:u w:color="000000"/>
          <w:bdr w:val="none" w:sz="0" w:space="0" w:color="000000"/>
          <w:shd w:val="clear" w:color="000000" w:fill="000000"/>
          <w:lang w:eastAsia="x-none" w:bidi="x-none"/>
        </w:rPr>
      </w:pPr>
      <w:r w:rsidRPr="00F46944">
        <w:rPr>
          <w:rFonts w:cstheme="minorHAnsi"/>
        </w:rPr>
        <w:t xml:space="preserve">Email: </w:t>
      </w:r>
      <w:r w:rsidR="00B31A9D" w:rsidRPr="00F46944">
        <w:rPr>
          <w:rFonts w:cstheme="minorHAnsi"/>
        </w:rPr>
        <w:t>AURA</w:t>
      </w:r>
      <w:r w:rsidRPr="00F46944">
        <w:rPr>
          <w:rFonts w:cstheme="minorHAnsi"/>
        </w:rPr>
        <w:t>@</w:t>
      </w:r>
      <w:r w:rsidR="00B31A9D" w:rsidRPr="00F46944">
        <w:rPr>
          <w:rFonts w:cstheme="minorHAnsi"/>
        </w:rPr>
        <w:t>safetyandquality</w:t>
      </w:r>
      <w:r w:rsidRPr="00F46944">
        <w:rPr>
          <w:rFonts w:cstheme="minorHAnsi"/>
        </w:rPr>
        <w:t xml:space="preserve">.gov.au </w:t>
      </w:r>
      <w:r w:rsidRPr="00F46944">
        <w:rPr>
          <w:rFonts w:cstheme="minorHAnsi"/>
        </w:rPr>
        <w:br/>
        <w:t>Website: www.safetyandquality.gov.au</w:t>
      </w:r>
      <w:r w:rsidRPr="00F46944">
        <w:rPr>
          <w:rFonts w:cstheme="minorHAnsi"/>
          <w:snapToGrid w:val="0"/>
          <w:color w:val="000000"/>
          <w:w w:val="0"/>
          <w:sz w:val="0"/>
          <w:szCs w:val="0"/>
          <w:u w:color="000000"/>
          <w:bdr w:val="none" w:sz="0" w:space="0" w:color="000000"/>
          <w:shd w:val="clear" w:color="000000" w:fill="000000"/>
          <w:lang w:eastAsia="x-none" w:bidi="x-none"/>
        </w:rPr>
        <w:t xml:space="preserve"> </w:t>
      </w:r>
    </w:p>
    <w:p w14:paraId="3E043FF6" w14:textId="3433435B" w:rsidR="009A007B" w:rsidRPr="00F46944" w:rsidRDefault="009A007B" w:rsidP="009A007B">
      <w:pPr>
        <w:rPr>
          <w:rFonts w:cstheme="minorHAnsi"/>
        </w:rPr>
      </w:pPr>
      <w:r w:rsidRPr="00F46944">
        <w:rPr>
          <w:rFonts w:cstheme="minorHAnsi"/>
        </w:rPr>
        <w:t xml:space="preserve">ISBN: </w:t>
      </w:r>
      <w:r w:rsidR="00D11AD0" w:rsidRPr="00F46944">
        <w:rPr>
          <w:rFonts w:cstheme="minorHAnsi"/>
        </w:rPr>
        <w:t>978-1-922563-78-1</w:t>
      </w:r>
    </w:p>
    <w:p w14:paraId="4416A1B3" w14:textId="350BCC31" w:rsidR="009A007B" w:rsidRPr="00F46944" w:rsidRDefault="009A007B" w:rsidP="009A007B">
      <w:pPr>
        <w:rPr>
          <w:rFonts w:cstheme="minorHAnsi"/>
        </w:rPr>
      </w:pPr>
      <w:r w:rsidRPr="00F46944">
        <w:rPr>
          <w:rFonts w:cstheme="minorHAnsi"/>
        </w:rPr>
        <w:t xml:space="preserve">© Australian Commission on Safety and Quality in Health Care </w:t>
      </w:r>
      <w:r w:rsidR="00D11AD0" w:rsidRPr="00F46944">
        <w:rPr>
          <w:rFonts w:cstheme="minorHAnsi"/>
        </w:rPr>
        <w:t>2022</w:t>
      </w:r>
    </w:p>
    <w:p w14:paraId="334627FF" w14:textId="77777777" w:rsidR="00EF5C37" w:rsidRPr="00F46944" w:rsidRDefault="00EF5C37" w:rsidP="00EF5C37">
      <w:pPr>
        <w:rPr>
          <w:rFonts w:cstheme="minorHAnsi"/>
        </w:rPr>
      </w:pPr>
      <w:r w:rsidRPr="00F46944">
        <w:rPr>
          <w:rFonts w:cstheme="minorHAnsi"/>
        </w:rPr>
        <w:t xml:space="preserve">All material and work produced by the Australian Commission on Safety and Quality in Health Care (the Commission) is protected by copyright. The Commission reserves the right to set out the terms and conditions for the use of such material. </w:t>
      </w:r>
    </w:p>
    <w:p w14:paraId="25791E8E" w14:textId="77777777" w:rsidR="00EF5C37" w:rsidRPr="00F46944" w:rsidRDefault="00EF5C37" w:rsidP="00EF5C37">
      <w:pPr>
        <w:rPr>
          <w:rFonts w:cstheme="minorHAnsi"/>
        </w:rPr>
      </w:pPr>
      <w:r w:rsidRPr="00F46944">
        <w:rPr>
          <w:rFonts w:cstheme="minorHAnsi"/>
        </w:rPr>
        <w:t>As far as practicable, material for which the copyright is owned by a third party will be clearly labelled. The Commission has made all reasonable efforts to ensure that this material has been reproduced in this publication with the full consent of the copyright owners.</w:t>
      </w:r>
    </w:p>
    <w:p w14:paraId="3295FAEA" w14:textId="36A6547E" w:rsidR="00EF5C37" w:rsidRPr="00F46944" w:rsidRDefault="00EF5C37" w:rsidP="00EF5C37">
      <w:pPr>
        <w:rPr>
          <w:rFonts w:cstheme="minorHAnsi"/>
          <w:u w:val="single"/>
        </w:rPr>
      </w:pPr>
      <w:r w:rsidRPr="00F46944">
        <w:rPr>
          <w:rFonts w:cstheme="minorHAnsi"/>
        </w:rPr>
        <w:t>With the exception of any material protected by a trademark, any content provided by third parties and where otherwise noted, all material presented in this publication is licensed under a </w:t>
      </w:r>
      <w:hyperlink r:id="rId11" w:history="1">
        <w:r w:rsidRPr="00F46944">
          <w:rPr>
            <w:rStyle w:val="Hyperlink"/>
            <w:rFonts w:cstheme="minorHAnsi"/>
          </w:rPr>
          <w:t>Creative Commons Attribution–</w:t>
        </w:r>
        <w:proofErr w:type="spellStart"/>
        <w:r w:rsidRPr="00F46944">
          <w:rPr>
            <w:rStyle w:val="Hyperlink"/>
            <w:rFonts w:cstheme="minorHAnsi"/>
          </w:rPr>
          <w:t>NonCommercial</w:t>
        </w:r>
        <w:proofErr w:type="spellEnd"/>
        <w:r w:rsidRPr="00F46944">
          <w:rPr>
            <w:rStyle w:val="Hyperlink"/>
            <w:rFonts w:cstheme="minorHAnsi"/>
          </w:rPr>
          <w:t>–No</w:t>
        </w:r>
        <w:r w:rsidR="0073588F" w:rsidRPr="00F46944">
          <w:rPr>
            <w:rStyle w:val="Hyperlink"/>
            <w:rFonts w:cstheme="minorHAnsi"/>
          </w:rPr>
          <w:t xml:space="preserve"> </w:t>
        </w:r>
        <w:r w:rsidRPr="00F46944">
          <w:rPr>
            <w:rStyle w:val="Hyperlink"/>
            <w:rFonts w:cstheme="minorHAnsi"/>
          </w:rPr>
          <w:t>Derivatives 4.0 International licence</w:t>
        </w:r>
      </w:hyperlink>
      <w:r w:rsidRPr="00F46944">
        <w:rPr>
          <w:rFonts w:cstheme="minorHAnsi"/>
          <w:u w:val="single"/>
        </w:rPr>
        <w:t>.</w:t>
      </w:r>
    </w:p>
    <w:p w14:paraId="3EC7A7DE" w14:textId="77777777" w:rsidR="00EF5C37" w:rsidRPr="00F46944" w:rsidRDefault="00AB1978" w:rsidP="00EF5C37">
      <w:pPr>
        <w:rPr>
          <w:rFonts w:cstheme="minorHAnsi"/>
        </w:rPr>
      </w:pPr>
      <w:r w:rsidRPr="00F46944">
        <w:rPr>
          <w:rFonts w:cstheme="minorHAnsi"/>
          <w:noProof/>
        </w:rPr>
        <w:drawing>
          <wp:inline distT="0" distB="0" distL="0" distR="0" wp14:anchorId="78101843" wp14:editId="72D8A842">
            <wp:extent cx="859221" cy="298210"/>
            <wp:effectExtent l="0" t="0" r="0" b="6985"/>
            <wp:docPr id="1" name="Picture 1" descr="\\central.health\dfsuserenv\Users\User_11\cresad\Desktop\CC BY-NC-ND 3 large.png" title="Creative Commons Attribution–NonCommercial–NoDerivatives 4.0 International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11\cresad\Desktop\CC BY-NC-ND 3 larg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9619" cy="298348"/>
                    </a:xfrm>
                    <a:prstGeom prst="rect">
                      <a:avLst/>
                    </a:prstGeom>
                    <a:noFill/>
                    <a:ln>
                      <a:noFill/>
                    </a:ln>
                  </pic:spPr>
                </pic:pic>
              </a:graphicData>
            </a:graphic>
          </wp:inline>
        </w:drawing>
      </w:r>
    </w:p>
    <w:p w14:paraId="0C7FC6B8" w14:textId="77777777" w:rsidR="00EF5C37" w:rsidRPr="00F46944" w:rsidRDefault="00EF5C37" w:rsidP="00EF5C37">
      <w:pPr>
        <w:rPr>
          <w:rFonts w:cstheme="minorHAnsi"/>
        </w:rPr>
      </w:pPr>
      <w:r w:rsidRPr="00F46944">
        <w:rPr>
          <w:rFonts w:cstheme="minorHAnsi"/>
        </w:rPr>
        <w:t xml:space="preserve">Enquiries about the licence and any use of this publication are welcome and can be sent to </w:t>
      </w:r>
      <w:hyperlink r:id="rId13" w:history="1">
        <w:r w:rsidRPr="00F46944">
          <w:rPr>
            <w:rStyle w:val="Hyperlink"/>
            <w:rFonts w:cstheme="minorHAnsi"/>
          </w:rPr>
          <w:t>communications@safetyandquality.gov.au</w:t>
        </w:r>
      </w:hyperlink>
      <w:r w:rsidRPr="00F46944">
        <w:rPr>
          <w:rFonts w:cstheme="minorHAnsi"/>
        </w:rPr>
        <w:t>.</w:t>
      </w:r>
    </w:p>
    <w:p w14:paraId="5300BB10" w14:textId="015E21BC" w:rsidR="009A007B" w:rsidRPr="00F46944" w:rsidRDefault="00EF5C37" w:rsidP="009A007B">
      <w:pPr>
        <w:rPr>
          <w:rFonts w:cstheme="minorHAnsi"/>
        </w:rPr>
      </w:pPr>
      <w:r w:rsidRPr="00F46944">
        <w:rPr>
          <w:rFonts w:cstheme="minorHAnsi"/>
        </w:rPr>
        <w:t xml:space="preserve">The Commission’s preference is that you attribute this publication (and any material sourced from it) using the following citation: </w:t>
      </w:r>
    </w:p>
    <w:p w14:paraId="6F99F818" w14:textId="05D7F351" w:rsidR="002F7E6F" w:rsidRPr="00F46944" w:rsidRDefault="009A007B" w:rsidP="009A007B">
      <w:pPr>
        <w:rPr>
          <w:rStyle w:val="Strong"/>
          <w:rFonts w:cstheme="minorHAnsi"/>
          <w:b w:val="0"/>
          <w:bCs w:val="0"/>
        </w:rPr>
      </w:pPr>
      <w:r w:rsidRPr="00F46944">
        <w:rPr>
          <w:rFonts w:cstheme="minorHAnsi"/>
        </w:rPr>
        <w:t xml:space="preserve">Australian Commission on Safety and Quality in Health Care. </w:t>
      </w:r>
      <w:r w:rsidR="006E2117" w:rsidRPr="00F46944">
        <w:rPr>
          <w:rFonts w:cstheme="minorHAnsi"/>
        </w:rPr>
        <w:t xml:space="preserve">Antimicrobial use </w:t>
      </w:r>
      <w:r w:rsidR="00DB4131" w:rsidRPr="00F46944">
        <w:rPr>
          <w:rFonts w:cstheme="minorHAnsi"/>
        </w:rPr>
        <w:t xml:space="preserve">and appropriateness </w:t>
      </w:r>
      <w:r w:rsidR="006E2117" w:rsidRPr="00F46944">
        <w:rPr>
          <w:rFonts w:cstheme="minorHAnsi"/>
        </w:rPr>
        <w:t>in the community</w:t>
      </w:r>
      <w:r w:rsidR="00116E13">
        <w:rPr>
          <w:rFonts w:cstheme="minorHAnsi"/>
        </w:rPr>
        <w:t>:</w:t>
      </w:r>
      <w:r w:rsidR="006E2117" w:rsidRPr="00F46944">
        <w:rPr>
          <w:rFonts w:cstheme="minorHAnsi"/>
        </w:rPr>
        <w:t xml:space="preserve"> 20</w:t>
      </w:r>
      <w:r w:rsidR="00AB6542" w:rsidRPr="00F46944">
        <w:rPr>
          <w:rFonts w:cstheme="minorHAnsi"/>
        </w:rPr>
        <w:t>20</w:t>
      </w:r>
      <w:r w:rsidR="00D24289">
        <w:rPr>
          <w:rFonts w:cstheme="minorHAnsi"/>
        </w:rPr>
        <w:t>–</w:t>
      </w:r>
      <w:r w:rsidR="006E2117" w:rsidRPr="00F46944">
        <w:rPr>
          <w:rFonts w:cstheme="minorHAnsi"/>
        </w:rPr>
        <w:t>2</w:t>
      </w:r>
      <w:r w:rsidR="00547AA0">
        <w:rPr>
          <w:rFonts w:cstheme="minorHAnsi"/>
        </w:rPr>
        <w:t>02</w:t>
      </w:r>
      <w:r w:rsidR="006E2117" w:rsidRPr="00F46944">
        <w:rPr>
          <w:rFonts w:cstheme="minorHAnsi"/>
        </w:rPr>
        <w:t>1</w:t>
      </w:r>
      <w:r w:rsidRPr="00F46944">
        <w:rPr>
          <w:rFonts w:cstheme="minorHAnsi"/>
        </w:rPr>
        <w:t xml:space="preserve">. Sydney: ACSQHC; </w:t>
      </w:r>
      <w:r w:rsidR="00D11AD0" w:rsidRPr="00F46944">
        <w:rPr>
          <w:rFonts w:cstheme="minorHAnsi"/>
        </w:rPr>
        <w:t>2022</w:t>
      </w:r>
      <w:r w:rsidRPr="00F46944">
        <w:rPr>
          <w:rFonts w:cstheme="minorHAnsi"/>
        </w:rPr>
        <w:t xml:space="preserve"> </w:t>
      </w:r>
      <w:r w:rsidR="00DB5911" w:rsidRPr="00F46944">
        <w:rPr>
          <w:rFonts w:cstheme="minorHAnsi"/>
        </w:rPr>
        <w:br/>
      </w:r>
    </w:p>
    <w:p w14:paraId="00CF9E31" w14:textId="77777777" w:rsidR="00EF5C37" w:rsidRPr="00F46944" w:rsidRDefault="00EF5C37" w:rsidP="00EF5C37">
      <w:pPr>
        <w:rPr>
          <w:rFonts w:cstheme="minorHAnsi"/>
          <w:b/>
          <w:bCs/>
        </w:rPr>
      </w:pPr>
      <w:r w:rsidRPr="00F46944">
        <w:rPr>
          <w:rFonts w:cstheme="minorHAnsi"/>
          <w:b/>
          <w:bCs/>
        </w:rPr>
        <w:t>Disclaimer</w:t>
      </w:r>
    </w:p>
    <w:p w14:paraId="37F47FD0" w14:textId="77777777" w:rsidR="00EF5C37" w:rsidRPr="00F46944" w:rsidRDefault="00EF5C37" w:rsidP="00EF5C37">
      <w:pPr>
        <w:rPr>
          <w:rFonts w:cstheme="minorHAnsi"/>
          <w:bCs/>
        </w:rPr>
      </w:pPr>
      <w:r w:rsidRPr="00F46944">
        <w:rPr>
          <w:rFonts w:cstheme="minorHAnsi"/>
          <w:bCs/>
        </w:rPr>
        <w:t xml:space="preserve">The content of this document is published in good faith by the Commission for information purposes. The document is not intended to provide guidance on particular healthcare choices. You should contact your health care provider for information or advice on particular healthcare choices. </w:t>
      </w:r>
    </w:p>
    <w:p w14:paraId="39D82961" w14:textId="5DD64F3E" w:rsidR="009A007B" w:rsidRPr="00F46944" w:rsidRDefault="00EF5C37" w:rsidP="00EF5C37">
      <w:pPr>
        <w:rPr>
          <w:rFonts w:cstheme="minorHAnsi"/>
          <w:bCs/>
          <w:i/>
          <w:smallCaps/>
        </w:rPr>
      </w:pPr>
      <w:r w:rsidRPr="00F46944">
        <w:rPr>
          <w:rFonts w:cstheme="minorHAnsi"/>
          <w:bCs/>
        </w:rPr>
        <w:t>The Commission does not accept any legal liability for any injury, loss or damage incurred by the use of, or reliance on, this document.</w:t>
      </w:r>
    </w:p>
    <w:p w14:paraId="34B832E0" w14:textId="77777777" w:rsidR="00BC07E4" w:rsidRPr="00F46944" w:rsidRDefault="00BC07E4" w:rsidP="009A007B">
      <w:pPr>
        <w:rPr>
          <w:rFonts w:cstheme="minorHAnsi"/>
        </w:rPr>
      </w:pPr>
      <w:r w:rsidRPr="00F46944">
        <w:rPr>
          <w:rFonts w:cstheme="minorHAnsi"/>
        </w:rPr>
        <w:br w:type="page"/>
      </w:r>
    </w:p>
    <w:bookmarkEnd w:id="7" w:displacedByCustomXml="next"/>
    <w:bookmarkEnd w:id="6" w:displacedByCustomXml="next"/>
    <w:bookmarkEnd w:id="5" w:displacedByCustomXml="next"/>
    <w:bookmarkEnd w:id="4" w:displacedByCustomXml="next"/>
    <w:bookmarkEnd w:id="3" w:displacedByCustomXml="next"/>
    <w:sdt>
      <w:sdtPr>
        <w:rPr>
          <w:rFonts w:asciiTheme="minorHAnsi" w:eastAsia="Times New Roman" w:hAnsiTheme="minorHAnsi" w:cstheme="minorHAnsi"/>
          <w:b w:val="0"/>
          <w:bCs w:val="0"/>
          <w:color w:val="auto"/>
          <w:sz w:val="22"/>
          <w:szCs w:val="22"/>
          <w:lang w:val="en-AU" w:eastAsia="en-AU"/>
        </w:rPr>
        <w:id w:val="2131363940"/>
        <w:docPartObj>
          <w:docPartGallery w:val="Table of Contents"/>
          <w:docPartUnique/>
        </w:docPartObj>
      </w:sdtPr>
      <w:sdtEndPr>
        <w:rPr>
          <w:noProof/>
        </w:rPr>
      </w:sdtEndPr>
      <w:sdtContent>
        <w:p w14:paraId="3659779C" w14:textId="77777777" w:rsidR="0013555B" w:rsidRPr="00F46944" w:rsidRDefault="0013555B" w:rsidP="00C86EFE">
          <w:pPr>
            <w:pStyle w:val="TOCHeading"/>
            <w:ind w:right="261"/>
            <w:rPr>
              <w:rFonts w:asciiTheme="minorHAnsi" w:hAnsiTheme="minorHAnsi" w:cstheme="minorHAnsi"/>
              <w:color w:val="595959" w:themeColor="text1" w:themeTint="A6"/>
              <w:lang w:val="en-AU"/>
            </w:rPr>
          </w:pPr>
          <w:r w:rsidRPr="00F46944">
            <w:rPr>
              <w:rFonts w:asciiTheme="minorHAnsi" w:hAnsiTheme="minorHAnsi" w:cstheme="minorHAnsi"/>
              <w:color w:val="595959" w:themeColor="text1" w:themeTint="A6"/>
              <w:lang w:val="en-AU"/>
            </w:rPr>
            <w:t>Contents</w:t>
          </w:r>
        </w:p>
        <w:p w14:paraId="34A0C314" w14:textId="69EF4F5A" w:rsidR="00C86EFE" w:rsidRDefault="005741D2" w:rsidP="00C86EFE">
          <w:pPr>
            <w:pStyle w:val="TOC3"/>
            <w:rPr>
              <w:rFonts w:asciiTheme="minorHAnsi" w:eastAsiaTheme="minorEastAsia" w:hAnsiTheme="minorHAnsi" w:cstheme="minorBidi"/>
              <w:kern w:val="0"/>
              <w:szCs w:val="22"/>
            </w:rPr>
          </w:pPr>
          <w:r>
            <w:rPr>
              <w:rFonts w:cstheme="minorHAnsi"/>
              <w:color w:val="595959" w:themeColor="text1" w:themeTint="A6"/>
              <w:sz w:val="24"/>
            </w:rPr>
            <w:fldChar w:fldCharType="begin"/>
          </w:r>
          <w:r>
            <w:rPr>
              <w:rFonts w:cstheme="minorHAnsi"/>
              <w:color w:val="595959" w:themeColor="text1" w:themeTint="A6"/>
              <w:sz w:val="24"/>
            </w:rPr>
            <w:instrText xml:space="preserve"> TOC \o "1-3" \h \z \u </w:instrText>
          </w:r>
          <w:r>
            <w:rPr>
              <w:rFonts w:cstheme="minorHAnsi"/>
              <w:color w:val="595959" w:themeColor="text1" w:themeTint="A6"/>
              <w:sz w:val="24"/>
            </w:rPr>
            <w:fldChar w:fldCharType="separate"/>
          </w:r>
          <w:hyperlink w:anchor="_Toc121826716" w:history="1">
            <w:r w:rsidR="00C86EFE" w:rsidRPr="001A457F">
              <w:rPr>
                <w:rStyle w:val="Hyperlink"/>
              </w:rPr>
              <w:t>List of Tables</w:t>
            </w:r>
            <w:r w:rsidR="00C86EFE">
              <w:rPr>
                <w:webHidden/>
              </w:rPr>
              <w:tab/>
            </w:r>
            <w:r w:rsidR="00C86EFE">
              <w:rPr>
                <w:webHidden/>
              </w:rPr>
              <w:fldChar w:fldCharType="begin"/>
            </w:r>
            <w:r w:rsidR="00C86EFE">
              <w:rPr>
                <w:webHidden/>
              </w:rPr>
              <w:instrText xml:space="preserve"> PAGEREF _Toc121826716 \h </w:instrText>
            </w:r>
            <w:r w:rsidR="00C86EFE">
              <w:rPr>
                <w:webHidden/>
              </w:rPr>
            </w:r>
            <w:r w:rsidR="00C86EFE">
              <w:rPr>
                <w:webHidden/>
              </w:rPr>
              <w:fldChar w:fldCharType="separate"/>
            </w:r>
            <w:r w:rsidR="00F34DDD">
              <w:rPr>
                <w:webHidden/>
              </w:rPr>
              <w:t>4</w:t>
            </w:r>
            <w:r w:rsidR="00C86EFE">
              <w:rPr>
                <w:webHidden/>
              </w:rPr>
              <w:fldChar w:fldCharType="end"/>
            </w:r>
          </w:hyperlink>
        </w:p>
        <w:p w14:paraId="1668B2BB" w14:textId="3F4CB49E" w:rsidR="00C86EFE" w:rsidRDefault="00EC26B7" w:rsidP="00C86EFE">
          <w:pPr>
            <w:pStyle w:val="TOC3"/>
            <w:rPr>
              <w:rFonts w:asciiTheme="minorHAnsi" w:eastAsiaTheme="minorEastAsia" w:hAnsiTheme="minorHAnsi" w:cstheme="minorBidi"/>
              <w:kern w:val="0"/>
              <w:szCs w:val="22"/>
            </w:rPr>
          </w:pPr>
          <w:hyperlink w:anchor="_Toc121826717" w:history="1">
            <w:r w:rsidR="00C86EFE" w:rsidRPr="001A457F">
              <w:rPr>
                <w:rStyle w:val="Hyperlink"/>
              </w:rPr>
              <w:t>List of Figures</w:t>
            </w:r>
            <w:r w:rsidR="00C86EFE">
              <w:rPr>
                <w:webHidden/>
              </w:rPr>
              <w:tab/>
            </w:r>
            <w:r w:rsidR="00C86EFE">
              <w:rPr>
                <w:webHidden/>
              </w:rPr>
              <w:fldChar w:fldCharType="begin"/>
            </w:r>
            <w:r w:rsidR="00C86EFE">
              <w:rPr>
                <w:webHidden/>
              </w:rPr>
              <w:instrText xml:space="preserve"> PAGEREF _Toc121826717 \h </w:instrText>
            </w:r>
            <w:r w:rsidR="00C86EFE">
              <w:rPr>
                <w:webHidden/>
              </w:rPr>
            </w:r>
            <w:r w:rsidR="00C86EFE">
              <w:rPr>
                <w:webHidden/>
              </w:rPr>
              <w:fldChar w:fldCharType="separate"/>
            </w:r>
            <w:r w:rsidR="00F34DDD">
              <w:rPr>
                <w:webHidden/>
              </w:rPr>
              <w:t>4</w:t>
            </w:r>
            <w:r w:rsidR="00C86EFE">
              <w:rPr>
                <w:webHidden/>
              </w:rPr>
              <w:fldChar w:fldCharType="end"/>
            </w:r>
          </w:hyperlink>
        </w:p>
        <w:p w14:paraId="499D68F4" w14:textId="03C191FE" w:rsidR="00C86EFE" w:rsidRDefault="00EC26B7" w:rsidP="00C86EFE">
          <w:pPr>
            <w:pStyle w:val="TOC1"/>
            <w:rPr>
              <w:rFonts w:eastAsiaTheme="minorEastAsia" w:cstheme="minorBidi"/>
              <w:color w:val="auto"/>
              <w:sz w:val="22"/>
              <w:szCs w:val="22"/>
            </w:rPr>
          </w:pPr>
          <w:hyperlink w:anchor="_Toc121826718" w:history="1">
            <w:r w:rsidR="00C86EFE" w:rsidRPr="001A457F">
              <w:rPr>
                <w:rStyle w:val="Hyperlink"/>
              </w:rPr>
              <w:t>Executive summary</w:t>
            </w:r>
            <w:r w:rsidR="00C86EFE">
              <w:rPr>
                <w:webHidden/>
              </w:rPr>
              <w:tab/>
            </w:r>
            <w:r w:rsidR="00C86EFE">
              <w:rPr>
                <w:webHidden/>
              </w:rPr>
              <w:fldChar w:fldCharType="begin"/>
            </w:r>
            <w:r w:rsidR="00C86EFE">
              <w:rPr>
                <w:webHidden/>
              </w:rPr>
              <w:instrText xml:space="preserve"> PAGEREF _Toc121826718 \h </w:instrText>
            </w:r>
            <w:r w:rsidR="00C86EFE">
              <w:rPr>
                <w:webHidden/>
              </w:rPr>
            </w:r>
            <w:r w:rsidR="00C86EFE">
              <w:rPr>
                <w:webHidden/>
              </w:rPr>
              <w:fldChar w:fldCharType="separate"/>
            </w:r>
            <w:r w:rsidR="00F34DDD">
              <w:rPr>
                <w:webHidden/>
              </w:rPr>
              <w:t>6</w:t>
            </w:r>
            <w:r w:rsidR="00C86EFE">
              <w:rPr>
                <w:webHidden/>
              </w:rPr>
              <w:fldChar w:fldCharType="end"/>
            </w:r>
          </w:hyperlink>
        </w:p>
        <w:p w14:paraId="36D03B3F" w14:textId="0D6C6041" w:rsidR="00C86EFE" w:rsidRDefault="00EC26B7" w:rsidP="00C86EFE">
          <w:pPr>
            <w:pStyle w:val="TOC3"/>
            <w:rPr>
              <w:rFonts w:asciiTheme="minorHAnsi" w:eastAsiaTheme="minorEastAsia" w:hAnsiTheme="minorHAnsi" w:cstheme="minorBidi"/>
              <w:kern w:val="0"/>
              <w:szCs w:val="22"/>
            </w:rPr>
          </w:pPr>
          <w:hyperlink w:anchor="_Toc121826719" w:history="1">
            <w:r w:rsidR="00C86EFE" w:rsidRPr="001A457F">
              <w:rPr>
                <w:rStyle w:val="Hyperlink"/>
              </w:rPr>
              <w:t>Key findings</w:t>
            </w:r>
            <w:r w:rsidR="00C86EFE">
              <w:rPr>
                <w:webHidden/>
              </w:rPr>
              <w:tab/>
            </w:r>
            <w:r w:rsidR="00C86EFE">
              <w:rPr>
                <w:webHidden/>
              </w:rPr>
              <w:fldChar w:fldCharType="begin"/>
            </w:r>
            <w:r w:rsidR="00C86EFE">
              <w:rPr>
                <w:webHidden/>
              </w:rPr>
              <w:instrText xml:space="preserve"> PAGEREF _Toc121826719 \h </w:instrText>
            </w:r>
            <w:r w:rsidR="00C86EFE">
              <w:rPr>
                <w:webHidden/>
              </w:rPr>
            </w:r>
            <w:r w:rsidR="00C86EFE">
              <w:rPr>
                <w:webHidden/>
              </w:rPr>
              <w:fldChar w:fldCharType="separate"/>
            </w:r>
            <w:r w:rsidR="00F34DDD">
              <w:rPr>
                <w:webHidden/>
              </w:rPr>
              <w:t>6</w:t>
            </w:r>
            <w:r w:rsidR="00C86EFE">
              <w:rPr>
                <w:webHidden/>
              </w:rPr>
              <w:fldChar w:fldCharType="end"/>
            </w:r>
          </w:hyperlink>
        </w:p>
        <w:p w14:paraId="6D7DBB39" w14:textId="777B486A" w:rsidR="00C86EFE" w:rsidRDefault="00EC26B7" w:rsidP="00C86EFE">
          <w:pPr>
            <w:pStyle w:val="TOC1"/>
            <w:rPr>
              <w:rFonts w:eastAsiaTheme="minorEastAsia" w:cstheme="minorBidi"/>
              <w:color w:val="auto"/>
              <w:sz w:val="22"/>
              <w:szCs w:val="22"/>
            </w:rPr>
          </w:pPr>
          <w:hyperlink w:anchor="_Toc121826720" w:history="1">
            <w:r w:rsidR="00C86EFE" w:rsidRPr="001A457F">
              <w:rPr>
                <w:rStyle w:val="Hyperlink"/>
              </w:rPr>
              <w:t>Introduction</w:t>
            </w:r>
            <w:r w:rsidR="00C86EFE">
              <w:rPr>
                <w:webHidden/>
              </w:rPr>
              <w:tab/>
            </w:r>
            <w:r w:rsidR="00C86EFE">
              <w:rPr>
                <w:webHidden/>
              </w:rPr>
              <w:fldChar w:fldCharType="begin"/>
            </w:r>
            <w:r w:rsidR="00C86EFE">
              <w:rPr>
                <w:webHidden/>
              </w:rPr>
              <w:instrText xml:space="preserve"> PAGEREF _Toc121826720 \h </w:instrText>
            </w:r>
            <w:r w:rsidR="00C86EFE">
              <w:rPr>
                <w:webHidden/>
              </w:rPr>
            </w:r>
            <w:r w:rsidR="00C86EFE">
              <w:rPr>
                <w:webHidden/>
              </w:rPr>
              <w:fldChar w:fldCharType="separate"/>
            </w:r>
            <w:r w:rsidR="00F34DDD">
              <w:rPr>
                <w:webHidden/>
              </w:rPr>
              <w:t>8</w:t>
            </w:r>
            <w:r w:rsidR="00C86EFE">
              <w:rPr>
                <w:webHidden/>
              </w:rPr>
              <w:fldChar w:fldCharType="end"/>
            </w:r>
          </w:hyperlink>
        </w:p>
        <w:p w14:paraId="0B8463A9" w14:textId="4BA128CB" w:rsidR="00C86EFE" w:rsidRDefault="00EC26B7" w:rsidP="00C86EFE">
          <w:pPr>
            <w:pStyle w:val="TOC3"/>
            <w:rPr>
              <w:rFonts w:asciiTheme="minorHAnsi" w:eastAsiaTheme="minorEastAsia" w:hAnsiTheme="minorHAnsi" w:cstheme="minorBidi"/>
              <w:kern w:val="0"/>
              <w:szCs w:val="22"/>
            </w:rPr>
          </w:pPr>
          <w:hyperlink w:anchor="_Toc121826721" w:history="1">
            <w:r w:rsidR="00C86EFE" w:rsidRPr="001A457F">
              <w:rPr>
                <w:rStyle w:val="Hyperlink"/>
              </w:rPr>
              <w:t>About this report</w:t>
            </w:r>
            <w:r w:rsidR="00C86EFE">
              <w:rPr>
                <w:webHidden/>
              </w:rPr>
              <w:tab/>
            </w:r>
            <w:r w:rsidR="00C86EFE">
              <w:rPr>
                <w:webHidden/>
              </w:rPr>
              <w:fldChar w:fldCharType="begin"/>
            </w:r>
            <w:r w:rsidR="00C86EFE">
              <w:rPr>
                <w:webHidden/>
              </w:rPr>
              <w:instrText xml:space="preserve"> PAGEREF _Toc121826721 \h </w:instrText>
            </w:r>
            <w:r w:rsidR="00C86EFE">
              <w:rPr>
                <w:webHidden/>
              </w:rPr>
            </w:r>
            <w:r w:rsidR="00C86EFE">
              <w:rPr>
                <w:webHidden/>
              </w:rPr>
              <w:fldChar w:fldCharType="separate"/>
            </w:r>
            <w:r w:rsidR="00F34DDD">
              <w:rPr>
                <w:webHidden/>
              </w:rPr>
              <w:t>8</w:t>
            </w:r>
            <w:r w:rsidR="00C86EFE">
              <w:rPr>
                <w:webHidden/>
              </w:rPr>
              <w:fldChar w:fldCharType="end"/>
            </w:r>
          </w:hyperlink>
        </w:p>
        <w:p w14:paraId="70EFF7E0" w14:textId="1A1B65D0" w:rsidR="00C86EFE" w:rsidRDefault="00EC26B7" w:rsidP="00C86EFE">
          <w:pPr>
            <w:pStyle w:val="TOC3"/>
            <w:rPr>
              <w:rFonts w:asciiTheme="minorHAnsi" w:eastAsiaTheme="minorEastAsia" w:hAnsiTheme="minorHAnsi" w:cstheme="minorBidi"/>
              <w:kern w:val="0"/>
              <w:szCs w:val="22"/>
            </w:rPr>
          </w:pPr>
          <w:hyperlink w:anchor="_Toc121826722" w:history="1">
            <w:r w:rsidR="00C86EFE" w:rsidRPr="001A457F">
              <w:rPr>
                <w:rStyle w:val="Hyperlink"/>
              </w:rPr>
              <w:t>Understanding how the data are presented in this report</w:t>
            </w:r>
            <w:r w:rsidR="00C86EFE">
              <w:rPr>
                <w:webHidden/>
              </w:rPr>
              <w:tab/>
            </w:r>
            <w:r w:rsidR="00C86EFE">
              <w:rPr>
                <w:webHidden/>
              </w:rPr>
              <w:fldChar w:fldCharType="begin"/>
            </w:r>
            <w:r w:rsidR="00C86EFE">
              <w:rPr>
                <w:webHidden/>
              </w:rPr>
              <w:instrText xml:space="preserve"> PAGEREF _Toc121826722 \h </w:instrText>
            </w:r>
            <w:r w:rsidR="00C86EFE">
              <w:rPr>
                <w:webHidden/>
              </w:rPr>
            </w:r>
            <w:r w:rsidR="00C86EFE">
              <w:rPr>
                <w:webHidden/>
              </w:rPr>
              <w:fldChar w:fldCharType="separate"/>
            </w:r>
            <w:r w:rsidR="00F34DDD">
              <w:rPr>
                <w:webHidden/>
              </w:rPr>
              <w:t>8</w:t>
            </w:r>
            <w:r w:rsidR="00C86EFE">
              <w:rPr>
                <w:webHidden/>
              </w:rPr>
              <w:fldChar w:fldCharType="end"/>
            </w:r>
          </w:hyperlink>
        </w:p>
        <w:p w14:paraId="41053008" w14:textId="1430EA05" w:rsidR="00C86EFE" w:rsidRDefault="00EC26B7" w:rsidP="00C86EFE">
          <w:pPr>
            <w:pStyle w:val="TOC3"/>
            <w:rPr>
              <w:rFonts w:asciiTheme="minorHAnsi" w:eastAsiaTheme="minorEastAsia" w:hAnsiTheme="minorHAnsi" w:cstheme="minorBidi"/>
              <w:kern w:val="0"/>
              <w:szCs w:val="22"/>
            </w:rPr>
          </w:pPr>
          <w:hyperlink w:anchor="_Toc121826723" w:history="1">
            <w:r w:rsidR="00C86EFE" w:rsidRPr="001A457F">
              <w:rPr>
                <w:rStyle w:val="Hyperlink"/>
              </w:rPr>
              <w:t>Why is surveillance of community antimicrobial use important?</w:t>
            </w:r>
            <w:r w:rsidR="00C86EFE">
              <w:rPr>
                <w:webHidden/>
              </w:rPr>
              <w:tab/>
            </w:r>
            <w:r w:rsidR="00C86EFE">
              <w:rPr>
                <w:webHidden/>
              </w:rPr>
              <w:fldChar w:fldCharType="begin"/>
            </w:r>
            <w:r w:rsidR="00C86EFE">
              <w:rPr>
                <w:webHidden/>
              </w:rPr>
              <w:instrText xml:space="preserve"> PAGEREF _Toc121826723 \h </w:instrText>
            </w:r>
            <w:r w:rsidR="00C86EFE">
              <w:rPr>
                <w:webHidden/>
              </w:rPr>
            </w:r>
            <w:r w:rsidR="00C86EFE">
              <w:rPr>
                <w:webHidden/>
              </w:rPr>
              <w:fldChar w:fldCharType="separate"/>
            </w:r>
            <w:r w:rsidR="00F34DDD">
              <w:rPr>
                <w:webHidden/>
              </w:rPr>
              <w:t>8</w:t>
            </w:r>
            <w:r w:rsidR="00C86EFE">
              <w:rPr>
                <w:webHidden/>
              </w:rPr>
              <w:fldChar w:fldCharType="end"/>
            </w:r>
          </w:hyperlink>
        </w:p>
        <w:p w14:paraId="7F106CDB" w14:textId="7DEFA08E" w:rsidR="00C86EFE" w:rsidRDefault="00EC26B7" w:rsidP="00C86EFE">
          <w:pPr>
            <w:pStyle w:val="TOC3"/>
            <w:rPr>
              <w:rFonts w:asciiTheme="minorHAnsi" w:eastAsiaTheme="minorEastAsia" w:hAnsiTheme="minorHAnsi" w:cstheme="minorBidi"/>
              <w:kern w:val="0"/>
              <w:szCs w:val="22"/>
            </w:rPr>
          </w:pPr>
          <w:hyperlink w:anchor="_Toc121826724" w:history="1">
            <w:r w:rsidR="00C86EFE" w:rsidRPr="001A457F">
              <w:rPr>
                <w:rStyle w:val="Hyperlink"/>
              </w:rPr>
              <w:t>Factors affecting community antimicrobial use in 2020 and 2021</w:t>
            </w:r>
            <w:r w:rsidR="00C86EFE">
              <w:rPr>
                <w:rStyle w:val="Hyperlink"/>
              </w:rPr>
              <w:t>:</w:t>
            </w:r>
            <w:r w:rsidR="00C86EFE" w:rsidRPr="001A457F">
              <w:rPr>
                <w:rStyle w:val="Hyperlink"/>
              </w:rPr>
              <w:t xml:space="preserve">  </w:t>
            </w:r>
            <w:r w:rsidR="00C86EFE">
              <w:rPr>
                <w:rStyle w:val="Hyperlink"/>
              </w:rPr>
              <w:br/>
            </w:r>
            <w:r w:rsidR="00C86EFE" w:rsidRPr="001A457F">
              <w:rPr>
                <w:rStyle w:val="Hyperlink"/>
              </w:rPr>
              <w:t>COVID-19 pandemic and repeat prescriptions</w:t>
            </w:r>
            <w:r w:rsidR="00C86EFE">
              <w:rPr>
                <w:webHidden/>
              </w:rPr>
              <w:tab/>
            </w:r>
            <w:r w:rsidR="00C86EFE">
              <w:rPr>
                <w:webHidden/>
              </w:rPr>
              <w:fldChar w:fldCharType="begin"/>
            </w:r>
            <w:r w:rsidR="00C86EFE">
              <w:rPr>
                <w:webHidden/>
              </w:rPr>
              <w:instrText xml:space="preserve"> PAGEREF _Toc121826724 \h </w:instrText>
            </w:r>
            <w:r w:rsidR="00C86EFE">
              <w:rPr>
                <w:webHidden/>
              </w:rPr>
            </w:r>
            <w:r w:rsidR="00C86EFE">
              <w:rPr>
                <w:webHidden/>
              </w:rPr>
              <w:fldChar w:fldCharType="separate"/>
            </w:r>
            <w:r w:rsidR="00F34DDD">
              <w:rPr>
                <w:webHidden/>
              </w:rPr>
              <w:t>9</w:t>
            </w:r>
            <w:r w:rsidR="00C86EFE">
              <w:rPr>
                <w:webHidden/>
              </w:rPr>
              <w:fldChar w:fldCharType="end"/>
            </w:r>
          </w:hyperlink>
        </w:p>
        <w:p w14:paraId="342D187A" w14:textId="34331746" w:rsidR="00C86EFE" w:rsidRDefault="00EC26B7" w:rsidP="00C86EFE">
          <w:pPr>
            <w:pStyle w:val="TOC1"/>
            <w:rPr>
              <w:rFonts w:eastAsiaTheme="minorEastAsia" w:cstheme="minorBidi"/>
              <w:color w:val="auto"/>
              <w:sz w:val="22"/>
              <w:szCs w:val="22"/>
            </w:rPr>
          </w:pPr>
          <w:hyperlink w:anchor="_Toc121826725" w:history="1">
            <w:r w:rsidR="00C86EFE" w:rsidRPr="001A457F">
              <w:rPr>
                <w:rStyle w:val="Hyperlink"/>
                <w:rFonts w:asciiTheme="majorHAnsi" w:hAnsiTheme="majorHAnsi" w:cstheme="majorHAnsi"/>
              </w:rPr>
              <w:t>Methodology</w:t>
            </w:r>
            <w:r w:rsidR="00C86EFE">
              <w:rPr>
                <w:webHidden/>
              </w:rPr>
              <w:tab/>
            </w:r>
            <w:r w:rsidR="00C86EFE">
              <w:rPr>
                <w:webHidden/>
              </w:rPr>
              <w:fldChar w:fldCharType="begin"/>
            </w:r>
            <w:r w:rsidR="00C86EFE">
              <w:rPr>
                <w:webHidden/>
              </w:rPr>
              <w:instrText xml:space="preserve"> PAGEREF _Toc121826725 \h </w:instrText>
            </w:r>
            <w:r w:rsidR="00C86EFE">
              <w:rPr>
                <w:webHidden/>
              </w:rPr>
            </w:r>
            <w:r w:rsidR="00C86EFE">
              <w:rPr>
                <w:webHidden/>
              </w:rPr>
              <w:fldChar w:fldCharType="separate"/>
            </w:r>
            <w:r w:rsidR="00F34DDD">
              <w:rPr>
                <w:webHidden/>
              </w:rPr>
              <w:t>10</w:t>
            </w:r>
            <w:r w:rsidR="00C86EFE">
              <w:rPr>
                <w:webHidden/>
              </w:rPr>
              <w:fldChar w:fldCharType="end"/>
            </w:r>
          </w:hyperlink>
        </w:p>
        <w:p w14:paraId="4110D12B" w14:textId="46601511" w:rsidR="00C86EFE" w:rsidRDefault="00EC26B7" w:rsidP="00C86EFE">
          <w:pPr>
            <w:pStyle w:val="TOC3"/>
            <w:rPr>
              <w:rFonts w:asciiTheme="minorHAnsi" w:eastAsiaTheme="minorEastAsia" w:hAnsiTheme="minorHAnsi" w:cstheme="minorBidi"/>
              <w:kern w:val="0"/>
              <w:szCs w:val="22"/>
            </w:rPr>
          </w:pPr>
          <w:hyperlink w:anchor="_Toc121826726" w:history="1">
            <w:r w:rsidR="00C86EFE" w:rsidRPr="001A457F">
              <w:rPr>
                <w:rStyle w:val="Hyperlink"/>
              </w:rPr>
              <w:t xml:space="preserve">Pharmaceutical Benefits Scheme and </w:t>
            </w:r>
            <w:r w:rsidR="00C86EFE">
              <w:rPr>
                <w:rStyle w:val="Hyperlink"/>
              </w:rPr>
              <w:br/>
            </w:r>
            <w:r w:rsidR="00C86EFE" w:rsidRPr="001A457F">
              <w:rPr>
                <w:rStyle w:val="Hyperlink"/>
              </w:rPr>
              <w:t>Repatriation Pharmaceutical Benefits Scheme</w:t>
            </w:r>
            <w:r w:rsidR="00C86EFE">
              <w:rPr>
                <w:webHidden/>
              </w:rPr>
              <w:tab/>
            </w:r>
            <w:r w:rsidR="00C86EFE">
              <w:rPr>
                <w:webHidden/>
              </w:rPr>
              <w:fldChar w:fldCharType="begin"/>
            </w:r>
            <w:r w:rsidR="00C86EFE">
              <w:rPr>
                <w:webHidden/>
              </w:rPr>
              <w:instrText xml:space="preserve"> PAGEREF _Toc121826726 \h </w:instrText>
            </w:r>
            <w:r w:rsidR="00C86EFE">
              <w:rPr>
                <w:webHidden/>
              </w:rPr>
            </w:r>
            <w:r w:rsidR="00C86EFE">
              <w:rPr>
                <w:webHidden/>
              </w:rPr>
              <w:fldChar w:fldCharType="separate"/>
            </w:r>
            <w:r w:rsidR="00F34DDD">
              <w:rPr>
                <w:webHidden/>
              </w:rPr>
              <w:t>10</w:t>
            </w:r>
            <w:r w:rsidR="00C86EFE">
              <w:rPr>
                <w:webHidden/>
              </w:rPr>
              <w:fldChar w:fldCharType="end"/>
            </w:r>
          </w:hyperlink>
        </w:p>
        <w:p w14:paraId="3D353816" w14:textId="1447FB4D" w:rsidR="00C86EFE" w:rsidRDefault="00EC26B7" w:rsidP="00C86EFE">
          <w:pPr>
            <w:pStyle w:val="TOC3"/>
            <w:rPr>
              <w:rFonts w:asciiTheme="minorHAnsi" w:eastAsiaTheme="minorEastAsia" w:hAnsiTheme="minorHAnsi" w:cstheme="minorBidi"/>
              <w:kern w:val="0"/>
              <w:szCs w:val="22"/>
            </w:rPr>
          </w:pPr>
          <w:hyperlink w:anchor="_Toc121826727" w:history="1">
            <w:r w:rsidR="00C86EFE" w:rsidRPr="001A457F">
              <w:rPr>
                <w:rStyle w:val="Hyperlink"/>
              </w:rPr>
              <w:t>NPS MedicineWise MedicineInsight program</w:t>
            </w:r>
            <w:r w:rsidR="00C86EFE">
              <w:rPr>
                <w:webHidden/>
              </w:rPr>
              <w:tab/>
            </w:r>
            <w:r w:rsidR="00C86EFE">
              <w:rPr>
                <w:webHidden/>
              </w:rPr>
              <w:fldChar w:fldCharType="begin"/>
            </w:r>
            <w:r w:rsidR="00C86EFE">
              <w:rPr>
                <w:webHidden/>
              </w:rPr>
              <w:instrText xml:space="preserve"> PAGEREF _Toc121826727 \h </w:instrText>
            </w:r>
            <w:r w:rsidR="00C86EFE">
              <w:rPr>
                <w:webHidden/>
              </w:rPr>
            </w:r>
            <w:r w:rsidR="00C86EFE">
              <w:rPr>
                <w:webHidden/>
              </w:rPr>
              <w:fldChar w:fldCharType="separate"/>
            </w:r>
            <w:r w:rsidR="00F34DDD">
              <w:rPr>
                <w:webHidden/>
              </w:rPr>
              <w:t>12</w:t>
            </w:r>
            <w:r w:rsidR="00C86EFE">
              <w:rPr>
                <w:webHidden/>
              </w:rPr>
              <w:fldChar w:fldCharType="end"/>
            </w:r>
          </w:hyperlink>
        </w:p>
        <w:p w14:paraId="3DB57930" w14:textId="6376B64F" w:rsidR="00C86EFE" w:rsidRDefault="00EC26B7" w:rsidP="00C86EFE">
          <w:pPr>
            <w:pStyle w:val="TOC3"/>
            <w:rPr>
              <w:rFonts w:asciiTheme="minorHAnsi" w:eastAsiaTheme="minorEastAsia" w:hAnsiTheme="minorHAnsi" w:cstheme="minorBidi"/>
              <w:kern w:val="0"/>
              <w:szCs w:val="22"/>
            </w:rPr>
          </w:pPr>
          <w:hyperlink w:anchor="_Toc121826728" w:history="1">
            <w:r w:rsidR="00C86EFE" w:rsidRPr="001A457F">
              <w:rPr>
                <w:rStyle w:val="Hyperlink"/>
              </w:rPr>
              <w:t>Considerations for interpreting data</w:t>
            </w:r>
            <w:r w:rsidR="00C86EFE">
              <w:rPr>
                <w:webHidden/>
              </w:rPr>
              <w:tab/>
            </w:r>
            <w:r w:rsidR="00C86EFE">
              <w:rPr>
                <w:webHidden/>
              </w:rPr>
              <w:fldChar w:fldCharType="begin"/>
            </w:r>
            <w:r w:rsidR="00C86EFE">
              <w:rPr>
                <w:webHidden/>
              </w:rPr>
              <w:instrText xml:space="preserve"> PAGEREF _Toc121826728 \h </w:instrText>
            </w:r>
            <w:r w:rsidR="00C86EFE">
              <w:rPr>
                <w:webHidden/>
              </w:rPr>
            </w:r>
            <w:r w:rsidR="00C86EFE">
              <w:rPr>
                <w:webHidden/>
              </w:rPr>
              <w:fldChar w:fldCharType="separate"/>
            </w:r>
            <w:r w:rsidR="00F34DDD">
              <w:rPr>
                <w:webHidden/>
              </w:rPr>
              <w:t>16</w:t>
            </w:r>
            <w:r w:rsidR="00C86EFE">
              <w:rPr>
                <w:webHidden/>
              </w:rPr>
              <w:fldChar w:fldCharType="end"/>
            </w:r>
          </w:hyperlink>
        </w:p>
        <w:p w14:paraId="75F6EE11" w14:textId="24508FDC" w:rsidR="00C86EFE" w:rsidRDefault="00EC26B7" w:rsidP="00C86EFE">
          <w:pPr>
            <w:pStyle w:val="TOC1"/>
            <w:rPr>
              <w:rFonts w:eastAsiaTheme="minorEastAsia" w:cstheme="minorBidi"/>
              <w:color w:val="auto"/>
              <w:sz w:val="22"/>
              <w:szCs w:val="22"/>
            </w:rPr>
          </w:pPr>
          <w:hyperlink w:anchor="_Toc121826729" w:history="1">
            <w:r w:rsidR="00C86EFE" w:rsidRPr="001A457F">
              <w:rPr>
                <w:rStyle w:val="Hyperlink"/>
                <w:rFonts w:asciiTheme="majorHAnsi" w:hAnsiTheme="majorHAnsi" w:cstheme="majorHAnsi"/>
              </w:rPr>
              <w:t>Results and descriptive analyses</w:t>
            </w:r>
            <w:r w:rsidR="00C86EFE">
              <w:rPr>
                <w:webHidden/>
              </w:rPr>
              <w:tab/>
            </w:r>
            <w:r w:rsidR="00C86EFE">
              <w:rPr>
                <w:webHidden/>
              </w:rPr>
              <w:fldChar w:fldCharType="begin"/>
            </w:r>
            <w:r w:rsidR="00C86EFE">
              <w:rPr>
                <w:webHidden/>
              </w:rPr>
              <w:instrText xml:space="preserve"> PAGEREF _Toc121826729 \h </w:instrText>
            </w:r>
            <w:r w:rsidR="00C86EFE">
              <w:rPr>
                <w:webHidden/>
              </w:rPr>
            </w:r>
            <w:r w:rsidR="00C86EFE">
              <w:rPr>
                <w:webHidden/>
              </w:rPr>
              <w:fldChar w:fldCharType="separate"/>
            </w:r>
            <w:r w:rsidR="00F34DDD">
              <w:rPr>
                <w:webHidden/>
              </w:rPr>
              <w:t>19</w:t>
            </w:r>
            <w:r w:rsidR="00C86EFE">
              <w:rPr>
                <w:webHidden/>
              </w:rPr>
              <w:fldChar w:fldCharType="end"/>
            </w:r>
          </w:hyperlink>
        </w:p>
        <w:p w14:paraId="1D17F4E5" w14:textId="702D7D9F" w:rsidR="00C86EFE" w:rsidRDefault="00EC26B7" w:rsidP="00C86EFE">
          <w:pPr>
            <w:pStyle w:val="TOC3"/>
            <w:rPr>
              <w:rFonts w:asciiTheme="minorHAnsi" w:eastAsiaTheme="minorEastAsia" w:hAnsiTheme="minorHAnsi" w:cstheme="minorBidi"/>
              <w:kern w:val="0"/>
              <w:szCs w:val="22"/>
            </w:rPr>
          </w:pPr>
          <w:hyperlink w:anchor="_Toc121826730" w:history="1">
            <w:r w:rsidR="00C86EFE" w:rsidRPr="001A457F">
              <w:rPr>
                <w:rStyle w:val="Hyperlink"/>
              </w:rPr>
              <w:t xml:space="preserve">Pharmaceutical Benefits Scheme and </w:t>
            </w:r>
            <w:r w:rsidR="00C86EFE">
              <w:rPr>
                <w:rStyle w:val="Hyperlink"/>
              </w:rPr>
              <w:br/>
            </w:r>
            <w:r w:rsidR="00C86EFE" w:rsidRPr="001A457F">
              <w:rPr>
                <w:rStyle w:val="Hyperlink"/>
              </w:rPr>
              <w:t>Repatriation Pharmaceutical Benefits Scheme</w:t>
            </w:r>
            <w:r w:rsidR="00C86EFE">
              <w:rPr>
                <w:webHidden/>
              </w:rPr>
              <w:tab/>
            </w:r>
            <w:r w:rsidR="00C86EFE">
              <w:rPr>
                <w:webHidden/>
              </w:rPr>
              <w:fldChar w:fldCharType="begin"/>
            </w:r>
            <w:r w:rsidR="00C86EFE">
              <w:rPr>
                <w:webHidden/>
              </w:rPr>
              <w:instrText xml:space="preserve"> PAGEREF _Toc121826730 \h </w:instrText>
            </w:r>
            <w:r w:rsidR="00C86EFE">
              <w:rPr>
                <w:webHidden/>
              </w:rPr>
            </w:r>
            <w:r w:rsidR="00C86EFE">
              <w:rPr>
                <w:webHidden/>
              </w:rPr>
              <w:fldChar w:fldCharType="separate"/>
            </w:r>
            <w:r w:rsidR="00F34DDD">
              <w:rPr>
                <w:webHidden/>
              </w:rPr>
              <w:t>19</w:t>
            </w:r>
            <w:r w:rsidR="00C86EFE">
              <w:rPr>
                <w:webHidden/>
              </w:rPr>
              <w:fldChar w:fldCharType="end"/>
            </w:r>
          </w:hyperlink>
        </w:p>
        <w:p w14:paraId="3B1AAC44" w14:textId="57808888" w:rsidR="00C86EFE" w:rsidRDefault="00EC26B7" w:rsidP="00C86EFE">
          <w:pPr>
            <w:pStyle w:val="TOC3"/>
            <w:rPr>
              <w:rFonts w:asciiTheme="minorHAnsi" w:eastAsiaTheme="minorEastAsia" w:hAnsiTheme="minorHAnsi" w:cstheme="minorBidi"/>
              <w:kern w:val="0"/>
              <w:szCs w:val="22"/>
            </w:rPr>
          </w:pPr>
          <w:hyperlink w:anchor="_Toc121826731" w:history="1">
            <w:r w:rsidR="00C86EFE" w:rsidRPr="001A457F">
              <w:rPr>
                <w:rStyle w:val="Hyperlink"/>
              </w:rPr>
              <w:t xml:space="preserve">Antimicrobial prescribing in general practice: </w:t>
            </w:r>
            <w:r w:rsidR="00C86EFE">
              <w:rPr>
                <w:rStyle w:val="Hyperlink"/>
                <w:u w:val="none"/>
              </w:rPr>
              <w:br/>
            </w:r>
            <w:r w:rsidR="00C86EFE" w:rsidRPr="001A457F">
              <w:rPr>
                <w:rStyle w:val="Hyperlink"/>
              </w:rPr>
              <w:t>NPS MedicineWise MedicineInsight program</w:t>
            </w:r>
            <w:r w:rsidR="00C86EFE">
              <w:rPr>
                <w:webHidden/>
              </w:rPr>
              <w:tab/>
            </w:r>
            <w:r w:rsidR="00C86EFE">
              <w:rPr>
                <w:webHidden/>
              </w:rPr>
              <w:fldChar w:fldCharType="begin"/>
            </w:r>
            <w:r w:rsidR="00C86EFE">
              <w:rPr>
                <w:webHidden/>
              </w:rPr>
              <w:instrText xml:space="preserve"> PAGEREF _Toc121826731 \h </w:instrText>
            </w:r>
            <w:r w:rsidR="00C86EFE">
              <w:rPr>
                <w:webHidden/>
              </w:rPr>
            </w:r>
            <w:r w:rsidR="00C86EFE">
              <w:rPr>
                <w:webHidden/>
              </w:rPr>
              <w:fldChar w:fldCharType="separate"/>
            </w:r>
            <w:r w:rsidR="00F34DDD">
              <w:rPr>
                <w:webHidden/>
              </w:rPr>
              <w:t>27</w:t>
            </w:r>
            <w:r w:rsidR="00C86EFE">
              <w:rPr>
                <w:webHidden/>
              </w:rPr>
              <w:fldChar w:fldCharType="end"/>
            </w:r>
          </w:hyperlink>
        </w:p>
        <w:p w14:paraId="094F7397" w14:textId="78C13114" w:rsidR="00C86EFE" w:rsidRDefault="00EC26B7" w:rsidP="00C86EFE">
          <w:pPr>
            <w:pStyle w:val="TOC3"/>
            <w:rPr>
              <w:rFonts w:asciiTheme="minorHAnsi" w:eastAsiaTheme="minorEastAsia" w:hAnsiTheme="minorHAnsi" w:cstheme="minorBidi"/>
              <w:kern w:val="0"/>
              <w:szCs w:val="22"/>
            </w:rPr>
          </w:pPr>
          <w:hyperlink w:anchor="_Toc121826732" w:history="1">
            <w:r w:rsidR="00C86EFE" w:rsidRPr="001A457F">
              <w:rPr>
                <w:rStyle w:val="Hyperlink"/>
              </w:rPr>
              <w:t>Impact of COVID-19 on antimicrobial use</w:t>
            </w:r>
            <w:r w:rsidR="00C86EFE">
              <w:rPr>
                <w:webHidden/>
              </w:rPr>
              <w:tab/>
            </w:r>
            <w:r w:rsidR="00C86EFE">
              <w:rPr>
                <w:webHidden/>
              </w:rPr>
              <w:fldChar w:fldCharType="begin"/>
            </w:r>
            <w:r w:rsidR="00C86EFE">
              <w:rPr>
                <w:webHidden/>
              </w:rPr>
              <w:instrText xml:space="preserve"> PAGEREF _Toc121826732 \h </w:instrText>
            </w:r>
            <w:r w:rsidR="00C86EFE">
              <w:rPr>
                <w:webHidden/>
              </w:rPr>
            </w:r>
            <w:r w:rsidR="00C86EFE">
              <w:rPr>
                <w:webHidden/>
              </w:rPr>
              <w:fldChar w:fldCharType="separate"/>
            </w:r>
            <w:r w:rsidR="00F34DDD">
              <w:rPr>
                <w:webHidden/>
              </w:rPr>
              <w:t>41</w:t>
            </w:r>
            <w:r w:rsidR="00C86EFE">
              <w:rPr>
                <w:webHidden/>
              </w:rPr>
              <w:fldChar w:fldCharType="end"/>
            </w:r>
          </w:hyperlink>
        </w:p>
        <w:p w14:paraId="481214E3" w14:textId="4C01933E" w:rsidR="00C86EFE" w:rsidRDefault="00EC26B7" w:rsidP="00C86EFE">
          <w:pPr>
            <w:pStyle w:val="TOC1"/>
            <w:rPr>
              <w:rFonts w:eastAsiaTheme="minorEastAsia" w:cstheme="minorBidi"/>
              <w:color w:val="auto"/>
              <w:sz w:val="22"/>
              <w:szCs w:val="22"/>
            </w:rPr>
          </w:pPr>
          <w:hyperlink w:anchor="_Toc121826733" w:history="1">
            <w:r w:rsidR="00C86EFE" w:rsidRPr="001A457F">
              <w:rPr>
                <w:rStyle w:val="Hyperlink"/>
                <w:rFonts w:asciiTheme="majorHAnsi" w:hAnsiTheme="majorHAnsi" w:cstheme="majorHAnsi"/>
                <w:kern w:val="28"/>
              </w:rPr>
              <w:t>Discussion</w:t>
            </w:r>
            <w:r w:rsidR="00C86EFE">
              <w:rPr>
                <w:webHidden/>
              </w:rPr>
              <w:tab/>
            </w:r>
            <w:r w:rsidR="00C86EFE">
              <w:rPr>
                <w:webHidden/>
              </w:rPr>
              <w:fldChar w:fldCharType="begin"/>
            </w:r>
            <w:r w:rsidR="00C86EFE">
              <w:rPr>
                <w:webHidden/>
              </w:rPr>
              <w:instrText xml:space="preserve"> PAGEREF _Toc121826733 \h </w:instrText>
            </w:r>
            <w:r w:rsidR="00C86EFE">
              <w:rPr>
                <w:webHidden/>
              </w:rPr>
            </w:r>
            <w:r w:rsidR="00C86EFE">
              <w:rPr>
                <w:webHidden/>
              </w:rPr>
              <w:fldChar w:fldCharType="separate"/>
            </w:r>
            <w:r w:rsidR="00F34DDD">
              <w:rPr>
                <w:webHidden/>
              </w:rPr>
              <w:t>54</w:t>
            </w:r>
            <w:r w:rsidR="00C86EFE">
              <w:rPr>
                <w:webHidden/>
              </w:rPr>
              <w:fldChar w:fldCharType="end"/>
            </w:r>
          </w:hyperlink>
        </w:p>
        <w:p w14:paraId="78B828AB" w14:textId="3F1BE223" w:rsidR="00C86EFE" w:rsidRDefault="00EC26B7" w:rsidP="00C86EFE">
          <w:pPr>
            <w:pStyle w:val="TOC3"/>
            <w:rPr>
              <w:rFonts w:asciiTheme="minorHAnsi" w:eastAsiaTheme="minorEastAsia" w:hAnsiTheme="minorHAnsi" w:cstheme="minorBidi"/>
              <w:kern w:val="0"/>
              <w:szCs w:val="22"/>
            </w:rPr>
          </w:pPr>
          <w:hyperlink w:anchor="_Toc121826734" w:history="1">
            <w:r w:rsidR="00C86EFE" w:rsidRPr="001A457F">
              <w:rPr>
                <w:rStyle w:val="Hyperlink"/>
              </w:rPr>
              <w:t xml:space="preserve">Overall antimicrobial use </w:t>
            </w:r>
            <w:r w:rsidR="009A5F90">
              <w:rPr>
                <w:rStyle w:val="Hyperlink"/>
              </w:rPr>
              <w:t xml:space="preserve">and appropriateness </w:t>
            </w:r>
            <w:r w:rsidR="00C86EFE" w:rsidRPr="001A457F">
              <w:rPr>
                <w:rStyle w:val="Hyperlink"/>
              </w:rPr>
              <w:t>in the community</w:t>
            </w:r>
            <w:r w:rsidR="00C86EFE">
              <w:rPr>
                <w:webHidden/>
              </w:rPr>
              <w:tab/>
            </w:r>
            <w:r w:rsidR="00C86EFE">
              <w:rPr>
                <w:webHidden/>
              </w:rPr>
              <w:fldChar w:fldCharType="begin"/>
            </w:r>
            <w:r w:rsidR="00C86EFE">
              <w:rPr>
                <w:webHidden/>
              </w:rPr>
              <w:instrText xml:space="preserve"> PAGEREF _Toc121826734 \h </w:instrText>
            </w:r>
            <w:r w:rsidR="00C86EFE">
              <w:rPr>
                <w:webHidden/>
              </w:rPr>
            </w:r>
            <w:r w:rsidR="00C86EFE">
              <w:rPr>
                <w:webHidden/>
              </w:rPr>
              <w:fldChar w:fldCharType="separate"/>
            </w:r>
            <w:r w:rsidR="00F34DDD">
              <w:rPr>
                <w:webHidden/>
              </w:rPr>
              <w:t>54</w:t>
            </w:r>
            <w:r w:rsidR="00C86EFE">
              <w:rPr>
                <w:webHidden/>
              </w:rPr>
              <w:fldChar w:fldCharType="end"/>
            </w:r>
          </w:hyperlink>
        </w:p>
        <w:p w14:paraId="4BFD3104" w14:textId="633C69A6" w:rsidR="00C86EFE" w:rsidRDefault="00EC26B7" w:rsidP="00C86EFE">
          <w:pPr>
            <w:pStyle w:val="TOC3"/>
            <w:rPr>
              <w:rFonts w:asciiTheme="minorHAnsi" w:eastAsiaTheme="minorEastAsia" w:hAnsiTheme="minorHAnsi" w:cstheme="minorBidi"/>
              <w:kern w:val="0"/>
              <w:szCs w:val="22"/>
            </w:rPr>
          </w:pPr>
          <w:hyperlink w:anchor="_Toc121826735" w:history="1">
            <w:r w:rsidR="00C86EFE" w:rsidRPr="001A457F">
              <w:rPr>
                <w:rStyle w:val="Hyperlink"/>
              </w:rPr>
              <w:t>Impact of the COVID-19 pandemic on antimicrobial use in the community</w:t>
            </w:r>
            <w:r w:rsidR="00C86EFE">
              <w:rPr>
                <w:webHidden/>
              </w:rPr>
              <w:tab/>
            </w:r>
            <w:r w:rsidR="00C86EFE">
              <w:rPr>
                <w:webHidden/>
              </w:rPr>
              <w:fldChar w:fldCharType="begin"/>
            </w:r>
            <w:r w:rsidR="00C86EFE">
              <w:rPr>
                <w:webHidden/>
              </w:rPr>
              <w:instrText xml:space="preserve"> PAGEREF _Toc121826735 \h </w:instrText>
            </w:r>
            <w:r w:rsidR="00C86EFE">
              <w:rPr>
                <w:webHidden/>
              </w:rPr>
            </w:r>
            <w:r w:rsidR="00C86EFE">
              <w:rPr>
                <w:webHidden/>
              </w:rPr>
              <w:fldChar w:fldCharType="separate"/>
            </w:r>
            <w:r w:rsidR="00F34DDD">
              <w:rPr>
                <w:webHidden/>
              </w:rPr>
              <w:t>55</w:t>
            </w:r>
            <w:r w:rsidR="00C86EFE">
              <w:rPr>
                <w:webHidden/>
              </w:rPr>
              <w:fldChar w:fldCharType="end"/>
            </w:r>
          </w:hyperlink>
        </w:p>
        <w:p w14:paraId="4B4E3AE6" w14:textId="70783085" w:rsidR="00C86EFE" w:rsidRDefault="00EC26B7" w:rsidP="00C86EFE">
          <w:pPr>
            <w:pStyle w:val="TOC3"/>
            <w:rPr>
              <w:rFonts w:asciiTheme="minorHAnsi" w:eastAsiaTheme="minorEastAsia" w:hAnsiTheme="minorHAnsi" w:cstheme="minorBidi"/>
              <w:kern w:val="0"/>
              <w:szCs w:val="22"/>
            </w:rPr>
          </w:pPr>
          <w:hyperlink w:anchor="_Toc121826736" w:history="1">
            <w:r w:rsidR="00C86EFE" w:rsidRPr="001A457F">
              <w:rPr>
                <w:rStyle w:val="Hyperlink"/>
              </w:rPr>
              <w:t>International comparisons of community antimicrobial use</w:t>
            </w:r>
            <w:r w:rsidR="00C86EFE">
              <w:rPr>
                <w:webHidden/>
              </w:rPr>
              <w:tab/>
            </w:r>
            <w:r w:rsidR="00C86EFE">
              <w:rPr>
                <w:webHidden/>
              </w:rPr>
              <w:fldChar w:fldCharType="begin"/>
            </w:r>
            <w:r w:rsidR="00C86EFE">
              <w:rPr>
                <w:webHidden/>
              </w:rPr>
              <w:instrText xml:space="preserve"> PAGEREF _Toc121826736 \h </w:instrText>
            </w:r>
            <w:r w:rsidR="00C86EFE">
              <w:rPr>
                <w:webHidden/>
              </w:rPr>
            </w:r>
            <w:r w:rsidR="00C86EFE">
              <w:rPr>
                <w:webHidden/>
              </w:rPr>
              <w:fldChar w:fldCharType="separate"/>
            </w:r>
            <w:r w:rsidR="00F34DDD">
              <w:rPr>
                <w:webHidden/>
              </w:rPr>
              <w:t>56</w:t>
            </w:r>
            <w:r w:rsidR="00C86EFE">
              <w:rPr>
                <w:webHidden/>
              </w:rPr>
              <w:fldChar w:fldCharType="end"/>
            </w:r>
          </w:hyperlink>
        </w:p>
        <w:p w14:paraId="1336583C" w14:textId="3019CA04" w:rsidR="00C86EFE" w:rsidRDefault="00EC26B7" w:rsidP="00C86EFE">
          <w:pPr>
            <w:pStyle w:val="TOC3"/>
            <w:rPr>
              <w:rFonts w:asciiTheme="minorHAnsi" w:eastAsiaTheme="minorEastAsia" w:hAnsiTheme="minorHAnsi" w:cstheme="minorBidi"/>
              <w:kern w:val="0"/>
              <w:szCs w:val="22"/>
            </w:rPr>
          </w:pPr>
          <w:hyperlink w:anchor="_Toc121826737" w:history="1">
            <w:r w:rsidR="00C86EFE" w:rsidRPr="001A457F">
              <w:rPr>
                <w:rStyle w:val="Hyperlink"/>
              </w:rPr>
              <w:t>What will be done to improve appropriateness of antimicrobial prescribing and patient safety in the community?</w:t>
            </w:r>
            <w:r w:rsidR="00C86EFE">
              <w:rPr>
                <w:webHidden/>
              </w:rPr>
              <w:tab/>
            </w:r>
            <w:r w:rsidR="00C86EFE">
              <w:rPr>
                <w:webHidden/>
              </w:rPr>
              <w:fldChar w:fldCharType="begin"/>
            </w:r>
            <w:r w:rsidR="00C86EFE">
              <w:rPr>
                <w:webHidden/>
              </w:rPr>
              <w:instrText xml:space="preserve"> PAGEREF _Toc121826737 \h </w:instrText>
            </w:r>
            <w:r w:rsidR="00C86EFE">
              <w:rPr>
                <w:webHidden/>
              </w:rPr>
            </w:r>
            <w:r w:rsidR="00C86EFE">
              <w:rPr>
                <w:webHidden/>
              </w:rPr>
              <w:fldChar w:fldCharType="separate"/>
            </w:r>
            <w:r w:rsidR="00F34DDD">
              <w:rPr>
                <w:webHidden/>
              </w:rPr>
              <w:t>57</w:t>
            </w:r>
            <w:r w:rsidR="00C86EFE">
              <w:rPr>
                <w:webHidden/>
              </w:rPr>
              <w:fldChar w:fldCharType="end"/>
            </w:r>
          </w:hyperlink>
        </w:p>
        <w:p w14:paraId="26E39EA2" w14:textId="729F4DB7" w:rsidR="00C86EFE" w:rsidRDefault="00EC26B7" w:rsidP="00C86EFE">
          <w:pPr>
            <w:pStyle w:val="TOC1"/>
            <w:rPr>
              <w:rFonts w:eastAsiaTheme="minorEastAsia" w:cstheme="minorBidi"/>
              <w:color w:val="auto"/>
              <w:sz w:val="22"/>
              <w:szCs w:val="22"/>
            </w:rPr>
          </w:pPr>
          <w:hyperlink w:anchor="_Toc121826738" w:history="1">
            <w:r w:rsidR="00C86EFE" w:rsidRPr="001A457F">
              <w:rPr>
                <w:rStyle w:val="Hyperlink"/>
                <w:rFonts w:asciiTheme="majorHAnsi" w:hAnsiTheme="majorHAnsi" w:cstheme="majorHAnsi"/>
              </w:rPr>
              <w:t>References</w:t>
            </w:r>
            <w:r w:rsidR="00C86EFE">
              <w:rPr>
                <w:webHidden/>
              </w:rPr>
              <w:tab/>
            </w:r>
            <w:r w:rsidR="00C86EFE">
              <w:rPr>
                <w:webHidden/>
              </w:rPr>
              <w:fldChar w:fldCharType="begin"/>
            </w:r>
            <w:r w:rsidR="00C86EFE">
              <w:rPr>
                <w:webHidden/>
              </w:rPr>
              <w:instrText xml:space="preserve"> PAGEREF _Toc121826738 \h </w:instrText>
            </w:r>
            <w:r w:rsidR="00C86EFE">
              <w:rPr>
                <w:webHidden/>
              </w:rPr>
            </w:r>
            <w:r w:rsidR="00C86EFE">
              <w:rPr>
                <w:webHidden/>
              </w:rPr>
              <w:fldChar w:fldCharType="separate"/>
            </w:r>
            <w:r w:rsidR="00F34DDD">
              <w:rPr>
                <w:webHidden/>
              </w:rPr>
              <w:t>58</w:t>
            </w:r>
            <w:r w:rsidR="00C86EFE">
              <w:rPr>
                <w:webHidden/>
              </w:rPr>
              <w:fldChar w:fldCharType="end"/>
            </w:r>
          </w:hyperlink>
        </w:p>
        <w:p w14:paraId="05498678" w14:textId="07B951AA" w:rsidR="00C86EFE" w:rsidRDefault="00EC26B7" w:rsidP="00C86EFE">
          <w:pPr>
            <w:pStyle w:val="TOC1"/>
            <w:rPr>
              <w:rFonts w:eastAsiaTheme="minorEastAsia" w:cstheme="minorBidi"/>
              <w:color w:val="auto"/>
              <w:sz w:val="22"/>
              <w:szCs w:val="22"/>
            </w:rPr>
          </w:pPr>
          <w:hyperlink w:anchor="_Toc121826739" w:history="1">
            <w:r w:rsidR="00C86EFE" w:rsidRPr="001A457F">
              <w:rPr>
                <w:rStyle w:val="Hyperlink"/>
                <w:rFonts w:asciiTheme="majorHAnsi" w:hAnsiTheme="majorHAnsi" w:cstheme="majorHAnsi"/>
              </w:rPr>
              <w:t>Appendix</w:t>
            </w:r>
            <w:r w:rsidR="00C86EFE">
              <w:rPr>
                <w:webHidden/>
              </w:rPr>
              <w:tab/>
            </w:r>
            <w:r w:rsidR="00C86EFE">
              <w:rPr>
                <w:webHidden/>
              </w:rPr>
              <w:fldChar w:fldCharType="begin"/>
            </w:r>
            <w:r w:rsidR="00C86EFE">
              <w:rPr>
                <w:webHidden/>
              </w:rPr>
              <w:instrText xml:space="preserve"> PAGEREF _Toc121826739 \h </w:instrText>
            </w:r>
            <w:r w:rsidR="00C86EFE">
              <w:rPr>
                <w:webHidden/>
              </w:rPr>
            </w:r>
            <w:r w:rsidR="00C86EFE">
              <w:rPr>
                <w:webHidden/>
              </w:rPr>
              <w:fldChar w:fldCharType="separate"/>
            </w:r>
            <w:r w:rsidR="00F34DDD">
              <w:rPr>
                <w:webHidden/>
              </w:rPr>
              <w:t>60</w:t>
            </w:r>
            <w:r w:rsidR="00C86EFE">
              <w:rPr>
                <w:webHidden/>
              </w:rPr>
              <w:fldChar w:fldCharType="end"/>
            </w:r>
          </w:hyperlink>
        </w:p>
        <w:p w14:paraId="70B8665C" w14:textId="7570C4A0" w:rsidR="00C86EFE" w:rsidRDefault="00EC26B7" w:rsidP="00C86EFE">
          <w:pPr>
            <w:pStyle w:val="TOC2"/>
            <w:rPr>
              <w:rFonts w:eastAsiaTheme="minorEastAsia" w:cstheme="minorBidi"/>
              <w:noProof/>
              <w:szCs w:val="22"/>
            </w:rPr>
          </w:pPr>
          <w:hyperlink w:anchor="_Toc121826740" w:history="1">
            <w:r w:rsidR="00C86EFE" w:rsidRPr="001A457F">
              <w:rPr>
                <w:rStyle w:val="Hyperlink"/>
                <w:noProof/>
              </w:rPr>
              <w:t>Appendix 1: Data source description</w:t>
            </w:r>
            <w:r w:rsidR="00C86EFE">
              <w:rPr>
                <w:noProof/>
                <w:webHidden/>
              </w:rPr>
              <w:tab/>
            </w:r>
            <w:r w:rsidR="00C86EFE">
              <w:rPr>
                <w:noProof/>
                <w:webHidden/>
              </w:rPr>
              <w:fldChar w:fldCharType="begin"/>
            </w:r>
            <w:r w:rsidR="00C86EFE">
              <w:rPr>
                <w:noProof/>
                <w:webHidden/>
              </w:rPr>
              <w:instrText xml:space="preserve"> PAGEREF _Toc121826740 \h </w:instrText>
            </w:r>
            <w:r w:rsidR="00C86EFE">
              <w:rPr>
                <w:noProof/>
                <w:webHidden/>
              </w:rPr>
            </w:r>
            <w:r w:rsidR="00C86EFE">
              <w:rPr>
                <w:noProof/>
                <w:webHidden/>
              </w:rPr>
              <w:fldChar w:fldCharType="separate"/>
            </w:r>
            <w:r w:rsidR="00F34DDD">
              <w:rPr>
                <w:noProof/>
                <w:webHidden/>
              </w:rPr>
              <w:t>60</w:t>
            </w:r>
            <w:r w:rsidR="00C86EFE">
              <w:rPr>
                <w:noProof/>
                <w:webHidden/>
              </w:rPr>
              <w:fldChar w:fldCharType="end"/>
            </w:r>
          </w:hyperlink>
        </w:p>
        <w:p w14:paraId="6D3BBD2C" w14:textId="2715DBF0" w:rsidR="00C86EFE" w:rsidRDefault="00EC26B7" w:rsidP="00C86EFE">
          <w:pPr>
            <w:pStyle w:val="TOC3"/>
            <w:rPr>
              <w:rFonts w:asciiTheme="minorHAnsi" w:eastAsiaTheme="minorEastAsia" w:hAnsiTheme="minorHAnsi" w:cstheme="minorBidi"/>
              <w:kern w:val="0"/>
              <w:szCs w:val="22"/>
            </w:rPr>
          </w:pPr>
          <w:hyperlink w:anchor="_Toc121826741" w:history="1">
            <w:r w:rsidR="00C86EFE" w:rsidRPr="001A457F">
              <w:rPr>
                <w:rStyle w:val="Hyperlink"/>
              </w:rPr>
              <w:t xml:space="preserve">A1.1 About the Pharmaceutical Benefits Scheme and </w:t>
            </w:r>
            <w:r w:rsidR="00C86EFE">
              <w:rPr>
                <w:rStyle w:val="Hyperlink"/>
              </w:rPr>
              <w:br/>
            </w:r>
            <w:r w:rsidR="00C86EFE" w:rsidRPr="001A457F">
              <w:rPr>
                <w:rStyle w:val="Hyperlink"/>
              </w:rPr>
              <w:t>Repatriation Pharmaceutical Benefits Scheme</w:t>
            </w:r>
            <w:r w:rsidR="00C86EFE">
              <w:rPr>
                <w:webHidden/>
              </w:rPr>
              <w:tab/>
            </w:r>
            <w:r w:rsidR="00C86EFE">
              <w:rPr>
                <w:webHidden/>
              </w:rPr>
              <w:fldChar w:fldCharType="begin"/>
            </w:r>
            <w:r w:rsidR="00C86EFE">
              <w:rPr>
                <w:webHidden/>
              </w:rPr>
              <w:instrText xml:space="preserve"> PAGEREF _Toc121826741 \h </w:instrText>
            </w:r>
            <w:r w:rsidR="00C86EFE">
              <w:rPr>
                <w:webHidden/>
              </w:rPr>
            </w:r>
            <w:r w:rsidR="00C86EFE">
              <w:rPr>
                <w:webHidden/>
              </w:rPr>
              <w:fldChar w:fldCharType="separate"/>
            </w:r>
            <w:r w:rsidR="00F34DDD">
              <w:rPr>
                <w:webHidden/>
              </w:rPr>
              <w:t>60</w:t>
            </w:r>
            <w:r w:rsidR="00C86EFE">
              <w:rPr>
                <w:webHidden/>
              </w:rPr>
              <w:fldChar w:fldCharType="end"/>
            </w:r>
          </w:hyperlink>
        </w:p>
        <w:p w14:paraId="27D5349A" w14:textId="6E43E7C8" w:rsidR="00C86EFE" w:rsidRDefault="00EC26B7" w:rsidP="00C86EFE">
          <w:pPr>
            <w:pStyle w:val="TOC3"/>
            <w:rPr>
              <w:rFonts w:asciiTheme="minorHAnsi" w:eastAsiaTheme="minorEastAsia" w:hAnsiTheme="minorHAnsi" w:cstheme="minorBidi"/>
              <w:kern w:val="0"/>
              <w:szCs w:val="22"/>
            </w:rPr>
          </w:pPr>
          <w:hyperlink w:anchor="_Toc121826742" w:history="1">
            <w:r w:rsidR="00C86EFE" w:rsidRPr="001A457F">
              <w:rPr>
                <w:rStyle w:val="Hyperlink"/>
              </w:rPr>
              <w:t>A1.2 About NPS MedicineWise MedicineInsight program</w:t>
            </w:r>
            <w:r w:rsidR="00C86EFE">
              <w:rPr>
                <w:webHidden/>
              </w:rPr>
              <w:tab/>
            </w:r>
            <w:r w:rsidR="00C86EFE">
              <w:rPr>
                <w:webHidden/>
              </w:rPr>
              <w:fldChar w:fldCharType="begin"/>
            </w:r>
            <w:r w:rsidR="00C86EFE">
              <w:rPr>
                <w:webHidden/>
              </w:rPr>
              <w:instrText xml:space="preserve"> PAGEREF _Toc121826742 \h </w:instrText>
            </w:r>
            <w:r w:rsidR="00C86EFE">
              <w:rPr>
                <w:webHidden/>
              </w:rPr>
            </w:r>
            <w:r w:rsidR="00C86EFE">
              <w:rPr>
                <w:webHidden/>
              </w:rPr>
              <w:fldChar w:fldCharType="separate"/>
            </w:r>
            <w:r w:rsidR="00F34DDD">
              <w:rPr>
                <w:webHidden/>
              </w:rPr>
              <w:t>60</w:t>
            </w:r>
            <w:r w:rsidR="00C86EFE">
              <w:rPr>
                <w:webHidden/>
              </w:rPr>
              <w:fldChar w:fldCharType="end"/>
            </w:r>
          </w:hyperlink>
        </w:p>
        <w:p w14:paraId="394FB5E9" w14:textId="670B10F6" w:rsidR="00C86EFE" w:rsidRDefault="00EC26B7" w:rsidP="00C86EFE">
          <w:pPr>
            <w:pStyle w:val="TOC2"/>
            <w:rPr>
              <w:rFonts w:eastAsiaTheme="minorEastAsia" w:cstheme="minorBidi"/>
              <w:noProof/>
              <w:szCs w:val="22"/>
            </w:rPr>
          </w:pPr>
          <w:hyperlink w:anchor="_Toc121826743" w:history="1">
            <w:r w:rsidR="00C86EFE" w:rsidRPr="001A457F">
              <w:rPr>
                <w:rStyle w:val="Hyperlink"/>
                <w:noProof/>
              </w:rPr>
              <w:t>Appendix 2: Terminology</w:t>
            </w:r>
            <w:r w:rsidR="00C86EFE">
              <w:rPr>
                <w:noProof/>
                <w:webHidden/>
              </w:rPr>
              <w:tab/>
            </w:r>
            <w:r w:rsidR="00C86EFE">
              <w:rPr>
                <w:noProof/>
                <w:webHidden/>
              </w:rPr>
              <w:fldChar w:fldCharType="begin"/>
            </w:r>
            <w:r w:rsidR="00C86EFE">
              <w:rPr>
                <w:noProof/>
                <w:webHidden/>
              </w:rPr>
              <w:instrText xml:space="preserve"> PAGEREF _Toc121826743 \h </w:instrText>
            </w:r>
            <w:r w:rsidR="00C86EFE">
              <w:rPr>
                <w:noProof/>
                <w:webHidden/>
              </w:rPr>
            </w:r>
            <w:r w:rsidR="00C86EFE">
              <w:rPr>
                <w:noProof/>
                <w:webHidden/>
              </w:rPr>
              <w:fldChar w:fldCharType="separate"/>
            </w:r>
            <w:r w:rsidR="00F34DDD">
              <w:rPr>
                <w:noProof/>
                <w:webHidden/>
              </w:rPr>
              <w:t>62</w:t>
            </w:r>
            <w:r w:rsidR="00C86EFE">
              <w:rPr>
                <w:noProof/>
                <w:webHidden/>
              </w:rPr>
              <w:fldChar w:fldCharType="end"/>
            </w:r>
          </w:hyperlink>
        </w:p>
        <w:p w14:paraId="42028DCD" w14:textId="63DB7F3D" w:rsidR="00C86EFE" w:rsidRDefault="00EC26B7" w:rsidP="00C86EFE">
          <w:pPr>
            <w:pStyle w:val="TOC3"/>
            <w:rPr>
              <w:rFonts w:asciiTheme="minorHAnsi" w:eastAsiaTheme="minorEastAsia" w:hAnsiTheme="minorHAnsi" w:cstheme="minorBidi"/>
              <w:kern w:val="0"/>
              <w:szCs w:val="22"/>
            </w:rPr>
          </w:pPr>
          <w:hyperlink w:anchor="_Toc121826744" w:history="1">
            <w:r w:rsidR="00C86EFE" w:rsidRPr="001A457F">
              <w:rPr>
                <w:rStyle w:val="Hyperlink"/>
              </w:rPr>
              <w:t>A2.1 Abbreviations and acronyms</w:t>
            </w:r>
            <w:r w:rsidR="00C86EFE">
              <w:rPr>
                <w:webHidden/>
              </w:rPr>
              <w:tab/>
            </w:r>
            <w:r w:rsidR="00C86EFE">
              <w:rPr>
                <w:webHidden/>
              </w:rPr>
              <w:fldChar w:fldCharType="begin"/>
            </w:r>
            <w:r w:rsidR="00C86EFE">
              <w:rPr>
                <w:webHidden/>
              </w:rPr>
              <w:instrText xml:space="preserve"> PAGEREF _Toc121826744 \h </w:instrText>
            </w:r>
            <w:r w:rsidR="00C86EFE">
              <w:rPr>
                <w:webHidden/>
              </w:rPr>
            </w:r>
            <w:r w:rsidR="00C86EFE">
              <w:rPr>
                <w:webHidden/>
              </w:rPr>
              <w:fldChar w:fldCharType="separate"/>
            </w:r>
            <w:r w:rsidR="00F34DDD">
              <w:rPr>
                <w:webHidden/>
              </w:rPr>
              <w:t>62</w:t>
            </w:r>
            <w:r w:rsidR="00C86EFE">
              <w:rPr>
                <w:webHidden/>
              </w:rPr>
              <w:fldChar w:fldCharType="end"/>
            </w:r>
          </w:hyperlink>
        </w:p>
        <w:p w14:paraId="7706C95C" w14:textId="6C0B60D5" w:rsidR="00C86EFE" w:rsidRDefault="00EC26B7" w:rsidP="00C86EFE">
          <w:pPr>
            <w:pStyle w:val="TOC3"/>
            <w:rPr>
              <w:rFonts w:asciiTheme="minorHAnsi" w:eastAsiaTheme="minorEastAsia" w:hAnsiTheme="minorHAnsi" w:cstheme="minorBidi"/>
              <w:kern w:val="0"/>
              <w:szCs w:val="22"/>
            </w:rPr>
          </w:pPr>
          <w:hyperlink w:anchor="_Toc121826745" w:history="1">
            <w:r w:rsidR="00C86EFE" w:rsidRPr="001A457F">
              <w:rPr>
                <w:rStyle w:val="Hyperlink"/>
              </w:rPr>
              <w:t>A2.2 Common terms</w:t>
            </w:r>
            <w:r w:rsidR="00C86EFE">
              <w:rPr>
                <w:webHidden/>
              </w:rPr>
              <w:tab/>
            </w:r>
            <w:r w:rsidR="00C86EFE">
              <w:rPr>
                <w:webHidden/>
              </w:rPr>
              <w:fldChar w:fldCharType="begin"/>
            </w:r>
            <w:r w:rsidR="00C86EFE">
              <w:rPr>
                <w:webHidden/>
              </w:rPr>
              <w:instrText xml:space="preserve"> PAGEREF _Toc121826745 \h </w:instrText>
            </w:r>
            <w:r w:rsidR="00C86EFE">
              <w:rPr>
                <w:webHidden/>
              </w:rPr>
            </w:r>
            <w:r w:rsidR="00C86EFE">
              <w:rPr>
                <w:webHidden/>
              </w:rPr>
              <w:fldChar w:fldCharType="separate"/>
            </w:r>
            <w:r w:rsidR="00F34DDD">
              <w:rPr>
                <w:webHidden/>
              </w:rPr>
              <w:t>63</w:t>
            </w:r>
            <w:r w:rsidR="00C86EFE">
              <w:rPr>
                <w:webHidden/>
              </w:rPr>
              <w:fldChar w:fldCharType="end"/>
            </w:r>
          </w:hyperlink>
        </w:p>
        <w:p w14:paraId="5A67D118" w14:textId="7D3F463D" w:rsidR="00C86EFE" w:rsidRDefault="00EC26B7" w:rsidP="00C86EFE">
          <w:pPr>
            <w:pStyle w:val="TOC3"/>
            <w:rPr>
              <w:rFonts w:asciiTheme="minorHAnsi" w:eastAsiaTheme="minorEastAsia" w:hAnsiTheme="minorHAnsi" w:cstheme="minorBidi"/>
              <w:kern w:val="0"/>
              <w:szCs w:val="22"/>
            </w:rPr>
          </w:pPr>
          <w:hyperlink w:anchor="_Toc121826746" w:history="1">
            <w:r w:rsidR="00C86EFE" w:rsidRPr="001A457F">
              <w:rPr>
                <w:rStyle w:val="Hyperlink"/>
              </w:rPr>
              <w:t>A2.3 Antimicrobial, antibacterial or antibiotic?</w:t>
            </w:r>
            <w:r w:rsidR="00C86EFE">
              <w:rPr>
                <w:webHidden/>
              </w:rPr>
              <w:tab/>
            </w:r>
            <w:r w:rsidR="00C86EFE">
              <w:rPr>
                <w:webHidden/>
              </w:rPr>
              <w:fldChar w:fldCharType="begin"/>
            </w:r>
            <w:r w:rsidR="00C86EFE">
              <w:rPr>
                <w:webHidden/>
              </w:rPr>
              <w:instrText xml:space="preserve"> PAGEREF _Toc121826746 \h </w:instrText>
            </w:r>
            <w:r w:rsidR="00C86EFE">
              <w:rPr>
                <w:webHidden/>
              </w:rPr>
            </w:r>
            <w:r w:rsidR="00C86EFE">
              <w:rPr>
                <w:webHidden/>
              </w:rPr>
              <w:fldChar w:fldCharType="separate"/>
            </w:r>
            <w:r w:rsidR="00F34DDD">
              <w:rPr>
                <w:webHidden/>
              </w:rPr>
              <w:t>65</w:t>
            </w:r>
            <w:r w:rsidR="00C86EFE">
              <w:rPr>
                <w:webHidden/>
              </w:rPr>
              <w:fldChar w:fldCharType="end"/>
            </w:r>
          </w:hyperlink>
        </w:p>
        <w:p w14:paraId="5BCD7D87" w14:textId="02303317" w:rsidR="00C86EFE" w:rsidRDefault="00EC26B7" w:rsidP="00C86EFE">
          <w:pPr>
            <w:pStyle w:val="TOC2"/>
            <w:rPr>
              <w:rFonts w:eastAsiaTheme="minorEastAsia" w:cstheme="minorBidi"/>
              <w:noProof/>
              <w:szCs w:val="22"/>
            </w:rPr>
          </w:pPr>
          <w:hyperlink w:anchor="_Toc121826747" w:history="1">
            <w:r w:rsidR="00C86EFE" w:rsidRPr="001A457F">
              <w:rPr>
                <w:rStyle w:val="Hyperlink"/>
                <w:noProof/>
              </w:rPr>
              <w:t>Appendix 3: Supplementary Data</w:t>
            </w:r>
            <w:r w:rsidR="00C86EFE">
              <w:rPr>
                <w:noProof/>
                <w:webHidden/>
              </w:rPr>
              <w:tab/>
            </w:r>
            <w:r w:rsidR="00C86EFE">
              <w:rPr>
                <w:noProof/>
                <w:webHidden/>
              </w:rPr>
              <w:fldChar w:fldCharType="begin"/>
            </w:r>
            <w:r w:rsidR="00C86EFE">
              <w:rPr>
                <w:noProof/>
                <w:webHidden/>
              </w:rPr>
              <w:instrText xml:space="preserve"> PAGEREF _Toc121826747 \h </w:instrText>
            </w:r>
            <w:r w:rsidR="00C86EFE">
              <w:rPr>
                <w:noProof/>
                <w:webHidden/>
              </w:rPr>
            </w:r>
            <w:r w:rsidR="00C86EFE">
              <w:rPr>
                <w:noProof/>
                <w:webHidden/>
              </w:rPr>
              <w:fldChar w:fldCharType="separate"/>
            </w:r>
            <w:r w:rsidR="00F34DDD">
              <w:rPr>
                <w:noProof/>
                <w:webHidden/>
              </w:rPr>
              <w:t>66</w:t>
            </w:r>
            <w:r w:rsidR="00C86EFE">
              <w:rPr>
                <w:noProof/>
                <w:webHidden/>
              </w:rPr>
              <w:fldChar w:fldCharType="end"/>
            </w:r>
          </w:hyperlink>
        </w:p>
        <w:p w14:paraId="15DCB7C7" w14:textId="75558EE3" w:rsidR="009D663E" w:rsidRPr="009D663E" w:rsidRDefault="005741D2" w:rsidP="00C86EFE">
          <w:pPr>
            <w:tabs>
              <w:tab w:val="right" w:leader="dot" w:pos="9072"/>
            </w:tabs>
            <w:ind w:right="261"/>
            <w:rPr>
              <w:rFonts w:cstheme="minorHAnsi"/>
              <w:b/>
              <w:bCs/>
              <w:noProof/>
              <w:color w:val="595959" w:themeColor="text1" w:themeTint="A6"/>
              <w:sz w:val="24"/>
              <w:szCs w:val="20"/>
            </w:rPr>
          </w:pPr>
          <w:r>
            <w:rPr>
              <w:rFonts w:cstheme="minorHAnsi"/>
              <w:b/>
              <w:bCs/>
              <w:noProof/>
              <w:color w:val="595959" w:themeColor="text1" w:themeTint="A6"/>
              <w:sz w:val="24"/>
              <w:szCs w:val="20"/>
            </w:rPr>
            <w:fldChar w:fldCharType="end"/>
          </w:r>
        </w:p>
      </w:sdtContent>
    </w:sdt>
    <w:p w14:paraId="668EEB9F" w14:textId="77777777" w:rsidR="00625242" w:rsidRDefault="00D11AD0" w:rsidP="00625242">
      <w:pPr>
        <w:pStyle w:val="Heading3"/>
      </w:pPr>
      <w:r w:rsidRPr="00F46944">
        <w:br w:type="page"/>
      </w:r>
      <w:bookmarkStart w:id="8" w:name="_Toc121826716"/>
      <w:r w:rsidR="00625242">
        <w:lastRenderedPageBreak/>
        <w:t>List of Tables</w:t>
      </w:r>
      <w:bookmarkEnd w:id="8"/>
    </w:p>
    <w:p w14:paraId="4A05F9AD" w14:textId="69A55899" w:rsidR="00C16B8F" w:rsidRDefault="00625242">
      <w:pPr>
        <w:pStyle w:val="TableofFigures"/>
        <w:tabs>
          <w:tab w:val="right" w:leader="dot" w:pos="9465"/>
        </w:tabs>
        <w:rPr>
          <w:rFonts w:eastAsiaTheme="minorEastAsia" w:cstheme="minorBidi"/>
          <w:noProof/>
        </w:rPr>
      </w:pPr>
      <w:r>
        <w:fldChar w:fldCharType="begin"/>
      </w:r>
      <w:r>
        <w:instrText xml:space="preserve"> TOC \h \z \c "Table" </w:instrText>
      </w:r>
      <w:r>
        <w:fldChar w:fldCharType="separate"/>
      </w:r>
      <w:hyperlink w:anchor="_Toc121744361" w:history="1">
        <w:r w:rsidR="00C16B8F" w:rsidRPr="003F383B">
          <w:rPr>
            <w:rStyle w:val="Hyperlink"/>
            <w:noProof/>
          </w:rPr>
          <w:t>Table 1: PBS/RPBS community antimicrobial use data source</w:t>
        </w:r>
        <w:r w:rsidR="00C16B8F">
          <w:rPr>
            <w:noProof/>
            <w:webHidden/>
          </w:rPr>
          <w:tab/>
        </w:r>
        <w:r w:rsidR="00C16B8F">
          <w:rPr>
            <w:noProof/>
            <w:webHidden/>
          </w:rPr>
          <w:fldChar w:fldCharType="begin"/>
        </w:r>
        <w:r w:rsidR="00C16B8F">
          <w:rPr>
            <w:noProof/>
            <w:webHidden/>
          </w:rPr>
          <w:instrText xml:space="preserve"> PAGEREF _Toc121744361 \h </w:instrText>
        </w:r>
        <w:r w:rsidR="00C16B8F">
          <w:rPr>
            <w:noProof/>
            <w:webHidden/>
          </w:rPr>
        </w:r>
        <w:r w:rsidR="00C16B8F">
          <w:rPr>
            <w:noProof/>
            <w:webHidden/>
          </w:rPr>
          <w:fldChar w:fldCharType="separate"/>
        </w:r>
        <w:r w:rsidR="00F34DDD">
          <w:rPr>
            <w:noProof/>
            <w:webHidden/>
          </w:rPr>
          <w:t>10</w:t>
        </w:r>
        <w:r w:rsidR="00C16B8F">
          <w:rPr>
            <w:noProof/>
            <w:webHidden/>
          </w:rPr>
          <w:fldChar w:fldCharType="end"/>
        </w:r>
      </w:hyperlink>
    </w:p>
    <w:p w14:paraId="62484979" w14:textId="74003471" w:rsidR="00C16B8F" w:rsidRDefault="00EC26B7">
      <w:pPr>
        <w:pStyle w:val="TableofFigures"/>
        <w:tabs>
          <w:tab w:val="right" w:leader="dot" w:pos="9465"/>
        </w:tabs>
        <w:rPr>
          <w:rFonts w:eastAsiaTheme="minorEastAsia" w:cstheme="minorBidi"/>
          <w:noProof/>
        </w:rPr>
      </w:pPr>
      <w:hyperlink w:anchor="_Toc121744362" w:history="1">
        <w:r w:rsidR="00C16B8F" w:rsidRPr="003F383B">
          <w:rPr>
            <w:rStyle w:val="Hyperlink"/>
            <w:noProof/>
          </w:rPr>
          <w:t>Table 2: Antimicrobials included in the analyses of PBS/RPBS data, 2015–2021</w:t>
        </w:r>
        <w:r w:rsidR="00C16B8F">
          <w:rPr>
            <w:noProof/>
            <w:webHidden/>
          </w:rPr>
          <w:tab/>
        </w:r>
        <w:r w:rsidR="00C16B8F">
          <w:rPr>
            <w:noProof/>
            <w:webHidden/>
          </w:rPr>
          <w:fldChar w:fldCharType="begin"/>
        </w:r>
        <w:r w:rsidR="00C16B8F">
          <w:rPr>
            <w:noProof/>
            <w:webHidden/>
          </w:rPr>
          <w:instrText xml:space="preserve"> PAGEREF _Toc121744362 \h </w:instrText>
        </w:r>
        <w:r w:rsidR="00C16B8F">
          <w:rPr>
            <w:noProof/>
            <w:webHidden/>
          </w:rPr>
        </w:r>
        <w:r w:rsidR="00C16B8F">
          <w:rPr>
            <w:noProof/>
            <w:webHidden/>
          </w:rPr>
          <w:fldChar w:fldCharType="separate"/>
        </w:r>
        <w:r w:rsidR="00F34DDD">
          <w:rPr>
            <w:noProof/>
            <w:webHidden/>
          </w:rPr>
          <w:t>11</w:t>
        </w:r>
        <w:r w:rsidR="00C16B8F">
          <w:rPr>
            <w:noProof/>
            <w:webHidden/>
          </w:rPr>
          <w:fldChar w:fldCharType="end"/>
        </w:r>
      </w:hyperlink>
    </w:p>
    <w:p w14:paraId="0A3788D1" w14:textId="696DFF6E" w:rsidR="00C16B8F" w:rsidRDefault="00EC26B7">
      <w:pPr>
        <w:pStyle w:val="TableofFigures"/>
        <w:tabs>
          <w:tab w:val="right" w:leader="dot" w:pos="9465"/>
        </w:tabs>
        <w:rPr>
          <w:rFonts w:eastAsiaTheme="minorEastAsia" w:cstheme="minorBidi"/>
          <w:noProof/>
        </w:rPr>
      </w:pPr>
      <w:hyperlink w:anchor="_Toc121744363" w:history="1">
        <w:r w:rsidR="00C16B8F" w:rsidRPr="003F383B">
          <w:rPr>
            <w:rStyle w:val="Hyperlink"/>
            <w:noProof/>
          </w:rPr>
          <w:t>Table 3: NPS MedicineWise community antimicrobial use data source</w:t>
        </w:r>
        <w:r w:rsidR="00C16B8F">
          <w:rPr>
            <w:noProof/>
            <w:webHidden/>
          </w:rPr>
          <w:tab/>
        </w:r>
        <w:r w:rsidR="00C16B8F">
          <w:rPr>
            <w:noProof/>
            <w:webHidden/>
          </w:rPr>
          <w:fldChar w:fldCharType="begin"/>
        </w:r>
        <w:r w:rsidR="00C16B8F">
          <w:rPr>
            <w:noProof/>
            <w:webHidden/>
          </w:rPr>
          <w:instrText xml:space="preserve"> PAGEREF _Toc121744363 \h </w:instrText>
        </w:r>
        <w:r w:rsidR="00C16B8F">
          <w:rPr>
            <w:noProof/>
            <w:webHidden/>
          </w:rPr>
        </w:r>
        <w:r w:rsidR="00C16B8F">
          <w:rPr>
            <w:noProof/>
            <w:webHidden/>
          </w:rPr>
          <w:fldChar w:fldCharType="separate"/>
        </w:r>
        <w:r w:rsidR="00F34DDD">
          <w:rPr>
            <w:noProof/>
            <w:webHidden/>
          </w:rPr>
          <w:t>13</w:t>
        </w:r>
        <w:r w:rsidR="00C16B8F">
          <w:rPr>
            <w:noProof/>
            <w:webHidden/>
          </w:rPr>
          <w:fldChar w:fldCharType="end"/>
        </w:r>
      </w:hyperlink>
    </w:p>
    <w:p w14:paraId="0F8875F2" w14:textId="0F64A761" w:rsidR="00C16B8F" w:rsidRDefault="00EC26B7">
      <w:pPr>
        <w:pStyle w:val="TableofFigures"/>
        <w:tabs>
          <w:tab w:val="right" w:leader="dot" w:pos="9465"/>
        </w:tabs>
        <w:rPr>
          <w:rFonts w:eastAsiaTheme="minorEastAsia" w:cstheme="minorBidi"/>
          <w:noProof/>
        </w:rPr>
      </w:pPr>
      <w:hyperlink w:anchor="_Toc121744364" w:history="1">
        <w:r w:rsidR="00C16B8F" w:rsidRPr="003F383B">
          <w:rPr>
            <w:rStyle w:val="Hyperlink"/>
            <w:noProof/>
          </w:rPr>
          <w:t>Table 4: NPS Medicinewise MedicineInsight data definitions</w:t>
        </w:r>
        <w:r w:rsidR="00C16B8F">
          <w:rPr>
            <w:noProof/>
            <w:webHidden/>
          </w:rPr>
          <w:tab/>
        </w:r>
        <w:r w:rsidR="00C16B8F">
          <w:rPr>
            <w:noProof/>
            <w:webHidden/>
          </w:rPr>
          <w:fldChar w:fldCharType="begin"/>
        </w:r>
        <w:r w:rsidR="00C16B8F">
          <w:rPr>
            <w:noProof/>
            <w:webHidden/>
          </w:rPr>
          <w:instrText xml:space="preserve"> PAGEREF _Toc121744364 \h </w:instrText>
        </w:r>
        <w:r w:rsidR="00C16B8F">
          <w:rPr>
            <w:noProof/>
            <w:webHidden/>
          </w:rPr>
        </w:r>
        <w:r w:rsidR="00C16B8F">
          <w:rPr>
            <w:noProof/>
            <w:webHidden/>
          </w:rPr>
          <w:fldChar w:fldCharType="separate"/>
        </w:r>
        <w:r w:rsidR="00F34DDD">
          <w:rPr>
            <w:noProof/>
            <w:webHidden/>
          </w:rPr>
          <w:t>16</w:t>
        </w:r>
        <w:r w:rsidR="00C16B8F">
          <w:rPr>
            <w:noProof/>
            <w:webHidden/>
          </w:rPr>
          <w:fldChar w:fldCharType="end"/>
        </w:r>
      </w:hyperlink>
    </w:p>
    <w:p w14:paraId="01218B5A" w14:textId="7BDA1993" w:rsidR="00C16B8F" w:rsidRDefault="00EC26B7">
      <w:pPr>
        <w:pStyle w:val="TableofFigures"/>
        <w:tabs>
          <w:tab w:val="right" w:leader="dot" w:pos="9465"/>
        </w:tabs>
        <w:rPr>
          <w:rFonts w:eastAsiaTheme="minorEastAsia" w:cstheme="minorBidi"/>
          <w:noProof/>
        </w:rPr>
      </w:pPr>
      <w:hyperlink w:anchor="_Toc121744365" w:history="1">
        <w:r w:rsidR="00C16B8F" w:rsidRPr="003F383B">
          <w:rPr>
            <w:rStyle w:val="Hyperlink"/>
            <w:noProof/>
          </w:rPr>
          <w:t>Table 5: Number of PBS/RPBS antimicrobial prescriptions dispensed, 2015–2021</w:t>
        </w:r>
        <w:r w:rsidR="00C16B8F">
          <w:rPr>
            <w:noProof/>
            <w:webHidden/>
          </w:rPr>
          <w:tab/>
        </w:r>
        <w:r w:rsidR="00C16B8F">
          <w:rPr>
            <w:noProof/>
            <w:webHidden/>
          </w:rPr>
          <w:fldChar w:fldCharType="begin"/>
        </w:r>
        <w:r w:rsidR="00C16B8F">
          <w:rPr>
            <w:noProof/>
            <w:webHidden/>
          </w:rPr>
          <w:instrText xml:space="preserve"> PAGEREF _Toc121744365 \h </w:instrText>
        </w:r>
        <w:r w:rsidR="00C16B8F">
          <w:rPr>
            <w:noProof/>
            <w:webHidden/>
          </w:rPr>
        </w:r>
        <w:r w:rsidR="00C16B8F">
          <w:rPr>
            <w:noProof/>
            <w:webHidden/>
          </w:rPr>
          <w:fldChar w:fldCharType="separate"/>
        </w:r>
        <w:r w:rsidR="00F34DDD">
          <w:rPr>
            <w:noProof/>
            <w:webHidden/>
          </w:rPr>
          <w:t>20</w:t>
        </w:r>
        <w:r w:rsidR="00C16B8F">
          <w:rPr>
            <w:noProof/>
            <w:webHidden/>
          </w:rPr>
          <w:fldChar w:fldCharType="end"/>
        </w:r>
      </w:hyperlink>
    </w:p>
    <w:p w14:paraId="7EEBA547" w14:textId="117AF093" w:rsidR="00C16B8F" w:rsidRDefault="00EC26B7">
      <w:pPr>
        <w:pStyle w:val="TableofFigures"/>
        <w:tabs>
          <w:tab w:val="right" w:leader="dot" w:pos="9465"/>
        </w:tabs>
        <w:rPr>
          <w:rFonts w:eastAsiaTheme="minorEastAsia" w:cstheme="minorBidi"/>
          <w:noProof/>
        </w:rPr>
      </w:pPr>
      <w:hyperlink w:anchor="_Toc121744366" w:history="1">
        <w:r w:rsidR="00C16B8F" w:rsidRPr="003F383B">
          <w:rPr>
            <w:rStyle w:val="Hyperlink"/>
            <w:noProof/>
          </w:rPr>
          <w:t>Table 6: Highest and lowest PBS/RPBS antimicrobial dispensing rates per 1,000 people, age standardised, by SA3, 2019–2021</w:t>
        </w:r>
        <w:r w:rsidR="00C16B8F">
          <w:rPr>
            <w:noProof/>
            <w:webHidden/>
          </w:rPr>
          <w:tab/>
        </w:r>
        <w:r w:rsidR="00C16B8F">
          <w:rPr>
            <w:noProof/>
            <w:webHidden/>
          </w:rPr>
          <w:fldChar w:fldCharType="begin"/>
        </w:r>
        <w:r w:rsidR="00C16B8F">
          <w:rPr>
            <w:noProof/>
            <w:webHidden/>
          </w:rPr>
          <w:instrText xml:space="preserve"> PAGEREF _Toc121744366 \h </w:instrText>
        </w:r>
        <w:r w:rsidR="00C16B8F">
          <w:rPr>
            <w:noProof/>
            <w:webHidden/>
          </w:rPr>
        </w:r>
        <w:r w:rsidR="00C16B8F">
          <w:rPr>
            <w:noProof/>
            <w:webHidden/>
          </w:rPr>
          <w:fldChar w:fldCharType="separate"/>
        </w:r>
        <w:r w:rsidR="00F34DDD">
          <w:rPr>
            <w:noProof/>
            <w:webHidden/>
          </w:rPr>
          <w:t>23</w:t>
        </w:r>
        <w:r w:rsidR="00C16B8F">
          <w:rPr>
            <w:noProof/>
            <w:webHidden/>
          </w:rPr>
          <w:fldChar w:fldCharType="end"/>
        </w:r>
      </w:hyperlink>
    </w:p>
    <w:p w14:paraId="31308DBB" w14:textId="2EE45FF5" w:rsidR="00C16B8F" w:rsidRDefault="00EC26B7">
      <w:pPr>
        <w:pStyle w:val="TableofFigures"/>
        <w:tabs>
          <w:tab w:val="right" w:leader="dot" w:pos="9465"/>
        </w:tabs>
        <w:rPr>
          <w:rFonts w:eastAsiaTheme="minorEastAsia" w:cstheme="minorBidi"/>
          <w:noProof/>
        </w:rPr>
      </w:pPr>
      <w:hyperlink w:anchor="_Toc121744367" w:history="1">
        <w:r w:rsidR="00C16B8F" w:rsidRPr="003F383B">
          <w:rPr>
            <w:rStyle w:val="Hyperlink"/>
            <w:noProof/>
          </w:rPr>
          <w:t>Table 7: Number and percent of PBS/RPBS repeat antimicrobial prescriptions dispensed within 10 days of the original prescription being dispensed, 2019 and 2021</w:t>
        </w:r>
        <w:r w:rsidR="00C16B8F">
          <w:rPr>
            <w:noProof/>
            <w:webHidden/>
          </w:rPr>
          <w:tab/>
        </w:r>
        <w:r w:rsidR="00C16B8F">
          <w:rPr>
            <w:noProof/>
            <w:webHidden/>
          </w:rPr>
          <w:fldChar w:fldCharType="begin"/>
        </w:r>
        <w:r w:rsidR="00C16B8F">
          <w:rPr>
            <w:noProof/>
            <w:webHidden/>
          </w:rPr>
          <w:instrText xml:space="preserve"> PAGEREF _Toc121744367 \h </w:instrText>
        </w:r>
        <w:r w:rsidR="00C16B8F">
          <w:rPr>
            <w:noProof/>
            <w:webHidden/>
          </w:rPr>
        </w:r>
        <w:r w:rsidR="00C16B8F">
          <w:rPr>
            <w:noProof/>
            <w:webHidden/>
          </w:rPr>
          <w:fldChar w:fldCharType="separate"/>
        </w:r>
        <w:r w:rsidR="00F34DDD">
          <w:rPr>
            <w:noProof/>
            <w:webHidden/>
          </w:rPr>
          <w:t>27</w:t>
        </w:r>
        <w:r w:rsidR="00C16B8F">
          <w:rPr>
            <w:noProof/>
            <w:webHidden/>
          </w:rPr>
          <w:fldChar w:fldCharType="end"/>
        </w:r>
      </w:hyperlink>
    </w:p>
    <w:p w14:paraId="2EBA0465" w14:textId="2364DE20" w:rsidR="00C16B8F" w:rsidRPr="009F5589" w:rsidRDefault="00EC26B7">
      <w:pPr>
        <w:pStyle w:val="TableofFigures"/>
        <w:tabs>
          <w:tab w:val="right" w:leader="dot" w:pos="9465"/>
        </w:tabs>
        <w:rPr>
          <w:rFonts w:eastAsiaTheme="minorEastAsia" w:cstheme="minorBidi"/>
          <w:noProof/>
        </w:rPr>
      </w:pPr>
      <w:hyperlink w:anchor="_Toc121744368" w:history="1">
        <w:r w:rsidR="00C16B8F" w:rsidRPr="009F5589">
          <w:rPr>
            <w:rStyle w:val="Hyperlink"/>
            <w:noProof/>
          </w:rPr>
          <w:t>Table 8: Region of residence and socioeconomic status (represented by SEIFA decile) for patients prescribed antimicrobials, MedicineInsight practices, 2019–2021</w:t>
        </w:r>
        <w:r w:rsidR="00C16B8F" w:rsidRPr="009F5589">
          <w:rPr>
            <w:noProof/>
            <w:webHidden/>
          </w:rPr>
          <w:tab/>
        </w:r>
        <w:r w:rsidR="00C16B8F" w:rsidRPr="009F5589">
          <w:rPr>
            <w:noProof/>
            <w:webHidden/>
          </w:rPr>
          <w:fldChar w:fldCharType="begin"/>
        </w:r>
        <w:r w:rsidR="00C16B8F" w:rsidRPr="009F5589">
          <w:rPr>
            <w:noProof/>
            <w:webHidden/>
          </w:rPr>
          <w:instrText xml:space="preserve"> PAGEREF _Toc121744368 \h </w:instrText>
        </w:r>
        <w:r w:rsidR="00C16B8F" w:rsidRPr="009F5589">
          <w:rPr>
            <w:noProof/>
            <w:webHidden/>
          </w:rPr>
        </w:r>
        <w:r w:rsidR="00C16B8F" w:rsidRPr="009F5589">
          <w:rPr>
            <w:noProof/>
            <w:webHidden/>
          </w:rPr>
          <w:fldChar w:fldCharType="separate"/>
        </w:r>
        <w:r w:rsidR="00F34DDD">
          <w:rPr>
            <w:noProof/>
            <w:webHidden/>
          </w:rPr>
          <w:t>30</w:t>
        </w:r>
        <w:r w:rsidR="00C16B8F" w:rsidRPr="009F5589">
          <w:rPr>
            <w:noProof/>
            <w:webHidden/>
          </w:rPr>
          <w:fldChar w:fldCharType="end"/>
        </w:r>
      </w:hyperlink>
    </w:p>
    <w:p w14:paraId="314758C8" w14:textId="71E773DE" w:rsidR="00C16B8F" w:rsidRDefault="00EC26B7">
      <w:pPr>
        <w:pStyle w:val="TableofFigures"/>
        <w:tabs>
          <w:tab w:val="right" w:leader="dot" w:pos="9465"/>
        </w:tabs>
        <w:rPr>
          <w:rFonts w:eastAsiaTheme="minorEastAsia" w:cstheme="minorBidi"/>
          <w:noProof/>
        </w:rPr>
      </w:pPr>
      <w:hyperlink w:anchor="_Toc121744369" w:history="1">
        <w:r w:rsidR="00C16B8F" w:rsidRPr="003F383B">
          <w:rPr>
            <w:rStyle w:val="Hyperlink"/>
            <w:noProof/>
          </w:rPr>
          <w:t>Table 9:Patterns of GP prescribing for high use antimicrobials, MedicineInsight practices, 2021</w:t>
        </w:r>
        <w:r w:rsidR="00C16B8F">
          <w:rPr>
            <w:noProof/>
            <w:webHidden/>
          </w:rPr>
          <w:tab/>
        </w:r>
        <w:r w:rsidR="00C16B8F">
          <w:rPr>
            <w:noProof/>
            <w:webHidden/>
          </w:rPr>
          <w:fldChar w:fldCharType="begin"/>
        </w:r>
        <w:r w:rsidR="00C16B8F">
          <w:rPr>
            <w:noProof/>
            <w:webHidden/>
          </w:rPr>
          <w:instrText xml:space="preserve"> PAGEREF _Toc121744369 \h </w:instrText>
        </w:r>
        <w:r w:rsidR="00C16B8F">
          <w:rPr>
            <w:noProof/>
            <w:webHidden/>
          </w:rPr>
        </w:r>
        <w:r w:rsidR="00C16B8F">
          <w:rPr>
            <w:noProof/>
            <w:webHidden/>
          </w:rPr>
          <w:fldChar w:fldCharType="separate"/>
        </w:r>
        <w:r w:rsidR="00F34DDD">
          <w:rPr>
            <w:noProof/>
            <w:webHidden/>
          </w:rPr>
          <w:t>36</w:t>
        </w:r>
        <w:r w:rsidR="00C16B8F">
          <w:rPr>
            <w:noProof/>
            <w:webHidden/>
          </w:rPr>
          <w:fldChar w:fldCharType="end"/>
        </w:r>
      </w:hyperlink>
    </w:p>
    <w:p w14:paraId="1925AC14" w14:textId="725E96D7" w:rsidR="00C16B8F" w:rsidRDefault="00EC26B7">
      <w:pPr>
        <w:pStyle w:val="TableofFigures"/>
        <w:tabs>
          <w:tab w:val="right" w:leader="dot" w:pos="9465"/>
        </w:tabs>
        <w:rPr>
          <w:rFonts w:eastAsiaTheme="minorEastAsia" w:cstheme="minorBidi"/>
          <w:noProof/>
        </w:rPr>
      </w:pPr>
      <w:hyperlink w:anchor="_Toc121744370" w:history="1">
        <w:r w:rsidR="00C16B8F" w:rsidRPr="003F383B">
          <w:rPr>
            <w:rStyle w:val="Hyperlink"/>
            <w:noProof/>
          </w:rPr>
          <w:t>Table 10: Number and percentage of patients prescribed antimicrobials by GPs for selected conditions, MedicineInsight practices, 2020–2021</w:t>
        </w:r>
        <w:r w:rsidR="00C16B8F">
          <w:rPr>
            <w:noProof/>
            <w:webHidden/>
          </w:rPr>
          <w:tab/>
        </w:r>
        <w:r w:rsidR="00C16B8F">
          <w:rPr>
            <w:noProof/>
            <w:webHidden/>
          </w:rPr>
          <w:fldChar w:fldCharType="begin"/>
        </w:r>
        <w:r w:rsidR="00C16B8F">
          <w:rPr>
            <w:noProof/>
            <w:webHidden/>
          </w:rPr>
          <w:instrText xml:space="preserve"> PAGEREF _Toc121744370 \h </w:instrText>
        </w:r>
        <w:r w:rsidR="00C16B8F">
          <w:rPr>
            <w:noProof/>
            <w:webHidden/>
          </w:rPr>
        </w:r>
        <w:r w:rsidR="00C16B8F">
          <w:rPr>
            <w:noProof/>
            <w:webHidden/>
          </w:rPr>
          <w:fldChar w:fldCharType="separate"/>
        </w:r>
        <w:r w:rsidR="00F34DDD">
          <w:rPr>
            <w:noProof/>
            <w:webHidden/>
          </w:rPr>
          <w:t>39</w:t>
        </w:r>
        <w:r w:rsidR="00C16B8F">
          <w:rPr>
            <w:noProof/>
            <w:webHidden/>
          </w:rPr>
          <w:fldChar w:fldCharType="end"/>
        </w:r>
      </w:hyperlink>
    </w:p>
    <w:p w14:paraId="55473050" w14:textId="390C06B9" w:rsidR="00C16B8F" w:rsidRDefault="00EC26B7">
      <w:pPr>
        <w:pStyle w:val="TableofFigures"/>
        <w:tabs>
          <w:tab w:val="right" w:leader="dot" w:pos="9465"/>
        </w:tabs>
        <w:rPr>
          <w:rFonts w:eastAsiaTheme="minorEastAsia" w:cstheme="minorBidi"/>
          <w:noProof/>
        </w:rPr>
      </w:pPr>
      <w:hyperlink w:anchor="_Toc121744371" w:history="1">
        <w:r w:rsidR="00C16B8F" w:rsidRPr="003F383B">
          <w:rPr>
            <w:rStyle w:val="Hyperlink"/>
            <w:noProof/>
          </w:rPr>
          <w:t>Table 11: Number of PBS/RPBS antimicrobial prescriptions, 2019–2021 (year-to-year comparison)</w:t>
        </w:r>
        <w:r w:rsidR="00C16B8F">
          <w:rPr>
            <w:noProof/>
            <w:webHidden/>
          </w:rPr>
          <w:tab/>
        </w:r>
        <w:r w:rsidR="00C16B8F">
          <w:rPr>
            <w:noProof/>
            <w:webHidden/>
          </w:rPr>
          <w:fldChar w:fldCharType="begin"/>
        </w:r>
        <w:r w:rsidR="00C16B8F">
          <w:rPr>
            <w:noProof/>
            <w:webHidden/>
          </w:rPr>
          <w:instrText xml:space="preserve"> PAGEREF _Toc121744371 \h </w:instrText>
        </w:r>
        <w:r w:rsidR="00C16B8F">
          <w:rPr>
            <w:noProof/>
            <w:webHidden/>
          </w:rPr>
        </w:r>
        <w:r w:rsidR="00C16B8F">
          <w:rPr>
            <w:noProof/>
            <w:webHidden/>
          </w:rPr>
          <w:fldChar w:fldCharType="separate"/>
        </w:r>
        <w:r w:rsidR="00F34DDD">
          <w:rPr>
            <w:noProof/>
            <w:webHidden/>
          </w:rPr>
          <w:t>44</w:t>
        </w:r>
        <w:r w:rsidR="00C16B8F">
          <w:rPr>
            <w:noProof/>
            <w:webHidden/>
          </w:rPr>
          <w:fldChar w:fldCharType="end"/>
        </w:r>
      </w:hyperlink>
    </w:p>
    <w:p w14:paraId="27155DFB" w14:textId="240F5470" w:rsidR="00C16B8F" w:rsidRDefault="00EC26B7">
      <w:pPr>
        <w:pStyle w:val="TableofFigures"/>
        <w:tabs>
          <w:tab w:val="right" w:leader="dot" w:pos="9465"/>
        </w:tabs>
        <w:rPr>
          <w:rFonts w:eastAsiaTheme="minorEastAsia" w:cstheme="minorBidi"/>
          <w:noProof/>
        </w:rPr>
      </w:pPr>
      <w:hyperlink w:anchor="_Toc121744372" w:history="1">
        <w:r w:rsidR="00C16B8F" w:rsidRPr="003F383B">
          <w:rPr>
            <w:rStyle w:val="Hyperlink"/>
            <w:noProof/>
          </w:rPr>
          <w:t>Table 12: Volume of PBS/RPBS antimicrobial prescriptions use (DDD/1,000 people/day), 2019–2021 (year-to-year comparison)</w:t>
        </w:r>
        <w:r w:rsidR="00C16B8F">
          <w:rPr>
            <w:noProof/>
            <w:webHidden/>
          </w:rPr>
          <w:tab/>
        </w:r>
        <w:r w:rsidR="00C16B8F">
          <w:rPr>
            <w:noProof/>
            <w:webHidden/>
          </w:rPr>
          <w:fldChar w:fldCharType="begin"/>
        </w:r>
        <w:r w:rsidR="00C16B8F">
          <w:rPr>
            <w:noProof/>
            <w:webHidden/>
          </w:rPr>
          <w:instrText xml:space="preserve"> PAGEREF _Toc121744372 \h </w:instrText>
        </w:r>
        <w:r w:rsidR="00C16B8F">
          <w:rPr>
            <w:noProof/>
            <w:webHidden/>
          </w:rPr>
        </w:r>
        <w:r w:rsidR="00C16B8F">
          <w:rPr>
            <w:noProof/>
            <w:webHidden/>
          </w:rPr>
          <w:fldChar w:fldCharType="separate"/>
        </w:r>
        <w:r w:rsidR="00F34DDD">
          <w:rPr>
            <w:noProof/>
            <w:webHidden/>
          </w:rPr>
          <w:t>45</w:t>
        </w:r>
        <w:r w:rsidR="00C16B8F">
          <w:rPr>
            <w:noProof/>
            <w:webHidden/>
          </w:rPr>
          <w:fldChar w:fldCharType="end"/>
        </w:r>
      </w:hyperlink>
    </w:p>
    <w:p w14:paraId="272FAC20" w14:textId="79C335C1" w:rsidR="00B21BA9" w:rsidRDefault="00625242" w:rsidP="00284EDA">
      <w:pPr>
        <w:spacing w:after="120"/>
      </w:pPr>
      <w:r>
        <w:fldChar w:fldCharType="end"/>
      </w:r>
    </w:p>
    <w:p w14:paraId="4B922D12" w14:textId="0878AFC3" w:rsidR="00B21BA9" w:rsidRDefault="00B21BA9" w:rsidP="00B21BA9">
      <w:pPr>
        <w:pStyle w:val="Heading3"/>
      </w:pPr>
      <w:bookmarkStart w:id="9" w:name="_Toc121826717"/>
      <w:r>
        <w:t>List of Figures</w:t>
      </w:r>
      <w:bookmarkEnd w:id="9"/>
    </w:p>
    <w:p w14:paraId="10440DC5" w14:textId="252C5B2D" w:rsidR="00D77009" w:rsidRDefault="00B21BA9">
      <w:pPr>
        <w:pStyle w:val="TableofFigures"/>
        <w:tabs>
          <w:tab w:val="right" w:leader="dot" w:pos="9465"/>
        </w:tabs>
        <w:rPr>
          <w:rFonts w:eastAsiaTheme="minorEastAsia" w:cstheme="minorBidi"/>
          <w:noProof/>
        </w:rPr>
      </w:pPr>
      <w:r>
        <w:fldChar w:fldCharType="begin"/>
      </w:r>
      <w:r>
        <w:instrText xml:space="preserve"> TOC \h \z \c "Figure" </w:instrText>
      </w:r>
      <w:r>
        <w:fldChar w:fldCharType="separate"/>
      </w:r>
      <w:hyperlink w:anchor="_Toc121840885" w:history="1">
        <w:r w:rsidR="00D77009" w:rsidRPr="00A67A35">
          <w:rPr>
            <w:rStyle w:val="Hyperlink"/>
            <w:noProof/>
          </w:rPr>
          <w:t>Figure 1: Number of PBS/RPBS antimicrobial prescriptions dispensed per 1,000 people, crude and age-standardised rates, 2015–2021</w:t>
        </w:r>
        <w:r w:rsidR="00D77009">
          <w:rPr>
            <w:noProof/>
            <w:webHidden/>
          </w:rPr>
          <w:tab/>
        </w:r>
        <w:r w:rsidR="00D77009">
          <w:rPr>
            <w:noProof/>
            <w:webHidden/>
          </w:rPr>
          <w:fldChar w:fldCharType="begin"/>
        </w:r>
        <w:r w:rsidR="00D77009">
          <w:rPr>
            <w:noProof/>
            <w:webHidden/>
          </w:rPr>
          <w:instrText xml:space="preserve"> PAGEREF _Toc121840885 \h </w:instrText>
        </w:r>
        <w:r w:rsidR="00D77009">
          <w:rPr>
            <w:noProof/>
            <w:webHidden/>
          </w:rPr>
        </w:r>
        <w:r w:rsidR="00D77009">
          <w:rPr>
            <w:noProof/>
            <w:webHidden/>
          </w:rPr>
          <w:fldChar w:fldCharType="separate"/>
        </w:r>
        <w:r w:rsidR="00F34DDD">
          <w:rPr>
            <w:noProof/>
            <w:webHidden/>
          </w:rPr>
          <w:t>20</w:t>
        </w:r>
        <w:r w:rsidR="00D77009">
          <w:rPr>
            <w:noProof/>
            <w:webHidden/>
          </w:rPr>
          <w:fldChar w:fldCharType="end"/>
        </w:r>
      </w:hyperlink>
    </w:p>
    <w:p w14:paraId="1DD0EAA0" w14:textId="2D7FB137" w:rsidR="00D77009" w:rsidRDefault="00EC26B7">
      <w:pPr>
        <w:pStyle w:val="TableofFigures"/>
        <w:tabs>
          <w:tab w:val="right" w:leader="dot" w:pos="9465"/>
        </w:tabs>
        <w:rPr>
          <w:rFonts w:eastAsiaTheme="minorEastAsia" w:cstheme="minorBidi"/>
          <w:noProof/>
        </w:rPr>
      </w:pPr>
      <w:hyperlink w:anchor="_Toc121840886" w:history="1">
        <w:r w:rsidR="00D77009" w:rsidRPr="00A67A35">
          <w:rPr>
            <w:rStyle w:val="Hyperlink"/>
            <w:noProof/>
          </w:rPr>
          <w:t>Figure 2: Quantity of PBS/RPBS antimicrobial prescriptions dispensed (DDD/1,000 people/day), 2015–2021</w:t>
        </w:r>
        <w:r w:rsidR="00D77009">
          <w:rPr>
            <w:noProof/>
            <w:webHidden/>
          </w:rPr>
          <w:tab/>
        </w:r>
        <w:r w:rsidR="00D77009">
          <w:rPr>
            <w:noProof/>
            <w:webHidden/>
          </w:rPr>
          <w:fldChar w:fldCharType="begin"/>
        </w:r>
        <w:r w:rsidR="00D77009">
          <w:rPr>
            <w:noProof/>
            <w:webHidden/>
          </w:rPr>
          <w:instrText xml:space="preserve"> PAGEREF _Toc121840886 \h </w:instrText>
        </w:r>
        <w:r w:rsidR="00D77009">
          <w:rPr>
            <w:noProof/>
            <w:webHidden/>
          </w:rPr>
        </w:r>
        <w:r w:rsidR="00D77009">
          <w:rPr>
            <w:noProof/>
            <w:webHidden/>
          </w:rPr>
          <w:fldChar w:fldCharType="separate"/>
        </w:r>
        <w:r w:rsidR="00F34DDD">
          <w:rPr>
            <w:noProof/>
            <w:webHidden/>
          </w:rPr>
          <w:t>21</w:t>
        </w:r>
        <w:r w:rsidR="00D77009">
          <w:rPr>
            <w:noProof/>
            <w:webHidden/>
          </w:rPr>
          <w:fldChar w:fldCharType="end"/>
        </w:r>
      </w:hyperlink>
    </w:p>
    <w:p w14:paraId="72C5CE78" w14:textId="1EB07AAC" w:rsidR="00D77009" w:rsidRDefault="00EC26B7">
      <w:pPr>
        <w:pStyle w:val="TableofFigures"/>
        <w:tabs>
          <w:tab w:val="right" w:leader="dot" w:pos="9465"/>
        </w:tabs>
        <w:rPr>
          <w:rFonts w:eastAsiaTheme="minorEastAsia" w:cstheme="minorBidi"/>
          <w:noProof/>
        </w:rPr>
      </w:pPr>
      <w:hyperlink w:anchor="_Toc121840887" w:history="1">
        <w:r w:rsidR="00D77009" w:rsidRPr="00A67A35">
          <w:rPr>
            <w:rStyle w:val="Hyperlink"/>
            <w:noProof/>
          </w:rPr>
          <w:t>Figure 3: Age-standardised rate of the number of PBS/RPBS antimicrobial prescriptions dispensed per 1,000 people, by state and territory, 2015–2021</w:t>
        </w:r>
        <w:r w:rsidR="00D77009">
          <w:rPr>
            <w:noProof/>
            <w:webHidden/>
          </w:rPr>
          <w:tab/>
        </w:r>
        <w:r w:rsidR="00D77009">
          <w:rPr>
            <w:noProof/>
            <w:webHidden/>
          </w:rPr>
          <w:fldChar w:fldCharType="begin"/>
        </w:r>
        <w:r w:rsidR="00D77009">
          <w:rPr>
            <w:noProof/>
            <w:webHidden/>
          </w:rPr>
          <w:instrText xml:space="preserve"> PAGEREF _Toc121840887 \h </w:instrText>
        </w:r>
        <w:r w:rsidR="00D77009">
          <w:rPr>
            <w:noProof/>
            <w:webHidden/>
          </w:rPr>
        </w:r>
        <w:r w:rsidR="00D77009">
          <w:rPr>
            <w:noProof/>
            <w:webHidden/>
          </w:rPr>
          <w:fldChar w:fldCharType="separate"/>
        </w:r>
        <w:r w:rsidR="00F34DDD">
          <w:rPr>
            <w:noProof/>
            <w:webHidden/>
          </w:rPr>
          <w:t>22</w:t>
        </w:r>
        <w:r w:rsidR="00D77009">
          <w:rPr>
            <w:noProof/>
            <w:webHidden/>
          </w:rPr>
          <w:fldChar w:fldCharType="end"/>
        </w:r>
      </w:hyperlink>
    </w:p>
    <w:p w14:paraId="298EC356" w14:textId="1B91B6B1" w:rsidR="00D77009" w:rsidRDefault="00EC26B7">
      <w:pPr>
        <w:pStyle w:val="TableofFigures"/>
        <w:tabs>
          <w:tab w:val="right" w:leader="dot" w:pos="9465"/>
        </w:tabs>
        <w:rPr>
          <w:rFonts w:eastAsiaTheme="minorEastAsia" w:cstheme="minorBidi"/>
          <w:noProof/>
        </w:rPr>
      </w:pPr>
      <w:hyperlink w:anchor="_Toc121840888" w:history="1">
        <w:r w:rsidR="00D77009" w:rsidRPr="00A67A35">
          <w:rPr>
            <w:rStyle w:val="Hyperlink"/>
            <w:noProof/>
          </w:rPr>
          <w:t>Figure 4: Ten most commonly dispensed PBS/RPBS antimicrobial prescriptions, by percentage of all antimicrobial prescriptions, 2019–2021</w:t>
        </w:r>
        <w:r w:rsidR="00D77009">
          <w:rPr>
            <w:noProof/>
            <w:webHidden/>
          </w:rPr>
          <w:tab/>
        </w:r>
        <w:r w:rsidR="00D77009">
          <w:rPr>
            <w:noProof/>
            <w:webHidden/>
          </w:rPr>
          <w:fldChar w:fldCharType="begin"/>
        </w:r>
        <w:r w:rsidR="00D77009">
          <w:rPr>
            <w:noProof/>
            <w:webHidden/>
          </w:rPr>
          <w:instrText xml:space="preserve"> PAGEREF _Toc121840888 \h </w:instrText>
        </w:r>
        <w:r w:rsidR="00D77009">
          <w:rPr>
            <w:noProof/>
            <w:webHidden/>
          </w:rPr>
        </w:r>
        <w:r w:rsidR="00D77009">
          <w:rPr>
            <w:noProof/>
            <w:webHidden/>
          </w:rPr>
          <w:fldChar w:fldCharType="separate"/>
        </w:r>
        <w:r w:rsidR="00F34DDD">
          <w:rPr>
            <w:noProof/>
            <w:webHidden/>
          </w:rPr>
          <w:t>24</w:t>
        </w:r>
        <w:r w:rsidR="00D77009">
          <w:rPr>
            <w:noProof/>
            <w:webHidden/>
          </w:rPr>
          <w:fldChar w:fldCharType="end"/>
        </w:r>
      </w:hyperlink>
    </w:p>
    <w:p w14:paraId="64E889E4" w14:textId="4DBD3DEE" w:rsidR="00D77009" w:rsidRDefault="00EC26B7">
      <w:pPr>
        <w:pStyle w:val="TableofFigures"/>
        <w:tabs>
          <w:tab w:val="right" w:leader="dot" w:pos="9465"/>
        </w:tabs>
        <w:rPr>
          <w:rFonts w:eastAsiaTheme="minorEastAsia" w:cstheme="minorBidi"/>
          <w:noProof/>
        </w:rPr>
      </w:pPr>
      <w:hyperlink w:anchor="_Toc121840889" w:history="1">
        <w:r w:rsidR="00D77009" w:rsidRPr="00A67A35">
          <w:rPr>
            <w:rStyle w:val="Hyperlink"/>
            <w:noProof/>
          </w:rPr>
          <w:t>Figure 5</w:t>
        </w:r>
        <w:r w:rsidR="00D77009" w:rsidRPr="00A67A35">
          <w:rPr>
            <w:rStyle w:val="Hyperlink"/>
            <w:rFonts w:asciiTheme="majorHAnsi" w:hAnsiTheme="majorHAnsi" w:cstheme="majorHAnsi"/>
            <w:noProof/>
          </w:rPr>
          <w:t>:</w:t>
        </w:r>
        <w:r w:rsidR="00D77009" w:rsidRPr="00A67A35">
          <w:rPr>
            <w:rStyle w:val="Hyperlink"/>
            <w:noProof/>
          </w:rPr>
          <w:t> Number of PBS/RPBS prescriptions dispensed (DDD/1,000 people/day), by antimicrobial class, 2015–2021</w:t>
        </w:r>
        <w:r w:rsidR="00D77009">
          <w:rPr>
            <w:noProof/>
            <w:webHidden/>
          </w:rPr>
          <w:tab/>
        </w:r>
        <w:r w:rsidR="00D77009">
          <w:rPr>
            <w:noProof/>
            <w:webHidden/>
          </w:rPr>
          <w:fldChar w:fldCharType="begin"/>
        </w:r>
        <w:r w:rsidR="00D77009">
          <w:rPr>
            <w:noProof/>
            <w:webHidden/>
          </w:rPr>
          <w:instrText xml:space="preserve"> PAGEREF _Toc121840889 \h </w:instrText>
        </w:r>
        <w:r w:rsidR="00D77009">
          <w:rPr>
            <w:noProof/>
            <w:webHidden/>
          </w:rPr>
        </w:r>
        <w:r w:rsidR="00D77009">
          <w:rPr>
            <w:noProof/>
            <w:webHidden/>
          </w:rPr>
          <w:fldChar w:fldCharType="separate"/>
        </w:r>
        <w:r w:rsidR="00F34DDD">
          <w:rPr>
            <w:noProof/>
            <w:webHidden/>
          </w:rPr>
          <w:t>25</w:t>
        </w:r>
        <w:r w:rsidR="00D77009">
          <w:rPr>
            <w:noProof/>
            <w:webHidden/>
          </w:rPr>
          <w:fldChar w:fldCharType="end"/>
        </w:r>
      </w:hyperlink>
    </w:p>
    <w:p w14:paraId="47FECCE4" w14:textId="72ABEC1B" w:rsidR="00D77009" w:rsidRDefault="00EC26B7">
      <w:pPr>
        <w:pStyle w:val="TableofFigures"/>
        <w:tabs>
          <w:tab w:val="right" w:leader="dot" w:pos="9465"/>
        </w:tabs>
        <w:rPr>
          <w:rFonts w:eastAsiaTheme="minorEastAsia" w:cstheme="minorBidi"/>
          <w:noProof/>
        </w:rPr>
      </w:pPr>
      <w:hyperlink w:anchor="_Toc121840890" w:history="1">
        <w:r w:rsidR="00D77009" w:rsidRPr="00A67A35">
          <w:rPr>
            <w:rStyle w:val="Hyperlink"/>
            <w:noProof/>
          </w:rPr>
          <w:t>Figure 6</w:t>
        </w:r>
        <w:r w:rsidR="00D77009" w:rsidRPr="00A67A35">
          <w:rPr>
            <w:rStyle w:val="Hyperlink"/>
            <w:rFonts w:asciiTheme="majorHAnsi" w:hAnsiTheme="majorHAnsi" w:cstheme="majorHAnsi"/>
            <w:noProof/>
          </w:rPr>
          <w:t>:</w:t>
        </w:r>
        <w:r w:rsidR="00D77009" w:rsidRPr="00A67A35">
          <w:rPr>
            <w:rStyle w:val="Hyperlink"/>
            <w:noProof/>
          </w:rPr>
          <w:t> Number of PBS/RPBS antimicrobial prescriptions dispensed per 1,000 people, by patient age group, 2019–2021</w:t>
        </w:r>
        <w:r w:rsidR="00D77009">
          <w:rPr>
            <w:noProof/>
            <w:webHidden/>
          </w:rPr>
          <w:tab/>
        </w:r>
        <w:r w:rsidR="00D77009">
          <w:rPr>
            <w:noProof/>
            <w:webHidden/>
          </w:rPr>
          <w:fldChar w:fldCharType="begin"/>
        </w:r>
        <w:r w:rsidR="00D77009">
          <w:rPr>
            <w:noProof/>
            <w:webHidden/>
          </w:rPr>
          <w:instrText xml:space="preserve"> PAGEREF _Toc121840890 \h </w:instrText>
        </w:r>
        <w:r w:rsidR="00D77009">
          <w:rPr>
            <w:noProof/>
            <w:webHidden/>
          </w:rPr>
        </w:r>
        <w:r w:rsidR="00D77009">
          <w:rPr>
            <w:noProof/>
            <w:webHidden/>
          </w:rPr>
          <w:fldChar w:fldCharType="separate"/>
        </w:r>
        <w:r w:rsidR="00F34DDD">
          <w:rPr>
            <w:noProof/>
            <w:webHidden/>
          </w:rPr>
          <w:t>26</w:t>
        </w:r>
        <w:r w:rsidR="00D77009">
          <w:rPr>
            <w:noProof/>
            <w:webHidden/>
          </w:rPr>
          <w:fldChar w:fldCharType="end"/>
        </w:r>
      </w:hyperlink>
    </w:p>
    <w:p w14:paraId="1507113C" w14:textId="01A97391" w:rsidR="00D77009" w:rsidRDefault="00EC26B7">
      <w:pPr>
        <w:pStyle w:val="TableofFigures"/>
        <w:tabs>
          <w:tab w:val="right" w:leader="dot" w:pos="9465"/>
        </w:tabs>
        <w:rPr>
          <w:rFonts w:eastAsiaTheme="minorEastAsia" w:cstheme="minorBidi"/>
          <w:noProof/>
        </w:rPr>
      </w:pPr>
      <w:hyperlink w:anchor="_Toc121840891" w:history="1">
        <w:r w:rsidR="00D77009" w:rsidRPr="00A67A35">
          <w:rPr>
            <w:rStyle w:val="Hyperlink"/>
            <w:noProof/>
          </w:rPr>
          <w:t>Figure 7: Percentage of patients prescribed one or more antimicrobials, MedicineInsight practices, 2015–2021</w:t>
        </w:r>
        <w:r w:rsidR="00D77009">
          <w:rPr>
            <w:noProof/>
            <w:webHidden/>
          </w:rPr>
          <w:tab/>
        </w:r>
        <w:r w:rsidR="00D77009">
          <w:rPr>
            <w:noProof/>
            <w:webHidden/>
          </w:rPr>
          <w:fldChar w:fldCharType="begin"/>
        </w:r>
        <w:r w:rsidR="00D77009">
          <w:rPr>
            <w:noProof/>
            <w:webHidden/>
          </w:rPr>
          <w:instrText xml:space="preserve"> PAGEREF _Toc121840891 \h </w:instrText>
        </w:r>
        <w:r w:rsidR="00D77009">
          <w:rPr>
            <w:noProof/>
            <w:webHidden/>
          </w:rPr>
        </w:r>
        <w:r w:rsidR="00D77009">
          <w:rPr>
            <w:noProof/>
            <w:webHidden/>
          </w:rPr>
          <w:fldChar w:fldCharType="separate"/>
        </w:r>
        <w:r w:rsidR="00F34DDD">
          <w:rPr>
            <w:noProof/>
            <w:webHidden/>
          </w:rPr>
          <w:t>28</w:t>
        </w:r>
        <w:r w:rsidR="00D77009">
          <w:rPr>
            <w:noProof/>
            <w:webHidden/>
          </w:rPr>
          <w:fldChar w:fldCharType="end"/>
        </w:r>
      </w:hyperlink>
    </w:p>
    <w:p w14:paraId="4B2CEC6F" w14:textId="46739B02" w:rsidR="00D77009" w:rsidRDefault="00EC26B7">
      <w:pPr>
        <w:pStyle w:val="TableofFigures"/>
        <w:tabs>
          <w:tab w:val="right" w:leader="dot" w:pos="9465"/>
        </w:tabs>
        <w:rPr>
          <w:rFonts w:eastAsiaTheme="minorEastAsia" w:cstheme="minorBidi"/>
          <w:noProof/>
        </w:rPr>
      </w:pPr>
      <w:hyperlink w:anchor="_Toc121840892" w:history="1">
        <w:r w:rsidR="00D77009" w:rsidRPr="00A67A35">
          <w:rPr>
            <w:rStyle w:val="Hyperlink"/>
            <w:noProof/>
          </w:rPr>
          <w:t>Figure 8: Number of patients prescribed one or more antimicrobials, per 100 patients, by age group, MedicineInsight practices, 2019–2021</w:t>
        </w:r>
        <w:r w:rsidR="00D77009">
          <w:rPr>
            <w:noProof/>
            <w:webHidden/>
          </w:rPr>
          <w:tab/>
        </w:r>
        <w:r w:rsidR="00D77009">
          <w:rPr>
            <w:noProof/>
            <w:webHidden/>
          </w:rPr>
          <w:fldChar w:fldCharType="begin"/>
        </w:r>
        <w:r w:rsidR="00D77009">
          <w:rPr>
            <w:noProof/>
            <w:webHidden/>
          </w:rPr>
          <w:instrText xml:space="preserve"> PAGEREF _Toc121840892 \h </w:instrText>
        </w:r>
        <w:r w:rsidR="00D77009">
          <w:rPr>
            <w:noProof/>
            <w:webHidden/>
          </w:rPr>
        </w:r>
        <w:r w:rsidR="00D77009">
          <w:rPr>
            <w:noProof/>
            <w:webHidden/>
          </w:rPr>
          <w:fldChar w:fldCharType="separate"/>
        </w:r>
        <w:r w:rsidR="00F34DDD">
          <w:rPr>
            <w:noProof/>
            <w:webHidden/>
          </w:rPr>
          <w:t>29</w:t>
        </w:r>
        <w:r w:rsidR="00D77009">
          <w:rPr>
            <w:noProof/>
            <w:webHidden/>
          </w:rPr>
          <w:fldChar w:fldCharType="end"/>
        </w:r>
      </w:hyperlink>
    </w:p>
    <w:p w14:paraId="15773CA9" w14:textId="301D603B" w:rsidR="00D77009" w:rsidRDefault="00EC26B7">
      <w:pPr>
        <w:pStyle w:val="TableofFigures"/>
        <w:tabs>
          <w:tab w:val="right" w:leader="dot" w:pos="9465"/>
        </w:tabs>
        <w:rPr>
          <w:rFonts w:eastAsiaTheme="minorEastAsia" w:cstheme="minorBidi"/>
          <w:noProof/>
        </w:rPr>
      </w:pPr>
      <w:hyperlink w:anchor="_Toc121840893" w:history="1">
        <w:r w:rsidR="00D77009" w:rsidRPr="00A67A35">
          <w:rPr>
            <w:rStyle w:val="Hyperlink"/>
            <w:noProof/>
          </w:rPr>
          <w:t>Figure 9: Rate of high use antimicrobials prescribed (total prescriptions including originals and repeats) per 100 GP visits, MedicineInsight practices, 2015–2021</w:t>
        </w:r>
        <w:r w:rsidR="00D77009">
          <w:rPr>
            <w:noProof/>
            <w:webHidden/>
          </w:rPr>
          <w:tab/>
        </w:r>
        <w:r w:rsidR="00D77009">
          <w:rPr>
            <w:noProof/>
            <w:webHidden/>
          </w:rPr>
          <w:fldChar w:fldCharType="begin"/>
        </w:r>
        <w:r w:rsidR="00D77009">
          <w:rPr>
            <w:noProof/>
            <w:webHidden/>
          </w:rPr>
          <w:instrText xml:space="preserve"> PAGEREF _Toc121840893 \h </w:instrText>
        </w:r>
        <w:r w:rsidR="00D77009">
          <w:rPr>
            <w:noProof/>
            <w:webHidden/>
          </w:rPr>
        </w:r>
        <w:r w:rsidR="00D77009">
          <w:rPr>
            <w:noProof/>
            <w:webHidden/>
          </w:rPr>
          <w:fldChar w:fldCharType="separate"/>
        </w:r>
        <w:r w:rsidR="00F34DDD">
          <w:rPr>
            <w:noProof/>
            <w:webHidden/>
          </w:rPr>
          <w:t>31</w:t>
        </w:r>
        <w:r w:rsidR="00D77009">
          <w:rPr>
            <w:noProof/>
            <w:webHidden/>
          </w:rPr>
          <w:fldChar w:fldCharType="end"/>
        </w:r>
      </w:hyperlink>
    </w:p>
    <w:p w14:paraId="1A5EED2C" w14:textId="3F4C11D4" w:rsidR="00D77009" w:rsidRDefault="00EC26B7">
      <w:pPr>
        <w:pStyle w:val="TableofFigures"/>
        <w:tabs>
          <w:tab w:val="right" w:leader="dot" w:pos="9465"/>
        </w:tabs>
        <w:rPr>
          <w:rFonts w:eastAsiaTheme="minorEastAsia" w:cstheme="minorBidi"/>
          <w:noProof/>
        </w:rPr>
      </w:pPr>
      <w:hyperlink w:anchor="_Toc121840894" w:history="1">
        <w:r w:rsidR="00D77009" w:rsidRPr="00A67A35">
          <w:rPr>
            <w:rStyle w:val="Hyperlink"/>
            <w:noProof/>
          </w:rPr>
          <w:t>Figure 10: Rate of original high use antimicrobial prescriptions issued per 100 GP visits, MedicineInsight practices, 2015–2021</w:t>
        </w:r>
        <w:r w:rsidR="00D77009">
          <w:rPr>
            <w:noProof/>
            <w:webHidden/>
          </w:rPr>
          <w:tab/>
        </w:r>
        <w:r w:rsidR="00D77009">
          <w:rPr>
            <w:noProof/>
            <w:webHidden/>
          </w:rPr>
          <w:fldChar w:fldCharType="begin"/>
        </w:r>
        <w:r w:rsidR="00D77009">
          <w:rPr>
            <w:noProof/>
            <w:webHidden/>
          </w:rPr>
          <w:instrText xml:space="preserve"> PAGEREF _Toc121840894 \h </w:instrText>
        </w:r>
        <w:r w:rsidR="00D77009">
          <w:rPr>
            <w:noProof/>
            <w:webHidden/>
          </w:rPr>
        </w:r>
        <w:r w:rsidR="00D77009">
          <w:rPr>
            <w:noProof/>
            <w:webHidden/>
          </w:rPr>
          <w:fldChar w:fldCharType="separate"/>
        </w:r>
        <w:r w:rsidR="00F34DDD">
          <w:rPr>
            <w:noProof/>
            <w:webHidden/>
          </w:rPr>
          <w:t>32</w:t>
        </w:r>
        <w:r w:rsidR="00D77009">
          <w:rPr>
            <w:noProof/>
            <w:webHidden/>
          </w:rPr>
          <w:fldChar w:fldCharType="end"/>
        </w:r>
      </w:hyperlink>
    </w:p>
    <w:p w14:paraId="46BD794A" w14:textId="2456DFA5" w:rsidR="00D77009" w:rsidRDefault="00EC26B7">
      <w:pPr>
        <w:pStyle w:val="TableofFigures"/>
        <w:tabs>
          <w:tab w:val="right" w:leader="dot" w:pos="9465"/>
        </w:tabs>
        <w:rPr>
          <w:rFonts w:eastAsiaTheme="minorEastAsia" w:cstheme="minorBidi"/>
          <w:noProof/>
        </w:rPr>
      </w:pPr>
      <w:hyperlink w:anchor="_Toc121840895" w:history="1">
        <w:r w:rsidR="00D77009" w:rsidRPr="00A67A35">
          <w:rPr>
            <w:rStyle w:val="Hyperlink"/>
            <w:noProof/>
          </w:rPr>
          <w:t>Figure 11 : Rate of repeat high use antimicrobial prescriptions issued per 100 GP visits, MedicineInsight practices, 2015–2021</w:t>
        </w:r>
        <w:r w:rsidR="00D77009">
          <w:rPr>
            <w:noProof/>
            <w:webHidden/>
          </w:rPr>
          <w:tab/>
        </w:r>
        <w:r w:rsidR="00D77009">
          <w:rPr>
            <w:noProof/>
            <w:webHidden/>
          </w:rPr>
          <w:fldChar w:fldCharType="begin"/>
        </w:r>
        <w:r w:rsidR="00D77009">
          <w:rPr>
            <w:noProof/>
            <w:webHidden/>
          </w:rPr>
          <w:instrText xml:space="preserve"> PAGEREF _Toc121840895 \h </w:instrText>
        </w:r>
        <w:r w:rsidR="00D77009">
          <w:rPr>
            <w:noProof/>
            <w:webHidden/>
          </w:rPr>
        </w:r>
        <w:r w:rsidR="00D77009">
          <w:rPr>
            <w:noProof/>
            <w:webHidden/>
          </w:rPr>
          <w:fldChar w:fldCharType="separate"/>
        </w:r>
        <w:r w:rsidR="00F34DDD">
          <w:rPr>
            <w:noProof/>
            <w:webHidden/>
          </w:rPr>
          <w:t>32</w:t>
        </w:r>
        <w:r w:rsidR="00D77009">
          <w:rPr>
            <w:noProof/>
            <w:webHidden/>
          </w:rPr>
          <w:fldChar w:fldCharType="end"/>
        </w:r>
      </w:hyperlink>
    </w:p>
    <w:p w14:paraId="6DE2F095" w14:textId="168F92F0" w:rsidR="00D77009" w:rsidRDefault="00EC26B7">
      <w:pPr>
        <w:pStyle w:val="TableofFigures"/>
        <w:tabs>
          <w:tab w:val="right" w:leader="dot" w:pos="9465"/>
        </w:tabs>
        <w:rPr>
          <w:rFonts w:eastAsiaTheme="minorEastAsia" w:cstheme="minorBidi"/>
          <w:noProof/>
        </w:rPr>
      </w:pPr>
      <w:hyperlink w:anchor="_Toc121840896" w:history="1">
        <w:r w:rsidR="00D77009" w:rsidRPr="00A67A35">
          <w:rPr>
            <w:rStyle w:val="Hyperlink"/>
            <w:noProof/>
          </w:rPr>
          <w:t>Figure 12: Percentage of total antimicrobial prescriptions recorded on the same day as presentations for respiratory tract infections, MedicineInsight practices, 2015–2021</w:t>
        </w:r>
        <w:r w:rsidR="00D77009">
          <w:rPr>
            <w:noProof/>
            <w:webHidden/>
          </w:rPr>
          <w:tab/>
        </w:r>
        <w:r w:rsidR="00D77009">
          <w:rPr>
            <w:noProof/>
            <w:webHidden/>
          </w:rPr>
          <w:fldChar w:fldCharType="begin"/>
        </w:r>
        <w:r w:rsidR="00D77009">
          <w:rPr>
            <w:noProof/>
            <w:webHidden/>
          </w:rPr>
          <w:instrText xml:space="preserve"> PAGEREF _Toc121840896 \h </w:instrText>
        </w:r>
        <w:r w:rsidR="00D77009">
          <w:rPr>
            <w:noProof/>
            <w:webHidden/>
          </w:rPr>
        </w:r>
        <w:r w:rsidR="00D77009">
          <w:rPr>
            <w:noProof/>
            <w:webHidden/>
          </w:rPr>
          <w:fldChar w:fldCharType="separate"/>
        </w:r>
        <w:r w:rsidR="00F34DDD">
          <w:rPr>
            <w:noProof/>
            <w:webHidden/>
          </w:rPr>
          <w:t>33</w:t>
        </w:r>
        <w:r w:rsidR="00D77009">
          <w:rPr>
            <w:noProof/>
            <w:webHidden/>
          </w:rPr>
          <w:fldChar w:fldCharType="end"/>
        </w:r>
      </w:hyperlink>
    </w:p>
    <w:p w14:paraId="36348921" w14:textId="5768BCE1" w:rsidR="00D77009" w:rsidRDefault="00EC26B7">
      <w:pPr>
        <w:pStyle w:val="TableofFigures"/>
        <w:tabs>
          <w:tab w:val="right" w:leader="dot" w:pos="9465"/>
        </w:tabs>
        <w:rPr>
          <w:rFonts w:eastAsiaTheme="minorEastAsia" w:cstheme="minorBidi"/>
          <w:noProof/>
        </w:rPr>
      </w:pPr>
      <w:hyperlink w:anchor="_Toc121840897" w:history="1">
        <w:r w:rsidR="00D77009" w:rsidRPr="00A67A35">
          <w:rPr>
            <w:rStyle w:val="Hyperlink"/>
            <w:noProof/>
          </w:rPr>
          <w:t>Figure 13: Number of non-PBS/RPBS antimicrobial</w:t>
        </w:r>
        <w:r w:rsidR="00D77009" w:rsidRPr="00A67A35">
          <w:rPr>
            <w:rStyle w:val="Hyperlink"/>
            <w:rFonts w:ascii="Times New Roman" w:hAnsi="Times New Roman"/>
            <w:noProof/>
          </w:rPr>
          <w:t xml:space="preserve"> </w:t>
        </w:r>
        <w:r w:rsidR="00D77009" w:rsidRPr="00A67A35">
          <w:rPr>
            <w:rStyle w:val="Hyperlink"/>
            <w:noProof/>
          </w:rPr>
          <w:t>prescriptions per 100 GP Visits, MedicineInsight practices, 2015–2021</w:t>
        </w:r>
        <w:r w:rsidR="00D77009">
          <w:rPr>
            <w:noProof/>
            <w:webHidden/>
          </w:rPr>
          <w:tab/>
        </w:r>
        <w:r w:rsidR="00D77009">
          <w:rPr>
            <w:noProof/>
            <w:webHidden/>
          </w:rPr>
          <w:fldChar w:fldCharType="begin"/>
        </w:r>
        <w:r w:rsidR="00D77009">
          <w:rPr>
            <w:noProof/>
            <w:webHidden/>
          </w:rPr>
          <w:instrText xml:space="preserve"> PAGEREF _Toc121840897 \h </w:instrText>
        </w:r>
        <w:r w:rsidR="00D77009">
          <w:rPr>
            <w:noProof/>
            <w:webHidden/>
          </w:rPr>
        </w:r>
        <w:r w:rsidR="00D77009">
          <w:rPr>
            <w:noProof/>
            <w:webHidden/>
          </w:rPr>
          <w:fldChar w:fldCharType="separate"/>
        </w:r>
        <w:r w:rsidR="00F34DDD">
          <w:rPr>
            <w:noProof/>
            <w:webHidden/>
          </w:rPr>
          <w:t>34</w:t>
        </w:r>
        <w:r w:rsidR="00D77009">
          <w:rPr>
            <w:noProof/>
            <w:webHidden/>
          </w:rPr>
          <w:fldChar w:fldCharType="end"/>
        </w:r>
      </w:hyperlink>
    </w:p>
    <w:p w14:paraId="187D7A5A" w14:textId="1D86FDD6" w:rsidR="00D77009" w:rsidRDefault="00EC26B7">
      <w:pPr>
        <w:pStyle w:val="TableofFigures"/>
        <w:tabs>
          <w:tab w:val="right" w:leader="dot" w:pos="9465"/>
        </w:tabs>
        <w:rPr>
          <w:rFonts w:eastAsiaTheme="minorEastAsia" w:cstheme="minorBidi"/>
          <w:noProof/>
        </w:rPr>
      </w:pPr>
      <w:hyperlink w:anchor="_Toc121840898" w:history="1">
        <w:r w:rsidR="00D77009" w:rsidRPr="00A67A35">
          <w:rPr>
            <w:rStyle w:val="Hyperlink"/>
            <w:noProof/>
          </w:rPr>
          <w:t>Figure 14: Percentage of non-PBS/RPBS antimicrobial prescriptions (originals plus repeats) of total antimicrobial prescriptions (originals plus repeats), MedicineInsight practices, 2015–2021</w:t>
        </w:r>
        <w:r w:rsidR="00D77009">
          <w:rPr>
            <w:noProof/>
            <w:webHidden/>
          </w:rPr>
          <w:tab/>
        </w:r>
        <w:r w:rsidR="00D77009">
          <w:rPr>
            <w:noProof/>
            <w:webHidden/>
          </w:rPr>
          <w:fldChar w:fldCharType="begin"/>
        </w:r>
        <w:r w:rsidR="00D77009">
          <w:rPr>
            <w:noProof/>
            <w:webHidden/>
          </w:rPr>
          <w:instrText xml:space="preserve"> PAGEREF _Toc121840898 \h </w:instrText>
        </w:r>
        <w:r w:rsidR="00D77009">
          <w:rPr>
            <w:noProof/>
            <w:webHidden/>
          </w:rPr>
        </w:r>
        <w:r w:rsidR="00D77009">
          <w:rPr>
            <w:noProof/>
            <w:webHidden/>
          </w:rPr>
          <w:fldChar w:fldCharType="separate"/>
        </w:r>
        <w:r w:rsidR="00F34DDD">
          <w:rPr>
            <w:noProof/>
            <w:webHidden/>
          </w:rPr>
          <w:t>34</w:t>
        </w:r>
        <w:r w:rsidR="00D77009">
          <w:rPr>
            <w:noProof/>
            <w:webHidden/>
          </w:rPr>
          <w:fldChar w:fldCharType="end"/>
        </w:r>
      </w:hyperlink>
    </w:p>
    <w:p w14:paraId="20CB8D7D" w14:textId="3B64E01E" w:rsidR="00D77009" w:rsidRDefault="00EC26B7">
      <w:pPr>
        <w:pStyle w:val="TableofFigures"/>
        <w:tabs>
          <w:tab w:val="right" w:leader="dot" w:pos="9465"/>
        </w:tabs>
        <w:rPr>
          <w:rFonts w:eastAsiaTheme="minorEastAsia" w:cstheme="minorBidi"/>
          <w:noProof/>
        </w:rPr>
      </w:pPr>
      <w:hyperlink w:anchor="_Toc121840899" w:history="1">
        <w:r w:rsidR="00D77009" w:rsidRPr="00A67A35">
          <w:rPr>
            <w:rStyle w:val="Hyperlink"/>
            <w:noProof/>
          </w:rPr>
          <w:t>Figure 15: Number of PBS/RPBS prescriptions for azithromycin and ciprofloxacin per 100 GP visits, MedicineInsight practices, 2015–2021</w:t>
        </w:r>
        <w:r w:rsidR="00D77009">
          <w:rPr>
            <w:noProof/>
            <w:webHidden/>
          </w:rPr>
          <w:tab/>
        </w:r>
        <w:r w:rsidR="00D77009">
          <w:rPr>
            <w:noProof/>
            <w:webHidden/>
          </w:rPr>
          <w:fldChar w:fldCharType="begin"/>
        </w:r>
        <w:r w:rsidR="00D77009">
          <w:rPr>
            <w:noProof/>
            <w:webHidden/>
          </w:rPr>
          <w:instrText xml:space="preserve"> PAGEREF _Toc121840899 \h </w:instrText>
        </w:r>
        <w:r w:rsidR="00D77009">
          <w:rPr>
            <w:noProof/>
            <w:webHidden/>
          </w:rPr>
        </w:r>
        <w:r w:rsidR="00D77009">
          <w:rPr>
            <w:noProof/>
            <w:webHidden/>
          </w:rPr>
          <w:fldChar w:fldCharType="separate"/>
        </w:r>
        <w:r w:rsidR="00F34DDD">
          <w:rPr>
            <w:noProof/>
            <w:webHidden/>
          </w:rPr>
          <w:t>37</w:t>
        </w:r>
        <w:r w:rsidR="00D77009">
          <w:rPr>
            <w:noProof/>
            <w:webHidden/>
          </w:rPr>
          <w:fldChar w:fldCharType="end"/>
        </w:r>
      </w:hyperlink>
    </w:p>
    <w:p w14:paraId="3BFFB021" w14:textId="3FB53559" w:rsidR="00D77009" w:rsidRDefault="00EC26B7">
      <w:pPr>
        <w:pStyle w:val="TableofFigures"/>
        <w:tabs>
          <w:tab w:val="right" w:leader="dot" w:pos="9465"/>
        </w:tabs>
        <w:rPr>
          <w:rFonts w:eastAsiaTheme="minorEastAsia" w:cstheme="minorBidi"/>
          <w:noProof/>
        </w:rPr>
      </w:pPr>
      <w:hyperlink w:anchor="_Toc121840900" w:history="1">
        <w:r w:rsidR="00D77009" w:rsidRPr="00A67A35">
          <w:rPr>
            <w:rStyle w:val="Hyperlink"/>
            <w:noProof/>
          </w:rPr>
          <w:t>Figure 16: Number of patients per 100 patients prescribed one or more high use antimicrobials, by age group, MedicineInsight practices, 2020–2021</w:t>
        </w:r>
        <w:r w:rsidR="00D77009">
          <w:rPr>
            <w:noProof/>
            <w:webHidden/>
          </w:rPr>
          <w:tab/>
        </w:r>
        <w:r w:rsidR="00D77009">
          <w:rPr>
            <w:noProof/>
            <w:webHidden/>
          </w:rPr>
          <w:fldChar w:fldCharType="begin"/>
        </w:r>
        <w:r w:rsidR="00D77009">
          <w:rPr>
            <w:noProof/>
            <w:webHidden/>
          </w:rPr>
          <w:instrText xml:space="preserve"> PAGEREF _Toc121840900 \h </w:instrText>
        </w:r>
        <w:r w:rsidR="00D77009">
          <w:rPr>
            <w:noProof/>
            <w:webHidden/>
          </w:rPr>
        </w:r>
        <w:r w:rsidR="00D77009">
          <w:rPr>
            <w:noProof/>
            <w:webHidden/>
          </w:rPr>
          <w:fldChar w:fldCharType="separate"/>
        </w:r>
        <w:r w:rsidR="00F34DDD">
          <w:rPr>
            <w:noProof/>
            <w:webHidden/>
          </w:rPr>
          <w:t>38</w:t>
        </w:r>
        <w:r w:rsidR="00D77009">
          <w:rPr>
            <w:noProof/>
            <w:webHidden/>
          </w:rPr>
          <w:fldChar w:fldCharType="end"/>
        </w:r>
      </w:hyperlink>
    </w:p>
    <w:p w14:paraId="5B14B2E9" w14:textId="30326A3E" w:rsidR="00D77009" w:rsidRDefault="00EC26B7">
      <w:pPr>
        <w:pStyle w:val="TableofFigures"/>
        <w:tabs>
          <w:tab w:val="right" w:leader="dot" w:pos="9465"/>
        </w:tabs>
        <w:rPr>
          <w:rFonts w:eastAsiaTheme="minorEastAsia" w:cstheme="minorBidi"/>
          <w:noProof/>
        </w:rPr>
      </w:pPr>
      <w:hyperlink w:anchor="_Toc121840901" w:history="1">
        <w:r w:rsidR="00D77009" w:rsidRPr="00A67A35">
          <w:rPr>
            <w:rStyle w:val="Hyperlink"/>
            <w:noProof/>
          </w:rPr>
          <w:t>Figure 17: Trends in antimicrobial prescribing rates for specific conditions, MedicineInsight practices, 2015–2021</w:t>
        </w:r>
        <w:r w:rsidR="00D77009">
          <w:rPr>
            <w:noProof/>
            <w:webHidden/>
          </w:rPr>
          <w:tab/>
        </w:r>
        <w:r w:rsidR="00D77009">
          <w:rPr>
            <w:noProof/>
            <w:webHidden/>
          </w:rPr>
          <w:fldChar w:fldCharType="begin"/>
        </w:r>
        <w:r w:rsidR="00D77009">
          <w:rPr>
            <w:noProof/>
            <w:webHidden/>
          </w:rPr>
          <w:instrText xml:space="preserve"> PAGEREF _Toc121840901 \h </w:instrText>
        </w:r>
        <w:r w:rsidR="00D77009">
          <w:rPr>
            <w:noProof/>
            <w:webHidden/>
          </w:rPr>
        </w:r>
        <w:r w:rsidR="00D77009">
          <w:rPr>
            <w:noProof/>
            <w:webHidden/>
          </w:rPr>
          <w:fldChar w:fldCharType="separate"/>
        </w:r>
        <w:r w:rsidR="00F34DDD">
          <w:rPr>
            <w:noProof/>
            <w:webHidden/>
          </w:rPr>
          <w:t>40</w:t>
        </w:r>
        <w:r w:rsidR="00D77009">
          <w:rPr>
            <w:noProof/>
            <w:webHidden/>
          </w:rPr>
          <w:fldChar w:fldCharType="end"/>
        </w:r>
      </w:hyperlink>
    </w:p>
    <w:p w14:paraId="44207514" w14:textId="5F77E4EC" w:rsidR="00D77009" w:rsidRDefault="00EC26B7">
      <w:pPr>
        <w:pStyle w:val="TableofFigures"/>
        <w:tabs>
          <w:tab w:val="right" w:leader="dot" w:pos="9465"/>
        </w:tabs>
        <w:rPr>
          <w:rFonts w:eastAsiaTheme="minorEastAsia" w:cstheme="minorBidi"/>
          <w:noProof/>
        </w:rPr>
      </w:pPr>
      <w:hyperlink w:anchor="_Toc121840902" w:history="1">
        <w:r w:rsidR="00D77009" w:rsidRPr="00A67A35">
          <w:rPr>
            <w:rStyle w:val="Hyperlink"/>
            <w:noProof/>
          </w:rPr>
          <w:t>Figure 18: Rate of antimicrobial prescribing per 100 telehealth visits per 100 face-to-face visits or per 100 GP visits of any type (all visits), MedicineInsight practices, 2020–2021</w:t>
        </w:r>
        <w:r w:rsidR="00D77009">
          <w:rPr>
            <w:noProof/>
            <w:webHidden/>
          </w:rPr>
          <w:tab/>
        </w:r>
        <w:r w:rsidR="00D77009">
          <w:rPr>
            <w:noProof/>
            <w:webHidden/>
          </w:rPr>
          <w:fldChar w:fldCharType="begin"/>
        </w:r>
        <w:r w:rsidR="00D77009">
          <w:rPr>
            <w:noProof/>
            <w:webHidden/>
          </w:rPr>
          <w:instrText xml:space="preserve"> PAGEREF _Toc121840902 \h </w:instrText>
        </w:r>
        <w:r w:rsidR="00D77009">
          <w:rPr>
            <w:noProof/>
            <w:webHidden/>
          </w:rPr>
        </w:r>
        <w:r w:rsidR="00D77009">
          <w:rPr>
            <w:noProof/>
            <w:webHidden/>
          </w:rPr>
          <w:fldChar w:fldCharType="separate"/>
        </w:r>
        <w:r w:rsidR="00F34DDD">
          <w:rPr>
            <w:noProof/>
            <w:webHidden/>
          </w:rPr>
          <w:t>41</w:t>
        </w:r>
        <w:r w:rsidR="00D77009">
          <w:rPr>
            <w:noProof/>
            <w:webHidden/>
          </w:rPr>
          <w:fldChar w:fldCharType="end"/>
        </w:r>
      </w:hyperlink>
    </w:p>
    <w:p w14:paraId="2C385157" w14:textId="3CFE21C2" w:rsidR="00D77009" w:rsidRDefault="00EC26B7">
      <w:pPr>
        <w:pStyle w:val="TableofFigures"/>
        <w:tabs>
          <w:tab w:val="right" w:leader="dot" w:pos="9465"/>
        </w:tabs>
        <w:rPr>
          <w:rFonts w:eastAsiaTheme="minorEastAsia" w:cstheme="minorBidi"/>
          <w:noProof/>
        </w:rPr>
      </w:pPr>
      <w:hyperlink w:anchor="_Toc121840903" w:history="1">
        <w:r w:rsidR="00D77009" w:rsidRPr="00A67A35">
          <w:rPr>
            <w:rStyle w:val="Hyperlink"/>
            <w:noProof/>
          </w:rPr>
          <w:t>Figure 19: Number of PBS/RPBS antimicrobial prescriptions dispensed, 2019–2021</w:t>
        </w:r>
        <w:r w:rsidR="00D77009">
          <w:rPr>
            <w:noProof/>
            <w:webHidden/>
          </w:rPr>
          <w:tab/>
        </w:r>
        <w:r w:rsidR="00D77009">
          <w:rPr>
            <w:noProof/>
            <w:webHidden/>
          </w:rPr>
          <w:fldChar w:fldCharType="begin"/>
        </w:r>
        <w:r w:rsidR="00D77009">
          <w:rPr>
            <w:noProof/>
            <w:webHidden/>
          </w:rPr>
          <w:instrText xml:space="preserve"> PAGEREF _Toc121840903 \h </w:instrText>
        </w:r>
        <w:r w:rsidR="00D77009">
          <w:rPr>
            <w:noProof/>
            <w:webHidden/>
          </w:rPr>
        </w:r>
        <w:r w:rsidR="00D77009">
          <w:rPr>
            <w:noProof/>
            <w:webHidden/>
          </w:rPr>
          <w:fldChar w:fldCharType="separate"/>
        </w:r>
        <w:r w:rsidR="00F34DDD">
          <w:rPr>
            <w:noProof/>
            <w:webHidden/>
          </w:rPr>
          <w:t>42</w:t>
        </w:r>
        <w:r w:rsidR="00D77009">
          <w:rPr>
            <w:noProof/>
            <w:webHidden/>
          </w:rPr>
          <w:fldChar w:fldCharType="end"/>
        </w:r>
      </w:hyperlink>
    </w:p>
    <w:p w14:paraId="07953E9E" w14:textId="5282E2A2" w:rsidR="00D77009" w:rsidRDefault="00EC26B7">
      <w:pPr>
        <w:pStyle w:val="TableofFigures"/>
        <w:tabs>
          <w:tab w:val="right" w:leader="dot" w:pos="9465"/>
        </w:tabs>
        <w:rPr>
          <w:rFonts w:eastAsiaTheme="minorEastAsia" w:cstheme="minorBidi"/>
          <w:noProof/>
        </w:rPr>
      </w:pPr>
      <w:hyperlink w:anchor="_Toc121840904" w:history="1">
        <w:r w:rsidR="00D77009" w:rsidRPr="00A67A35">
          <w:rPr>
            <w:rStyle w:val="Hyperlink"/>
            <w:noProof/>
          </w:rPr>
          <w:t>Figure 20: Quantity of PBS/RPBS antimicrobial prescriptions dispensed (DDD/1,000 people/day), 2019–2021</w:t>
        </w:r>
        <w:r w:rsidR="00D77009">
          <w:rPr>
            <w:noProof/>
            <w:webHidden/>
          </w:rPr>
          <w:tab/>
        </w:r>
        <w:r w:rsidR="00D77009">
          <w:rPr>
            <w:noProof/>
            <w:webHidden/>
          </w:rPr>
          <w:fldChar w:fldCharType="begin"/>
        </w:r>
        <w:r w:rsidR="00D77009">
          <w:rPr>
            <w:noProof/>
            <w:webHidden/>
          </w:rPr>
          <w:instrText xml:space="preserve"> PAGEREF _Toc121840904 \h </w:instrText>
        </w:r>
        <w:r w:rsidR="00D77009">
          <w:rPr>
            <w:noProof/>
            <w:webHidden/>
          </w:rPr>
        </w:r>
        <w:r w:rsidR="00D77009">
          <w:rPr>
            <w:noProof/>
            <w:webHidden/>
          </w:rPr>
          <w:fldChar w:fldCharType="separate"/>
        </w:r>
        <w:r w:rsidR="00F34DDD">
          <w:rPr>
            <w:noProof/>
            <w:webHidden/>
          </w:rPr>
          <w:t>43</w:t>
        </w:r>
        <w:r w:rsidR="00D77009">
          <w:rPr>
            <w:noProof/>
            <w:webHidden/>
          </w:rPr>
          <w:fldChar w:fldCharType="end"/>
        </w:r>
      </w:hyperlink>
    </w:p>
    <w:p w14:paraId="038FD5DF" w14:textId="027464CE" w:rsidR="00D77009" w:rsidRDefault="00EC26B7">
      <w:pPr>
        <w:pStyle w:val="TableofFigures"/>
        <w:tabs>
          <w:tab w:val="right" w:leader="dot" w:pos="9465"/>
        </w:tabs>
        <w:rPr>
          <w:rFonts w:eastAsiaTheme="minorEastAsia" w:cstheme="minorBidi"/>
          <w:noProof/>
        </w:rPr>
      </w:pPr>
      <w:hyperlink w:anchor="_Toc121840905" w:history="1">
        <w:r w:rsidR="00D77009" w:rsidRPr="00A67A35">
          <w:rPr>
            <w:rStyle w:val="Hyperlink"/>
            <w:noProof/>
          </w:rPr>
          <w:t>Figure 21: Monthly total antimicrobial prescriptions per 100 GP visits, MedicineInsight practices, 2015–2021</w:t>
        </w:r>
        <w:r w:rsidR="00D77009">
          <w:rPr>
            <w:noProof/>
            <w:webHidden/>
          </w:rPr>
          <w:tab/>
        </w:r>
        <w:r w:rsidR="00D77009">
          <w:rPr>
            <w:noProof/>
            <w:webHidden/>
          </w:rPr>
          <w:fldChar w:fldCharType="begin"/>
        </w:r>
        <w:r w:rsidR="00D77009">
          <w:rPr>
            <w:noProof/>
            <w:webHidden/>
          </w:rPr>
          <w:instrText xml:space="preserve"> PAGEREF _Toc121840905 \h </w:instrText>
        </w:r>
        <w:r w:rsidR="00D77009">
          <w:rPr>
            <w:noProof/>
            <w:webHidden/>
          </w:rPr>
        </w:r>
        <w:r w:rsidR="00D77009">
          <w:rPr>
            <w:noProof/>
            <w:webHidden/>
          </w:rPr>
          <w:fldChar w:fldCharType="separate"/>
        </w:r>
        <w:r w:rsidR="00F34DDD">
          <w:rPr>
            <w:noProof/>
            <w:webHidden/>
          </w:rPr>
          <w:t>43</w:t>
        </w:r>
        <w:r w:rsidR="00D77009">
          <w:rPr>
            <w:noProof/>
            <w:webHidden/>
          </w:rPr>
          <w:fldChar w:fldCharType="end"/>
        </w:r>
      </w:hyperlink>
    </w:p>
    <w:p w14:paraId="400C6E67" w14:textId="6709482A" w:rsidR="00D77009" w:rsidRDefault="00EC26B7">
      <w:pPr>
        <w:pStyle w:val="TableofFigures"/>
        <w:tabs>
          <w:tab w:val="right" w:leader="dot" w:pos="9465"/>
        </w:tabs>
        <w:rPr>
          <w:rFonts w:eastAsiaTheme="minorEastAsia" w:cstheme="minorBidi"/>
          <w:noProof/>
        </w:rPr>
      </w:pPr>
      <w:hyperlink w:anchor="_Toc121840906" w:history="1">
        <w:r w:rsidR="00D77009" w:rsidRPr="00A67A35">
          <w:rPr>
            <w:rStyle w:val="Hyperlink"/>
            <w:noProof/>
          </w:rPr>
          <w:t>Figure 22: Number of PBS/RPBS antimicrobial prescriptions dispensed for URTIs, 2019–2021</w:t>
        </w:r>
        <w:r w:rsidR="00D77009">
          <w:rPr>
            <w:noProof/>
            <w:webHidden/>
          </w:rPr>
          <w:tab/>
        </w:r>
        <w:r w:rsidR="00D77009">
          <w:rPr>
            <w:noProof/>
            <w:webHidden/>
          </w:rPr>
          <w:fldChar w:fldCharType="begin"/>
        </w:r>
        <w:r w:rsidR="00D77009">
          <w:rPr>
            <w:noProof/>
            <w:webHidden/>
          </w:rPr>
          <w:instrText xml:space="preserve"> PAGEREF _Toc121840906 \h </w:instrText>
        </w:r>
        <w:r w:rsidR="00D77009">
          <w:rPr>
            <w:noProof/>
            <w:webHidden/>
          </w:rPr>
        </w:r>
        <w:r w:rsidR="00D77009">
          <w:rPr>
            <w:noProof/>
            <w:webHidden/>
          </w:rPr>
          <w:fldChar w:fldCharType="separate"/>
        </w:r>
        <w:r w:rsidR="00F34DDD">
          <w:rPr>
            <w:noProof/>
            <w:webHidden/>
          </w:rPr>
          <w:t>46</w:t>
        </w:r>
        <w:r w:rsidR="00D77009">
          <w:rPr>
            <w:noProof/>
            <w:webHidden/>
          </w:rPr>
          <w:fldChar w:fldCharType="end"/>
        </w:r>
      </w:hyperlink>
    </w:p>
    <w:p w14:paraId="37F44D92" w14:textId="43F9C6F7" w:rsidR="00D77009" w:rsidRPr="00D77009" w:rsidRDefault="00EC26B7">
      <w:pPr>
        <w:pStyle w:val="TableofFigures"/>
        <w:tabs>
          <w:tab w:val="right" w:leader="dot" w:pos="9465"/>
        </w:tabs>
        <w:rPr>
          <w:rFonts w:eastAsiaTheme="minorEastAsia" w:cstheme="minorBidi"/>
          <w:noProof/>
        </w:rPr>
      </w:pPr>
      <w:hyperlink w:anchor="_Toc121840907" w:history="1">
        <w:r w:rsidR="00D77009" w:rsidRPr="00D77009">
          <w:rPr>
            <w:rStyle w:val="Hyperlink"/>
            <w:noProof/>
          </w:rPr>
          <w:t>Figure 23: Number of PBS/RPBS antimicrobial prescriptions dispensed for various indications, 2019–2021</w:t>
        </w:r>
        <w:r w:rsidR="00D77009" w:rsidRPr="00D77009">
          <w:rPr>
            <w:noProof/>
            <w:webHidden/>
          </w:rPr>
          <w:tab/>
        </w:r>
        <w:r w:rsidR="00D77009" w:rsidRPr="00D77009">
          <w:rPr>
            <w:noProof/>
            <w:webHidden/>
          </w:rPr>
          <w:fldChar w:fldCharType="begin"/>
        </w:r>
        <w:r w:rsidR="00D77009" w:rsidRPr="00D77009">
          <w:rPr>
            <w:noProof/>
            <w:webHidden/>
          </w:rPr>
          <w:instrText xml:space="preserve"> PAGEREF _Toc121840907 \h </w:instrText>
        </w:r>
        <w:r w:rsidR="00D77009" w:rsidRPr="00D77009">
          <w:rPr>
            <w:noProof/>
            <w:webHidden/>
          </w:rPr>
        </w:r>
        <w:r w:rsidR="00D77009" w:rsidRPr="00D77009">
          <w:rPr>
            <w:noProof/>
            <w:webHidden/>
          </w:rPr>
          <w:fldChar w:fldCharType="separate"/>
        </w:r>
        <w:r w:rsidR="00F34DDD">
          <w:rPr>
            <w:noProof/>
            <w:webHidden/>
          </w:rPr>
          <w:t>47</w:t>
        </w:r>
        <w:r w:rsidR="00D77009" w:rsidRPr="00D77009">
          <w:rPr>
            <w:noProof/>
            <w:webHidden/>
          </w:rPr>
          <w:fldChar w:fldCharType="end"/>
        </w:r>
      </w:hyperlink>
    </w:p>
    <w:p w14:paraId="32509FF3" w14:textId="63DF8BA1" w:rsidR="00D77009" w:rsidRDefault="00EC26B7">
      <w:pPr>
        <w:pStyle w:val="TableofFigures"/>
        <w:tabs>
          <w:tab w:val="right" w:leader="dot" w:pos="9465"/>
        </w:tabs>
        <w:rPr>
          <w:rFonts w:eastAsiaTheme="minorEastAsia" w:cstheme="minorBidi"/>
          <w:noProof/>
        </w:rPr>
      </w:pPr>
      <w:hyperlink w:anchor="_Toc121840908" w:history="1">
        <w:r w:rsidR="00D77009" w:rsidRPr="00A67A35">
          <w:rPr>
            <w:rStyle w:val="Hyperlink"/>
            <w:noProof/>
          </w:rPr>
          <w:t>Figure 24: Number of PBS/RPBS prescriptions with PBS/RPBS restriction changes dispensed for URTIs, by type of antimicrobial, 2019–2021</w:t>
        </w:r>
        <w:r w:rsidR="00D77009">
          <w:rPr>
            <w:noProof/>
            <w:webHidden/>
          </w:rPr>
          <w:tab/>
        </w:r>
        <w:r w:rsidR="00D77009">
          <w:rPr>
            <w:noProof/>
            <w:webHidden/>
          </w:rPr>
          <w:fldChar w:fldCharType="begin"/>
        </w:r>
        <w:r w:rsidR="00D77009">
          <w:rPr>
            <w:noProof/>
            <w:webHidden/>
          </w:rPr>
          <w:instrText xml:space="preserve"> PAGEREF _Toc121840908 \h </w:instrText>
        </w:r>
        <w:r w:rsidR="00D77009">
          <w:rPr>
            <w:noProof/>
            <w:webHidden/>
          </w:rPr>
        </w:r>
        <w:r w:rsidR="00D77009">
          <w:rPr>
            <w:noProof/>
            <w:webHidden/>
          </w:rPr>
          <w:fldChar w:fldCharType="separate"/>
        </w:r>
        <w:r w:rsidR="00F34DDD">
          <w:rPr>
            <w:noProof/>
            <w:webHidden/>
          </w:rPr>
          <w:t>48</w:t>
        </w:r>
        <w:r w:rsidR="00D77009">
          <w:rPr>
            <w:noProof/>
            <w:webHidden/>
          </w:rPr>
          <w:fldChar w:fldCharType="end"/>
        </w:r>
      </w:hyperlink>
    </w:p>
    <w:p w14:paraId="5A14F2CF" w14:textId="232DFEFC" w:rsidR="00D77009" w:rsidRDefault="00EC26B7">
      <w:pPr>
        <w:pStyle w:val="TableofFigures"/>
        <w:tabs>
          <w:tab w:val="right" w:leader="dot" w:pos="9465"/>
        </w:tabs>
        <w:rPr>
          <w:rFonts w:eastAsiaTheme="minorEastAsia" w:cstheme="minorBidi"/>
          <w:noProof/>
        </w:rPr>
      </w:pPr>
      <w:hyperlink w:anchor="_Toc121840909" w:history="1">
        <w:r w:rsidR="00D77009" w:rsidRPr="00A67A35">
          <w:rPr>
            <w:rStyle w:val="Hyperlink"/>
            <w:noProof/>
          </w:rPr>
          <w:t>Figure 25: Number of PBS/RPBS prescriptions without PBS/RPBS restriction changes, dispensed for URTIs, by type of antimicrobial, 2019–2021</w:t>
        </w:r>
        <w:r w:rsidR="00D77009">
          <w:rPr>
            <w:noProof/>
            <w:webHidden/>
          </w:rPr>
          <w:tab/>
        </w:r>
        <w:r w:rsidR="00D77009">
          <w:rPr>
            <w:noProof/>
            <w:webHidden/>
          </w:rPr>
          <w:fldChar w:fldCharType="begin"/>
        </w:r>
        <w:r w:rsidR="00D77009">
          <w:rPr>
            <w:noProof/>
            <w:webHidden/>
          </w:rPr>
          <w:instrText xml:space="preserve"> PAGEREF _Toc121840909 \h </w:instrText>
        </w:r>
        <w:r w:rsidR="00D77009">
          <w:rPr>
            <w:noProof/>
            <w:webHidden/>
          </w:rPr>
        </w:r>
        <w:r w:rsidR="00D77009">
          <w:rPr>
            <w:noProof/>
            <w:webHidden/>
          </w:rPr>
          <w:fldChar w:fldCharType="separate"/>
        </w:r>
        <w:r w:rsidR="00F34DDD">
          <w:rPr>
            <w:noProof/>
            <w:webHidden/>
          </w:rPr>
          <w:t>48</w:t>
        </w:r>
        <w:r w:rsidR="00D77009">
          <w:rPr>
            <w:noProof/>
            <w:webHidden/>
          </w:rPr>
          <w:fldChar w:fldCharType="end"/>
        </w:r>
      </w:hyperlink>
    </w:p>
    <w:p w14:paraId="70B3DE9D" w14:textId="1183EBC6" w:rsidR="00D77009" w:rsidRDefault="00EC26B7">
      <w:pPr>
        <w:pStyle w:val="TableofFigures"/>
        <w:tabs>
          <w:tab w:val="right" w:leader="dot" w:pos="9465"/>
        </w:tabs>
        <w:rPr>
          <w:rFonts w:eastAsiaTheme="minorEastAsia" w:cstheme="minorBidi"/>
          <w:noProof/>
        </w:rPr>
      </w:pPr>
      <w:hyperlink w:anchor="_Toc121840910" w:history="1">
        <w:r w:rsidR="00D77009" w:rsidRPr="00A67A35">
          <w:rPr>
            <w:rStyle w:val="Hyperlink"/>
            <w:noProof/>
          </w:rPr>
          <w:t>Figure 26: Number of PBS/RPBS antimicrobial prescriptions per 1,000 people for URTIs, by state and territory, 2019–2021</w:t>
        </w:r>
        <w:r w:rsidR="00D77009">
          <w:rPr>
            <w:noProof/>
            <w:webHidden/>
          </w:rPr>
          <w:tab/>
        </w:r>
        <w:r w:rsidR="00D77009">
          <w:rPr>
            <w:noProof/>
            <w:webHidden/>
          </w:rPr>
          <w:fldChar w:fldCharType="begin"/>
        </w:r>
        <w:r w:rsidR="00D77009">
          <w:rPr>
            <w:noProof/>
            <w:webHidden/>
          </w:rPr>
          <w:instrText xml:space="preserve"> PAGEREF _Toc121840910 \h </w:instrText>
        </w:r>
        <w:r w:rsidR="00D77009">
          <w:rPr>
            <w:noProof/>
            <w:webHidden/>
          </w:rPr>
        </w:r>
        <w:r w:rsidR="00D77009">
          <w:rPr>
            <w:noProof/>
            <w:webHidden/>
          </w:rPr>
          <w:fldChar w:fldCharType="separate"/>
        </w:r>
        <w:r w:rsidR="00F34DDD">
          <w:rPr>
            <w:noProof/>
            <w:webHidden/>
          </w:rPr>
          <w:t>49</w:t>
        </w:r>
        <w:r w:rsidR="00D77009">
          <w:rPr>
            <w:noProof/>
            <w:webHidden/>
          </w:rPr>
          <w:fldChar w:fldCharType="end"/>
        </w:r>
      </w:hyperlink>
    </w:p>
    <w:p w14:paraId="3F70310F" w14:textId="406DADC5" w:rsidR="00D77009" w:rsidRDefault="00EC26B7">
      <w:pPr>
        <w:pStyle w:val="TableofFigures"/>
        <w:tabs>
          <w:tab w:val="right" w:leader="dot" w:pos="9465"/>
        </w:tabs>
        <w:rPr>
          <w:rFonts w:eastAsiaTheme="minorEastAsia" w:cstheme="minorBidi"/>
          <w:noProof/>
        </w:rPr>
      </w:pPr>
      <w:hyperlink w:anchor="_Toc121840911" w:history="1">
        <w:r w:rsidR="00D77009" w:rsidRPr="00A67A35">
          <w:rPr>
            <w:rStyle w:val="Hyperlink"/>
            <w:noProof/>
          </w:rPr>
          <w:t>Figure 27: Number of PBS/RPBS antimicrobial prescriptions dispensed for URTIs per 1,000 people, by age groups, 2019–2021</w:t>
        </w:r>
        <w:r w:rsidR="00D77009">
          <w:rPr>
            <w:noProof/>
            <w:webHidden/>
          </w:rPr>
          <w:tab/>
        </w:r>
        <w:r w:rsidR="00D77009">
          <w:rPr>
            <w:noProof/>
            <w:webHidden/>
          </w:rPr>
          <w:fldChar w:fldCharType="begin"/>
        </w:r>
        <w:r w:rsidR="00D77009">
          <w:rPr>
            <w:noProof/>
            <w:webHidden/>
          </w:rPr>
          <w:instrText xml:space="preserve"> PAGEREF _Toc121840911 \h </w:instrText>
        </w:r>
        <w:r w:rsidR="00D77009">
          <w:rPr>
            <w:noProof/>
            <w:webHidden/>
          </w:rPr>
        </w:r>
        <w:r w:rsidR="00D77009">
          <w:rPr>
            <w:noProof/>
            <w:webHidden/>
          </w:rPr>
          <w:fldChar w:fldCharType="separate"/>
        </w:r>
        <w:r w:rsidR="00F34DDD">
          <w:rPr>
            <w:noProof/>
            <w:webHidden/>
          </w:rPr>
          <w:t>50</w:t>
        </w:r>
        <w:r w:rsidR="00D77009">
          <w:rPr>
            <w:noProof/>
            <w:webHidden/>
          </w:rPr>
          <w:fldChar w:fldCharType="end"/>
        </w:r>
      </w:hyperlink>
    </w:p>
    <w:p w14:paraId="4E16E863" w14:textId="638AF54F" w:rsidR="00D77009" w:rsidRDefault="00EC26B7">
      <w:pPr>
        <w:pStyle w:val="TableofFigures"/>
        <w:tabs>
          <w:tab w:val="right" w:leader="dot" w:pos="9465"/>
        </w:tabs>
        <w:rPr>
          <w:rFonts w:eastAsiaTheme="minorEastAsia" w:cstheme="minorBidi"/>
          <w:noProof/>
        </w:rPr>
      </w:pPr>
      <w:hyperlink w:anchor="_Toc121840912" w:history="1">
        <w:r w:rsidR="00D77009" w:rsidRPr="00A67A35">
          <w:rPr>
            <w:rStyle w:val="Hyperlink"/>
            <w:noProof/>
          </w:rPr>
          <w:t>Figure 28: Number of PBS/RPBS antimicrobial prescriptions for URTIs per 1,000 people, 2019–2021</w:t>
        </w:r>
        <w:r w:rsidR="00D77009">
          <w:rPr>
            <w:noProof/>
            <w:webHidden/>
          </w:rPr>
          <w:tab/>
        </w:r>
        <w:r w:rsidR="00D77009">
          <w:rPr>
            <w:noProof/>
            <w:webHidden/>
          </w:rPr>
          <w:fldChar w:fldCharType="begin"/>
        </w:r>
        <w:r w:rsidR="00D77009">
          <w:rPr>
            <w:noProof/>
            <w:webHidden/>
          </w:rPr>
          <w:instrText xml:space="preserve"> PAGEREF _Toc121840912 \h </w:instrText>
        </w:r>
        <w:r w:rsidR="00D77009">
          <w:rPr>
            <w:noProof/>
            <w:webHidden/>
          </w:rPr>
        </w:r>
        <w:r w:rsidR="00D77009">
          <w:rPr>
            <w:noProof/>
            <w:webHidden/>
          </w:rPr>
          <w:fldChar w:fldCharType="separate"/>
        </w:r>
        <w:r w:rsidR="00F34DDD">
          <w:rPr>
            <w:noProof/>
            <w:webHidden/>
          </w:rPr>
          <w:t>51</w:t>
        </w:r>
        <w:r w:rsidR="00D77009">
          <w:rPr>
            <w:noProof/>
            <w:webHidden/>
          </w:rPr>
          <w:fldChar w:fldCharType="end"/>
        </w:r>
      </w:hyperlink>
    </w:p>
    <w:p w14:paraId="5FDDF2EF" w14:textId="2806A35E" w:rsidR="00D77009" w:rsidRDefault="00EC26B7">
      <w:pPr>
        <w:pStyle w:val="TableofFigures"/>
        <w:tabs>
          <w:tab w:val="right" w:leader="dot" w:pos="9465"/>
        </w:tabs>
        <w:rPr>
          <w:rFonts w:eastAsiaTheme="minorEastAsia" w:cstheme="minorBidi"/>
          <w:noProof/>
        </w:rPr>
      </w:pPr>
      <w:hyperlink w:anchor="_Toc121840913" w:history="1">
        <w:r w:rsidR="00D77009" w:rsidRPr="00A67A35">
          <w:rPr>
            <w:rStyle w:val="Hyperlink"/>
            <w:noProof/>
          </w:rPr>
          <w:t>Figure 29: Number of PBS/RPBS antimicrobial prescriptions for URTIs per 1,000 people, 2019–2021</w:t>
        </w:r>
        <w:r w:rsidR="00D77009">
          <w:rPr>
            <w:noProof/>
            <w:webHidden/>
          </w:rPr>
          <w:tab/>
        </w:r>
        <w:r w:rsidR="00D77009">
          <w:rPr>
            <w:noProof/>
            <w:webHidden/>
          </w:rPr>
          <w:fldChar w:fldCharType="begin"/>
        </w:r>
        <w:r w:rsidR="00D77009">
          <w:rPr>
            <w:noProof/>
            <w:webHidden/>
          </w:rPr>
          <w:instrText xml:space="preserve"> PAGEREF _Toc121840913 \h </w:instrText>
        </w:r>
        <w:r w:rsidR="00D77009">
          <w:rPr>
            <w:noProof/>
            <w:webHidden/>
          </w:rPr>
        </w:r>
        <w:r w:rsidR="00D77009">
          <w:rPr>
            <w:noProof/>
            <w:webHidden/>
          </w:rPr>
          <w:fldChar w:fldCharType="separate"/>
        </w:r>
        <w:r w:rsidR="00F34DDD">
          <w:rPr>
            <w:noProof/>
            <w:webHidden/>
          </w:rPr>
          <w:t>52</w:t>
        </w:r>
        <w:r w:rsidR="00D77009">
          <w:rPr>
            <w:noProof/>
            <w:webHidden/>
          </w:rPr>
          <w:fldChar w:fldCharType="end"/>
        </w:r>
      </w:hyperlink>
    </w:p>
    <w:p w14:paraId="60BD93EA" w14:textId="5F1A6219" w:rsidR="00D77009" w:rsidRDefault="00EC26B7">
      <w:pPr>
        <w:pStyle w:val="TableofFigures"/>
        <w:tabs>
          <w:tab w:val="right" w:leader="dot" w:pos="9465"/>
        </w:tabs>
        <w:rPr>
          <w:rFonts w:eastAsiaTheme="minorEastAsia" w:cstheme="minorBidi"/>
          <w:noProof/>
        </w:rPr>
      </w:pPr>
      <w:hyperlink w:anchor="_Toc121840914" w:history="1">
        <w:r w:rsidR="00D77009" w:rsidRPr="00A67A35">
          <w:rPr>
            <w:rStyle w:val="Hyperlink"/>
            <w:noProof/>
          </w:rPr>
          <w:t>Figure 30: Number of PBS/RPBS antimicrobial prescriptions for URTIs per 1,000 people, 2019–2021</w:t>
        </w:r>
        <w:r w:rsidR="00D77009">
          <w:rPr>
            <w:noProof/>
            <w:webHidden/>
          </w:rPr>
          <w:tab/>
        </w:r>
        <w:r w:rsidR="00D77009">
          <w:rPr>
            <w:noProof/>
            <w:webHidden/>
          </w:rPr>
          <w:fldChar w:fldCharType="begin"/>
        </w:r>
        <w:r w:rsidR="00D77009">
          <w:rPr>
            <w:noProof/>
            <w:webHidden/>
          </w:rPr>
          <w:instrText xml:space="preserve"> PAGEREF _Toc121840914 \h </w:instrText>
        </w:r>
        <w:r w:rsidR="00D77009">
          <w:rPr>
            <w:noProof/>
            <w:webHidden/>
          </w:rPr>
        </w:r>
        <w:r w:rsidR="00D77009">
          <w:rPr>
            <w:noProof/>
            <w:webHidden/>
          </w:rPr>
          <w:fldChar w:fldCharType="separate"/>
        </w:r>
        <w:r w:rsidR="00F34DDD">
          <w:rPr>
            <w:noProof/>
            <w:webHidden/>
          </w:rPr>
          <w:t>53</w:t>
        </w:r>
        <w:r w:rsidR="00D77009">
          <w:rPr>
            <w:noProof/>
            <w:webHidden/>
          </w:rPr>
          <w:fldChar w:fldCharType="end"/>
        </w:r>
      </w:hyperlink>
    </w:p>
    <w:p w14:paraId="63E050B9" w14:textId="2A73BDEF" w:rsidR="00D77009" w:rsidRDefault="00EC26B7">
      <w:pPr>
        <w:pStyle w:val="TableofFigures"/>
        <w:tabs>
          <w:tab w:val="right" w:leader="dot" w:pos="9465"/>
        </w:tabs>
        <w:rPr>
          <w:rFonts w:eastAsiaTheme="minorEastAsia" w:cstheme="minorBidi"/>
          <w:noProof/>
        </w:rPr>
      </w:pPr>
      <w:hyperlink w:anchor="_Toc121840915" w:history="1">
        <w:r w:rsidR="00D77009" w:rsidRPr="00A67A35">
          <w:rPr>
            <w:rStyle w:val="Hyperlink"/>
            <w:noProof/>
          </w:rPr>
          <w:t>Figure 31: </w:t>
        </w:r>
        <w:r w:rsidR="004130AB" w:rsidRPr="006F7A86">
          <w:rPr>
            <w:noProof/>
          </w:rPr>
          <w:t>Community antimicrobial use in Austr</w:t>
        </w:r>
        <w:r w:rsidR="004130AB" w:rsidRPr="004130AB">
          <w:rPr>
            <w:noProof/>
          </w:rPr>
          <w:t>alia (2020), European countries (2020) and Canada (2019), by DDD/1,000 people/day</w:t>
        </w:r>
        <w:r w:rsidR="00D77009">
          <w:rPr>
            <w:noProof/>
            <w:webHidden/>
          </w:rPr>
          <w:tab/>
        </w:r>
        <w:r w:rsidR="00D77009">
          <w:rPr>
            <w:noProof/>
            <w:webHidden/>
          </w:rPr>
          <w:fldChar w:fldCharType="begin"/>
        </w:r>
        <w:r w:rsidR="00D77009">
          <w:rPr>
            <w:noProof/>
            <w:webHidden/>
          </w:rPr>
          <w:instrText xml:space="preserve"> PAGEREF _Toc121840915 \h </w:instrText>
        </w:r>
        <w:r w:rsidR="00D77009">
          <w:rPr>
            <w:noProof/>
            <w:webHidden/>
          </w:rPr>
        </w:r>
        <w:r w:rsidR="00D77009">
          <w:rPr>
            <w:noProof/>
            <w:webHidden/>
          </w:rPr>
          <w:fldChar w:fldCharType="separate"/>
        </w:r>
        <w:r w:rsidR="00F34DDD">
          <w:rPr>
            <w:noProof/>
            <w:webHidden/>
          </w:rPr>
          <w:t>56</w:t>
        </w:r>
        <w:r w:rsidR="00D77009">
          <w:rPr>
            <w:noProof/>
            <w:webHidden/>
          </w:rPr>
          <w:fldChar w:fldCharType="end"/>
        </w:r>
      </w:hyperlink>
    </w:p>
    <w:p w14:paraId="1B0FEA8D" w14:textId="2F85A572" w:rsidR="003B2D9F" w:rsidRDefault="00B21BA9" w:rsidP="004C47A1">
      <w:r>
        <w:fldChar w:fldCharType="end"/>
      </w:r>
      <w:bookmarkStart w:id="10" w:name="_Hlk121299640"/>
      <w:bookmarkStart w:id="11" w:name="_Hlk121301768"/>
    </w:p>
    <w:p w14:paraId="139466E6" w14:textId="77777777" w:rsidR="003B2D9F" w:rsidRDefault="003B2D9F" w:rsidP="004C47A1">
      <w:pPr>
        <w:rPr>
          <w:rFonts w:cs="Arial"/>
          <w:color w:val="1178A2"/>
          <w:kern w:val="28"/>
          <w:sz w:val="40"/>
          <w:szCs w:val="32"/>
        </w:rPr>
      </w:pPr>
      <w:r>
        <w:br w:type="page"/>
      </w:r>
    </w:p>
    <w:p w14:paraId="31371D32" w14:textId="4CA5E6CF" w:rsidR="00FC1842" w:rsidRPr="00911944" w:rsidRDefault="00FC1842" w:rsidP="00284EDA">
      <w:pPr>
        <w:pStyle w:val="Heading1"/>
        <w:spacing w:after="120"/>
        <w:rPr>
          <w:color w:val="595959" w:themeColor="text1" w:themeTint="A6"/>
        </w:rPr>
      </w:pPr>
      <w:bookmarkStart w:id="12" w:name="_Toc121826718"/>
      <w:r w:rsidRPr="00911944">
        <w:rPr>
          <w:color w:val="595959" w:themeColor="text1" w:themeTint="A6"/>
        </w:rPr>
        <w:lastRenderedPageBreak/>
        <w:t xml:space="preserve">Executive </w:t>
      </w:r>
      <w:r w:rsidR="00AB6542" w:rsidRPr="00911944">
        <w:rPr>
          <w:color w:val="595959" w:themeColor="text1" w:themeTint="A6"/>
        </w:rPr>
        <w:t>s</w:t>
      </w:r>
      <w:r w:rsidRPr="00911944">
        <w:rPr>
          <w:color w:val="595959" w:themeColor="text1" w:themeTint="A6"/>
        </w:rPr>
        <w:t>ummary</w:t>
      </w:r>
      <w:bookmarkEnd w:id="12"/>
    </w:p>
    <w:p w14:paraId="14E25D85" w14:textId="5426BE5B" w:rsidR="009040BC" w:rsidRPr="00F46944" w:rsidRDefault="00682040" w:rsidP="004A73BB">
      <w:pPr>
        <w:rPr>
          <w:rFonts w:cstheme="minorHAnsi"/>
        </w:rPr>
      </w:pPr>
      <w:bookmarkStart w:id="13" w:name="_Hlk105178725"/>
      <w:r w:rsidRPr="00F46944">
        <w:rPr>
          <w:rFonts w:cstheme="minorHAnsi"/>
        </w:rPr>
        <w:t xml:space="preserve">Antimicrobials are an integral component of healthcare delivery and need to be readily available and effective. </w:t>
      </w:r>
      <w:r w:rsidR="004A73BB" w:rsidRPr="00F46944">
        <w:rPr>
          <w:rFonts w:cstheme="minorHAnsi"/>
        </w:rPr>
        <w:t>Antimicrobial resistance</w:t>
      </w:r>
      <w:r w:rsidR="00582340" w:rsidRPr="00F46944">
        <w:rPr>
          <w:rFonts w:cstheme="minorHAnsi"/>
        </w:rPr>
        <w:t xml:space="preserve"> (AMR)</w:t>
      </w:r>
      <w:r w:rsidR="004A73BB" w:rsidRPr="00F46944">
        <w:rPr>
          <w:rFonts w:cstheme="minorHAnsi"/>
        </w:rPr>
        <w:t xml:space="preserve"> </w:t>
      </w:r>
      <w:bookmarkEnd w:id="13"/>
      <w:r w:rsidR="00DB4131" w:rsidRPr="00F46944">
        <w:rPr>
          <w:rFonts w:cstheme="minorHAnsi"/>
        </w:rPr>
        <w:t xml:space="preserve">is </w:t>
      </w:r>
      <w:r w:rsidR="009040BC" w:rsidRPr="00F46944">
        <w:rPr>
          <w:rFonts w:cstheme="minorHAnsi"/>
        </w:rPr>
        <w:t>a critical</w:t>
      </w:r>
      <w:r w:rsidR="001C2604" w:rsidRPr="00F46944">
        <w:rPr>
          <w:rFonts w:cstheme="minorHAnsi"/>
        </w:rPr>
        <w:t xml:space="preserve"> </w:t>
      </w:r>
      <w:r w:rsidR="004A73BB" w:rsidRPr="00F46944">
        <w:rPr>
          <w:rFonts w:cstheme="minorHAnsi"/>
        </w:rPr>
        <w:t xml:space="preserve">risk to patient safety </w:t>
      </w:r>
      <w:r w:rsidR="00AB6542" w:rsidRPr="00F46944">
        <w:rPr>
          <w:rFonts w:cstheme="minorHAnsi"/>
        </w:rPr>
        <w:t>by reducing</w:t>
      </w:r>
      <w:r w:rsidR="004A73BB" w:rsidRPr="00F46944">
        <w:rPr>
          <w:rFonts w:cstheme="minorHAnsi"/>
        </w:rPr>
        <w:t xml:space="preserve"> the number of antimicrobials available to treat infections. </w:t>
      </w:r>
      <w:r w:rsidR="00582340" w:rsidRPr="00F46944">
        <w:rPr>
          <w:rFonts w:cstheme="minorHAnsi"/>
        </w:rPr>
        <w:t xml:space="preserve">AMR </w:t>
      </w:r>
      <w:r w:rsidR="004A73BB" w:rsidRPr="00F46944">
        <w:rPr>
          <w:rFonts w:cstheme="minorHAnsi"/>
        </w:rPr>
        <w:t>increases morbidity and mortality associated with infections caused by multidrug-resistant organisms.</w:t>
      </w:r>
    </w:p>
    <w:p w14:paraId="34D1B7C4" w14:textId="489E1309" w:rsidR="00AB6542" w:rsidRDefault="00AB6542" w:rsidP="004A73BB">
      <w:pPr>
        <w:rPr>
          <w:rFonts w:cstheme="minorHAnsi"/>
        </w:rPr>
      </w:pPr>
      <w:r w:rsidRPr="00F46944">
        <w:rPr>
          <w:rFonts w:cstheme="minorHAnsi"/>
        </w:rPr>
        <w:t xml:space="preserve">The emergence of AMR and consequent reduction in </w:t>
      </w:r>
      <w:r w:rsidR="00DB4131" w:rsidRPr="00F46944">
        <w:rPr>
          <w:rFonts w:cstheme="minorHAnsi"/>
        </w:rPr>
        <w:t>the</w:t>
      </w:r>
      <w:r w:rsidR="00E05739" w:rsidRPr="00F46944">
        <w:rPr>
          <w:rFonts w:cstheme="minorHAnsi"/>
        </w:rPr>
        <w:t xml:space="preserve"> efficacy</w:t>
      </w:r>
      <w:r w:rsidRPr="00F46944">
        <w:rPr>
          <w:rFonts w:cstheme="minorHAnsi"/>
        </w:rPr>
        <w:t xml:space="preserve"> </w:t>
      </w:r>
      <w:r w:rsidR="00DB4131" w:rsidRPr="00F46944">
        <w:rPr>
          <w:rFonts w:cstheme="minorHAnsi"/>
        </w:rPr>
        <w:t>of antimicrobial</w:t>
      </w:r>
      <w:r w:rsidR="009B6008">
        <w:rPr>
          <w:rFonts w:cstheme="minorHAnsi"/>
        </w:rPr>
        <w:t>s</w:t>
      </w:r>
      <w:r w:rsidR="00DB4131" w:rsidRPr="00F46944">
        <w:rPr>
          <w:rFonts w:cstheme="minorHAnsi"/>
        </w:rPr>
        <w:t xml:space="preserve"> </w:t>
      </w:r>
      <w:r w:rsidRPr="00F46944">
        <w:rPr>
          <w:rFonts w:cstheme="minorHAnsi"/>
        </w:rPr>
        <w:t>has resulted in</w:t>
      </w:r>
      <w:r w:rsidR="009040BC" w:rsidRPr="00F46944">
        <w:rPr>
          <w:rFonts w:cstheme="minorHAnsi"/>
        </w:rPr>
        <w:t xml:space="preserve"> significant impact</w:t>
      </w:r>
      <w:r w:rsidRPr="00F46944">
        <w:rPr>
          <w:rFonts w:cstheme="minorHAnsi"/>
        </w:rPr>
        <w:t>s</w:t>
      </w:r>
      <w:r w:rsidR="009040BC" w:rsidRPr="00F46944">
        <w:rPr>
          <w:rFonts w:cstheme="minorHAnsi"/>
        </w:rPr>
        <w:t xml:space="preserve"> on individuals </w:t>
      </w:r>
      <w:r w:rsidRPr="00F46944">
        <w:rPr>
          <w:rFonts w:cstheme="minorHAnsi"/>
        </w:rPr>
        <w:t>receiving treatment</w:t>
      </w:r>
      <w:r w:rsidR="009040BC" w:rsidRPr="00F46944">
        <w:rPr>
          <w:rFonts w:cstheme="minorHAnsi"/>
        </w:rPr>
        <w:t xml:space="preserve"> </w:t>
      </w:r>
      <w:r w:rsidR="00E05739" w:rsidRPr="00F46944">
        <w:rPr>
          <w:rFonts w:cstheme="minorHAnsi"/>
        </w:rPr>
        <w:t xml:space="preserve">for infections, </w:t>
      </w:r>
      <w:r w:rsidR="009040BC" w:rsidRPr="00F46944">
        <w:rPr>
          <w:rFonts w:cstheme="minorHAnsi"/>
        </w:rPr>
        <w:t xml:space="preserve">and </w:t>
      </w:r>
      <w:r w:rsidR="00E05739" w:rsidRPr="00F46944">
        <w:rPr>
          <w:rFonts w:cstheme="minorHAnsi"/>
        </w:rPr>
        <w:t xml:space="preserve">on </w:t>
      </w:r>
      <w:r w:rsidR="009040BC" w:rsidRPr="00F46944">
        <w:rPr>
          <w:rFonts w:cstheme="minorHAnsi"/>
        </w:rPr>
        <w:t xml:space="preserve">the community more broadly. </w:t>
      </w:r>
      <w:r w:rsidR="00E05739" w:rsidRPr="00F46944">
        <w:rPr>
          <w:rFonts w:cstheme="minorHAnsi"/>
        </w:rPr>
        <w:t xml:space="preserve">As </w:t>
      </w:r>
      <w:r w:rsidR="009040BC" w:rsidRPr="00F46944">
        <w:rPr>
          <w:rFonts w:cstheme="minorHAnsi"/>
        </w:rPr>
        <w:t xml:space="preserve">antimicrobials become ineffective, important treatments such as organ transplantation, </w:t>
      </w:r>
      <w:r w:rsidR="00DC19EC" w:rsidRPr="00F46944">
        <w:rPr>
          <w:rFonts w:cstheme="minorHAnsi"/>
        </w:rPr>
        <w:t xml:space="preserve">a range of major </w:t>
      </w:r>
      <w:r w:rsidR="009040BC" w:rsidRPr="00F46944">
        <w:rPr>
          <w:rFonts w:cstheme="minorHAnsi"/>
        </w:rPr>
        <w:t>surg</w:t>
      </w:r>
      <w:r w:rsidR="00DC19EC" w:rsidRPr="00F46944">
        <w:rPr>
          <w:rFonts w:cstheme="minorHAnsi"/>
        </w:rPr>
        <w:t>ical procedures,</w:t>
      </w:r>
      <w:r w:rsidR="009040BC" w:rsidRPr="00F46944">
        <w:rPr>
          <w:rFonts w:cstheme="minorHAnsi"/>
        </w:rPr>
        <w:t xml:space="preserve"> </w:t>
      </w:r>
      <w:r w:rsidR="00DC19EC" w:rsidRPr="00F46944">
        <w:rPr>
          <w:rFonts w:cstheme="minorHAnsi"/>
        </w:rPr>
        <w:t xml:space="preserve">and </w:t>
      </w:r>
      <w:r w:rsidR="009040BC" w:rsidRPr="00F46944">
        <w:rPr>
          <w:rFonts w:cstheme="minorHAnsi"/>
        </w:rPr>
        <w:t xml:space="preserve">chemotherapy for cancer may </w:t>
      </w:r>
      <w:r w:rsidR="007F281D" w:rsidRPr="00F46944">
        <w:rPr>
          <w:rFonts w:cstheme="minorHAnsi"/>
        </w:rPr>
        <w:t>be</w:t>
      </w:r>
      <w:r w:rsidRPr="00F46944">
        <w:rPr>
          <w:rFonts w:cstheme="minorHAnsi"/>
        </w:rPr>
        <w:t>come</w:t>
      </w:r>
      <w:r w:rsidR="007F281D" w:rsidRPr="00F46944">
        <w:rPr>
          <w:rFonts w:cstheme="minorHAnsi"/>
        </w:rPr>
        <w:t xml:space="preserve"> limited, or </w:t>
      </w:r>
      <w:r w:rsidR="009040BC" w:rsidRPr="00F46944">
        <w:rPr>
          <w:rFonts w:cstheme="minorHAnsi"/>
        </w:rPr>
        <w:t xml:space="preserve">no longer </w:t>
      </w:r>
      <w:r w:rsidR="00DC19EC" w:rsidRPr="00F46944">
        <w:rPr>
          <w:rFonts w:cstheme="minorHAnsi"/>
        </w:rPr>
        <w:t>viable</w:t>
      </w:r>
      <w:r w:rsidR="004A73BB" w:rsidRPr="00F46944">
        <w:rPr>
          <w:rFonts w:cstheme="minorHAnsi"/>
        </w:rPr>
        <w:t>.</w:t>
      </w:r>
    </w:p>
    <w:p w14:paraId="0DAA1DBE" w14:textId="734D2B57" w:rsidR="007B287F" w:rsidRPr="00F46944" w:rsidRDefault="007B287F" w:rsidP="007B287F">
      <w:pPr>
        <w:rPr>
          <w:rFonts w:cstheme="minorHAnsi"/>
        </w:rPr>
      </w:pPr>
      <w:r>
        <w:rPr>
          <w:rFonts w:cstheme="minorHAnsi"/>
        </w:rPr>
        <w:t>I</w:t>
      </w:r>
      <w:r w:rsidRPr="00F46944">
        <w:rPr>
          <w:rFonts w:cstheme="minorHAnsi"/>
        </w:rPr>
        <w:t>ncreased and inappropriate antimicrobial use</w:t>
      </w:r>
      <w:r>
        <w:rPr>
          <w:rFonts w:cstheme="minorHAnsi"/>
        </w:rPr>
        <w:t xml:space="preserve"> are i</w:t>
      </w:r>
      <w:r w:rsidRPr="00784A92">
        <w:rPr>
          <w:rFonts w:cstheme="minorHAnsi"/>
        </w:rPr>
        <w:t>mportant drivers of AMR</w:t>
      </w:r>
      <w:r w:rsidRPr="00F46944">
        <w:rPr>
          <w:rFonts w:cstheme="minorHAnsi"/>
        </w:rPr>
        <w:t>.</w:t>
      </w:r>
      <w:r w:rsidR="00A72EFC">
        <w:rPr>
          <w:rFonts w:cstheme="minorHAnsi"/>
        </w:rPr>
        <w:t xml:space="preserve"> </w:t>
      </w:r>
      <w:r w:rsidRPr="00F46944">
        <w:rPr>
          <w:rFonts w:cstheme="minorHAnsi"/>
        </w:rPr>
        <w:t>Since 2015, there has been a positive downward trend in overall antimicrobial use in the Australian community sector. There was a gradual decline in the number of antimicrobial prescriptions dispensed under the Pharmaceutical Benefits Scheme (PBS) and the Repatriation Pharmaceutical Benefits Scheme (RPBS) between 2015 and 2019</w:t>
      </w:r>
      <w:r>
        <w:rPr>
          <w:rFonts w:cstheme="minorHAnsi"/>
        </w:rPr>
        <w:t xml:space="preserve">. </w:t>
      </w:r>
      <w:r w:rsidR="00E16C95">
        <w:rPr>
          <w:rFonts w:cstheme="minorHAnsi"/>
        </w:rPr>
        <w:t>Th</w:t>
      </w:r>
      <w:r w:rsidR="009B6008">
        <w:rPr>
          <w:rFonts w:cstheme="minorHAnsi"/>
        </w:rPr>
        <w:t xml:space="preserve">is was followed by </w:t>
      </w:r>
      <w:r w:rsidR="00E16C95">
        <w:rPr>
          <w:rFonts w:cstheme="minorHAnsi"/>
        </w:rPr>
        <w:t xml:space="preserve">a </w:t>
      </w:r>
      <w:r>
        <w:rPr>
          <w:rFonts w:cstheme="minorHAnsi"/>
        </w:rPr>
        <w:t xml:space="preserve">substantial decrease in PBS/RPBS dispensing </w:t>
      </w:r>
      <w:r w:rsidRPr="00F46944">
        <w:rPr>
          <w:rFonts w:cstheme="minorHAnsi"/>
        </w:rPr>
        <w:t>in 2020</w:t>
      </w:r>
      <w:r w:rsidR="00E16C95">
        <w:rPr>
          <w:rFonts w:cstheme="minorHAnsi"/>
        </w:rPr>
        <w:t>. Th</w:t>
      </w:r>
      <w:r w:rsidR="00361A71">
        <w:rPr>
          <w:rFonts w:cstheme="minorHAnsi"/>
        </w:rPr>
        <w:t>is</w:t>
      </w:r>
      <w:r w:rsidR="00E16C95">
        <w:rPr>
          <w:rFonts w:cstheme="minorHAnsi"/>
        </w:rPr>
        <w:t xml:space="preserve"> decrease, which</w:t>
      </w:r>
      <w:r w:rsidRPr="00F46944">
        <w:rPr>
          <w:rFonts w:cstheme="minorHAnsi"/>
        </w:rPr>
        <w:t xml:space="preserve"> was sustained in 2021</w:t>
      </w:r>
      <w:r w:rsidR="00E16C95">
        <w:rPr>
          <w:rFonts w:cstheme="minorHAnsi"/>
        </w:rPr>
        <w:t xml:space="preserve">, </w:t>
      </w:r>
      <w:r w:rsidRPr="00F46944">
        <w:rPr>
          <w:rFonts w:cstheme="minorHAnsi"/>
        </w:rPr>
        <w:t xml:space="preserve">coincided with the response to the COVID-19 pandemic in Australia. Similar trends were apparent in prescribing data from general practices participating in the NPS MedicineWise </w:t>
      </w:r>
      <w:proofErr w:type="spellStart"/>
      <w:r w:rsidRPr="00F46944">
        <w:rPr>
          <w:rFonts w:cstheme="minorHAnsi"/>
        </w:rPr>
        <w:t>MedicineInsight</w:t>
      </w:r>
      <w:proofErr w:type="spellEnd"/>
      <w:r w:rsidRPr="00F46944">
        <w:rPr>
          <w:rFonts w:cstheme="minorHAnsi"/>
        </w:rPr>
        <w:t xml:space="preserve"> program.</w:t>
      </w:r>
    </w:p>
    <w:p w14:paraId="5E95CC8E" w14:textId="6E1E481B" w:rsidR="00614526" w:rsidRDefault="003C49C0" w:rsidP="00EE4732">
      <w:pPr>
        <w:pStyle w:val="Heading3"/>
      </w:pPr>
      <w:bookmarkStart w:id="14" w:name="_Toc121826719"/>
      <w:r w:rsidRPr="00F46944">
        <w:t>Key findings</w:t>
      </w:r>
      <w:bookmarkEnd w:id="14"/>
    </w:p>
    <w:p w14:paraId="1AC118BD" w14:textId="6D618465" w:rsidR="001F26F7" w:rsidRDefault="001F26F7" w:rsidP="001F26F7">
      <w:pPr>
        <w:pStyle w:val="Heading4"/>
      </w:pPr>
      <w:r>
        <w:t>What do the findings show ab</w:t>
      </w:r>
      <w:r w:rsidR="00412C7B">
        <w:t>o</w:t>
      </w:r>
      <w:r>
        <w:t>ut antimicrobial use in the community?</w:t>
      </w:r>
    </w:p>
    <w:p w14:paraId="0362A552" w14:textId="55A3C152" w:rsidR="001F26F7" w:rsidRPr="00780069" w:rsidRDefault="001F26F7" w:rsidP="00C47A7B">
      <w:pPr>
        <w:pStyle w:val="Heading5"/>
      </w:pPr>
      <w:r w:rsidRPr="00780069">
        <w:t>Overall findings (2015–2021)</w:t>
      </w:r>
    </w:p>
    <w:p w14:paraId="469845AB" w14:textId="72849819" w:rsidR="001F26F7" w:rsidRDefault="001F26F7" w:rsidP="003140B6">
      <w:pPr>
        <w:pStyle w:val="ListParagraph"/>
        <w:numPr>
          <w:ilvl w:val="0"/>
          <w:numId w:val="33"/>
        </w:numPr>
        <w:ind w:left="360"/>
      </w:pPr>
      <w:r>
        <w:t>Antimicrobial use in the community declined from 2015 to 2021, across all states and territories and most age groups, with the exception of children (0–9 year age group), where the number of antimicrobial prescriptions increased in 2021</w:t>
      </w:r>
    </w:p>
    <w:p w14:paraId="5AB581BE" w14:textId="77777777" w:rsidR="001F26F7" w:rsidRDefault="001F26F7" w:rsidP="003140B6">
      <w:pPr>
        <w:pStyle w:val="ListParagraph"/>
        <w:numPr>
          <w:ilvl w:val="0"/>
          <w:numId w:val="33"/>
        </w:numPr>
        <w:ind w:left="360"/>
      </w:pPr>
      <w:r>
        <w:t>Cefalexin, amoxicillin and amoxicillin–clavulanic acid were the most frequently prescribed (</w:t>
      </w:r>
      <w:proofErr w:type="spellStart"/>
      <w:r>
        <w:t>MedicineInsight</w:t>
      </w:r>
      <w:proofErr w:type="spellEnd"/>
      <w:r>
        <w:t>) and dispensed (PBS/RPBS) antimicrobials</w:t>
      </w:r>
    </w:p>
    <w:p w14:paraId="003F40F3" w14:textId="77777777" w:rsidR="001F26F7" w:rsidRDefault="001F26F7" w:rsidP="003140B6">
      <w:pPr>
        <w:pStyle w:val="ListParagraph"/>
        <w:numPr>
          <w:ilvl w:val="0"/>
          <w:numId w:val="33"/>
        </w:numPr>
        <w:ind w:left="360"/>
      </w:pPr>
      <w:r>
        <w:t>There were high rates of azithromycin prescribing compared to guideline recommendations</w:t>
      </w:r>
    </w:p>
    <w:p w14:paraId="15AB6579" w14:textId="0578F133" w:rsidR="001F26F7" w:rsidRDefault="001F26F7" w:rsidP="003140B6">
      <w:pPr>
        <w:pStyle w:val="ListParagraph"/>
        <w:numPr>
          <w:ilvl w:val="0"/>
          <w:numId w:val="33"/>
        </w:numPr>
        <w:ind w:left="360"/>
      </w:pPr>
      <w:r>
        <w:t xml:space="preserve">Non-PBS/RPBS </w:t>
      </w:r>
      <w:r w:rsidR="00116E13">
        <w:t xml:space="preserve">(private) </w:t>
      </w:r>
      <w:r>
        <w:t>prescriptions for antimicrobials more than doubled from 2.5% (2015) to 5.3% (2021)</w:t>
      </w:r>
    </w:p>
    <w:p w14:paraId="34810EF1" w14:textId="6BE02948" w:rsidR="001F26F7" w:rsidRDefault="001F26F7" w:rsidP="003140B6">
      <w:pPr>
        <w:pStyle w:val="ListParagraph"/>
        <w:numPr>
          <w:ilvl w:val="0"/>
          <w:numId w:val="33"/>
        </w:numPr>
        <w:ind w:left="360"/>
      </w:pPr>
      <w:r>
        <w:t>Prescribing rates for respiratory-related illnesses were not consistent with national guidelines but showed improvement in appropriateness. This is compared to urinary tract infections and acute otitis media, for which appropriateness was not improved, and prescribing rates for these conditions remain</w:t>
      </w:r>
      <w:r w:rsidR="00116E13">
        <w:t>ed</w:t>
      </w:r>
      <w:r>
        <w:t xml:space="preserve"> high.</w:t>
      </w:r>
    </w:p>
    <w:p w14:paraId="7EAB37A3" w14:textId="2DCC424C" w:rsidR="001F26F7" w:rsidRPr="00780069" w:rsidRDefault="00780069" w:rsidP="00C47A7B">
      <w:pPr>
        <w:pStyle w:val="Heading5"/>
      </w:pPr>
      <w:r w:rsidRPr="00780069">
        <w:t xml:space="preserve">Potential impact of the COVID-19 pandemic (2019 </w:t>
      </w:r>
      <w:r w:rsidR="003B2D9F">
        <w:t xml:space="preserve">compared to </w:t>
      </w:r>
      <w:r w:rsidRPr="00780069">
        <w:t>2020–2021)</w:t>
      </w:r>
    </w:p>
    <w:p w14:paraId="6A54D479" w14:textId="2D500235" w:rsidR="00780069" w:rsidRDefault="00780069" w:rsidP="003140B6">
      <w:pPr>
        <w:pStyle w:val="ListParagraph"/>
        <w:numPr>
          <w:ilvl w:val="0"/>
          <w:numId w:val="34"/>
        </w:numPr>
        <w:ind w:left="360"/>
      </w:pPr>
      <w:r>
        <w:t>A 40</w:t>
      </w:r>
      <w:r w:rsidR="00865630">
        <w:t>.3</w:t>
      </w:r>
      <w:r>
        <w:t>% reduction in antimicrobial use was observed between March and April 2020 coinciding with the implementation of COVID-19 restrictions in Australia</w:t>
      </w:r>
    </w:p>
    <w:p w14:paraId="53682483" w14:textId="2A4FF71B" w:rsidR="00780069" w:rsidRDefault="00780069" w:rsidP="003140B6">
      <w:pPr>
        <w:pStyle w:val="ListParagraph"/>
        <w:numPr>
          <w:ilvl w:val="0"/>
          <w:numId w:val="34"/>
        </w:numPr>
        <w:ind w:left="360"/>
      </w:pPr>
      <w:r>
        <w:t>Antimicrobial use decreased dramatically between 2019 and 2021</w:t>
      </w:r>
      <w:r w:rsidR="00116E13">
        <w:t xml:space="preserve"> (25</w:t>
      </w:r>
      <w:r w:rsidR="00D34887">
        <w:t>.</w:t>
      </w:r>
      <w:r w:rsidR="00536CA1">
        <w:t>3</w:t>
      </w:r>
      <w:r w:rsidR="00116E13">
        <w:t>%)</w:t>
      </w:r>
      <w:r>
        <w:t xml:space="preserve">, compared to 2015 and 2019 </w:t>
      </w:r>
      <w:r w:rsidR="00116E13">
        <w:t>(</w:t>
      </w:r>
      <w:r w:rsidR="00D34887">
        <w:t>8.9</w:t>
      </w:r>
      <w:r w:rsidR="00116E13">
        <w:t>%)</w:t>
      </w:r>
    </w:p>
    <w:p w14:paraId="25D0F622" w14:textId="25BBB673" w:rsidR="00116E13" w:rsidRDefault="00116E13" w:rsidP="003140B6">
      <w:pPr>
        <w:pStyle w:val="ListParagraph"/>
        <w:numPr>
          <w:ilvl w:val="0"/>
          <w:numId w:val="34"/>
        </w:numPr>
        <w:ind w:left="360"/>
      </w:pPr>
      <w:r>
        <w:t xml:space="preserve">The average number of antimicrobial prescriptions declined from 16 per 100 GP visits </w:t>
      </w:r>
      <w:r w:rsidR="00D34887">
        <w:t>in 2019 to 7 per 100 GP visits in 2020 and 2021</w:t>
      </w:r>
    </w:p>
    <w:p w14:paraId="508B1208" w14:textId="460DE111" w:rsidR="0034124C" w:rsidRDefault="00780069" w:rsidP="003140B6">
      <w:pPr>
        <w:pStyle w:val="ListParagraph"/>
        <w:numPr>
          <w:ilvl w:val="0"/>
          <w:numId w:val="34"/>
        </w:numPr>
        <w:ind w:left="360"/>
      </w:pPr>
      <w:r>
        <w:t xml:space="preserve">Antimicrobials were prescribed at a lower rate in telehealth consultations, compared </w:t>
      </w:r>
      <w:r w:rsidR="00E775A2">
        <w:t>to</w:t>
      </w:r>
      <w:r>
        <w:t xml:space="preserve"> face-to-face consultations.</w:t>
      </w:r>
    </w:p>
    <w:p w14:paraId="7E599D32" w14:textId="77777777" w:rsidR="0034124C" w:rsidRDefault="0034124C">
      <w:pPr>
        <w:spacing w:after="80"/>
      </w:pPr>
      <w:r>
        <w:br w:type="page"/>
      </w:r>
    </w:p>
    <w:p w14:paraId="0C0DE9E7" w14:textId="2E16CDB8" w:rsidR="001F26F7" w:rsidRDefault="00780069" w:rsidP="00780069">
      <w:pPr>
        <w:pStyle w:val="Heading4"/>
      </w:pPr>
      <w:r>
        <w:lastRenderedPageBreak/>
        <w:t>What do the findings mean and why are they important?</w:t>
      </w:r>
    </w:p>
    <w:p w14:paraId="3FBA390E" w14:textId="5EDD38A8" w:rsidR="00780069" w:rsidRDefault="00780069" w:rsidP="003140B6">
      <w:pPr>
        <w:pStyle w:val="ListParagraph"/>
        <w:numPr>
          <w:ilvl w:val="0"/>
          <w:numId w:val="35"/>
        </w:numPr>
        <w:ind w:left="360"/>
      </w:pPr>
      <w:r>
        <w:t>The results from this report suggest that lower levels of antimicrobial use in Australia are achievable long</w:t>
      </w:r>
      <w:r w:rsidR="007801C1">
        <w:t>-</w:t>
      </w:r>
      <w:r>
        <w:t>term</w:t>
      </w:r>
    </w:p>
    <w:p w14:paraId="662BA108" w14:textId="77777777" w:rsidR="00780069" w:rsidRDefault="00780069" w:rsidP="003140B6">
      <w:pPr>
        <w:pStyle w:val="ListParagraph"/>
        <w:numPr>
          <w:ilvl w:val="0"/>
          <w:numId w:val="35"/>
        </w:numPr>
        <w:ind w:left="360"/>
      </w:pPr>
      <w:r>
        <w:t>Enhanced infection prevention and control strategies at national, state and territory, and local levels, including promotion of hand hygiene, staying at home when unwell, and physical isolation, resulted in reduced respiratory infections, general practice attendances, and antimicrobial prescribing and dispensing</w:t>
      </w:r>
    </w:p>
    <w:p w14:paraId="32CD8CAB" w14:textId="512100A4" w:rsidR="00780069" w:rsidRDefault="00780069" w:rsidP="003140B6">
      <w:pPr>
        <w:pStyle w:val="ListParagraph"/>
        <w:numPr>
          <w:ilvl w:val="0"/>
          <w:numId w:val="35"/>
        </w:numPr>
        <w:ind w:left="360"/>
      </w:pPr>
      <w:r>
        <w:t>The changes in antimicrobial use, coinciding with the COVID-19 pandemic, indicate that combined strategies of strong antimicrobial stewardship (AMS) and infection prevention and control are most effective in reducing community antimicrobial use to prevent and control AMR</w:t>
      </w:r>
    </w:p>
    <w:p w14:paraId="129A5105" w14:textId="7D32F02D" w:rsidR="00780069" w:rsidRDefault="00780069" w:rsidP="003140B6">
      <w:pPr>
        <w:pStyle w:val="ListParagraph"/>
        <w:numPr>
          <w:ilvl w:val="0"/>
          <w:numId w:val="35"/>
        </w:numPr>
        <w:ind w:left="360"/>
      </w:pPr>
      <w:r>
        <w:t>Promoting these results to inform AMS in the community; raised community awareness of the value of appropriate antimicrobial use; and sustained infection prevention and control measures to maintain these lower levels are essential.</w:t>
      </w:r>
    </w:p>
    <w:p w14:paraId="75F9E951" w14:textId="13CF03FA" w:rsidR="00780069" w:rsidRDefault="00780069" w:rsidP="00780069">
      <w:pPr>
        <w:pStyle w:val="Heading4"/>
      </w:pPr>
      <w:r>
        <w:t>What can be done to improve antimicrobial use and appropriateness and patient safety in the community?</w:t>
      </w:r>
    </w:p>
    <w:p w14:paraId="5E5A3302" w14:textId="140212E7" w:rsidR="00780069" w:rsidRPr="00780069" w:rsidRDefault="00780069" w:rsidP="00780069">
      <w:r w:rsidRPr="00780069">
        <w:t>To promote ongoing reductions in antimicrobial use and increased appropriateness of antimicrobial use in the community, the Australian Commission on Safety and Quality in Health Care (the Commission) will:</w:t>
      </w:r>
    </w:p>
    <w:p w14:paraId="4563BECD" w14:textId="77777777" w:rsidR="00780069" w:rsidRPr="00780069" w:rsidRDefault="00780069" w:rsidP="003140B6">
      <w:pPr>
        <w:pStyle w:val="Normal-beforebullets"/>
        <w:numPr>
          <w:ilvl w:val="0"/>
          <w:numId w:val="36"/>
        </w:numPr>
        <w:ind w:left="360"/>
      </w:pPr>
      <w:r w:rsidRPr="00780069">
        <w:t>Continue to report the results of antimicrobial prescribing and use the data to inform quality improvement strategies</w:t>
      </w:r>
    </w:p>
    <w:p w14:paraId="1E9B879B" w14:textId="77777777" w:rsidR="00780069" w:rsidRPr="00780069" w:rsidRDefault="00780069" w:rsidP="003140B6">
      <w:pPr>
        <w:pStyle w:val="Normal-beforebullets"/>
        <w:numPr>
          <w:ilvl w:val="0"/>
          <w:numId w:val="36"/>
        </w:numPr>
        <w:ind w:left="360"/>
      </w:pPr>
      <w:r w:rsidRPr="00780069">
        <w:t>Work with the Department of Health and Aged Care (the Department) to increase capacity to monitor the volume of antimicrobials dispensed through non-PBS/RPBS prescriptions and the indications for which they are prescribed</w:t>
      </w:r>
    </w:p>
    <w:p w14:paraId="4FAE0393" w14:textId="77777777" w:rsidR="00780069" w:rsidRPr="00780069" w:rsidRDefault="00780069" w:rsidP="003140B6">
      <w:pPr>
        <w:pStyle w:val="Normal-beforebullets"/>
        <w:numPr>
          <w:ilvl w:val="0"/>
          <w:numId w:val="36"/>
        </w:numPr>
        <w:ind w:left="360"/>
      </w:pPr>
      <w:r w:rsidRPr="00780069">
        <w:t>Support implementation of the National Safety and Quality Primary and Community Healthcare Standards (Primary and Community Healthcare Standards), to deliver safe, high-quality health care through appropriate antimicrobial prescribing and use</w:t>
      </w:r>
    </w:p>
    <w:p w14:paraId="61CBF611" w14:textId="14E67DE4" w:rsidR="00780069" w:rsidRPr="00780069" w:rsidRDefault="00780069" w:rsidP="003140B6">
      <w:pPr>
        <w:pStyle w:val="Normal-beforebullets"/>
        <w:numPr>
          <w:ilvl w:val="0"/>
          <w:numId w:val="36"/>
        </w:numPr>
        <w:ind w:left="360"/>
      </w:pPr>
      <w:r w:rsidRPr="00780069">
        <w:t>Continue to work with clinicians, the Royal Australian College of General Practitioners, Primary Health Networks and other primary care organisations</w:t>
      </w:r>
      <w:r w:rsidR="00412C7B">
        <w:t>,</w:t>
      </w:r>
      <w:r w:rsidRPr="00780069">
        <w:t xml:space="preserve"> and the Department and state and territory governments to develop targeted strategies to improve appropriateness of antimicrobial prescribing</w:t>
      </w:r>
    </w:p>
    <w:p w14:paraId="68ABD7F2" w14:textId="2ED013FF" w:rsidR="00780069" w:rsidRPr="00780069" w:rsidRDefault="00780069" w:rsidP="003140B6">
      <w:pPr>
        <w:pStyle w:val="Normal-beforebullets"/>
        <w:numPr>
          <w:ilvl w:val="0"/>
          <w:numId w:val="36"/>
        </w:numPr>
        <w:ind w:left="360"/>
      </w:pPr>
      <w:r w:rsidRPr="00780069">
        <w:t>Promote maintenance of public health actions such as wearing a mask and staying home when experiencing symptoms of respiratory illness and encouraging hand hygiene and physical distancing to reduce the risk of transmission of infection in the community</w:t>
      </w:r>
    </w:p>
    <w:p w14:paraId="02561688" w14:textId="77777777" w:rsidR="00D34887" w:rsidRDefault="00780069" w:rsidP="003140B6">
      <w:pPr>
        <w:pStyle w:val="Normal-beforebullets"/>
        <w:numPr>
          <w:ilvl w:val="0"/>
          <w:numId w:val="36"/>
        </w:numPr>
        <w:ind w:left="360"/>
      </w:pPr>
      <w:r w:rsidRPr="00780069">
        <w:t>Develop strategies that impact antimicrobial use generally, and specifically target conditions for which antimicrobials are not generally recommended and are not effective</w:t>
      </w:r>
    </w:p>
    <w:p w14:paraId="23883CBA" w14:textId="66F832EE" w:rsidR="00780069" w:rsidRPr="00780069" w:rsidRDefault="00D34887" w:rsidP="003140B6">
      <w:pPr>
        <w:pStyle w:val="Normal-beforebullets"/>
        <w:numPr>
          <w:ilvl w:val="0"/>
          <w:numId w:val="36"/>
        </w:numPr>
        <w:ind w:left="360"/>
      </w:pPr>
      <w:r>
        <w:t>Review resources for consumers to improve their understanding of the importance of antimicrobial use</w:t>
      </w:r>
      <w:r w:rsidR="00780069" w:rsidRPr="00780069">
        <w:t>.</w:t>
      </w:r>
    </w:p>
    <w:p w14:paraId="38C613AE" w14:textId="77777777" w:rsidR="0087309B" w:rsidRDefault="0087309B">
      <w:pPr>
        <w:spacing w:after="80"/>
      </w:pPr>
      <w:bookmarkStart w:id="15" w:name="_Toc476822634"/>
      <w:bookmarkStart w:id="16" w:name="_Toc476822655"/>
      <w:bookmarkStart w:id="17" w:name="_Toc476822855"/>
      <w:bookmarkStart w:id="18" w:name="_Toc476823159"/>
      <w:bookmarkEnd w:id="10"/>
      <w:bookmarkEnd w:id="11"/>
    </w:p>
    <w:p w14:paraId="40DA0FA9" w14:textId="08978B42" w:rsidR="0087309B" w:rsidRDefault="0087309B">
      <w:pPr>
        <w:spacing w:after="80"/>
        <w:rPr>
          <w:rFonts w:cs="Arial"/>
          <w:b/>
          <w:bCs/>
          <w:color w:val="595959" w:themeColor="text1" w:themeTint="A6"/>
          <w:kern w:val="28"/>
          <w:sz w:val="40"/>
          <w:szCs w:val="32"/>
        </w:rPr>
      </w:pPr>
      <w:r>
        <w:rPr>
          <w:color w:val="595959" w:themeColor="text1" w:themeTint="A6"/>
        </w:rPr>
        <w:br w:type="page"/>
      </w:r>
    </w:p>
    <w:p w14:paraId="31EBB53E" w14:textId="7514FA7A" w:rsidR="00C519B2" w:rsidRPr="00F46944" w:rsidRDefault="004529FE" w:rsidP="00BB030B">
      <w:pPr>
        <w:pStyle w:val="Heading1"/>
        <w:rPr>
          <w:color w:val="595959" w:themeColor="text1" w:themeTint="A6"/>
        </w:rPr>
      </w:pPr>
      <w:bookmarkStart w:id="19" w:name="_Toc121826720"/>
      <w:r w:rsidRPr="00F46944">
        <w:rPr>
          <w:color w:val="595959" w:themeColor="text1" w:themeTint="A6"/>
        </w:rPr>
        <w:lastRenderedPageBreak/>
        <w:t>Introduction</w:t>
      </w:r>
      <w:bookmarkEnd w:id="19"/>
    </w:p>
    <w:p w14:paraId="48E79D9A" w14:textId="7D8F48FB" w:rsidR="00BD5443" w:rsidRPr="00F46944" w:rsidRDefault="00BD5443" w:rsidP="00BD5443">
      <w:pPr>
        <w:pStyle w:val="Heading3"/>
        <w:rPr>
          <w:rFonts w:asciiTheme="majorHAnsi" w:hAnsiTheme="majorHAnsi"/>
        </w:rPr>
      </w:pPr>
      <w:bookmarkStart w:id="20" w:name="_Toc121826721"/>
      <w:r w:rsidRPr="00F46944">
        <w:rPr>
          <w:rFonts w:asciiTheme="majorHAnsi" w:hAnsiTheme="majorHAnsi"/>
        </w:rPr>
        <w:t>About this report</w:t>
      </w:r>
      <w:bookmarkEnd w:id="20"/>
    </w:p>
    <w:p w14:paraId="5E73E74D" w14:textId="1DD6F8AF" w:rsidR="003F437C" w:rsidRDefault="003F437C" w:rsidP="003F437C">
      <w:r w:rsidRPr="00F46944">
        <w:t>This report</w:t>
      </w:r>
      <w:r>
        <w:t xml:space="preserve"> presents analyses of antimicrobial use in the Australian community in 2020 and 2021. It</w:t>
      </w:r>
      <w:r w:rsidRPr="00F46944">
        <w:t xml:space="preserve"> builds on analyses presented in </w:t>
      </w:r>
      <w:r>
        <w:t>a</w:t>
      </w:r>
      <w:r w:rsidRPr="00F46944">
        <w:t xml:space="preserve"> series of national reports on antimicrobial use and resistance in human health developed by the Australian Commission on Safety and Quality in Health Care (the Commission) from </w:t>
      </w:r>
      <w:r w:rsidR="00D34887" w:rsidRPr="00F46944">
        <w:t>201</w:t>
      </w:r>
      <w:r w:rsidR="00D34887">
        <w:t>6</w:t>
      </w:r>
      <w:r w:rsidR="00D34887" w:rsidRPr="00F46944">
        <w:t xml:space="preserve"> </w:t>
      </w:r>
      <w:r w:rsidRPr="00F46944">
        <w:t>to 2021 using data captured by the Antimicrobial Use and Resistance in Australia (AURA) Surveillance System.</w:t>
      </w:r>
      <w:r w:rsidR="007B3222">
        <w:fldChar w:fldCharType="begin">
          <w:fldData xml:space="preserve">PEVuZE5vdGU+PENpdGU+PEF1dGhvcj5DYXJlPC9BdXRob3I+PFllYXI+MjAyMTwvWWVhcj48UmVj
TnVtPjE8L1JlY051bT48RGlzcGxheVRleHQ+PHN0eWxlIGZhY2U9InN1cGVyc2NyaXB0Ij4xLTQ8
L3N0eWxlPjwvRGlzcGxheVRleHQ+PHJlY29yZD48cmVjLW51bWJlcj4xPC9yZWMtbnVtYmVyPjxm
b3JlaWduLWtleXM+PGtleSBhcHA9IkVOIiBkYi1pZD0iZXM5ZHI5OXdzOTBzdG9lNXgycnA1MDVu
YXp2c3dkenBweGE1IiB0aW1lc3RhbXA9IjE2NzA4MTA1MzgiPjE8L2tleT48L2ZvcmVpZ24ta2V5
cz48cmVmLXR5cGUgbmFtZT0iUmVwb3J0Ij4yNzwvcmVmLXR5cGU+PGNvbnRyaWJ1dG9ycz48YXV0
aG9ycz48YXV0aG9yPkF1c3RyYWxpYW4gQ29tbWlzc2lvbiBvbiBTYWZldHkgYW5kIFF1YWxpdHkg
aW4gSGVhbHRoIENhcmU8L2F1dGhvcj48L2F1dGhvcnM+PC9jb250cmlidXRvcnM+PHRpdGxlcz48
dGl0bGU+QVVSQSAyMDIxOiBmb3VydGggQXVzdHJhbGlhbiByZXBvcnQgb24gYW50aW1pY3JvYmlh
bCB1c2UgYW5kIHJlc2lzdGFuY2UgaW4gaHVtYW4gaGVhbHRoPC90aXRsZT48L3RpdGxlcz48ZGF0
ZXM+PHllYXI+MjAyMTwveWVhcj48L2RhdGVzPjxwdWItbG9jYXRpb24+U3lkbmV5PC9wdWItbG9j
YXRpb24+PHB1Ymxpc2hlcj5BQ1NRSEM8L3B1Ymxpc2hlcj48dXJscz48L3VybHM+PC9yZWNvcmQ+
PC9DaXRlPjxDaXRlPjxBdXRob3I+Q2FyZTwvQXV0aG9yPjxZZWFyPjIwMTY8L1llYXI+PFJlY051
bT4yPC9SZWNOdW0+PHJlY29yZD48cmVjLW51bWJlcj4yPC9yZWMtbnVtYmVyPjxmb3JlaWduLWtl
eXM+PGtleSBhcHA9IkVOIiBkYi1pZD0iZXM5ZHI5OXdzOTBzdG9lNXgycnA1MDVuYXp2c3dkenBw
eGE1IiB0aW1lc3RhbXA9IjE2NzA4MTA1MzgiPjI8L2tleT48L2ZvcmVpZ24ta2V5cz48cmVmLXR5
cGUgbmFtZT0iUmVwb3J0Ij4yNzwvcmVmLXR5cGU+PGNvbnRyaWJ1dG9ycz48YXV0aG9ycz48YXV0
aG9yPkF1c3RyYWxpYW4gQ29tbWlzc2lvbiBvbiBTYWZldHkgYW5kIFF1YWxpdHkgaW4gSGVhbHRo
IENhcmU8L2F1dGhvcj48L2F1dGhvcnM+PC9jb250cmlidXRvcnM+PHRpdGxlcz48dGl0bGU+QVVS
QSAyMDE2OiBmaXJzdCBBdXN0cmFsaWFuIHJlcG9ydCBvbiBhbnRpbWljcm9iaWFsIHVzZSBhbmQg
cmVzaXN0YW5jZSBpbiBodW1hbiBoZWFsdGg8L3RpdGxlPjwvdGl0bGVzPjxkYXRlcz48eWVhcj4y
MDE2PC95ZWFyPjwvZGF0ZXM+PHB1Yi1sb2NhdGlvbj5TeWRuZXk8L3B1Yi1sb2NhdGlvbj48cHVi
bGlzaGVyPkFDU1FIQzwvcHVibGlzaGVyPjx1cmxzPjxyZWxhdGVkLXVybHM+PHVybD5odHRwczov
L3d3dy5zYWZldHlhbmRxdWFsaXR5Lmdvdi5hdS9wdWJsaWNhdGlvbnMtYW5kLXJlc291cmNlcy9y
ZXNvdXJjZS1saWJyYXJ5L2F1cmEtMjAxNi1maXJzdC1hdXN0cmFsaWFuLXJlcG9ydC1hbnRpbWlj
cm9iaWFsLXVzZS1hbmQtcmVzaXN0YW5jZS1odW1hbi1oZWFsdGgtZnVsbC1yZXBvcnQ8L3VybD48
L3JlbGF0ZWQtdXJscz48L3VybHM+PGFjY2Vzcy1kYXRlPjEgTWFyY2ggMjAyMTwvYWNjZXNzLWRh
dGU+PC9yZWNvcmQ+PC9DaXRlPjxDaXRlPjxBdXRob3I+Q2FyZTwvQXV0aG9yPjxZZWFyPjIwMTc8
L1llYXI+PFJlY051bT4zPC9SZWNOdW0+PHJlY29yZD48cmVjLW51bWJlcj4zPC9yZWMtbnVtYmVy
Pjxmb3JlaWduLWtleXM+PGtleSBhcHA9IkVOIiBkYi1pZD0iZXM5ZHI5OXdzOTBzdG9lNXgycnA1
MDVuYXp2c3dkenBweGE1IiB0aW1lc3RhbXA9IjE2NzA4MTA1MzgiPjM8L2tleT48L2ZvcmVpZ24t
a2V5cz48cmVmLXR5cGUgbmFtZT0iUmVwb3J0Ij4yNzwvcmVmLXR5cGU+PGNvbnRyaWJ1dG9ycz48
YXV0aG9ycz48YXV0aG9yPkF1c3RyYWxpYW4gQ29tbWlzc2lvbiBvbiBTYWZldHkgYW5kIFF1YWxp
dHkgaW4gSGVhbHRoIENhcmU8L2F1dGhvcj48L2F1dGhvcnM+PC9jb250cmlidXRvcnM+PHRpdGxl
cz48dGl0bGU+QVVSQSAyMDE3OiBzZWNvbmQgQXVzdHJhbGlhbiByZXBvcnQgb24gYW50aW1pY3Jv
YmlhbCB1c2UgYW5kIHJlc2lzdGFuY2UgaW4gaHVtYW4gaGVhbHRoPC90aXRsZT48L3RpdGxlcz48
ZGF0ZXM+PHllYXI+MjAxNzwveWVhcj48L2RhdGVzPjxwdWItbG9jYXRpb24+U3lkbmV5PC9wdWIt
bG9jYXRpb24+PHB1Ymxpc2hlcj5BQ1NRSEM8L3B1Ymxpc2hlcj48dXJscz48cmVsYXRlZC11cmxz
Pjx1cmw+aHR0cHM6Ly93d3cuc2FmZXR5YW5kcXVhbGl0eS5nb3YuYXUvcHVibGljYXRpb25zLWFu
ZC1yZXNvdXJjZXMvcmVzb3VyY2UtbGlicmFyeS9hdXJhLTIwMTctc2Vjb25kLWF1c3RyYWxpYW4t
cmVwb3J0LWFudGltaWNyb2JpYWwtdXNlLWFuZC1yZXNpc3RhbmNlLWh1bWFuLWhlYWx0aDwvdXJs
PjwvcmVsYXRlZC11cmxzPjwvdXJscz48YWNjZXNzLWRhdGU+MSBNYXJjaCAyMDIxPC9hY2Nlc3Mt
ZGF0ZT48L3JlY29yZD48L0NpdGU+PENpdGU+PEF1dGhvcj5DYXJlPC9BdXRob3I+PFllYXI+MjAx
NzwvWWVhcj48UmVjTnVtPjM8L1JlY051bT48cmVjb3JkPjxyZWMtbnVtYmVyPjM8L3JlYy1udW1i
ZXI+PGZvcmVpZ24ta2V5cz48a2V5IGFwcD0iRU4iIGRiLWlkPSJlczlkcjk5d3M5MHN0b2U1eDJy
cDUwNW5henZzd2R6cHB4YTUiIHRpbWVzdGFtcD0iMTY3MDgxMDUzOCI+Mzwva2V5PjwvZm9yZWln
bi1rZXlzPjxyZWYtdHlwZSBuYW1lPSJSZXBvcnQiPjI3PC9yZWYtdHlwZT48Y29udHJpYnV0b3Jz
PjxhdXRob3JzPjxhdXRob3I+QXVzdHJhbGlhbiBDb21taXNzaW9uIG9uIFNhZmV0eSBhbmQgUXVh
bGl0eSBpbiBIZWFsdGggQ2FyZTwvYXV0aG9yPjwvYXV0aG9ycz48L2NvbnRyaWJ1dG9ycz48dGl0
bGVzPjx0aXRsZT5BVVJBIDIwMTc6IHNlY29uZCBBdXN0cmFsaWFuIHJlcG9ydCBvbiBhbnRpbWlj
cm9iaWFsIHVzZSBhbmQgcmVzaXN0YW5jZSBpbiBodW1hbiBoZWFsdGg8L3RpdGxlPjwvdGl0bGVz
PjxkYXRlcz48eWVhcj4yMDE3PC95ZWFyPjwvZGF0ZXM+PHB1Yi1sb2NhdGlvbj5TeWRuZXk8L3B1
Yi1sb2NhdGlvbj48cHVibGlzaGVyPkFDU1FIQzwvcHVibGlzaGVyPjx1cmxzPjxyZWxhdGVkLXVy
bHM+PHVybD5odHRwczovL3d3dy5zYWZldHlhbmRxdWFsaXR5Lmdvdi5hdS9wdWJsaWNhdGlvbnMt
YW5kLXJlc291cmNlcy9yZXNvdXJjZS1saWJyYXJ5L2F1cmEtMjAxNy1zZWNvbmQtYXVzdHJhbGlh
bi1yZXBvcnQtYW50aW1pY3JvYmlhbC11c2UtYW5kLXJlc2lzdGFuY2UtaHVtYW4taGVhbHRoPC91
cmw+PC9yZWxhdGVkLXVybHM+PC91cmxzPjxhY2Nlc3MtZGF0ZT4xIE1hcmNoIDIwMjE8L2FjY2Vz
cy1kYXRlPjwvcmVjb3JkPjwvQ2l0ZT48Q2l0ZT48QXV0aG9yPkNhcmU8L0F1dGhvcj48WWVhcj4y
MDE5PC9ZZWFyPjxSZWNOdW0+NDwvUmVjTnVtPjxyZWNvcmQ+PHJlYy1udW1iZXI+NDwvcmVjLW51
bWJlcj48Zm9yZWlnbi1rZXlzPjxrZXkgYXBwPSJFTiIgZGItaWQ9ImVzOWRyOTl3czkwc3RvZTV4
MnJwNTA1bmF6dnN3ZHpwcHhhNSIgdGltZXN0YW1wPSIxNjcwODEwNTM5Ij40PC9rZXk+PC9mb3Jl
aWduLWtleXM+PHJlZi10eXBlIG5hbWU9IlJlcG9ydCI+Mjc8L3JlZi10eXBlPjxjb250cmlidXRv
cnM+PGF1dGhvcnM+PGF1dGhvcj5BdXN0cmFsaWFuIENvbW1pc3Npb24gb24gU2FmZXR5IGFuZCBR
dWFsaXR5IGluIEhlYWx0aCBDYXJlPC9hdXRob3I+PC9hdXRob3JzPjwvY29udHJpYnV0b3JzPjx0
aXRsZXM+PHRpdGxlPkFVUkEgMjAxOTogdGhpcmQgQXVzdHJhbGlhbiByZXBvcnQgb24gYW50aW1p
Y3JvYmlhbCB1c2UgYW5kIHJlc2lzdGFuY2UgaW4gaHVtYW4gaGVhbHRoPC90aXRsZT48L3RpdGxl
cz48ZGF0ZXM+PHllYXI+MjAxOTwveWVhcj48L2RhdGVzPjxwdWItbG9jYXRpb24+U3lkbmV5PC9w
dWItbG9jYXRpb24+PHB1Ymxpc2hlcj5BQ1NRSEM8L3B1Ymxpc2hlcj48dXJscz48L3VybHM+PC9y
ZWNvcmQ+PC9DaXRlPjxDaXRlPjxBdXRob3I+Q2FyZTwvQXV0aG9yPjxZZWFyPjIwMjE8L1llYXI+
PFJlY051bT4xPC9SZWNOdW0+PHJlY29yZD48cmVjLW51bWJlcj4xPC9yZWMtbnVtYmVyPjxmb3Jl
aWduLWtleXM+PGtleSBhcHA9IkVOIiBkYi1pZD0iZXM5ZHI5OXdzOTBzdG9lNXgycnA1MDVuYXp2
c3dkenBweGE1IiB0aW1lc3RhbXA9IjE2NzA4MTA1MzgiPjE8L2tleT48L2ZvcmVpZ24ta2V5cz48
cmVmLXR5cGUgbmFtZT0iUmVwb3J0Ij4yNzwvcmVmLXR5cGU+PGNvbnRyaWJ1dG9ycz48YXV0aG9y
cz48YXV0aG9yPkF1c3RyYWxpYW4gQ29tbWlzc2lvbiBvbiBTYWZldHkgYW5kIFF1YWxpdHkgaW4g
SGVhbHRoIENhcmU8L2F1dGhvcj48L2F1dGhvcnM+PC9jb250cmlidXRvcnM+PHRpdGxlcz48dGl0
bGU+QVVSQSAyMDIxOiBmb3VydGggQXVzdHJhbGlhbiByZXBvcnQgb24gYW50aW1pY3JvYmlhbCB1
c2UgYW5kIHJlc2lzdGFuY2UgaW4gaHVtYW4gaGVhbHRoPC90aXRsZT48L3RpdGxlcz48ZGF0ZXM+
PHllYXI+MjAyMTwveWVhcj48L2RhdGVzPjxwdWItbG9jYXRpb24+U3lkbmV5PC9wdWItbG9jYXRp
b24+PHB1Ymxpc2hlcj5BQ1NRSEM8L3B1Ymxpc2hlcj48dXJscz48L3VybHM+PC9yZWNvcmQ+PC9D
aXRlPjwvRW5kTm90ZT4A
</w:fldData>
        </w:fldChar>
      </w:r>
      <w:r w:rsidR="00412507">
        <w:instrText xml:space="preserve"> ADDIN EN.CITE </w:instrText>
      </w:r>
      <w:r w:rsidR="00412507">
        <w:fldChar w:fldCharType="begin">
          <w:fldData xml:space="preserve">PEVuZE5vdGU+PENpdGU+PEF1dGhvcj5DYXJlPC9BdXRob3I+PFllYXI+MjAyMTwvWWVhcj48UmVj
TnVtPjE8L1JlY051bT48RGlzcGxheVRleHQ+PHN0eWxlIGZhY2U9InN1cGVyc2NyaXB0Ij4xLTQ8
L3N0eWxlPjwvRGlzcGxheVRleHQ+PHJlY29yZD48cmVjLW51bWJlcj4xPC9yZWMtbnVtYmVyPjxm
b3JlaWduLWtleXM+PGtleSBhcHA9IkVOIiBkYi1pZD0iZXM5ZHI5OXdzOTBzdG9lNXgycnA1MDVu
YXp2c3dkenBweGE1IiB0aW1lc3RhbXA9IjE2NzA4MTA1MzgiPjE8L2tleT48L2ZvcmVpZ24ta2V5
cz48cmVmLXR5cGUgbmFtZT0iUmVwb3J0Ij4yNzwvcmVmLXR5cGU+PGNvbnRyaWJ1dG9ycz48YXV0
aG9ycz48YXV0aG9yPkF1c3RyYWxpYW4gQ29tbWlzc2lvbiBvbiBTYWZldHkgYW5kIFF1YWxpdHkg
aW4gSGVhbHRoIENhcmU8L2F1dGhvcj48L2F1dGhvcnM+PC9jb250cmlidXRvcnM+PHRpdGxlcz48
dGl0bGU+QVVSQSAyMDIxOiBmb3VydGggQXVzdHJhbGlhbiByZXBvcnQgb24gYW50aW1pY3JvYmlh
bCB1c2UgYW5kIHJlc2lzdGFuY2UgaW4gaHVtYW4gaGVhbHRoPC90aXRsZT48L3RpdGxlcz48ZGF0
ZXM+PHllYXI+MjAyMTwveWVhcj48L2RhdGVzPjxwdWItbG9jYXRpb24+U3lkbmV5PC9wdWItbG9j
YXRpb24+PHB1Ymxpc2hlcj5BQ1NRSEM8L3B1Ymxpc2hlcj48dXJscz48L3VybHM+PC9yZWNvcmQ+
PC9DaXRlPjxDaXRlPjxBdXRob3I+Q2FyZTwvQXV0aG9yPjxZZWFyPjIwMTY8L1llYXI+PFJlY051
bT4yPC9SZWNOdW0+PHJlY29yZD48cmVjLW51bWJlcj4yPC9yZWMtbnVtYmVyPjxmb3JlaWduLWtl
eXM+PGtleSBhcHA9IkVOIiBkYi1pZD0iZXM5ZHI5OXdzOTBzdG9lNXgycnA1MDVuYXp2c3dkenBw
eGE1IiB0aW1lc3RhbXA9IjE2NzA4MTA1MzgiPjI8L2tleT48L2ZvcmVpZ24ta2V5cz48cmVmLXR5
cGUgbmFtZT0iUmVwb3J0Ij4yNzwvcmVmLXR5cGU+PGNvbnRyaWJ1dG9ycz48YXV0aG9ycz48YXV0
aG9yPkF1c3RyYWxpYW4gQ29tbWlzc2lvbiBvbiBTYWZldHkgYW5kIFF1YWxpdHkgaW4gSGVhbHRo
IENhcmU8L2F1dGhvcj48L2F1dGhvcnM+PC9jb250cmlidXRvcnM+PHRpdGxlcz48dGl0bGU+QVVS
QSAyMDE2OiBmaXJzdCBBdXN0cmFsaWFuIHJlcG9ydCBvbiBhbnRpbWljcm9iaWFsIHVzZSBhbmQg
cmVzaXN0YW5jZSBpbiBodW1hbiBoZWFsdGg8L3RpdGxlPjwvdGl0bGVzPjxkYXRlcz48eWVhcj4y
MDE2PC95ZWFyPjwvZGF0ZXM+PHB1Yi1sb2NhdGlvbj5TeWRuZXk8L3B1Yi1sb2NhdGlvbj48cHVi
bGlzaGVyPkFDU1FIQzwvcHVibGlzaGVyPjx1cmxzPjxyZWxhdGVkLXVybHM+PHVybD5odHRwczov
L3d3dy5zYWZldHlhbmRxdWFsaXR5Lmdvdi5hdS9wdWJsaWNhdGlvbnMtYW5kLXJlc291cmNlcy9y
ZXNvdXJjZS1saWJyYXJ5L2F1cmEtMjAxNi1maXJzdC1hdXN0cmFsaWFuLXJlcG9ydC1hbnRpbWlj
cm9iaWFsLXVzZS1hbmQtcmVzaXN0YW5jZS1odW1hbi1oZWFsdGgtZnVsbC1yZXBvcnQ8L3VybD48
L3JlbGF0ZWQtdXJscz48L3VybHM+PGFjY2Vzcy1kYXRlPjEgTWFyY2ggMjAyMTwvYWNjZXNzLWRh
dGU+PC9yZWNvcmQ+PC9DaXRlPjxDaXRlPjxBdXRob3I+Q2FyZTwvQXV0aG9yPjxZZWFyPjIwMTc8
L1llYXI+PFJlY051bT4zPC9SZWNOdW0+PHJlY29yZD48cmVjLW51bWJlcj4zPC9yZWMtbnVtYmVy
Pjxmb3JlaWduLWtleXM+PGtleSBhcHA9IkVOIiBkYi1pZD0iZXM5ZHI5OXdzOTBzdG9lNXgycnA1
MDVuYXp2c3dkenBweGE1IiB0aW1lc3RhbXA9IjE2NzA4MTA1MzgiPjM8L2tleT48L2ZvcmVpZ24t
a2V5cz48cmVmLXR5cGUgbmFtZT0iUmVwb3J0Ij4yNzwvcmVmLXR5cGU+PGNvbnRyaWJ1dG9ycz48
YXV0aG9ycz48YXV0aG9yPkF1c3RyYWxpYW4gQ29tbWlzc2lvbiBvbiBTYWZldHkgYW5kIFF1YWxp
dHkgaW4gSGVhbHRoIENhcmU8L2F1dGhvcj48L2F1dGhvcnM+PC9jb250cmlidXRvcnM+PHRpdGxl
cz48dGl0bGU+QVVSQSAyMDE3OiBzZWNvbmQgQXVzdHJhbGlhbiByZXBvcnQgb24gYW50aW1pY3Jv
YmlhbCB1c2UgYW5kIHJlc2lzdGFuY2UgaW4gaHVtYW4gaGVhbHRoPC90aXRsZT48L3RpdGxlcz48
ZGF0ZXM+PHllYXI+MjAxNzwveWVhcj48L2RhdGVzPjxwdWItbG9jYXRpb24+U3lkbmV5PC9wdWIt
bG9jYXRpb24+PHB1Ymxpc2hlcj5BQ1NRSEM8L3B1Ymxpc2hlcj48dXJscz48cmVsYXRlZC11cmxz
Pjx1cmw+aHR0cHM6Ly93d3cuc2FmZXR5YW5kcXVhbGl0eS5nb3YuYXUvcHVibGljYXRpb25zLWFu
ZC1yZXNvdXJjZXMvcmVzb3VyY2UtbGlicmFyeS9hdXJhLTIwMTctc2Vjb25kLWF1c3RyYWxpYW4t
cmVwb3J0LWFudGltaWNyb2JpYWwtdXNlLWFuZC1yZXNpc3RhbmNlLWh1bWFuLWhlYWx0aDwvdXJs
PjwvcmVsYXRlZC11cmxzPjwvdXJscz48YWNjZXNzLWRhdGU+MSBNYXJjaCAyMDIxPC9hY2Nlc3Mt
ZGF0ZT48L3JlY29yZD48L0NpdGU+PENpdGU+PEF1dGhvcj5DYXJlPC9BdXRob3I+PFllYXI+MjAx
NzwvWWVhcj48UmVjTnVtPjM8L1JlY051bT48cmVjb3JkPjxyZWMtbnVtYmVyPjM8L3JlYy1udW1i
ZXI+PGZvcmVpZ24ta2V5cz48a2V5IGFwcD0iRU4iIGRiLWlkPSJlczlkcjk5d3M5MHN0b2U1eDJy
cDUwNW5henZzd2R6cHB4YTUiIHRpbWVzdGFtcD0iMTY3MDgxMDUzOCI+Mzwva2V5PjwvZm9yZWln
bi1rZXlzPjxyZWYtdHlwZSBuYW1lPSJSZXBvcnQiPjI3PC9yZWYtdHlwZT48Y29udHJpYnV0b3Jz
PjxhdXRob3JzPjxhdXRob3I+QXVzdHJhbGlhbiBDb21taXNzaW9uIG9uIFNhZmV0eSBhbmQgUXVh
bGl0eSBpbiBIZWFsdGggQ2FyZTwvYXV0aG9yPjwvYXV0aG9ycz48L2NvbnRyaWJ1dG9ycz48dGl0
bGVzPjx0aXRsZT5BVVJBIDIwMTc6IHNlY29uZCBBdXN0cmFsaWFuIHJlcG9ydCBvbiBhbnRpbWlj
cm9iaWFsIHVzZSBhbmQgcmVzaXN0YW5jZSBpbiBodW1hbiBoZWFsdGg8L3RpdGxlPjwvdGl0bGVz
PjxkYXRlcz48eWVhcj4yMDE3PC95ZWFyPjwvZGF0ZXM+PHB1Yi1sb2NhdGlvbj5TeWRuZXk8L3B1
Yi1sb2NhdGlvbj48cHVibGlzaGVyPkFDU1FIQzwvcHVibGlzaGVyPjx1cmxzPjxyZWxhdGVkLXVy
bHM+PHVybD5odHRwczovL3d3dy5zYWZldHlhbmRxdWFsaXR5Lmdvdi5hdS9wdWJsaWNhdGlvbnMt
YW5kLXJlc291cmNlcy9yZXNvdXJjZS1saWJyYXJ5L2F1cmEtMjAxNy1zZWNvbmQtYXVzdHJhbGlh
bi1yZXBvcnQtYW50aW1pY3JvYmlhbC11c2UtYW5kLXJlc2lzdGFuY2UtaHVtYW4taGVhbHRoPC91
cmw+PC9yZWxhdGVkLXVybHM+PC91cmxzPjxhY2Nlc3MtZGF0ZT4xIE1hcmNoIDIwMjE8L2FjY2Vz
cy1kYXRlPjwvcmVjb3JkPjwvQ2l0ZT48Q2l0ZT48QXV0aG9yPkNhcmU8L0F1dGhvcj48WWVhcj4y
MDE5PC9ZZWFyPjxSZWNOdW0+NDwvUmVjTnVtPjxyZWNvcmQ+PHJlYy1udW1iZXI+NDwvcmVjLW51
bWJlcj48Zm9yZWlnbi1rZXlzPjxrZXkgYXBwPSJFTiIgZGItaWQ9ImVzOWRyOTl3czkwc3RvZTV4
MnJwNTA1bmF6dnN3ZHpwcHhhNSIgdGltZXN0YW1wPSIxNjcwODEwNTM5Ij40PC9rZXk+PC9mb3Jl
aWduLWtleXM+PHJlZi10eXBlIG5hbWU9IlJlcG9ydCI+Mjc8L3JlZi10eXBlPjxjb250cmlidXRv
cnM+PGF1dGhvcnM+PGF1dGhvcj5BdXN0cmFsaWFuIENvbW1pc3Npb24gb24gU2FmZXR5IGFuZCBR
dWFsaXR5IGluIEhlYWx0aCBDYXJlPC9hdXRob3I+PC9hdXRob3JzPjwvY29udHJpYnV0b3JzPjx0
aXRsZXM+PHRpdGxlPkFVUkEgMjAxOTogdGhpcmQgQXVzdHJhbGlhbiByZXBvcnQgb24gYW50aW1p
Y3JvYmlhbCB1c2UgYW5kIHJlc2lzdGFuY2UgaW4gaHVtYW4gaGVhbHRoPC90aXRsZT48L3RpdGxl
cz48ZGF0ZXM+PHllYXI+MjAxOTwveWVhcj48L2RhdGVzPjxwdWItbG9jYXRpb24+U3lkbmV5PC9w
dWItbG9jYXRpb24+PHB1Ymxpc2hlcj5BQ1NRSEM8L3B1Ymxpc2hlcj48dXJscz48L3VybHM+PC9y
ZWNvcmQ+PC9DaXRlPjxDaXRlPjxBdXRob3I+Q2FyZTwvQXV0aG9yPjxZZWFyPjIwMjE8L1llYXI+
PFJlY051bT4xPC9SZWNOdW0+PHJlY29yZD48cmVjLW51bWJlcj4xPC9yZWMtbnVtYmVyPjxmb3Jl
aWduLWtleXM+PGtleSBhcHA9IkVOIiBkYi1pZD0iZXM5ZHI5OXdzOTBzdG9lNXgycnA1MDVuYXp2
c3dkenBweGE1IiB0aW1lc3RhbXA9IjE2NzA4MTA1MzgiPjE8L2tleT48L2ZvcmVpZ24ta2V5cz48
cmVmLXR5cGUgbmFtZT0iUmVwb3J0Ij4yNzwvcmVmLXR5cGU+PGNvbnRyaWJ1dG9ycz48YXV0aG9y
cz48YXV0aG9yPkF1c3RyYWxpYW4gQ29tbWlzc2lvbiBvbiBTYWZldHkgYW5kIFF1YWxpdHkgaW4g
SGVhbHRoIENhcmU8L2F1dGhvcj48L2F1dGhvcnM+PC9jb250cmlidXRvcnM+PHRpdGxlcz48dGl0
bGU+QVVSQSAyMDIxOiBmb3VydGggQXVzdHJhbGlhbiByZXBvcnQgb24gYW50aW1pY3JvYmlhbCB1
c2UgYW5kIHJlc2lzdGFuY2UgaW4gaHVtYW4gaGVhbHRoPC90aXRsZT48L3RpdGxlcz48ZGF0ZXM+
PHllYXI+MjAyMTwveWVhcj48L2RhdGVzPjxwdWItbG9jYXRpb24+U3lkbmV5PC9wdWItbG9jYXRp
b24+PHB1Ymxpc2hlcj5BQ1NRSEM8L3B1Ymxpc2hlcj48dXJscz48L3VybHM+PC9yZWNvcmQ+PC9D
aXRlPjwvRW5kTm90ZT4A
</w:fldData>
        </w:fldChar>
      </w:r>
      <w:r w:rsidR="00412507">
        <w:instrText xml:space="preserve"> ADDIN EN.CITE.DATA </w:instrText>
      </w:r>
      <w:r w:rsidR="00412507">
        <w:fldChar w:fldCharType="end"/>
      </w:r>
      <w:r w:rsidR="007B3222">
        <w:fldChar w:fldCharType="separate"/>
      </w:r>
      <w:r w:rsidR="007B3222" w:rsidRPr="00A35D39">
        <w:rPr>
          <w:noProof/>
          <w:vertAlign w:val="superscript"/>
        </w:rPr>
        <w:t>1-4</w:t>
      </w:r>
      <w:r w:rsidR="007B3222">
        <w:fldChar w:fldCharType="end"/>
      </w:r>
      <w:r w:rsidRPr="00F46944">
        <w:t xml:space="preserve"> </w:t>
      </w:r>
      <w:r w:rsidRPr="00547AA0">
        <w:t xml:space="preserve">Funding for the AURA Surveillance System is provided by the Australian Government Department of Health and Aged Care (the Department), with further contributions from the states and territories </w:t>
      </w:r>
      <w:r w:rsidR="00F86414">
        <w:t xml:space="preserve">by the </w:t>
      </w:r>
      <w:r w:rsidRPr="00547AA0">
        <w:t xml:space="preserve">collection and </w:t>
      </w:r>
      <w:r w:rsidR="00F86414">
        <w:t xml:space="preserve">submission </w:t>
      </w:r>
      <w:r w:rsidRPr="00547AA0">
        <w:t>of their data.</w:t>
      </w:r>
    </w:p>
    <w:p w14:paraId="20B730C6" w14:textId="659F3650" w:rsidR="001F2861" w:rsidRDefault="00D26466" w:rsidP="00D26466">
      <w:r w:rsidRPr="00F46944">
        <w:t>Data on antimicrobial use and appropriateness of prescribing presented in this report are sourced from: the Pharmaceutical Benefits Scheme (PBS) and Repatriation Pharmaceutical Benefits Scheme (RPBS)</w:t>
      </w:r>
      <w:r w:rsidRPr="00F46944">
        <w:fldChar w:fldCharType="begin"/>
      </w:r>
      <w:r w:rsidR="00DB0DCB">
        <w:instrText xml:space="preserve"> ADDIN EN.CITE &lt;EndNote&gt;&lt;Cite&gt;&lt;Author&gt;Gadzhanova&lt;/Author&gt;&lt;RecNum&gt;5&lt;/RecNum&gt;&lt;DisplayText&gt;&lt;style face="superscript"&gt;5&lt;/style&gt;&lt;/DisplayText&gt;&lt;record&gt;&lt;rec-number&gt;5&lt;/rec-number&gt;&lt;foreign-keys&gt;&lt;key app="EN" db-id="es9dr99ws90stoe5x2rp505nazvswdzppxa5" timestamp="1670810539"&gt;5&lt;/key&gt;&lt;/foreign-keys&gt;&lt;ref-type name="Unpublished Work"&gt;34&lt;/ref-type&gt;&lt;contributors&gt;&lt;authors&gt;&lt;author&gt;Gadzhanova, S.&lt;/author&gt;&lt;author&gt;Roughead, E.&lt;/author&gt;&lt;/authors&gt;&lt;/contributors&gt;&lt;titles&gt;&lt;title&gt;Analysis of 2015–2021 PBS data for the National Report on Antimicrobial Use and Resistance (unpublished)&lt;/title&gt;&lt;/titles&gt;&lt;dates&gt;&lt;/dates&gt;&lt;pub-location&gt;Sydney &lt;/pub-location&gt;&lt;publisher&gt;ACSQHC &lt;/publisher&gt;&lt;urls&gt;&lt;/urls&gt;&lt;/record&gt;&lt;/Cite&gt;&lt;/EndNote&gt;</w:instrText>
      </w:r>
      <w:r w:rsidRPr="00F46944">
        <w:fldChar w:fldCharType="separate"/>
      </w:r>
      <w:r w:rsidR="001C0A42" w:rsidRPr="001C0A42">
        <w:rPr>
          <w:noProof/>
          <w:vertAlign w:val="superscript"/>
        </w:rPr>
        <w:t>5</w:t>
      </w:r>
      <w:r w:rsidRPr="00F46944">
        <w:fldChar w:fldCharType="end"/>
      </w:r>
      <w:r w:rsidRPr="00F46944">
        <w:t xml:space="preserve">, and the NPS MedicineWise </w:t>
      </w:r>
      <w:proofErr w:type="spellStart"/>
      <w:r w:rsidRPr="00F46944">
        <w:t>MedicineInsight</w:t>
      </w:r>
      <w:proofErr w:type="spellEnd"/>
      <w:r w:rsidRPr="00F46944">
        <w:t xml:space="preserve"> program</w:t>
      </w:r>
      <w:r>
        <w:t>.</w:t>
      </w:r>
      <w:r w:rsidRPr="00F46944">
        <w:fldChar w:fldCharType="begin"/>
      </w:r>
      <w:r w:rsidR="00DB0DCB">
        <w:instrText xml:space="preserve"> ADDIN EN.CITE &lt;EndNote&gt;&lt;Cite&gt;&lt;Author&gt;NPS MedicineWise&lt;/Author&gt;&lt;RecNum&gt;6&lt;/RecNum&gt;&lt;DisplayText&gt;&lt;style face="superscript"&gt;6&lt;/style&gt;&lt;/DisplayText&gt;&lt;record&gt;&lt;rec-number&gt;6&lt;/rec-number&gt;&lt;foreign-keys&gt;&lt;key app="EN" db-id="es9dr99ws90stoe5x2rp505nazvswdzppxa5" timestamp="1670810539"&gt;6&lt;/key&gt;&lt;/foreign-keys&gt;&lt;ref-type name="Unpublished Work"&gt;34&lt;/ref-type&gt;&lt;contributors&gt;&lt;authors&gt;&lt;author&gt;NPS MedicineWise,&lt;/author&gt;&lt;/authors&gt;&lt;/contributors&gt;&lt;titles&gt;&lt;title&gt;MedicineInsight data analyses for AURA Community report, May 2022 (unpublished)&lt;/title&gt;&lt;/titles&gt;&lt;dates&gt;&lt;/dates&gt;&lt;publisher&gt;NPS MedicineWise&lt;/publisher&gt;&lt;urls&gt;&lt;/urls&gt;&lt;/record&gt;&lt;/Cite&gt;&lt;/EndNote&gt;</w:instrText>
      </w:r>
      <w:r w:rsidRPr="00F46944">
        <w:fldChar w:fldCharType="separate"/>
      </w:r>
      <w:r w:rsidR="001C0A42" w:rsidRPr="001C0A42">
        <w:rPr>
          <w:noProof/>
          <w:vertAlign w:val="superscript"/>
        </w:rPr>
        <w:t>6</w:t>
      </w:r>
      <w:r w:rsidRPr="00F46944">
        <w:fldChar w:fldCharType="end"/>
      </w:r>
      <w:r w:rsidRPr="00F46944">
        <w:t xml:space="preserve"> </w:t>
      </w:r>
    </w:p>
    <w:p w14:paraId="1FA13A4D" w14:textId="66E6C69A" w:rsidR="00D26466" w:rsidRPr="00F46944" w:rsidRDefault="00D26466" w:rsidP="00D26466">
      <w:r w:rsidRPr="00F46944">
        <w:t xml:space="preserve">The PBS/RPBS are Australian Government schemes that provide all Australians with subsidised access to many medicines and provide information on antimicrobials dispensed or supplied from pharmacies to the Australian population. </w:t>
      </w:r>
      <w:proofErr w:type="spellStart"/>
      <w:r w:rsidRPr="00F46944">
        <w:t>MedicineInsight</w:t>
      </w:r>
      <w:proofErr w:type="spellEnd"/>
      <w:r w:rsidRPr="00F46944">
        <w:t xml:space="preserve"> captures information on prescriptions supplied by doctors from participating practices. Information on each of these data sources is included in </w:t>
      </w:r>
      <w:r w:rsidRPr="00E10F48">
        <w:t>Appendix</w:t>
      </w:r>
      <w:r w:rsidR="00FB005D" w:rsidRPr="00E10F48">
        <w:t> </w:t>
      </w:r>
      <w:r w:rsidRPr="00E10F48">
        <w:t>1</w:t>
      </w:r>
      <w:r w:rsidRPr="00F46944">
        <w:t>.</w:t>
      </w:r>
    </w:p>
    <w:p w14:paraId="06C951E6" w14:textId="7A44415D" w:rsidR="003F437C" w:rsidRPr="003F437C" w:rsidRDefault="003F437C" w:rsidP="003F437C">
      <w:pPr>
        <w:pStyle w:val="Heading3"/>
      </w:pPr>
      <w:bookmarkStart w:id="21" w:name="_Toc121826722"/>
      <w:r w:rsidRPr="003F437C">
        <w:t xml:space="preserve">Understanding </w:t>
      </w:r>
      <w:r w:rsidR="004724E9">
        <w:t xml:space="preserve">how </w:t>
      </w:r>
      <w:r w:rsidRPr="003F437C">
        <w:t xml:space="preserve">the data </w:t>
      </w:r>
      <w:r w:rsidR="004724E9">
        <w:t xml:space="preserve">are </w:t>
      </w:r>
      <w:r w:rsidR="00B5208D">
        <w:t xml:space="preserve">presented </w:t>
      </w:r>
      <w:r w:rsidRPr="003F437C">
        <w:t>in this report</w:t>
      </w:r>
      <w:bookmarkEnd w:id="21"/>
    </w:p>
    <w:p w14:paraId="35CB1F9C" w14:textId="65755ECC" w:rsidR="00E60217" w:rsidRDefault="003F437C" w:rsidP="00B4540E">
      <w:r>
        <w:t>Th</w:t>
      </w:r>
      <w:r w:rsidR="00B5208D">
        <w:t>is</w:t>
      </w:r>
      <w:r>
        <w:t xml:space="preserve"> report includes analyses of antimicrobial use in the Australian community between </w:t>
      </w:r>
      <w:r w:rsidR="00EF7480">
        <w:t>2015 and 2021</w:t>
      </w:r>
      <w:r>
        <w:t xml:space="preserve">. Over this </w:t>
      </w:r>
      <w:r w:rsidR="001F2861">
        <w:t>seven</w:t>
      </w:r>
      <w:r>
        <w:t xml:space="preserve">-year period </w:t>
      </w:r>
      <w:r w:rsidR="00EF7480">
        <w:t xml:space="preserve">overall antimicrobial </w:t>
      </w:r>
      <w:r w:rsidR="00061E7B">
        <w:t xml:space="preserve">use </w:t>
      </w:r>
      <w:r w:rsidR="00EF7480">
        <w:t>in the community declined by 3</w:t>
      </w:r>
      <w:r w:rsidR="00E60217">
        <w:t>1.9</w:t>
      </w:r>
      <w:r w:rsidR="00EF7480">
        <w:t>%</w:t>
      </w:r>
      <w:r w:rsidR="00B904F4">
        <w:t xml:space="preserve">. </w:t>
      </w:r>
      <w:r w:rsidR="00F86414">
        <w:t>T</w:t>
      </w:r>
      <w:r w:rsidR="00CD58EC">
        <w:t xml:space="preserve">here </w:t>
      </w:r>
      <w:r w:rsidR="000D3FD7">
        <w:t xml:space="preserve">was a gradual </w:t>
      </w:r>
      <w:r w:rsidR="00B904F4">
        <w:t xml:space="preserve">decline </w:t>
      </w:r>
      <w:r w:rsidR="000D3FD7">
        <w:t xml:space="preserve">of </w:t>
      </w:r>
      <w:r w:rsidR="00E60217">
        <w:t>8.9</w:t>
      </w:r>
      <w:r w:rsidR="00061E7B">
        <w:t xml:space="preserve">% </w:t>
      </w:r>
      <w:r w:rsidR="000D3FD7">
        <w:t xml:space="preserve">from 2015 to </w:t>
      </w:r>
      <w:r w:rsidR="00061E7B">
        <w:t>2019</w:t>
      </w:r>
      <w:r>
        <w:t xml:space="preserve">, </w:t>
      </w:r>
      <w:r w:rsidR="00B5208D">
        <w:t xml:space="preserve">followed by a </w:t>
      </w:r>
      <w:r>
        <w:t xml:space="preserve">more dramatic decline </w:t>
      </w:r>
      <w:r w:rsidR="00CD58EC">
        <w:t xml:space="preserve">of </w:t>
      </w:r>
      <w:r w:rsidR="00536CA1">
        <w:t>24.6</w:t>
      </w:r>
      <w:r>
        <w:t>%</w:t>
      </w:r>
      <w:r w:rsidR="004F2DF8">
        <w:t xml:space="preserve"> between 2019 and 202</w:t>
      </w:r>
      <w:r w:rsidR="00536CA1">
        <w:t>0</w:t>
      </w:r>
      <w:r w:rsidR="00CD58EC">
        <w:t>;</w:t>
      </w:r>
      <w:r w:rsidR="000D3FD7">
        <w:t xml:space="preserve"> and this </w:t>
      </w:r>
      <w:r w:rsidR="002903A9">
        <w:t xml:space="preserve">dramatic </w:t>
      </w:r>
      <w:r w:rsidR="00B5208D">
        <w:t xml:space="preserve">decline </w:t>
      </w:r>
      <w:r w:rsidR="000D3FD7">
        <w:t xml:space="preserve">was sustained in </w:t>
      </w:r>
      <w:r w:rsidR="002903A9">
        <w:t>2021</w:t>
      </w:r>
      <w:r w:rsidR="00536CA1">
        <w:t>.</w:t>
      </w:r>
      <w:r>
        <w:t xml:space="preserve"> </w:t>
      </w:r>
      <w:r w:rsidR="00A61A8A">
        <w:t xml:space="preserve">For this reason, the </w:t>
      </w:r>
      <w:r w:rsidR="002903A9">
        <w:t>findings</w:t>
      </w:r>
      <w:r w:rsidR="00353908">
        <w:t xml:space="preserve"> presented in this report </w:t>
      </w:r>
      <w:r w:rsidR="00A61A8A">
        <w:t xml:space="preserve">about </w:t>
      </w:r>
      <w:r w:rsidR="002903A9">
        <w:t xml:space="preserve">community antimicrobial use in 2020 and 2021 are </w:t>
      </w:r>
      <w:r w:rsidR="00A61A8A">
        <w:t xml:space="preserve">frequently </w:t>
      </w:r>
      <w:r w:rsidR="002903A9">
        <w:t>compared to 2019.</w:t>
      </w:r>
    </w:p>
    <w:p w14:paraId="4DC09B7B" w14:textId="29C42473" w:rsidR="00A81D89" w:rsidRPr="00F46944" w:rsidRDefault="00A81D89" w:rsidP="00A81D89">
      <w:pPr>
        <w:pStyle w:val="Heading3"/>
      </w:pPr>
      <w:bookmarkStart w:id="22" w:name="_Toc121826723"/>
      <w:r w:rsidRPr="00F46944">
        <w:t xml:space="preserve">Why is surveillance of community antimicrobial </w:t>
      </w:r>
      <w:r w:rsidR="00BB030B" w:rsidRPr="00F46944">
        <w:t xml:space="preserve">use </w:t>
      </w:r>
      <w:r w:rsidRPr="00F46944">
        <w:t>important?</w:t>
      </w:r>
      <w:bookmarkEnd w:id="22"/>
      <w:r w:rsidRPr="00F46944">
        <w:t xml:space="preserve"> </w:t>
      </w:r>
    </w:p>
    <w:p w14:paraId="782EC2D3" w14:textId="56970513" w:rsidR="00CD58EC" w:rsidRDefault="00364B86" w:rsidP="00B4540E">
      <w:r w:rsidRPr="00F46944">
        <w:t xml:space="preserve">Community prescribing </w:t>
      </w:r>
      <w:r w:rsidR="004F2DF8" w:rsidRPr="00F46944">
        <w:t>in general practice, community health services, aged care homes and other non-hospital settings</w:t>
      </w:r>
      <w:r w:rsidR="004F2DF8">
        <w:t xml:space="preserve"> </w:t>
      </w:r>
      <w:r w:rsidR="00547AA0">
        <w:t xml:space="preserve">accounts for </w:t>
      </w:r>
      <w:r w:rsidR="004073B2" w:rsidRPr="00F46944">
        <w:t>most</w:t>
      </w:r>
      <w:r w:rsidRPr="00F46944">
        <w:t xml:space="preserve"> antimicrobial use in </w:t>
      </w:r>
      <w:r w:rsidR="00547AA0" w:rsidRPr="00F46944">
        <w:t>Australia</w:t>
      </w:r>
      <w:r w:rsidRPr="00F46944">
        <w:t>.</w:t>
      </w:r>
      <w:r w:rsidR="00840FB4" w:rsidRPr="00F46944">
        <w:t xml:space="preserve"> </w:t>
      </w:r>
      <w:r w:rsidR="00227D00" w:rsidRPr="00F46944">
        <w:t>Monitoring the</w:t>
      </w:r>
      <w:r w:rsidR="00F1304E" w:rsidRPr="00F46944">
        <w:t xml:space="preserve"> overall v</w:t>
      </w:r>
      <w:r w:rsidR="00840FB4" w:rsidRPr="00F46944">
        <w:t>olume</w:t>
      </w:r>
      <w:r w:rsidR="00F1304E" w:rsidRPr="00F46944">
        <w:t xml:space="preserve"> of use</w:t>
      </w:r>
      <w:r w:rsidR="00227D00" w:rsidRPr="00F46944">
        <w:t xml:space="preserve"> of antimicrobials and the extent of</w:t>
      </w:r>
      <w:r w:rsidR="0086184A" w:rsidRPr="00F46944">
        <w:t xml:space="preserve"> </w:t>
      </w:r>
      <w:r w:rsidR="004E3B3A" w:rsidRPr="00F46944">
        <w:t xml:space="preserve">inappropriate use </w:t>
      </w:r>
      <w:r w:rsidR="0086184A" w:rsidRPr="00F46944">
        <w:t xml:space="preserve">is </w:t>
      </w:r>
      <w:r w:rsidR="00227D00" w:rsidRPr="00F46944">
        <w:t xml:space="preserve">an important part of the approach to understand and address the risks associated with </w:t>
      </w:r>
      <w:r w:rsidR="00547AA0">
        <w:t>antimicrobial resistance (</w:t>
      </w:r>
      <w:r w:rsidR="004E3B3A" w:rsidRPr="00F46944">
        <w:t>AMR</w:t>
      </w:r>
      <w:r w:rsidR="00547AA0">
        <w:t>)</w:t>
      </w:r>
      <w:r w:rsidR="0086184A" w:rsidRPr="00F46944">
        <w:t>.</w:t>
      </w:r>
    </w:p>
    <w:p w14:paraId="74EF6733" w14:textId="72EDA825" w:rsidR="00B001B6" w:rsidRPr="00F46944" w:rsidRDefault="003228A0" w:rsidP="00B4540E">
      <w:r w:rsidRPr="00F46944">
        <w:t>AMR</w:t>
      </w:r>
      <w:r w:rsidR="00A81D89" w:rsidRPr="00F46944">
        <w:t xml:space="preserve"> </w:t>
      </w:r>
      <w:r w:rsidR="00C838D0" w:rsidRPr="00F46944">
        <w:t xml:space="preserve">poses </w:t>
      </w:r>
      <w:r w:rsidR="00A81D89" w:rsidRPr="00F46944">
        <w:t>a risk to patient safety because it reduces the number of antimicrobials available to treat infection</w:t>
      </w:r>
      <w:r w:rsidR="00227D00" w:rsidRPr="00F46944">
        <w:t xml:space="preserve">s. In the community setting, this </w:t>
      </w:r>
      <w:r w:rsidR="00B001B6" w:rsidRPr="00F46944">
        <w:t xml:space="preserve">could mean </w:t>
      </w:r>
      <w:r w:rsidR="00364B86" w:rsidRPr="00F46944">
        <w:t>that there are no oral antimicrobial options</w:t>
      </w:r>
      <w:r w:rsidR="00B001B6" w:rsidRPr="00F46944">
        <w:t xml:space="preserve"> available</w:t>
      </w:r>
      <w:r w:rsidR="00364B86" w:rsidRPr="00F46944">
        <w:t xml:space="preserve">, </w:t>
      </w:r>
      <w:r w:rsidR="001C445F" w:rsidRPr="00F46944">
        <w:t>resulting in increased</w:t>
      </w:r>
      <w:r w:rsidR="00364B86" w:rsidRPr="00F46944">
        <w:t xml:space="preserve"> hospitalisation</w:t>
      </w:r>
      <w:r w:rsidR="001C445F" w:rsidRPr="00F46944">
        <w:t>s</w:t>
      </w:r>
      <w:r w:rsidR="00364B86" w:rsidRPr="00F46944">
        <w:t xml:space="preserve"> for parenteral therapy</w:t>
      </w:r>
      <w:r w:rsidR="00A81D89" w:rsidRPr="00F46944">
        <w:t xml:space="preserve">. </w:t>
      </w:r>
      <w:r w:rsidR="00582340" w:rsidRPr="00F46944">
        <w:t>AMR</w:t>
      </w:r>
      <w:r w:rsidR="00A81D89" w:rsidRPr="00F46944">
        <w:t xml:space="preserve"> increases morbidity and mortality associated with infections caused by multidrug-resistant organisms. It may also limit future capacity </w:t>
      </w:r>
      <w:r w:rsidR="00B001B6" w:rsidRPr="00F46944">
        <w:t>for important treatments such as</w:t>
      </w:r>
      <w:r w:rsidR="00A81D89" w:rsidRPr="00F46944">
        <w:t xml:space="preserve"> </w:t>
      </w:r>
      <w:r w:rsidR="0086184A" w:rsidRPr="00F46944">
        <w:t xml:space="preserve">major surgeries, </w:t>
      </w:r>
      <w:r w:rsidR="00A81D89" w:rsidRPr="00F46944">
        <w:t xml:space="preserve">organ transplantation, cancer chemotherapy </w:t>
      </w:r>
      <w:r w:rsidR="0086184A" w:rsidRPr="00F46944">
        <w:t xml:space="preserve">and </w:t>
      </w:r>
      <w:r w:rsidR="00A81D89" w:rsidRPr="00F46944">
        <w:t>diabetes management</w:t>
      </w:r>
      <w:r w:rsidR="00CE4EEE" w:rsidRPr="00F46944">
        <w:t xml:space="preserve"> among others</w:t>
      </w:r>
      <w:r w:rsidR="00B001B6" w:rsidRPr="00F46944">
        <w:t>, due to</w:t>
      </w:r>
      <w:r w:rsidR="00A81D89" w:rsidRPr="00F46944">
        <w:t xml:space="preserve"> a lack of effective antimicrobials</w:t>
      </w:r>
      <w:r w:rsidR="00412C7B">
        <w:t>.</w:t>
      </w:r>
      <w:r w:rsidR="00C16B8F">
        <w:fldChar w:fldCharType="begin"/>
      </w:r>
      <w:r w:rsidR="00C16B8F">
        <w:instrText xml:space="preserve"> ADDIN EN.CITE &lt;EndNote&gt;&lt;Cite&gt;&lt;Author&gt;Organization&lt;/Author&gt;&lt;Year&gt;2021&lt;/Year&gt;&lt;RecNum&gt;35&lt;/RecNum&gt;&lt;DisplayText&gt;&lt;style face="superscript"&gt;7&lt;/style&gt;&lt;/DisplayText&gt;&lt;record&gt;&lt;rec-number&gt;35&lt;/rec-number&gt;&lt;foreign-keys&gt;&lt;key app="EN" db-id="es9dr99ws90stoe5x2rp505nazvswdzppxa5" timestamp="1670810886"&gt;35&lt;/key&gt;&lt;/foreign-keys&gt;&lt;ref-type name="Web Page"&gt;12&lt;/ref-type&gt;&lt;contributors&gt;&lt;authors&gt;&lt;author&gt;World Health Organization&lt;/author&gt;&lt;/authors&gt;&lt;/contributors&gt;&lt;titles&gt;&lt;title&gt;Antimicrobial resistance&lt;/title&gt;&lt;/titles&gt;&lt;volume&gt;2021&lt;/volume&gt;&lt;number&gt;5 December 2021&lt;/number&gt;&lt;dates&gt;&lt;year&gt;2021&lt;/year&gt;&lt;/dates&gt;&lt;urls&gt;&lt;related-urls&gt;&lt;url&gt;https://www.who.int/news-room/fact-sheets/detail/antimicrobial-resistance&lt;/url&gt;&lt;/related-urls&gt;&lt;/urls&gt;&lt;/record&gt;&lt;/Cite&gt;&lt;/EndNote&gt;</w:instrText>
      </w:r>
      <w:r w:rsidR="00C16B8F">
        <w:fldChar w:fldCharType="separate"/>
      </w:r>
      <w:r w:rsidR="00C16B8F" w:rsidRPr="00C16B8F">
        <w:rPr>
          <w:noProof/>
          <w:vertAlign w:val="superscript"/>
        </w:rPr>
        <w:t>7</w:t>
      </w:r>
      <w:r w:rsidR="00C16B8F">
        <w:fldChar w:fldCharType="end"/>
      </w:r>
    </w:p>
    <w:p w14:paraId="00468C58" w14:textId="188290F4" w:rsidR="004E6D88" w:rsidRPr="00F46944" w:rsidRDefault="00A81D89" w:rsidP="00B4540E">
      <w:pPr>
        <w:rPr>
          <w:sz w:val="20"/>
          <w:szCs w:val="20"/>
        </w:rPr>
      </w:pPr>
      <w:r w:rsidRPr="00F46944">
        <w:t>S</w:t>
      </w:r>
      <w:r w:rsidR="004E3B3A" w:rsidRPr="00F46944">
        <w:t xml:space="preserve">urveillance of the volume of antimicrobial use and appropriateness of prescribing are essential to </w:t>
      </w:r>
      <w:r w:rsidR="00CD58EC">
        <w:t xml:space="preserve">promote </w:t>
      </w:r>
      <w:r w:rsidR="00CD58EC">
        <w:rPr>
          <w:rFonts w:ascii="Arial" w:hAnsi="Arial" w:cs="Arial"/>
          <w:color w:val="202124"/>
          <w:shd w:val="clear" w:color="auto" w:fill="FFFFFF"/>
        </w:rPr>
        <w:t>antimicrobial stewardship (AMS)</w:t>
      </w:r>
      <w:r w:rsidR="00F86414">
        <w:rPr>
          <w:rFonts w:ascii="Arial" w:hAnsi="Arial" w:cs="Arial"/>
          <w:color w:val="202124"/>
          <w:shd w:val="clear" w:color="auto" w:fill="FFFFFF"/>
        </w:rPr>
        <w:t xml:space="preserve"> and</w:t>
      </w:r>
      <w:r w:rsidR="00CD58EC">
        <w:rPr>
          <w:rFonts w:ascii="Arial" w:hAnsi="Arial" w:cs="Arial"/>
          <w:color w:val="202124"/>
          <w:shd w:val="clear" w:color="auto" w:fill="FFFFFF"/>
        </w:rPr>
        <w:t xml:space="preserve"> </w:t>
      </w:r>
      <w:r w:rsidR="004E3B3A" w:rsidRPr="00F46944">
        <w:t>inform AMR prevention and containment strategies</w:t>
      </w:r>
      <w:r w:rsidRPr="00F46944">
        <w:t xml:space="preserve">, including providing feedback </w:t>
      </w:r>
      <w:r w:rsidR="00F86414">
        <w:t xml:space="preserve">about prescribing </w:t>
      </w:r>
      <w:r w:rsidRPr="00F46944">
        <w:t xml:space="preserve">to clinicians and </w:t>
      </w:r>
      <w:r w:rsidR="00B001B6" w:rsidRPr="00F46944">
        <w:t xml:space="preserve">information </w:t>
      </w:r>
      <w:r w:rsidR="0065052E" w:rsidRPr="00F46944">
        <w:t xml:space="preserve">to </w:t>
      </w:r>
      <w:r w:rsidRPr="00F46944">
        <w:t>consumers about safe and appropriate use of antimicrobials</w:t>
      </w:r>
      <w:r w:rsidR="004E3B3A" w:rsidRPr="00F46944">
        <w:t xml:space="preserve">. </w:t>
      </w:r>
    </w:p>
    <w:p w14:paraId="2D57211D" w14:textId="44E80D1B" w:rsidR="00BD5443" w:rsidRPr="00F46944" w:rsidRDefault="00B565B9" w:rsidP="00D402B1">
      <w:pPr>
        <w:pStyle w:val="Heading3"/>
      </w:pPr>
      <w:bookmarkStart w:id="23" w:name="_Toc121826724"/>
      <w:r>
        <w:lastRenderedPageBreak/>
        <w:t xml:space="preserve">Factors </w:t>
      </w:r>
      <w:r w:rsidR="00EA7559">
        <w:t>affecting community antimicrobial use in 2020 and 2021</w:t>
      </w:r>
      <w:r w:rsidR="00C86EFE">
        <w:t>:</w:t>
      </w:r>
      <w:r w:rsidR="00EA7559">
        <w:t xml:space="preserve"> </w:t>
      </w:r>
      <w:r w:rsidR="00BE0B1B">
        <w:t>COVID-19 pandemic</w:t>
      </w:r>
      <w:r w:rsidR="00EA7559">
        <w:t xml:space="preserve"> and </w:t>
      </w:r>
      <w:r w:rsidR="005228E4">
        <w:t>repeat prescriptions</w:t>
      </w:r>
      <w:bookmarkEnd w:id="23"/>
      <w:r w:rsidR="005228E4">
        <w:t xml:space="preserve"> </w:t>
      </w:r>
    </w:p>
    <w:p w14:paraId="46364C2B" w14:textId="798B296E" w:rsidR="00730DE3" w:rsidRDefault="00B16043" w:rsidP="00E10F48">
      <w:pPr>
        <w:rPr>
          <w:rFonts w:asciiTheme="majorHAnsi" w:hAnsiTheme="majorHAnsi" w:cstheme="majorHAnsi"/>
        </w:rPr>
      </w:pPr>
      <w:r w:rsidRPr="00F46944">
        <w:rPr>
          <w:rFonts w:asciiTheme="majorHAnsi" w:hAnsiTheme="majorHAnsi" w:cstheme="majorHAnsi"/>
        </w:rPr>
        <w:t xml:space="preserve">Australia’s first case </w:t>
      </w:r>
      <w:r w:rsidR="00A61A8A">
        <w:rPr>
          <w:rFonts w:asciiTheme="majorHAnsi" w:hAnsiTheme="majorHAnsi" w:cstheme="majorHAnsi"/>
        </w:rPr>
        <w:t xml:space="preserve">of COVID-19 was reported </w:t>
      </w:r>
      <w:r w:rsidRPr="00F46944">
        <w:rPr>
          <w:rFonts w:asciiTheme="majorHAnsi" w:hAnsiTheme="majorHAnsi" w:cstheme="majorHAnsi"/>
        </w:rPr>
        <w:t>on 25 January 2020</w:t>
      </w:r>
      <w:r w:rsidR="00F86414">
        <w:rPr>
          <w:rFonts w:asciiTheme="majorHAnsi" w:hAnsiTheme="majorHAnsi" w:cstheme="majorHAnsi"/>
        </w:rPr>
        <w:t>.</w:t>
      </w:r>
      <w:r w:rsidR="000C2B09" w:rsidRPr="00F46944">
        <w:rPr>
          <w:rFonts w:asciiTheme="majorHAnsi" w:hAnsiTheme="majorHAnsi" w:cstheme="majorHAnsi"/>
        </w:rPr>
        <w:fldChar w:fldCharType="begin"/>
      </w:r>
      <w:r w:rsidR="00C16B8F">
        <w:rPr>
          <w:rFonts w:asciiTheme="majorHAnsi" w:hAnsiTheme="majorHAnsi" w:cstheme="majorHAnsi"/>
        </w:rPr>
        <w:instrText xml:space="preserve"> ADDIN EN.CITE &lt;EndNote&gt;&lt;Cite&gt;&lt;Author&gt;G Hunt (Minister for Health)&lt;/Author&gt;&lt;Year&gt;2020&lt;/Year&gt;&lt;RecNum&gt;7&lt;/RecNum&gt;&lt;DisplayText&gt;&lt;style face="superscript"&gt;8&lt;/style&gt;&lt;/DisplayText&gt;&lt;record&gt;&lt;rec-number&gt;7&lt;/rec-number&gt;&lt;foreign-keys&gt;&lt;key app="EN" db-id="es9dr99ws90stoe5x2rp505nazvswdzppxa5" timestamp="1670810539"&gt;7&lt;/key&gt;&lt;/foreign-keys&gt;&lt;ref-type name="Government Document"&gt;46&lt;/ref-type&gt;&lt;contributors&gt;&lt;authors&gt;&lt;author&gt;G Hunt (Minister for Health),&lt;/author&gt;&lt;author&gt;B Murphy (Chief Medical Officer),&lt;/author&gt;&lt;/authors&gt;&lt;/contributors&gt;&lt;titles&gt;&lt;title&gt;First confirmed case of novel coronavirus in Australia&lt;/title&gt;&lt;/titles&gt;&lt;dates&gt;&lt;year&gt;2020&lt;/year&gt;&lt;/dates&gt;&lt;urls&gt;&lt;related-urls&gt;&lt;url&gt;https://parlinfo.aph.gov.au/parlInfo/download/media/pressrel/7158085/upload_binary/7158085.pdf;fileType=application%2Fpdf#search=%22media/pressrel/7158085%22 &lt;/url&gt;&lt;/related-urls&gt;&lt;/urls&gt;&lt;/record&gt;&lt;/Cite&gt;&lt;/EndNote&gt;</w:instrText>
      </w:r>
      <w:r w:rsidR="000C2B09" w:rsidRPr="00F46944">
        <w:rPr>
          <w:rFonts w:asciiTheme="majorHAnsi" w:hAnsiTheme="majorHAnsi" w:cstheme="majorHAnsi"/>
        </w:rPr>
        <w:fldChar w:fldCharType="separate"/>
      </w:r>
      <w:r w:rsidR="00C16B8F" w:rsidRPr="00C16B8F">
        <w:rPr>
          <w:rFonts w:asciiTheme="majorHAnsi" w:hAnsiTheme="majorHAnsi" w:cstheme="majorHAnsi"/>
          <w:noProof/>
          <w:vertAlign w:val="superscript"/>
        </w:rPr>
        <w:t>8</w:t>
      </w:r>
      <w:r w:rsidR="000C2B09" w:rsidRPr="00F46944">
        <w:rPr>
          <w:rFonts w:asciiTheme="majorHAnsi" w:hAnsiTheme="majorHAnsi" w:cstheme="majorHAnsi"/>
        </w:rPr>
        <w:fldChar w:fldCharType="end"/>
      </w:r>
      <w:r w:rsidRPr="00F46944">
        <w:rPr>
          <w:rFonts w:asciiTheme="majorHAnsi" w:hAnsiTheme="majorHAnsi" w:cstheme="majorHAnsi"/>
        </w:rPr>
        <w:t xml:space="preserve"> </w:t>
      </w:r>
      <w:r w:rsidR="00F86414">
        <w:rPr>
          <w:rFonts w:asciiTheme="majorHAnsi" w:hAnsiTheme="majorHAnsi" w:cstheme="majorHAnsi"/>
        </w:rPr>
        <w:t>T</w:t>
      </w:r>
      <w:r w:rsidR="00033C5B" w:rsidRPr="00F46944">
        <w:rPr>
          <w:rFonts w:asciiTheme="majorHAnsi" w:hAnsiTheme="majorHAnsi" w:cstheme="majorHAnsi"/>
        </w:rPr>
        <w:t xml:space="preserve">he World Health Organization </w:t>
      </w:r>
      <w:r w:rsidR="005927FC" w:rsidRPr="00F46944">
        <w:rPr>
          <w:rFonts w:asciiTheme="majorHAnsi" w:hAnsiTheme="majorHAnsi" w:cstheme="majorHAnsi"/>
        </w:rPr>
        <w:t xml:space="preserve">(WHO) </w:t>
      </w:r>
      <w:r w:rsidR="00033C5B" w:rsidRPr="00F46944">
        <w:rPr>
          <w:rFonts w:asciiTheme="majorHAnsi" w:hAnsiTheme="majorHAnsi" w:cstheme="majorHAnsi"/>
        </w:rPr>
        <w:t>declared COVID-19, a viral infection caused by Severe Acute Respiratory Syndrome Coronavirus 2 (SARS-CoV-2), a global pandemic on 11 March 2020.</w:t>
      </w:r>
      <w:r w:rsidR="00033C5B" w:rsidRPr="00F46944">
        <w:rPr>
          <w:rFonts w:asciiTheme="majorHAnsi" w:hAnsiTheme="majorHAnsi" w:cstheme="majorHAnsi"/>
        </w:rPr>
        <w:fldChar w:fldCharType="begin"/>
      </w:r>
      <w:r w:rsidR="00C16B8F">
        <w:rPr>
          <w:rFonts w:asciiTheme="majorHAnsi" w:hAnsiTheme="majorHAnsi" w:cstheme="majorHAnsi"/>
        </w:rPr>
        <w:instrText xml:space="preserve"> ADDIN EN.CITE &lt;EndNote&gt;&lt;Cite&gt;&lt;Author&gt;World Health Organization&lt;/Author&gt;&lt;Year&gt;2020&lt;/Year&gt;&lt;RecNum&gt;8&lt;/RecNum&gt;&lt;DisplayText&gt;&lt;style face="superscript"&gt;9&lt;/style&gt;&lt;/DisplayText&gt;&lt;record&gt;&lt;rec-number&gt;8&lt;/rec-number&gt;&lt;foreign-keys&gt;&lt;key app="EN" db-id="es9dr99ws90stoe5x2rp505nazvswdzppxa5" timestamp="1670810540"&gt;8&lt;/key&gt;&lt;/foreign-keys&gt;&lt;ref-type name="Web Page"&gt;12&lt;/ref-type&gt;&lt;contributors&gt;&lt;authors&gt;&lt;author&gt;World Health Organization,&lt;/author&gt;&lt;/authors&gt;&lt;/contributors&gt;&lt;titles&gt;&lt;title&gt;WHO Director-General&amp;apos;s opening remarks at the media briefing on COVID-19 - 11 March 2020&lt;/title&gt;&lt;/titles&gt;&lt;number&gt;May 2022&lt;/number&gt;&lt;dates&gt;&lt;year&gt;2020&lt;/year&gt;&lt;pub-dates&gt;&lt;date&gt;11 March 2020&lt;/date&gt;&lt;/pub-dates&gt;&lt;/dates&gt;&lt;urls&gt;&lt;related-urls&gt;&lt;url&gt;https://www.who.int/director-general/speeches/detail/who-director-general-s-opening-remarks-at-the-media-briefing-on-covid-19---11-march-2020&lt;/url&gt;&lt;/related-urls&gt;&lt;/urls&gt;&lt;/record&gt;&lt;/Cite&gt;&lt;/EndNote&gt;</w:instrText>
      </w:r>
      <w:r w:rsidR="00033C5B" w:rsidRPr="00F46944">
        <w:rPr>
          <w:rFonts w:asciiTheme="majorHAnsi" w:hAnsiTheme="majorHAnsi" w:cstheme="majorHAnsi"/>
        </w:rPr>
        <w:fldChar w:fldCharType="separate"/>
      </w:r>
      <w:r w:rsidR="00C16B8F" w:rsidRPr="00C16B8F">
        <w:rPr>
          <w:rFonts w:asciiTheme="majorHAnsi" w:hAnsiTheme="majorHAnsi" w:cstheme="majorHAnsi"/>
          <w:noProof/>
          <w:vertAlign w:val="superscript"/>
        </w:rPr>
        <w:t>9</w:t>
      </w:r>
      <w:r w:rsidR="00033C5B" w:rsidRPr="00F46944">
        <w:rPr>
          <w:rFonts w:asciiTheme="majorHAnsi" w:hAnsiTheme="majorHAnsi" w:cstheme="majorHAnsi"/>
        </w:rPr>
        <w:fldChar w:fldCharType="end"/>
      </w:r>
      <w:r w:rsidR="00033C5B" w:rsidRPr="00F46944">
        <w:rPr>
          <w:rFonts w:asciiTheme="majorHAnsi" w:hAnsiTheme="majorHAnsi" w:cstheme="majorHAnsi"/>
        </w:rPr>
        <w:t xml:space="preserve"> Early reports of the COVID-19 pandemic suggested that it could result in increased morbidity and mortality, along with </w:t>
      </w:r>
      <w:r w:rsidR="004F2DF8">
        <w:rPr>
          <w:rFonts w:asciiTheme="majorHAnsi" w:hAnsiTheme="majorHAnsi" w:cstheme="majorHAnsi"/>
        </w:rPr>
        <w:t xml:space="preserve">an </w:t>
      </w:r>
      <w:r w:rsidR="00033C5B" w:rsidRPr="00F46944">
        <w:rPr>
          <w:rFonts w:asciiTheme="majorHAnsi" w:hAnsiTheme="majorHAnsi" w:cstheme="majorHAnsi"/>
        </w:rPr>
        <w:t>increased demand on health services. In response, all Australian governments initiated a series of structural and policy decisions, along with clinical practice changes, to minimise the impact of the pandemic</w:t>
      </w:r>
      <w:r w:rsidR="00E10F48">
        <w:rPr>
          <w:rFonts w:asciiTheme="majorHAnsi" w:hAnsiTheme="majorHAnsi" w:cstheme="majorHAnsi"/>
        </w:rPr>
        <w:t>.</w:t>
      </w:r>
    </w:p>
    <w:p w14:paraId="6137D734" w14:textId="5C06DA48" w:rsidR="007F2FAC" w:rsidRPr="00F46944" w:rsidRDefault="004F2DF8" w:rsidP="00E10F48">
      <w:pPr>
        <w:rPr>
          <w:rFonts w:asciiTheme="majorHAnsi" w:hAnsiTheme="majorHAnsi" w:cstheme="majorHAnsi"/>
        </w:rPr>
      </w:pPr>
      <w:r>
        <w:rPr>
          <w:rFonts w:asciiTheme="majorHAnsi" w:hAnsiTheme="majorHAnsi" w:cstheme="majorHAnsi"/>
        </w:rPr>
        <w:t>F</w:t>
      </w:r>
      <w:r w:rsidRPr="00F46944">
        <w:rPr>
          <w:rFonts w:asciiTheme="majorHAnsi" w:hAnsiTheme="majorHAnsi" w:cstheme="majorHAnsi"/>
        </w:rPr>
        <w:t>rom 13 March 2020</w:t>
      </w:r>
      <w:r>
        <w:rPr>
          <w:rFonts w:asciiTheme="majorHAnsi" w:hAnsiTheme="majorHAnsi" w:cstheme="majorHAnsi"/>
        </w:rPr>
        <w:t>, t</w:t>
      </w:r>
      <w:r w:rsidRPr="00F46944">
        <w:rPr>
          <w:rFonts w:asciiTheme="majorHAnsi" w:hAnsiTheme="majorHAnsi" w:cstheme="majorHAnsi"/>
        </w:rPr>
        <w:t xml:space="preserve">he </w:t>
      </w:r>
      <w:r w:rsidR="00033C5B" w:rsidRPr="00F46944">
        <w:rPr>
          <w:rFonts w:asciiTheme="majorHAnsi" w:hAnsiTheme="majorHAnsi" w:cstheme="majorHAnsi"/>
        </w:rPr>
        <w:t xml:space="preserve">Australian Government expanded access to the </w:t>
      </w:r>
      <w:r w:rsidR="007F2FAC" w:rsidRPr="00F46944">
        <w:rPr>
          <w:rFonts w:asciiTheme="majorHAnsi" w:hAnsiTheme="majorHAnsi" w:cstheme="majorHAnsi"/>
        </w:rPr>
        <w:t>Medicare Benefits Schedule (</w:t>
      </w:r>
      <w:r w:rsidR="00033C5B" w:rsidRPr="00F46944">
        <w:rPr>
          <w:rFonts w:asciiTheme="majorHAnsi" w:hAnsiTheme="majorHAnsi" w:cstheme="majorHAnsi"/>
        </w:rPr>
        <w:t>MBS</w:t>
      </w:r>
      <w:r w:rsidR="007F2FAC" w:rsidRPr="00F46944">
        <w:rPr>
          <w:rFonts w:asciiTheme="majorHAnsi" w:hAnsiTheme="majorHAnsi" w:cstheme="majorHAnsi"/>
        </w:rPr>
        <w:t>)</w:t>
      </w:r>
      <w:r w:rsidR="00033C5B" w:rsidRPr="00F46944">
        <w:rPr>
          <w:rFonts w:asciiTheme="majorHAnsi" w:hAnsiTheme="majorHAnsi" w:cstheme="majorHAnsi"/>
        </w:rPr>
        <w:t xml:space="preserve"> for telehealth consultations, and video and telehealth </w:t>
      </w:r>
      <w:r w:rsidR="00A61A8A">
        <w:rPr>
          <w:rFonts w:asciiTheme="majorHAnsi" w:hAnsiTheme="majorHAnsi" w:cstheme="majorHAnsi"/>
        </w:rPr>
        <w:t>MBS</w:t>
      </w:r>
      <w:r w:rsidR="00033C5B" w:rsidRPr="00F46944">
        <w:rPr>
          <w:rFonts w:asciiTheme="majorHAnsi" w:hAnsiTheme="majorHAnsi" w:cstheme="majorHAnsi"/>
        </w:rPr>
        <w:t xml:space="preserve"> items were made available </w:t>
      </w:r>
      <w:r w:rsidR="00B774B8" w:rsidRPr="00F46944">
        <w:rPr>
          <w:rFonts w:asciiTheme="majorHAnsi" w:hAnsiTheme="majorHAnsi" w:cstheme="majorHAnsi"/>
        </w:rPr>
        <w:t xml:space="preserve">to </w:t>
      </w:r>
      <w:r w:rsidR="00033C5B" w:rsidRPr="00F46944">
        <w:rPr>
          <w:rFonts w:asciiTheme="majorHAnsi" w:hAnsiTheme="majorHAnsi" w:cstheme="majorHAnsi"/>
        </w:rPr>
        <w:t xml:space="preserve">people at risk of healthcare harms from COVID-19 and </w:t>
      </w:r>
      <w:r w:rsidR="00B774B8" w:rsidRPr="00F46944">
        <w:rPr>
          <w:rFonts w:asciiTheme="majorHAnsi" w:hAnsiTheme="majorHAnsi" w:cstheme="majorHAnsi"/>
        </w:rPr>
        <w:t xml:space="preserve">those </w:t>
      </w:r>
      <w:r w:rsidR="00033C5B" w:rsidRPr="00F46944">
        <w:rPr>
          <w:rFonts w:asciiTheme="majorHAnsi" w:hAnsiTheme="majorHAnsi" w:cstheme="majorHAnsi"/>
        </w:rPr>
        <w:t>in quarantine</w:t>
      </w:r>
      <w:r>
        <w:rPr>
          <w:rFonts w:asciiTheme="majorHAnsi" w:hAnsiTheme="majorHAnsi" w:cstheme="majorHAnsi"/>
        </w:rPr>
        <w:t>.</w:t>
      </w:r>
      <w:r w:rsidR="00033C5B" w:rsidRPr="00F46944">
        <w:rPr>
          <w:rFonts w:asciiTheme="majorHAnsi" w:hAnsiTheme="majorHAnsi" w:cstheme="majorHAnsi"/>
        </w:rPr>
        <w:fldChar w:fldCharType="begin"/>
      </w:r>
      <w:r w:rsidR="00C16B8F">
        <w:rPr>
          <w:rFonts w:asciiTheme="majorHAnsi" w:hAnsiTheme="majorHAnsi" w:cstheme="majorHAnsi"/>
        </w:rPr>
        <w:instrText xml:space="preserve"> ADDIN EN.CITE &lt;EndNote&gt;&lt;Cite&gt;&lt;Author&gt;Prime Minister&lt;/Author&gt;&lt;Year&gt;2020&lt;/Year&gt;&lt;RecNum&gt;9&lt;/RecNum&gt;&lt;DisplayText&gt;&lt;style face="superscript"&gt;10&lt;/style&gt;&lt;/DisplayText&gt;&lt;record&gt;&lt;rec-number&gt;9&lt;/rec-number&gt;&lt;foreign-keys&gt;&lt;key app="EN" db-id="es9dr99ws90stoe5x2rp505nazvswdzppxa5" timestamp="1670810540"&gt;9&lt;/key&gt;&lt;/foreign-keys&gt;&lt;ref-type name="Press Release"&gt;63&lt;/ref-type&gt;&lt;contributors&gt;&lt;authors&gt;&lt;author&gt;Prime Minister,&lt;/author&gt;&lt;author&gt;Minister for Health,&lt;/author&gt;&lt;author&gt;Minister for Aged Care and Senior Australians,&lt;/author&gt;&lt;author&gt;Minister for Youth and Sport,&lt;/author&gt;&lt;/authors&gt;&lt;/contributors&gt;&lt;titles&gt;&lt;title&gt;$2.4 Billion health plan to fight COVID-19&lt;/title&gt;&lt;/titles&gt;&lt;dates&gt;&lt;year&gt;2020&lt;/year&gt;&lt;pub-dates&gt;&lt;date&gt;11 March 2020&lt;/date&gt;&lt;/pub-dates&gt;&lt;/dates&gt;&lt;urls&gt;&lt;related-urls&gt;&lt;url&gt;https://www.pm.gov.au/media/24-billion-health-plan-fight-covid-19&lt;/url&gt;&lt;/related-urls&gt;&lt;/urls&gt;&lt;/record&gt;&lt;/Cite&gt;&lt;/EndNote&gt;</w:instrText>
      </w:r>
      <w:r w:rsidR="00033C5B" w:rsidRPr="00F46944">
        <w:rPr>
          <w:rFonts w:asciiTheme="majorHAnsi" w:hAnsiTheme="majorHAnsi" w:cstheme="majorHAnsi"/>
        </w:rPr>
        <w:fldChar w:fldCharType="separate"/>
      </w:r>
      <w:r w:rsidR="00C16B8F" w:rsidRPr="00C16B8F">
        <w:rPr>
          <w:rFonts w:asciiTheme="majorHAnsi" w:hAnsiTheme="majorHAnsi" w:cstheme="majorHAnsi"/>
          <w:noProof/>
          <w:vertAlign w:val="superscript"/>
        </w:rPr>
        <w:t>10</w:t>
      </w:r>
      <w:r w:rsidR="00033C5B" w:rsidRPr="00F46944">
        <w:rPr>
          <w:rFonts w:asciiTheme="majorHAnsi" w:hAnsiTheme="majorHAnsi" w:cstheme="majorHAnsi"/>
        </w:rPr>
        <w:fldChar w:fldCharType="end"/>
      </w:r>
      <w:r w:rsidR="00033C5B" w:rsidRPr="00F46944">
        <w:rPr>
          <w:rFonts w:asciiTheme="majorHAnsi" w:hAnsiTheme="majorHAnsi" w:cstheme="majorHAnsi"/>
        </w:rPr>
        <w:t xml:space="preserve"> Telehealth services were extended to enable </w:t>
      </w:r>
      <w:r w:rsidR="00247988">
        <w:rPr>
          <w:rFonts w:asciiTheme="majorHAnsi" w:hAnsiTheme="majorHAnsi" w:cstheme="majorHAnsi"/>
        </w:rPr>
        <w:t xml:space="preserve">vulnerable </w:t>
      </w:r>
      <w:r w:rsidR="00033C5B" w:rsidRPr="00F46944">
        <w:rPr>
          <w:rFonts w:asciiTheme="majorHAnsi" w:hAnsiTheme="majorHAnsi" w:cstheme="majorHAnsi"/>
        </w:rPr>
        <w:t xml:space="preserve">medical and </w:t>
      </w:r>
      <w:r w:rsidR="00F86414">
        <w:rPr>
          <w:rFonts w:asciiTheme="majorHAnsi" w:hAnsiTheme="majorHAnsi" w:cstheme="majorHAnsi"/>
        </w:rPr>
        <w:t xml:space="preserve">other </w:t>
      </w:r>
      <w:r w:rsidR="00033C5B" w:rsidRPr="00F46944">
        <w:rPr>
          <w:rFonts w:asciiTheme="majorHAnsi" w:hAnsiTheme="majorHAnsi" w:cstheme="majorHAnsi"/>
        </w:rPr>
        <w:t xml:space="preserve">health practitioners to provide telehealth </w:t>
      </w:r>
      <w:r w:rsidR="00247988">
        <w:rPr>
          <w:rFonts w:asciiTheme="majorHAnsi" w:hAnsiTheme="majorHAnsi" w:cstheme="majorHAnsi"/>
        </w:rPr>
        <w:t xml:space="preserve">to their </w:t>
      </w:r>
      <w:r w:rsidR="00033C5B" w:rsidRPr="00F46944">
        <w:rPr>
          <w:rFonts w:asciiTheme="majorHAnsi" w:hAnsiTheme="majorHAnsi" w:cstheme="majorHAnsi"/>
        </w:rPr>
        <w:t xml:space="preserve">patients from 23 March 2020, and further expanded to all practitioners and </w:t>
      </w:r>
      <w:r w:rsidR="00247988">
        <w:rPr>
          <w:rFonts w:asciiTheme="majorHAnsi" w:hAnsiTheme="majorHAnsi" w:cstheme="majorHAnsi"/>
        </w:rPr>
        <w:t xml:space="preserve">all </w:t>
      </w:r>
      <w:r w:rsidR="00033C5B" w:rsidRPr="00F46944">
        <w:rPr>
          <w:rFonts w:asciiTheme="majorHAnsi" w:hAnsiTheme="majorHAnsi" w:cstheme="majorHAnsi"/>
        </w:rPr>
        <w:t>patients from 29 March 2020.</w:t>
      </w:r>
      <w:r w:rsidR="00033C5B" w:rsidRPr="00F46944">
        <w:rPr>
          <w:rFonts w:asciiTheme="majorHAnsi" w:hAnsiTheme="majorHAnsi" w:cstheme="majorHAnsi"/>
        </w:rPr>
        <w:fldChar w:fldCharType="begin"/>
      </w:r>
      <w:r w:rsidR="00412507">
        <w:rPr>
          <w:rFonts w:asciiTheme="majorHAnsi" w:hAnsiTheme="majorHAnsi" w:cstheme="majorHAnsi"/>
        </w:rPr>
        <w:instrText xml:space="preserve"> ADDIN EN.CITE &lt;EndNote&gt;&lt;Cite&gt;&lt;Author&gt;Care&lt;/Author&gt;&lt;Year&gt;2020&lt;/Year&gt;&lt;RecNum&gt;10&lt;/RecNum&gt;&lt;DisplayText&gt;&lt;style face="superscript"&gt;11&lt;/style&gt;&lt;/DisplayText&gt;&lt;record&gt;&lt;rec-number&gt;10&lt;/rec-number&gt;&lt;foreign-keys&gt;&lt;key app="EN" db-id="es9dr99ws90stoe5x2rp505nazvswdzppxa5" timestamp="1670810540"&gt;10&lt;/key&gt;&lt;/foreign-keys&gt;&lt;ref-type name="Web Page"&gt;12&lt;/ref-type&gt;&lt;contributors&gt;&lt;authors&gt;&lt;author&gt;Australian Government Department of Health and Aged Care&lt;/author&gt;&lt;/authors&gt;&lt;/contributors&gt;&lt;titles&gt;&lt;title&gt;$1.1 billion to support more mental health, Medicare and domestic violence services &lt;/title&gt;&lt;/titles&gt;&lt;number&gt;May 2022&lt;/number&gt;&lt;dates&gt;&lt;year&gt;2020&lt;/year&gt;&lt;/dates&gt;&lt;urls&gt;&lt;related-urls&gt;&lt;url&gt;https://www.health.gov.au/news/11-billion-to-support-more-mental-health-medicare-and-domestic-violence-services&lt;/url&gt;&lt;/related-urls&gt;&lt;/urls&gt;&lt;/record&gt;&lt;/Cite&gt;&lt;/EndNote&gt;</w:instrText>
      </w:r>
      <w:r w:rsidR="00033C5B" w:rsidRPr="00F46944">
        <w:rPr>
          <w:rFonts w:asciiTheme="majorHAnsi" w:hAnsiTheme="majorHAnsi" w:cstheme="majorHAnsi"/>
        </w:rPr>
        <w:fldChar w:fldCharType="separate"/>
      </w:r>
      <w:r w:rsidR="00C16B8F" w:rsidRPr="00C16B8F">
        <w:rPr>
          <w:rFonts w:asciiTheme="majorHAnsi" w:hAnsiTheme="majorHAnsi" w:cstheme="majorHAnsi"/>
          <w:noProof/>
          <w:vertAlign w:val="superscript"/>
        </w:rPr>
        <w:t>11</w:t>
      </w:r>
      <w:r w:rsidR="00033C5B" w:rsidRPr="00F46944">
        <w:rPr>
          <w:rFonts w:asciiTheme="majorHAnsi" w:hAnsiTheme="majorHAnsi" w:cstheme="majorHAnsi"/>
        </w:rPr>
        <w:fldChar w:fldCharType="end"/>
      </w:r>
      <w:r w:rsidR="00033C5B" w:rsidRPr="00F46944">
        <w:rPr>
          <w:rFonts w:asciiTheme="majorHAnsi" w:hAnsiTheme="majorHAnsi" w:cstheme="majorHAnsi"/>
        </w:rPr>
        <w:t xml:space="preserve"> The aims of these changes were to improve access to healthcare services and reduce opportunities for</w:t>
      </w:r>
      <w:r w:rsidR="00B774B8" w:rsidRPr="00F46944">
        <w:rPr>
          <w:rFonts w:asciiTheme="majorHAnsi" w:hAnsiTheme="majorHAnsi" w:cstheme="majorHAnsi"/>
        </w:rPr>
        <w:t xml:space="preserve"> infection transmission</w:t>
      </w:r>
      <w:r w:rsidR="00033C5B" w:rsidRPr="00F46944">
        <w:rPr>
          <w:rFonts w:asciiTheme="majorHAnsi" w:hAnsiTheme="majorHAnsi" w:cstheme="majorHAnsi"/>
        </w:rPr>
        <w:t>.</w:t>
      </w:r>
    </w:p>
    <w:p w14:paraId="6D5C018A" w14:textId="2605A2F1" w:rsidR="00730DE3" w:rsidRPr="00F46944" w:rsidRDefault="00247988" w:rsidP="00E10F48">
      <w:pPr>
        <w:rPr>
          <w:rFonts w:asciiTheme="majorHAnsi" w:hAnsiTheme="majorHAnsi" w:cstheme="majorHAnsi"/>
        </w:rPr>
      </w:pPr>
      <w:r>
        <w:rPr>
          <w:rFonts w:asciiTheme="majorHAnsi" w:hAnsiTheme="majorHAnsi" w:cstheme="majorHAnsi"/>
        </w:rPr>
        <w:t>L</w:t>
      </w:r>
      <w:r w:rsidR="00E70DFE" w:rsidRPr="00F46944">
        <w:rPr>
          <w:rFonts w:asciiTheme="majorHAnsi" w:hAnsiTheme="majorHAnsi" w:cstheme="majorHAnsi"/>
        </w:rPr>
        <w:t>ockdowns</w:t>
      </w:r>
      <w:r w:rsidR="00730DE3" w:rsidRPr="00F46944">
        <w:rPr>
          <w:rFonts w:asciiTheme="majorHAnsi" w:hAnsiTheme="majorHAnsi" w:cstheme="majorHAnsi"/>
        </w:rPr>
        <w:t>, involving restriction of movement within local communit</w:t>
      </w:r>
      <w:r w:rsidR="00B774B8" w:rsidRPr="00F46944">
        <w:rPr>
          <w:rFonts w:asciiTheme="majorHAnsi" w:hAnsiTheme="majorHAnsi" w:cstheme="majorHAnsi"/>
        </w:rPr>
        <w:t>ies</w:t>
      </w:r>
      <w:r w:rsidR="00730DE3" w:rsidRPr="00F46944">
        <w:rPr>
          <w:rFonts w:asciiTheme="majorHAnsi" w:hAnsiTheme="majorHAnsi" w:cstheme="majorHAnsi"/>
        </w:rPr>
        <w:t xml:space="preserve"> and between states and territories were used at various time</w:t>
      </w:r>
      <w:r w:rsidR="00B774B8" w:rsidRPr="00F46944">
        <w:rPr>
          <w:rFonts w:asciiTheme="majorHAnsi" w:hAnsiTheme="majorHAnsi" w:cstheme="majorHAnsi"/>
        </w:rPr>
        <w:t>s</w:t>
      </w:r>
      <w:r w:rsidR="00730DE3" w:rsidRPr="00F46944">
        <w:rPr>
          <w:rFonts w:asciiTheme="majorHAnsi" w:hAnsiTheme="majorHAnsi" w:cstheme="majorHAnsi"/>
        </w:rPr>
        <w:t xml:space="preserve"> nationally</w:t>
      </w:r>
      <w:r w:rsidR="00222992" w:rsidRPr="00F46944">
        <w:rPr>
          <w:rFonts w:asciiTheme="majorHAnsi" w:hAnsiTheme="majorHAnsi" w:cstheme="majorHAnsi"/>
        </w:rPr>
        <w:t>,</w:t>
      </w:r>
      <w:r w:rsidR="00AB7269" w:rsidRPr="00F46944">
        <w:rPr>
          <w:rFonts w:asciiTheme="majorHAnsi" w:hAnsiTheme="majorHAnsi" w:cstheme="majorHAnsi"/>
        </w:rPr>
        <w:t xml:space="preserve"> </w:t>
      </w:r>
      <w:r w:rsidR="00222992" w:rsidRPr="00F46944">
        <w:rPr>
          <w:rFonts w:asciiTheme="majorHAnsi" w:hAnsiTheme="majorHAnsi" w:cstheme="majorHAnsi"/>
        </w:rPr>
        <w:t xml:space="preserve">in additional to international border restrictions, </w:t>
      </w:r>
      <w:r w:rsidR="00730DE3" w:rsidRPr="00F46944">
        <w:rPr>
          <w:rFonts w:asciiTheme="majorHAnsi" w:hAnsiTheme="majorHAnsi" w:cstheme="majorHAnsi"/>
        </w:rPr>
        <w:t xml:space="preserve">as part of efforts to prevent and control COVID-19. </w:t>
      </w:r>
    </w:p>
    <w:p w14:paraId="0214D011" w14:textId="1790CDDF" w:rsidR="00033C5B" w:rsidRPr="00F46944" w:rsidRDefault="00247988" w:rsidP="00E10F48">
      <w:pPr>
        <w:rPr>
          <w:rFonts w:asciiTheme="majorHAnsi" w:hAnsiTheme="majorHAnsi" w:cstheme="majorHAnsi"/>
        </w:rPr>
      </w:pPr>
      <w:r>
        <w:rPr>
          <w:rFonts w:asciiTheme="majorHAnsi" w:hAnsiTheme="majorHAnsi" w:cstheme="majorHAnsi"/>
        </w:rPr>
        <w:t>There was increased</w:t>
      </w:r>
      <w:r w:rsidR="00033C5B" w:rsidRPr="00F46944">
        <w:rPr>
          <w:rFonts w:asciiTheme="majorHAnsi" w:hAnsiTheme="majorHAnsi" w:cstheme="majorHAnsi"/>
        </w:rPr>
        <w:t xml:space="preserve"> emphasis on hand hygiene, working from home and physical distancing measures have the potential to reduce transmission of infectious conditions.</w:t>
      </w:r>
      <w:r w:rsidR="00DB356A" w:rsidRPr="00F46944">
        <w:rPr>
          <w:rFonts w:asciiTheme="majorHAnsi" w:hAnsiTheme="majorHAnsi" w:cstheme="majorHAnsi"/>
        </w:rPr>
        <w:fldChar w:fldCharType="begin"/>
      </w:r>
      <w:r w:rsidR="00412507">
        <w:rPr>
          <w:rFonts w:asciiTheme="majorHAnsi" w:hAnsiTheme="majorHAnsi" w:cstheme="majorHAnsi"/>
        </w:rPr>
        <w:instrText xml:space="preserve"> ADDIN EN.CITE &lt;EndNote&gt;&lt;Cite&gt;&lt;Author&gt;Care&lt;/Author&gt;&lt;Year&gt;2020&lt;/Year&gt;&lt;RecNum&gt;11&lt;/RecNum&gt;&lt;DisplayText&gt;&lt;style face="superscript"&gt;12&lt;/style&gt;&lt;/DisplayText&gt;&lt;record&gt;&lt;rec-number&gt;11&lt;/rec-number&gt;&lt;foreign-keys&gt;&lt;key app="EN" db-id="es9dr99ws90stoe5x2rp505nazvswdzppxa5" timestamp="1670810540"&gt;11&lt;/key&gt;&lt;/foreign-keys&gt;&lt;ref-type name="Government Document"&gt;46&lt;/ref-type&gt;&lt;contributors&gt;&lt;authors&gt;&lt;author&gt;Australian Government Department of Health and Aged Care&lt;/author&gt;&lt;/authors&gt;&lt;/contributors&gt;&lt;titles&gt;&lt;title&gt;National 2020 Influenza Season Summary &lt;/title&gt;&lt;/titles&gt;&lt;dates&gt;&lt;year&gt;2020&lt;/year&gt;&lt;/dates&gt;&lt;urls&gt;&lt;related-urls&gt;&lt;url&gt;https://www1.health.gov.au/internet/main/publishing.nsf/Content/03943F9CD20D2CCCCA2586410078F296/$File/National-Influenza-Season-Summary2020.pdf&lt;/url&gt;&lt;/related-urls&gt;&lt;/urls&gt;&lt;/record&gt;&lt;/Cite&gt;&lt;/EndNote&gt;</w:instrText>
      </w:r>
      <w:r w:rsidR="00DB356A" w:rsidRPr="00F46944">
        <w:rPr>
          <w:rFonts w:asciiTheme="majorHAnsi" w:hAnsiTheme="majorHAnsi" w:cstheme="majorHAnsi"/>
        </w:rPr>
        <w:fldChar w:fldCharType="separate"/>
      </w:r>
      <w:r w:rsidR="00C16B8F" w:rsidRPr="00C16B8F">
        <w:rPr>
          <w:rFonts w:asciiTheme="majorHAnsi" w:hAnsiTheme="majorHAnsi" w:cstheme="majorHAnsi"/>
          <w:noProof/>
          <w:vertAlign w:val="superscript"/>
        </w:rPr>
        <w:t>12</w:t>
      </w:r>
      <w:r w:rsidR="00DB356A" w:rsidRPr="00F46944">
        <w:rPr>
          <w:rFonts w:asciiTheme="majorHAnsi" w:hAnsiTheme="majorHAnsi" w:cstheme="majorHAnsi"/>
        </w:rPr>
        <w:fldChar w:fldCharType="end"/>
      </w:r>
      <w:r w:rsidR="00033C5B" w:rsidRPr="00F46944">
        <w:rPr>
          <w:rFonts w:asciiTheme="majorHAnsi" w:hAnsiTheme="majorHAnsi" w:cstheme="majorHAnsi"/>
        </w:rPr>
        <w:t xml:space="preserve"> Th</w:t>
      </w:r>
      <w:r w:rsidR="00B774B8" w:rsidRPr="00F46944">
        <w:rPr>
          <w:rFonts w:asciiTheme="majorHAnsi" w:hAnsiTheme="majorHAnsi" w:cstheme="majorHAnsi"/>
        </w:rPr>
        <w:t>is was reflected in the data collected during the</w:t>
      </w:r>
      <w:r w:rsidR="00033C5B" w:rsidRPr="00F46944">
        <w:rPr>
          <w:rFonts w:asciiTheme="majorHAnsi" w:hAnsiTheme="majorHAnsi" w:cstheme="majorHAnsi"/>
        </w:rPr>
        <w:t xml:space="preserve"> 2020 influenza season</w:t>
      </w:r>
      <w:r w:rsidR="00B774B8" w:rsidRPr="00F46944">
        <w:rPr>
          <w:rFonts w:asciiTheme="majorHAnsi" w:hAnsiTheme="majorHAnsi" w:cstheme="majorHAnsi"/>
        </w:rPr>
        <w:t>,</w:t>
      </w:r>
      <w:r w:rsidR="00033C5B" w:rsidRPr="00F46944">
        <w:rPr>
          <w:rFonts w:asciiTheme="majorHAnsi" w:hAnsiTheme="majorHAnsi" w:cstheme="majorHAnsi"/>
        </w:rPr>
        <w:t xml:space="preserve"> with laboratory-confirmed cases of influenza in Australia approximately eight times lower </w:t>
      </w:r>
      <w:r w:rsidR="00B774B8" w:rsidRPr="00F46944">
        <w:rPr>
          <w:rFonts w:asciiTheme="majorHAnsi" w:hAnsiTheme="majorHAnsi" w:cstheme="majorHAnsi"/>
        </w:rPr>
        <w:t xml:space="preserve">in 2020 </w:t>
      </w:r>
      <w:r w:rsidR="00033C5B" w:rsidRPr="00F46944">
        <w:rPr>
          <w:rFonts w:asciiTheme="majorHAnsi" w:hAnsiTheme="majorHAnsi" w:cstheme="majorHAnsi"/>
        </w:rPr>
        <w:t>than the average for the previous five years.</w:t>
      </w:r>
      <w:r w:rsidR="00033C5B" w:rsidRPr="00F46944">
        <w:rPr>
          <w:rFonts w:asciiTheme="majorHAnsi" w:hAnsiTheme="majorHAnsi" w:cstheme="majorHAnsi"/>
        </w:rPr>
        <w:fldChar w:fldCharType="begin"/>
      </w:r>
      <w:r w:rsidR="00412507">
        <w:rPr>
          <w:rFonts w:asciiTheme="majorHAnsi" w:hAnsiTheme="majorHAnsi" w:cstheme="majorHAnsi"/>
        </w:rPr>
        <w:instrText xml:space="preserve"> ADDIN EN.CITE &lt;EndNote&gt;&lt;Cite&gt;&lt;Author&gt;Care&lt;/Author&gt;&lt;Year&gt;2020&lt;/Year&gt;&lt;RecNum&gt;11&lt;/RecNum&gt;&lt;DisplayText&gt;&lt;style face="superscript"&gt;12&lt;/style&gt;&lt;/DisplayText&gt;&lt;record&gt;&lt;rec-number&gt;11&lt;/rec-number&gt;&lt;foreign-keys&gt;&lt;key app="EN" db-id="es9dr99ws90stoe5x2rp505nazvswdzppxa5" timestamp="1670810540"&gt;11&lt;/key&gt;&lt;/foreign-keys&gt;&lt;ref-type name="Government Document"&gt;46&lt;/ref-type&gt;&lt;contributors&gt;&lt;authors&gt;&lt;author&gt;Australian Government Department of Health and Aged Care&lt;/author&gt;&lt;/authors&gt;&lt;/contributors&gt;&lt;titles&gt;&lt;title&gt;National 2020 Influenza Season Summary &lt;/title&gt;&lt;/titles&gt;&lt;dates&gt;&lt;year&gt;2020&lt;/year&gt;&lt;/dates&gt;&lt;urls&gt;&lt;related-urls&gt;&lt;url&gt;https://www1.health.gov.au/internet/main/publishing.nsf/Content/03943F9CD20D2CCCCA2586410078F296/$File/National-Influenza-Season-Summary2020.pdf&lt;/url&gt;&lt;/related-urls&gt;&lt;/urls&gt;&lt;/record&gt;&lt;/Cite&gt;&lt;/EndNote&gt;</w:instrText>
      </w:r>
      <w:r w:rsidR="00033C5B" w:rsidRPr="00F46944">
        <w:rPr>
          <w:rFonts w:asciiTheme="majorHAnsi" w:hAnsiTheme="majorHAnsi" w:cstheme="majorHAnsi"/>
        </w:rPr>
        <w:fldChar w:fldCharType="separate"/>
      </w:r>
      <w:r w:rsidR="00C16B8F" w:rsidRPr="00C16B8F">
        <w:rPr>
          <w:rFonts w:asciiTheme="majorHAnsi" w:hAnsiTheme="majorHAnsi" w:cstheme="majorHAnsi"/>
          <w:noProof/>
          <w:vertAlign w:val="superscript"/>
        </w:rPr>
        <w:t>12</w:t>
      </w:r>
      <w:r w:rsidR="00033C5B" w:rsidRPr="00F46944">
        <w:rPr>
          <w:rFonts w:asciiTheme="majorHAnsi" w:hAnsiTheme="majorHAnsi" w:cstheme="majorHAnsi"/>
        </w:rPr>
        <w:fldChar w:fldCharType="end"/>
      </w:r>
      <w:r w:rsidR="00033C5B" w:rsidRPr="00F46944">
        <w:rPr>
          <w:rFonts w:asciiTheme="majorHAnsi" w:hAnsiTheme="majorHAnsi" w:cstheme="majorHAnsi"/>
        </w:rPr>
        <w:t xml:space="preserve"> </w:t>
      </w:r>
      <w:r w:rsidR="00B64251" w:rsidRPr="00F46944">
        <w:rPr>
          <w:rFonts w:asciiTheme="majorHAnsi" w:hAnsiTheme="majorHAnsi" w:cstheme="majorHAnsi"/>
        </w:rPr>
        <w:t xml:space="preserve">During the </w:t>
      </w:r>
      <w:r w:rsidR="00E70DFE" w:rsidRPr="00F46944">
        <w:rPr>
          <w:rFonts w:asciiTheme="majorHAnsi" w:hAnsiTheme="majorHAnsi" w:cstheme="majorHAnsi"/>
        </w:rPr>
        <w:t>COVID-19</w:t>
      </w:r>
      <w:r w:rsidR="00E70DFE">
        <w:rPr>
          <w:rFonts w:asciiTheme="majorHAnsi" w:hAnsiTheme="majorHAnsi" w:cstheme="majorHAnsi"/>
        </w:rPr>
        <w:t xml:space="preserve"> </w:t>
      </w:r>
      <w:r w:rsidR="00B64251" w:rsidRPr="00F46944">
        <w:rPr>
          <w:rFonts w:asciiTheme="majorHAnsi" w:hAnsiTheme="majorHAnsi" w:cstheme="majorHAnsi"/>
        </w:rPr>
        <w:t>pandemic</w:t>
      </w:r>
      <w:r w:rsidR="00033C5B" w:rsidRPr="00F46944">
        <w:rPr>
          <w:rFonts w:asciiTheme="majorHAnsi" w:hAnsiTheme="majorHAnsi" w:cstheme="majorHAnsi"/>
        </w:rPr>
        <w:t xml:space="preserve">, people </w:t>
      </w:r>
      <w:r w:rsidR="00B64251" w:rsidRPr="00F46944">
        <w:rPr>
          <w:rFonts w:asciiTheme="majorHAnsi" w:hAnsiTheme="majorHAnsi" w:cstheme="majorHAnsi"/>
        </w:rPr>
        <w:t xml:space="preserve">experiencing </w:t>
      </w:r>
      <w:r w:rsidR="00033C5B" w:rsidRPr="00F46944">
        <w:rPr>
          <w:rFonts w:asciiTheme="majorHAnsi" w:hAnsiTheme="majorHAnsi" w:cstheme="majorHAnsi"/>
        </w:rPr>
        <w:t xml:space="preserve">sore throats or cold and influenza-like symptoms were encouraged to </w:t>
      </w:r>
      <w:r w:rsidR="004413B7">
        <w:rPr>
          <w:rFonts w:asciiTheme="majorHAnsi" w:hAnsiTheme="majorHAnsi" w:cstheme="majorHAnsi"/>
        </w:rPr>
        <w:t>perform</w:t>
      </w:r>
      <w:r w:rsidR="004413B7" w:rsidRPr="00F46944">
        <w:rPr>
          <w:rFonts w:asciiTheme="majorHAnsi" w:hAnsiTheme="majorHAnsi" w:cstheme="majorHAnsi"/>
        </w:rPr>
        <w:t xml:space="preserve"> </w:t>
      </w:r>
      <w:r w:rsidR="00033C5B" w:rsidRPr="00F46944">
        <w:rPr>
          <w:rFonts w:asciiTheme="majorHAnsi" w:hAnsiTheme="majorHAnsi" w:cstheme="majorHAnsi"/>
        </w:rPr>
        <w:t xml:space="preserve">a COVID-19 test and </w:t>
      </w:r>
      <w:r w:rsidR="003570FF" w:rsidRPr="00F46944">
        <w:rPr>
          <w:rFonts w:asciiTheme="majorHAnsi" w:hAnsiTheme="majorHAnsi" w:cstheme="majorHAnsi"/>
        </w:rPr>
        <w:t xml:space="preserve">to </w:t>
      </w:r>
      <w:r w:rsidR="00033C5B" w:rsidRPr="00F46944">
        <w:rPr>
          <w:rFonts w:asciiTheme="majorHAnsi" w:hAnsiTheme="majorHAnsi" w:cstheme="majorHAnsi"/>
        </w:rPr>
        <w:t xml:space="preserve">self-isolate until the results became available, which may have limited their attendance at general practices for </w:t>
      </w:r>
      <w:r w:rsidR="00E70DFE" w:rsidRPr="00F46944">
        <w:rPr>
          <w:rFonts w:cstheme="minorHAnsi"/>
        </w:rPr>
        <w:t>upper respiratory tract infection</w:t>
      </w:r>
      <w:r w:rsidR="00E70DFE" w:rsidRPr="00F46944">
        <w:rPr>
          <w:rFonts w:asciiTheme="majorHAnsi" w:hAnsiTheme="majorHAnsi" w:cstheme="majorHAnsi"/>
        </w:rPr>
        <w:t xml:space="preserve"> </w:t>
      </w:r>
      <w:r w:rsidR="00E70DFE">
        <w:rPr>
          <w:rFonts w:asciiTheme="majorHAnsi" w:hAnsiTheme="majorHAnsi" w:cstheme="majorHAnsi"/>
        </w:rPr>
        <w:t>(</w:t>
      </w:r>
      <w:r w:rsidR="00033C5B" w:rsidRPr="00F46944">
        <w:rPr>
          <w:rFonts w:asciiTheme="majorHAnsi" w:hAnsiTheme="majorHAnsi" w:cstheme="majorHAnsi"/>
        </w:rPr>
        <w:t>URTIs</w:t>
      </w:r>
      <w:r w:rsidR="00E70DFE">
        <w:rPr>
          <w:rFonts w:asciiTheme="majorHAnsi" w:hAnsiTheme="majorHAnsi" w:cstheme="majorHAnsi"/>
        </w:rPr>
        <w:t>)</w:t>
      </w:r>
      <w:r w:rsidR="00033C5B" w:rsidRPr="00F46944">
        <w:rPr>
          <w:rFonts w:asciiTheme="majorHAnsi" w:hAnsiTheme="majorHAnsi" w:cstheme="majorHAnsi"/>
        </w:rPr>
        <w:t xml:space="preserve">. Sentinel surveillance reports </w:t>
      </w:r>
      <w:r w:rsidR="00B64251" w:rsidRPr="00F46944">
        <w:rPr>
          <w:rFonts w:asciiTheme="majorHAnsi" w:hAnsiTheme="majorHAnsi" w:cstheme="majorHAnsi"/>
        </w:rPr>
        <w:t xml:space="preserve">revealed </w:t>
      </w:r>
      <w:r w:rsidR="00033C5B" w:rsidRPr="00F46944">
        <w:rPr>
          <w:rFonts w:asciiTheme="majorHAnsi" w:hAnsiTheme="majorHAnsi" w:cstheme="majorHAnsi"/>
        </w:rPr>
        <w:t xml:space="preserve">that </w:t>
      </w:r>
      <w:r w:rsidR="00B64251" w:rsidRPr="00F46944">
        <w:rPr>
          <w:rFonts w:asciiTheme="majorHAnsi" w:hAnsiTheme="majorHAnsi" w:cstheme="majorHAnsi"/>
        </w:rPr>
        <w:t xml:space="preserve">general practice </w:t>
      </w:r>
      <w:r w:rsidR="00033C5B" w:rsidRPr="00F46944">
        <w:rPr>
          <w:rFonts w:asciiTheme="majorHAnsi" w:hAnsiTheme="majorHAnsi" w:cstheme="majorHAnsi"/>
        </w:rPr>
        <w:t>presentations</w:t>
      </w:r>
      <w:r w:rsidR="00B64251" w:rsidRPr="00F46944">
        <w:rPr>
          <w:rFonts w:asciiTheme="majorHAnsi" w:hAnsiTheme="majorHAnsi" w:cstheme="majorHAnsi"/>
        </w:rPr>
        <w:t xml:space="preserve"> </w:t>
      </w:r>
      <w:r w:rsidR="00033C5B" w:rsidRPr="00F46944">
        <w:rPr>
          <w:rFonts w:asciiTheme="majorHAnsi" w:hAnsiTheme="majorHAnsi" w:cstheme="majorHAnsi"/>
        </w:rPr>
        <w:t>for influenza-like symptoms were four times lower in 2020 than the average in the previous five years.</w:t>
      </w:r>
      <w:r w:rsidR="00033C5B" w:rsidRPr="00F46944">
        <w:rPr>
          <w:rFonts w:asciiTheme="majorHAnsi" w:hAnsiTheme="majorHAnsi" w:cstheme="majorHAnsi"/>
        </w:rPr>
        <w:fldChar w:fldCharType="begin"/>
      </w:r>
      <w:r w:rsidR="00412507">
        <w:rPr>
          <w:rFonts w:asciiTheme="majorHAnsi" w:hAnsiTheme="majorHAnsi" w:cstheme="majorHAnsi"/>
        </w:rPr>
        <w:instrText xml:space="preserve"> ADDIN EN.CITE &lt;EndNote&gt;&lt;Cite&gt;&lt;Author&gt;Care&lt;/Author&gt;&lt;Year&gt;2020&lt;/Year&gt;&lt;RecNum&gt;11&lt;/RecNum&gt;&lt;DisplayText&gt;&lt;style face="superscript"&gt;12&lt;/style&gt;&lt;/DisplayText&gt;&lt;record&gt;&lt;rec-number&gt;11&lt;/rec-number&gt;&lt;foreign-keys&gt;&lt;key app="EN" db-id="es9dr99ws90stoe5x2rp505nazvswdzppxa5" timestamp="1670810540"&gt;11&lt;/key&gt;&lt;/foreign-keys&gt;&lt;ref-type name="Government Document"&gt;46&lt;/ref-type&gt;&lt;contributors&gt;&lt;authors&gt;&lt;author&gt;Australian Government Department of Health and Aged Care&lt;/author&gt;&lt;/authors&gt;&lt;/contributors&gt;&lt;titles&gt;&lt;title&gt;National 2020 Influenza Season Summary &lt;/title&gt;&lt;/titles&gt;&lt;dates&gt;&lt;year&gt;2020&lt;/year&gt;&lt;/dates&gt;&lt;urls&gt;&lt;related-urls&gt;&lt;url&gt;https://www1.health.gov.au/internet/main/publishing.nsf/Content/03943F9CD20D2CCCCA2586410078F296/$File/National-Influenza-Season-Summary2020.pdf&lt;/url&gt;&lt;/related-urls&gt;&lt;/urls&gt;&lt;/record&gt;&lt;/Cite&gt;&lt;/EndNote&gt;</w:instrText>
      </w:r>
      <w:r w:rsidR="00033C5B" w:rsidRPr="00F46944">
        <w:rPr>
          <w:rFonts w:asciiTheme="majorHAnsi" w:hAnsiTheme="majorHAnsi" w:cstheme="majorHAnsi"/>
        </w:rPr>
        <w:fldChar w:fldCharType="separate"/>
      </w:r>
      <w:r w:rsidR="00C16B8F" w:rsidRPr="00C16B8F">
        <w:rPr>
          <w:rFonts w:asciiTheme="majorHAnsi" w:hAnsiTheme="majorHAnsi" w:cstheme="majorHAnsi"/>
          <w:noProof/>
          <w:vertAlign w:val="superscript"/>
        </w:rPr>
        <w:t>12</w:t>
      </w:r>
      <w:r w:rsidR="00033C5B" w:rsidRPr="00F46944">
        <w:rPr>
          <w:rFonts w:asciiTheme="majorHAnsi" w:hAnsiTheme="majorHAnsi" w:cstheme="majorHAnsi"/>
        </w:rPr>
        <w:fldChar w:fldCharType="end"/>
      </w:r>
      <w:r w:rsidR="00033C5B" w:rsidRPr="00F46944">
        <w:rPr>
          <w:rFonts w:asciiTheme="majorHAnsi" w:hAnsiTheme="majorHAnsi" w:cstheme="majorHAnsi"/>
        </w:rPr>
        <w:t xml:space="preserve"> </w:t>
      </w:r>
      <w:r w:rsidR="00070FA3">
        <w:rPr>
          <w:rFonts w:asciiTheme="majorHAnsi" w:hAnsiTheme="majorHAnsi" w:cstheme="majorHAnsi"/>
        </w:rPr>
        <w:t>I</w:t>
      </w:r>
      <w:r w:rsidR="00B64251" w:rsidRPr="00F46944">
        <w:rPr>
          <w:rFonts w:asciiTheme="majorHAnsi" w:hAnsiTheme="majorHAnsi" w:cstheme="majorHAnsi"/>
        </w:rPr>
        <w:t xml:space="preserve">n April 2020, </w:t>
      </w:r>
      <w:r w:rsidR="00070FA3">
        <w:rPr>
          <w:rFonts w:asciiTheme="majorHAnsi" w:hAnsiTheme="majorHAnsi" w:cstheme="majorHAnsi"/>
        </w:rPr>
        <w:t xml:space="preserve">in association with </w:t>
      </w:r>
      <w:r w:rsidR="00033C5B" w:rsidRPr="00F46944">
        <w:rPr>
          <w:rFonts w:asciiTheme="majorHAnsi" w:hAnsiTheme="majorHAnsi" w:cstheme="majorHAnsi"/>
        </w:rPr>
        <w:t>changes in access to healthcare</w:t>
      </w:r>
      <w:r w:rsidR="00070FA3">
        <w:rPr>
          <w:rFonts w:asciiTheme="majorHAnsi" w:hAnsiTheme="majorHAnsi" w:cstheme="majorHAnsi"/>
        </w:rPr>
        <w:t>,</w:t>
      </w:r>
      <w:r w:rsidR="00033C5B" w:rsidRPr="00F46944">
        <w:rPr>
          <w:rFonts w:asciiTheme="majorHAnsi" w:hAnsiTheme="majorHAnsi" w:cstheme="majorHAnsi"/>
        </w:rPr>
        <w:t xml:space="preserve"> </w:t>
      </w:r>
      <w:r w:rsidR="00070FA3">
        <w:rPr>
          <w:rFonts w:asciiTheme="majorHAnsi" w:hAnsiTheme="majorHAnsi" w:cstheme="majorHAnsi"/>
        </w:rPr>
        <w:t xml:space="preserve">there was </w:t>
      </w:r>
      <w:r w:rsidR="00B64251" w:rsidRPr="00F46944">
        <w:rPr>
          <w:rFonts w:asciiTheme="majorHAnsi" w:hAnsiTheme="majorHAnsi" w:cstheme="majorHAnsi"/>
        </w:rPr>
        <w:t>a decrease</w:t>
      </w:r>
      <w:r w:rsidR="00033C5B" w:rsidRPr="00F46944">
        <w:rPr>
          <w:rFonts w:asciiTheme="majorHAnsi" w:hAnsiTheme="majorHAnsi" w:cstheme="majorHAnsi"/>
        </w:rPr>
        <w:t xml:space="preserve"> in the use of antimicrobials in Australia.</w:t>
      </w:r>
      <w:r w:rsidR="00070FA3">
        <w:fldChar w:fldCharType="begin"/>
      </w:r>
      <w:r w:rsidR="00412507">
        <w:instrText xml:space="preserve"> ADDIN EN.CITE &lt;EndNote&gt;&lt;Cite&gt;&lt;Author&gt;Care&lt;/Author&gt;&lt;Year&gt;2021&lt;/Year&gt;&lt;RecNum&gt;1&lt;/RecNum&gt;&lt;DisplayText&gt;&lt;style face="superscript"&gt;1&lt;/style&gt;&lt;/DisplayText&gt;&lt;record&gt;&lt;rec-number&gt;1&lt;/rec-number&gt;&lt;foreign-keys&gt;&lt;key app="EN" db-id="es9dr99ws90stoe5x2rp505nazvswdzppxa5" timestamp="1670810538"&gt;1&lt;/key&gt;&lt;/foreign-keys&gt;&lt;ref-type name="Report"&gt;27&lt;/ref-type&gt;&lt;contributors&gt;&lt;authors&gt;&lt;author&gt;Australian Commission on Safety and Quality in Health Care&lt;/author&gt;&lt;/authors&gt;&lt;/contributors&gt;&lt;titles&gt;&lt;title&gt;AURA 2021: fourth Australian report on antimicrobial use and resistance in human health&lt;/title&gt;&lt;/titles&gt;&lt;dates&gt;&lt;year&gt;2021&lt;/year&gt;&lt;/dates&gt;&lt;pub-location&gt;Sydney&lt;/pub-location&gt;&lt;publisher&gt;ACSQHC&lt;/publisher&gt;&lt;urls&gt;&lt;/urls&gt;&lt;/record&gt;&lt;/Cite&gt;&lt;/EndNote&gt;</w:instrText>
      </w:r>
      <w:r w:rsidR="00070FA3">
        <w:fldChar w:fldCharType="separate"/>
      </w:r>
      <w:r w:rsidR="00DB0DCB" w:rsidRPr="00DB0DCB">
        <w:rPr>
          <w:noProof/>
          <w:vertAlign w:val="superscript"/>
        </w:rPr>
        <w:t>1</w:t>
      </w:r>
      <w:r w:rsidR="00070FA3">
        <w:fldChar w:fldCharType="end"/>
      </w:r>
      <w:r w:rsidR="00070FA3" w:rsidRPr="00E10F48">
        <w:rPr>
          <w:vertAlign w:val="superscript"/>
        </w:rPr>
        <w:t>,</w:t>
      </w:r>
      <w:r w:rsidR="00033C5B" w:rsidRPr="00F46944">
        <w:rPr>
          <w:rFonts w:asciiTheme="majorHAnsi" w:hAnsiTheme="majorHAnsi" w:cstheme="majorHAnsi"/>
        </w:rPr>
        <w:fldChar w:fldCharType="begin"/>
      </w:r>
      <w:r w:rsidR="00C16B8F">
        <w:rPr>
          <w:rFonts w:asciiTheme="majorHAnsi" w:hAnsiTheme="majorHAnsi" w:cstheme="majorHAnsi"/>
        </w:rPr>
        <w:instrText xml:space="preserve"> ADDIN EN.CITE &lt;EndNote&gt;&lt;Cite&gt;&lt;Author&gt;Australian Institute of Health and Welfare&lt;/Author&gt;&lt;Year&gt;2020&lt;/Year&gt;&lt;RecNum&gt;12&lt;/RecNum&gt;&lt;DisplayText&gt;&lt;style face="superscript"&gt;13&lt;/style&gt;&lt;/DisplayText&gt;&lt;record&gt;&lt;rec-number&gt;12&lt;/rec-number&gt;&lt;foreign-keys&gt;&lt;key app="EN" db-id="es9dr99ws90stoe5x2rp505nazvswdzppxa5" timestamp="1670810541"&gt;12&lt;/key&gt;&lt;/foreign-keys&gt;&lt;ref-type name="Report"&gt;27&lt;/ref-type&gt;&lt;contributors&gt;&lt;authors&gt;&lt;author&gt;Australian Institute of Health and Welfare,&lt;/author&gt;&lt;/authors&gt;&lt;/contributors&gt;&lt;titles&gt;&lt;title&gt;Impacts of COVID-19 on Medicare Benefits Scheme and Pharmaceutical Benefits Scheme service use.&lt;/title&gt;&lt;/titles&gt;&lt;dates&gt;&lt;year&gt;2020&lt;/year&gt;&lt;/dates&gt;&lt;pub-location&gt;Canberra&lt;/pub-location&gt;&lt;publisher&gt;AIHW&lt;/publisher&gt;&lt;urls&gt;&lt;related-urls&gt;&lt;url&gt;https://www.aihw.gov.au/reports/health-care-quality-performance/covid-impacts-on-mbs-and-pbs/contents/impact-on-pbs-service-use&lt;/url&gt;&lt;/related-urls&gt;&lt;/urls&gt;&lt;access-date&gt;26 Jan 2021&lt;/access-date&gt;&lt;/record&gt;&lt;/Cite&gt;&lt;/EndNote&gt;</w:instrText>
      </w:r>
      <w:r w:rsidR="00033C5B" w:rsidRPr="00F46944">
        <w:rPr>
          <w:rFonts w:asciiTheme="majorHAnsi" w:hAnsiTheme="majorHAnsi" w:cstheme="majorHAnsi"/>
        </w:rPr>
        <w:fldChar w:fldCharType="separate"/>
      </w:r>
      <w:r w:rsidR="00C16B8F" w:rsidRPr="00C16B8F">
        <w:rPr>
          <w:rFonts w:asciiTheme="majorHAnsi" w:hAnsiTheme="majorHAnsi" w:cstheme="majorHAnsi"/>
          <w:noProof/>
          <w:vertAlign w:val="superscript"/>
        </w:rPr>
        <w:t>13</w:t>
      </w:r>
      <w:r w:rsidR="00033C5B" w:rsidRPr="00F46944">
        <w:rPr>
          <w:rFonts w:asciiTheme="majorHAnsi" w:hAnsiTheme="majorHAnsi" w:cstheme="majorHAnsi"/>
        </w:rPr>
        <w:fldChar w:fldCharType="end"/>
      </w:r>
    </w:p>
    <w:p w14:paraId="732D0B7F" w14:textId="75A747E4" w:rsidR="009E3CC9" w:rsidRPr="00F46944" w:rsidRDefault="009E3CC9" w:rsidP="00D43799">
      <w:pPr>
        <w:rPr>
          <w:rFonts w:ascii="Arial" w:hAnsi="Arial" w:cs="Arial"/>
        </w:rPr>
      </w:pPr>
      <w:bookmarkStart w:id="24" w:name="_Hlk105361833"/>
      <w:r w:rsidRPr="00F46944">
        <w:rPr>
          <w:rFonts w:asciiTheme="majorHAnsi" w:hAnsiTheme="majorHAnsi" w:cstheme="majorHAnsi"/>
        </w:rPr>
        <w:t xml:space="preserve">From 1 April 2020, PBS/RPBS policy changes came into effect to encourage prescribers to issue repeat prescriptions for antimicrobials only when indicated. The maximum prescribed quantity and access to repeats were restricted </w:t>
      </w:r>
      <w:r w:rsidRPr="00F46944">
        <w:rPr>
          <w:rFonts w:ascii="Arial" w:hAnsi="Arial" w:cs="Arial"/>
        </w:rPr>
        <w:t>for the five most commonly dispensed antimicrobials, amoxicillin, amoxicillin–clavulanic acid, cefalexin, doxycycline and roxithromycin</w:t>
      </w:r>
      <w:r w:rsidRPr="00F46944">
        <w:rPr>
          <w:rFonts w:asciiTheme="majorHAnsi" w:hAnsiTheme="majorHAnsi" w:cstheme="majorHAnsi"/>
        </w:rPr>
        <w:fldChar w:fldCharType="begin"/>
      </w:r>
      <w:r w:rsidR="00412507">
        <w:rPr>
          <w:rFonts w:asciiTheme="majorHAnsi" w:hAnsiTheme="majorHAnsi" w:cstheme="majorHAnsi"/>
        </w:rPr>
        <w:instrText xml:space="preserve"> ADDIN EN.CITE &lt;EndNote&gt;&lt;Cite&gt;&lt;Author&gt;Care&lt;/Author&gt;&lt;Year&gt;2020&lt;/Year&gt;&lt;RecNum&gt;13&lt;/RecNum&gt;&lt;DisplayText&gt;&lt;style face="superscript"&gt;14&lt;/style&gt;&lt;/DisplayText&gt;&lt;record&gt;&lt;rec-number&gt;13&lt;/rec-number&gt;&lt;foreign-keys&gt;&lt;key app="EN" db-id="es9dr99ws90stoe5x2rp505nazvswdzppxa5" timestamp="1670810541"&gt;13&lt;/key&gt;&lt;/foreign-keys&gt;&lt;ref-type name="Web Page"&gt;12&lt;/ref-type&gt;&lt;contributors&gt;&lt;authors&gt;&lt;author&gt;Australian Government Department of Health and Aged Care&lt;/author&gt;&lt;/authors&gt;&lt;/contributors&gt;&lt;titles&gt;&lt;title&gt;Revised PBS listings for Antibiotic use  &lt;/title&gt;&lt;/titles&gt;&lt;number&gt;May 2022&lt;/number&gt;&lt;dates&gt;&lt;year&gt;2020&lt;/year&gt;&lt;/dates&gt;&lt;urls&gt;&lt;related-urls&gt;&lt;url&gt;https://www.pbs.gov.au/news/2020/03/files/Antibiotics-factsheet-2020.pdf&lt;/url&gt;&lt;/related-urls&gt;&lt;/urls&gt;&lt;/record&gt;&lt;/Cite&gt;&lt;/EndNote&gt;</w:instrText>
      </w:r>
      <w:r w:rsidRPr="00F46944">
        <w:rPr>
          <w:rFonts w:asciiTheme="majorHAnsi" w:hAnsiTheme="majorHAnsi" w:cstheme="majorHAnsi"/>
        </w:rPr>
        <w:fldChar w:fldCharType="separate"/>
      </w:r>
      <w:r w:rsidR="00C16B8F" w:rsidRPr="00C16B8F">
        <w:rPr>
          <w:rFonts w:asciiTheme="majorHAnsi" w:hAnsiTheme="majorHAnsi" w:cstheme="majorHAnsi"/>
          <w:noProof/>
          <w:vertAlign w:val="superscript"/>
        </w:rPr>
        <w:t>14</w:t>
      </w:r>
      <w:r w:rsidRPr="00F46944">
        <w:rPr>
          <w:rFonts w:asciiTheme="majorHAnsi" w:hAnsiTheme="majorHAnsi" w:cstheme="majorHAnsi"/>
        </w:rPr>
        <w:fldChar w:fldCharType="end"/>
      </w:r>
      <w:r w:rsidR="004724E9">
        <w:rPr>
          <w:rFonts w:asciiTheme="majorHAnsi" w:hAnsiTheme="majorHAnsi" w:cstheme="majorHAnsi"/>
        </w:rPr>
        <w:t xml:space="preserve">, </w:t>
      </w:r>
      <w:r w:rsidR="004724E9" w:rsidRPr="00F46944">
        <w:rPr>
          <w:rFonts w:ascii="Arial" w:hAnsi="Arial" w:cs="Arial"/>
        </w:rPr>
        <w:t>as follows</w:t>
      </w:r>
      <w:r w:rsidR="004724E9">
        <w:rPr>
          <w:rFonts w:asciiTheme="majorHAnsi" w:hAnsiTheme="majorHAnsi" w:cstheme="majorHAnsi"/>
        </w:rPr>
        <w:t>:</w:t>
      </w:r>
    </w:p>
    <w:p w14:paraId="221F0385" w14:textId="3BF0DC92" w:rsidR="009E3CC9" w:rsidRPr="00F46944" w:rsidRDefault="009E3CC9" w:rsidP="003140B6">
      <w:pPr>
        <w:numPr>
          <w:ilvl w:val="0"/>
          <w:numId w:val="18"/>
        </w:numPr>
        <w:spacing w:before="240"/>
        <w:ind w:left="360"/>
        <w:contextualSpacing/>
        <w:rPr>
          <w:rFonts w:ascii="Arial" w:hAnsi="Arial" w:cs="Arial"/>
        </w:rPr>
      </w:pPr>
      <w:r w:rsidRPr="00F46944">
        <w:rPr>
          <w:rFonts w:ascii="Arial" w:hAnsi="Arial" w:cs="Arial"/>
        </w:rPr>
        <w:t>Maximum quantities and numbers of repeats (typically from one to zero) were changed to reduce inadvertent and unnecessary repeat prescribing when initiating antimicrobial treatment</w:t>
      </w:r>
    </w:p>
    <w:p w14:paraId="1AD6CCE0" w14:textId="77777777" w:rsidR="009E3CC9" w:rsidRPr="00F46944" w:rsidRDefault="009E3CC9" w:rsidP="003140B6">
      <w:pPr>
        <w:numPr>
          <w:ilvl w:val="0"/>
          <w:numId w:val="18"/>
        </w:numPr>
        <w:spacing w:after="0"/>
        <w:ind w:left="360"/>
        <w:contextualSpacing/>
        <w:rPr>
          <w:rFonts w:ascii="Arial" w:hAnsi="Arial" w:cs="Arial"/>
        </w:rPr>
      </w:pPr>
      <w:r w:rsidRPr="00F46944">
        <w:rPr>
          <w:rFonts w:ascii="Arial" w:hAnsi="Arial" w:cs="Arial"/>
          <w:bdr w:val="none" w:sz="0" w:space="0" w:color="auto" w:frame="1"/>
        </w:rPr>
        <w:t>New PBS/RPBS listings were added for amoxicillin, amoxicillin–clavulanic acid and cefalexin under authority listings for people who required longer courses of treatment.</w:t>
      </w:r>
    </w:p>
    <w:p w14:paraId="4FD7B328" w14:textId="2D7DE446" w:rsidR="00E06AD1" w:rsidRPr="00F46944" w:rsidRDefault="009E3CC9" w:rsidP="00E10F48">
      <w:pPr>
        <w:spacing w:before="240" w:after="0"/>
      </w:pPr>
      <w:r w:rsidRPr="00F46944">
        <w:t xml:space="preserve">However, prescribers </w:t>
      </w:r>
      <w:r w:rsidR="00FD6794" w:rsidRPr="00F46944">
        <w:t xml:space="preserve">were able to </w:t>
      </w:r>
      <w:r w:rsidRPr="00F46944">
        <w:t xml:space="preserve">request PBS/RPBS authority to prescribe repeats for antimicrobials which otherwise </w:t>
      </w:r>
      <w:r w:rsidR="00FD6794" w:rsidRPr="00F46944">
        <w:t xml:space="preserve">had </w:t>
      </w:r>
      <w:r w:rsidRPr="00F46944">
        <w:t>restricted repeats</w:t>
      </w:r>
      <w:r w:rsidR="00FD6794" w:rsidRPr="00F46944">
        <w:t>,</w:t>
      </w:r>
      <w:r w:rsidRPr="00F46944">
        <w:t xml:space="preserve"> and no change</w:t>
      </w:r>
      <w:r w:rsidR="00FD6794" w:rsidRPr="00F46944">
        <w:t>s</w:t>
      </w:r>
      <w:r w:rsidRPr="00F46944">
        <w:t xml:space="preserve"> to the maximum </w:t>
      </w:r>
      <w:r w:rsidR="00FD6794" w:rsidRPr="00F46944">
        <w:t xml:space="preserve">quantities </w:t>
      </w:r>
      <w:r w:rsidRPr="00F46944">
        <w:t>for unrestricted antimicrobials</w:t>
      </w:r>
      <w:r w:rsidR="00FD6794" w:rsidRPr="00F46944">
        <w:t xml:space="preserve"> were made</w:t>
      </w:r>
      <w:r w:rsidRPr="00F46944">
        <w:t>.</w:t>
      </w:r>
      <w:r w:rsidRPr="00F46944">
        <w:rPr>
          <w:rFonts w:asciiTheme="majorHAnsi" w:hAnsiTheme="majorHAnsi" w:cstheme="majorHAnsi"/>
        </w:rPr>
        <w:fldChar w:fldCharType="begin"/>
      </w:r>
      <w:r w:rsidR="00412507">
        <w:rPr>
          <w:rFonts w:asciiTheme="majorHAnsi" w:hAnsiTheme="majorHAnsi" w:cstheme="majorHAnsi"/>
        </w:rPr>
        <w:instrText xml:space="preserve"> ADDIN EN.CITE &lt;EndNote&gt;&lt;Cite&gt;&lt;Author&gt;Care&lt;/Author&gt;&lt;Year&gt;2020&lt;/Year&gt;&lt;RecNum&gt;13&lt;/RecNum&gt;&lt;DisplayText&gt;&lt;style face="superscript"&gt;14&lt;/style&gt;&lt;/DisplayText&gt;&lt;record&gt;&lt;rec-number&gt;13&lt;/rec-number&gt;&lt;foreign-keys&gt;&lt;key app="EN" db-id="es9dr99ws90stoe5x2rp505nazvswdzppxa5" timestamp="1670810541"&gt;13&lt;/key&gt;&lt;/foreign-keys&gt;&lt;ref-type name="Web Page"&gt;12&lt;/ref-type&gt;&lt;contributors&gt;&lt;authors&gt;&lt;author&gt;Australian Government Department of Health and Aged Care&lt;/author&gt;&lt;/authors&gt;&lt;/contributors&gt;&lt;titles&gt;&lt;title&gt;Revised PBS listings for Antibiotic use  &lt;/title&gt;&lt;/titles&gt;&lt;number&gt;May 2022&lt;/number&gt;&lt;dates&gt;&lt;year&gt;2020&lt;/year&gt;&lt;/dates&gt;&lt;urls&gt;&lt;related-urls&gt;&lt;url&gt;https://www.pbs.gov.au/news/2020/03/files/Antibiotics-factsheet-2020.pdf&lt;/url&gt;&lt;/related-urls&gt;&lt;/urls&gt;&lt;/record&gt;&lt;/Cite&gt;&lt;/EndNote&gt;</w:instrText>
      </w:r>
      <w:r w:rsidRPr="00F46944">
        <w:rPr>
          <w:rFonts w:asciiTheme="majorHAnsi" w:hAnsiTheme="majorHAnsi" w:cstheme="majorHAnsi"/>
        </w:rPr>
        <w:fldChar w:fldCharType="separate"/>
      </w:r>
      <w:r w:rsidR="00C16B8F" w:rsidRPr="00C16B8F">
        <w:rPr>
          <w:rFonts w:asciiTheme="majorHAnsi" w:hAnsiTheme="majorHAnsi" w:cstheme="majorHAnsi"/>
          <w:noProof/>
          <w:vertAlign w:val="superscript"/>
        </w:rPr>
        <w:t>14</w:t>
      </w:r>
      <w:r w:rsidRPr="00F46944">
        <w:rPr>
          <w:rFonts w:asciiTheme="majorHAnsi" w:hAnsiTheme="majorHAnsi" w:cstheme="majorHAnsi"/>
        </w:rPr>
        <w:fldChar w:fldCharType="end"/>
      </w:r>
      <w:r w:rsidRPr="00F46944">
        <w:t xml:space="preserve"> </w:t>
      </w:r>
      <w:bookmarkEnd w:id="24"/>
    </w:p>
    <w:p w14:paraId="57365B40" w14:textId="77777777" w:rsidR="00200BFC" w:rsidRPr="00F46944" w:rsidRDefault="00200BFC">
      <w:pPr>
        <w:spacing w:after="80"/>
        <w:rPr>
          <w:rFonts w:asciiTheme="majorHAnsi" w:hAnsiTheme="majorHAnsi" w:cstheme="majorHAnsi"/>
        </w:rPr>
      </w:pPr>
      <w:r w:rsidRPr="00F46944">
        <w:rPr>
          <w:rFonts w:asciiTheme="majorHAnsi" w:hAnsiTheme="majorHAnsi" w:cstheme="majorHAnsi"/>
        </w:rPr>
        <w:br w:type="page"/>
      </w:r>
    </w:p>
    <w:p w14:paraId="2BFD8C08" w14:textId="4B8889FA" w:rsidR="00445A19" w:rsidRPr="00F46944" w:rsidRDefault="00445A19" w:rsidP="00445A19">
      <w:pPr>
        <w:pStyle w:val="Heading1"/>
        <w:rPr>
          <w:rFonts w:asciiTheme="majorHAnsi" w:hAnsiTheme="majorHAnsi" w:cstheme="majorHAnsi"/>
          <w:color w:val="595959" w:themeColor="text1" w:themeTint="A6"/>
        </w:rPr>
      </w:pPr>
      <w:bookmarkStart w:id="25" w:name="_Toc121826725"/>
      <w:bookmarkStart w:id="26" w:name="_Hlk100656492"/>
      <w:bookmarkEnd w:id="15"/>
      <w:bookmarkEnd w:id="16"/>
      <w:bookmarkEnd w:id="17"/>
      <w:bookmarkEnd w:id="18"/>
      <w:r w:rsidRPr="00F46944">
        <w:rPr>
          <w:rFonts w:asciiTheme="majorHAnsi" w:hAnsiTheme="majorHAnsi" w:cstheme="majorHAnsi"/>
          <w:color w:val="595959" w:themeColor="text1" w:themeTint="A6"/>
        </w:rPr>
        <w:lastRenderedPageBreak/>
        <w:t>Methodology</w:t>
      </w:r>
      <w:bookmarkEnd w:id="25"/>
    </w:p>
    <w:p w14:paraId="747FD4D5" w14:textId="636CE2B2" w:rsidR="00445A19" w:rsidRPr="00F46944" w:rsidRDefault="00445A19" w:rsidP="00445A19">
      <w:pPr>
        <w:pStyle w:val="Heading3"/>
        <w:rPr>
          <w:rFonts w:asciiTheme="majorHAnsi" w:hAnsiTheme="majorHAnsi"/>
        </w:rPr>
      </w:pPr>
      <w:bookmarkStart w:id="27" w:name="_Toc121826726"/>
      <w:bookmarkStart w:id="28" w:name="_Hlk100650910"/>
      <w:r w:rsidRPr="00F46944">
        <w:rPr>
          <w:rFonts w:asciiTheme="majorHAnsi" w:hAnsiTheme="majorHAnsi"/>
        </w:rPr>
        <w:t>Pharmaceutical Benefits Scheme and</w:t>
      </w:r>
      <w:r w:rsidR="009B69BB">
        <w:rPr>
          <w:rFonts w:asciiTheme="majorHAnsi" w:hAnsiTheme="majorHAnsi"/>
        </w:rPr>
        <w:br/>
      </w:r>
      <w:r w:rsidRPr="00F46944">
        <w:rPr>
          <w:rFonts w:asciiTheme="majorHAnsi" w:hAnsiTheme="majorHAnsi"/>
        </w:rPr>
        <w:t>Repatriation Pharmaceutical Benefits Scheme</w:t>
      </w:r>
      <w:bookmarkEnd w:id="27"/>
      <w:r w:rsidRPr="00F46944">
        <w:t xml:space="preserve"> </w:t>
      </w:r>
    </w:p>
    <w:bookmarkEnd w:id="28"/>
    <w:p w14:paraId="2298E904" w14:textId="767BD4B8" w:rsidR="00445A19" w:rsidRPr="00F46944" w:rsidRDefault="00445A19" w:rsidP="0016537F">
      <w:pPr>
        <w:pStyle w:val="Heading4"/>
        <w:rPr>
          <w:rFonts w:asciiTheme="majorHAnsi" w:hAnsiTheme="majorHAnsi" w:cstheme="majorHAnsi"/>
        </w:rPr>
      </w:pPr>
      <w:r w:rsidRPr="00F46944">
        <w:rPr>
          <w:rFonts w:asciiTheme="majorHAnsi" w:hAnsiTheme="majorHAnsi" w:cstheme="majorHAnsi"/>
        </w:rPr>
        <w:t>Data source and criteria</w:t>
      </w:r>
    </w:p>
    <w:p w14:paraId="2143220F" w14:textId="51AB2161" w:rsidR="004E4ED9" w:rsidRDefault="00247D5F" w:rsidP="002379EB">
      <w:r>
        <w:t xml:space="preserve">This report analyses </w:t>
      </w:r>
      <w:r w:rsidR="00E70DFE">
        <w:t>d</w:t>
      </w:r>
      <w:r w:rsidR="00E70DFE" w:rsidRPr="00F46944">
        <w:t>ata on antimicrobials dispensed under the PBS/RPBS</w:t>
      </w:r>
      <w:r w:rsidRPr="00F46944">
        <w:t>, from 1 January 2015 to 31 December 2021</w:t>
      </w:r>
      <w:r w:rsidR="004F2DF8">
        <w:t xml:space="preserve"> </w:t>
      </w:r>
      <w:r w:rsidR="004F2DF8" w:rsidRPr="00FB005D">
        <w:t>(</w:t>
      </w:r>
      <w:r w:rsidR="004F2DF8" w:rsidRPr="00D43799">
        <w:t>Table 1</w:t>
      </w:r>
      <w:r w:rsidR="004F2DF8" w:rsidRPr="00F46944">
        <w:t>)</w:t>
      </w:r>
      <w:r>
        <w:t xml:space="preserve">, </w:t>
      </w:r>
      <w:r w:rsidRPr="00F46944">
        <w:rPr>
          <w:rFonts w:eastAsiaTheme="minorEastAsia"/>
        </w:rPr>
        <w:t xml:space="preserve">and complements analyses previously reported for the period </w:t>
      </w:r>
      <w:r w:rsidR="007008CB">
        <w:rPr>
          <w:rFonts w:eastAsiaTheme="minorEastAsia"/>
        </w:rPr>
        <w:t>2015</w:t>
      </w:r>
      <w:r w:rsidR="007008CB" w:rsidRPr="00F46944">
        <w:rPr>
          <w:rFonts w:eastAsiaTheme="minorEastAsia"/>
        </w:rPr>
        <w:t xml:space="preserve"> </w:t>
      </w:r>
      <w:r w:rsidRPr="00F46944">
        <w:rPr>
          <w:rFonts w:eastAsiaTheme="minorEastAsia"/>
        </w:rPr>
        <w:t>to 2019</w:t>
      </w:r>
      <w:r w:rsidR="002965E6">
        <w:rPr>
          <w:rFonts w:eastAsiaTheme="minorEastAsia"/>
        </w:rPr>
        <w:t>.</w:t>
      </w:r>
      <w:r w:rsidR="00D43799">
        <w:fldChar w:fldCharType="begin"/>
      </w:r>
      <w:r w:rsidR="00412507">
        <w:instrText xml:space="preserve"> ADDIN EN.CITE &lt;EndNote&gt;&lt;Cite&gt;&lt;Author&gt;Care&lt;/Author&gt;&lt;Year&gt;2021&lt;/Year&gt;&lt;RecNum&gt;1&lt;/RecNum&gt;&lt;DisplayText&gt;&lt;style face="superscript"&gt;1&lt;/style&gt;&lt;/DisplayText&gt;&lt;record&gt;&lt;rec-number&gt;1&lt;/rec-number&gt;&lt;foreign-keys&gt;&lt;key app="EN" db-id="es9dr99ws90stoe5x2rp505nazvswdzppxa5" timestamp="1670810538"&gt;1&lt;/key&gt;&lt;/foreign-keys&gt;&lt;ref-type name="Report"&gt;27&lt;/ref-type&gt;&lt;contributors&gt;&lt;authors&gt;&lt;author&gt;Australian Commission on Safety and Quality in Health Care&lt;/author&gt;&lt;/authors&gt;&lt;/contributors&gt;&lt;titles&gt;&lt;title&gt;AURA 2021: fourth Australian report on antimicrobial use and resistance in human health&lt;/title&gt;&lt;/titles&gt;&lt;dates&gt;&lt;year&gt;2021&lt;/year&gt;&lt;/dates&gt;&lt;pub-location&gt;Sydney&lt;/pub-location&gt;&lt;publisher&gt;ACSQHC&lt;/publisher&gt;&lt;urls&gt;&lt;/urls&gt;&lt;/record&gt;&lt;/Cite&gt;&lt;/EndNote&gt;</w:instrText>
      </w:r>
      <w:r w:rsidR="00D43799">
        <w:fldChar w:fldCharType="separate"/>
      </w:r>
      <w:r w:rsidR="00DB0DCB" w:rsidRPr="00DB0DCB">
        <w:rPr>
          <w:noProof/>
          <w:vertAlign w:val="superscript"/>
        </w:rPr>
        <w:t>1</w:t>
      </w:r>
      <w:r w:rsidR="00D43799">
        <w:fldChar w:fldCharType="end"/>
      </w:r>
      <w:r w:rsidR="001F2950" w:rsidRPr="00F46944">
        <w:rPr>
          <w:rFonts w:cstheme="minorHAnsi"/>
        </w:rPr>
        <w:t xml:space="preserve"> This included all prescriptions priced under the patient co-payment which are prescriptions that do not attract a reimbursement.</w:t>
      </w:r>
    </w:p>
    <w:p w14:paraId="7F66B91A" w14:textId="2A007F64" w:rsidR="00847640" w:rsidRPr="00F46944" w:rsidRDefault="00847640" w:rsidP="00901AB0">
      <w:r w:rsidRPr="00F46944">
        <w:t>These data were obtained from</w:t>
      </w:r>
      <w:r w:rsidR="00582340" w:rsidRPr="00F46944">
        <w:t xml:space="preserve"> Services Australia f</w:t>
      </w:r>
      <w:r w:rsidRPr="00F46944">
        <w:t xml:space="preserve">ollowing approval for disclosure from </w:t>
      </w:r>
      <w:r w:rsidR="00582340" w:rsidRPr="00F46944">
        <w:t xml:space="preserve">the Department and </w:t>
      </w:r>
      <w:r w:rsidRPr="00F46944">
        <w:t>the Department of Veterans’ Affairs.</w:t>
      </w:r>
      <w:r w:rsidR="004E4ED9" w:rsidRPr="004E4ED9">
        <w:rPr>
          <w:rFonts w:cstheme="minorHAnsi"/>
        </w:rPr>
        <w:t xml:space="preserve"> </w:t>
      </w:r>
      <w:r w:rsidRPr="00F46944">
        <w:t xml:space="preserve">The Department collects data </w:t>
      </w:r>
      <w:r w:rsidR="00DC5D5F" w:rsidRPr="00F46944">
        <w:t>on antimicrobial dispensing in the community through the PBS</w:t>
      </w:r>
      <w:r w:rsidR="00600FE2" w:rsidRPr="00F46944">
        <w:t>/</w:t>
      </w:r>
      <w:r w:rsidR="00DC5D5F" w:rsidRPr="00F46944">
        <w:t xml:space="preserve">RPBS from </w:t>
      </w:r>
      <w:r w:rsidRPr="00F46944">
        <w:t>the Medicare pharmacy claims database.</w:t>
      </w:r>
      <w:r w:rsidR="004E4ED9" w:rsidRPr="004E4ED9">
        <w:rPr>
          <w:rFonts w:cstheme="minorHAnsi"/>
        </w:rPr>
        <w:t xml:space="preserve"> </w:t>
      </w:r>
      <w:r w:rsidR="004E4ED9" w:rsidRPr="00F46944">
        <w:rPr>
          <w:rFonts w:cstheme="minorHAnsi"/>
        </w:rPr>
        <w:t xml:space="preserve">The data </w:t>
      </w:r>
      <w:r w:rsidR="00247988">
        <w:rPr>
          <w:rFonts w:cstheme="minorHAnsi"/>
        </w:rPr>
        <w:t>does</w:t>
      </w:r>
      <w:r w:rsidR="004E4ED9" w:rsidRPr="00F46944">
        <w:rPr>
          <w:rFonts w:cstheme="minorHAnsi"/>
        </w:rPr>
        <w:t xml:space="preserve"> not contain details on any prescriptions supplied privately.</w:t>
      </w:r>
    </w:p>
    <w:p w14:paraId="1E866BA9" w14:textId="35A743C4" w:rsidR="00046902" w:rsidRPr="00625242" w:rsidRDefault="00625242" w:rsidP="00625242">
      <w:pPr>
        <w:pStyle w:val="Captions"/>
      </w:pPr>
      <w:bookmarkStart w:id="29" w:name="_Toc121331861"/>
      <w:bookmarkStart w:id="30" w:name="_Toc121744361"/>
      <w:bookmarkStart w:id="31" w:name="_Toc121491301"/>
      <w:r w:rsidRPr="00625242">
        <w:t>Table </w:t>
      </w:r>
      <w:fldSimple w:instr=" SEQ Table \* ARABIC ">
        <w:r w:rsidR="00F34DDD">
          <w:rPr>
            <w:noProof/>
          </w:rPr>
          <w:t>1</w:t>
        </w:r>
      </w:fldSimple>
      <w:r w:rsidR="00046902" w:rsidRPr="00625242">
        <w:t>:</w:t>
      </w:r>
      <w:r w:rsidR="00CC09FB" w:rsidRPr="00625242">
        <w:t> </w:t>
      </w:r>
      <w:r w:rsidR="00046902" w:rsidRPr="00625242">
        <w:rPr>
          <w:b w:val="0"/>
          <w:bCs w:val="0"/>
        </w:rPr>
        <w:t>PBS/RPBS community antimicrobial use data source</w:t>
      </w:r>
      <w:bookmarkEnd w:id="29"/>
      <w:bookmarkEnd w:id="30"/>
      <w:bookmarkEnd w:id="31"/>
    </w:p>
    <w:tbl>
      <w:tblPr>
        <w:tblStyle w:val="PlainTable2"/>
        <w:tblW w:w="0" w:type="auto"/>
        <w:tblLook w:val="04A0" w:firstRow="1" w:lastRow="0" w:firstColumn="1" w:lastColumn="0" w:noHBand="0" w:noVBand="1"/>
      </w:tblPr>
      <w:tblGrid>
        <w:gridCol w:w="2204"/>
        <w:gridCol w:w="6552"/>
      </w:tblGrid>
      <w:tr w:rsidR="00C95391" w:rsidRPr="00F46944" w14:paraId="0A9F7E86" w14:textId="77777777" w:rsidTr="00BC3F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4" w:type="dxa"/>
            <w:shd w:val="clear" w:color="auto" w:fill="F1BBA8" w:themeFill="accent5" w:themeFillTint="66"/>
          </w:tcPr>
          <w:p w14:paraId="3B555E6E" w14:textId="77777777" w:rsidR="00C95391" w:rsidRPr="00F46944" w:rsidRDefault="00C95391" w:rsidP="00310179">
            <w:pPr>
              <w:spacing w:before="120" w:after="120"/>
              <w:rPr>
                <w:b w:val="0"/>
              </w:rPr>
            </w:pPr>
            <w:r w:rsidRPr="00F46944">
              <w:rPr>
                <w:rFonts w:asciiTheme="majorHAnsi" w:hAnsiTheme="majorHAnsi" w:cstheme="majorHAnsi"/>
                <w:color w:val="000000"/>
                <w:sz w:val="21"/>
                <w:szCs w:val="21"/>
              </w:rPr>
              <w:t>Subject and type of surveillance</w:t>
            </w:r>
          </w:p>
        </w:tc>
        <w:tc>
          <w:tcPr>
            <w:tcW w:w="6552" w:type="dxa"/>
            <w:vAlign w:val="center"/>
          </w:tcPr>
          <w:p w14:paraId="55146625" w14:textId="1E5727BA" w:rsidR="00C95391" w:rsidRPr="00F46944" w:rsidRDefault="00D361C2" w:rsidP="00310179">
            <w:pPr>
              <w:tabs>
                <w:tab w:val="left" w:pos="216"/>
              </w:tabs>
              <w:spacing w:before="60" w:after="60"/>
              <w:ind w:left="216" w:hanging="216"/>
              <w:cnfStyle w:val="100000000000" w:firstRow="1" w:lastRow="0" w:firstColumn="0" w:lastColumn="0" w:oddVBand="0" w:evenVBand="0" w:oddHBand="0" w:evenHBand="0" w:firstRowFirstColumn="0" w:firstRowLastColumn="0" w:lastRowFirstColumn="0" w:lastRowLastColumn="0"/>
              <w:rPr>
                <w:rFonts w:asciiTheme="majorHAnsi" w:eastAsiaTheme="minorEastAsia" w:hAnsiTheme="majorHAnsi" w:cstheme="majorHAnsi"/>
                <w:color w:val="000000"/>
                <w:sz w:val="21"/>
                <w:szCs w:val="21"/>
              </w:rPr>
            </w:pPr>
            <w:r w:rsidRPr="00F46944">
              <w:rPr>
                <w:rFonts w:asciiTheme="majorHAnsi" w:hAnsiTheme="majorHAnsi" w:cstheme="majorHAnsi"/>
                <w:color w:val="000000"/>
                <w:sz w:val="21"/>
                <w:szCs w:val="21"/>
              </w:rPr>
              <w:t>Passive surveillance of a</w:t>
            </w:r>
            <w:r w:rsidR="00C95391" w:rsidRPr="00F46944">
              <w:rPr>
                <w:rFonts w:asciiTheme="majorHAnsi" w:hAnsiTheme="majorHAnsi" w:cstheme="majorHAnsi"/>
                <w:color w:val="000000"/>
                <w:sz w:val="21"/>
                <w:szCs w:val="21"/>
              </w:rPr>
              <w:t>ntimicrobial use</w:t>
            </w:r>
            <w:r w:rsidRPr="00F46944">
              <w:rPr>
                <w:rFonts w:asciiTheme="majorHAnsi" w:hAnsiTheme="majorHAnsi" w:cstheme="majorHAnsi"/>
                <w:color w:val="000000"/>
                <w:sz w:val="21"/>
                <w:szCs w:val="21"/>
              </w:rPr>
              <w:t xml:space="preserve"> in the community</w:t>
            </w:r>
          </w:p>
        </w:tc>
      </w:tr>
      <w:tr w:rsidR="00C95391" w:rsidRPr="00F46944" w14:paraId="7069BA6B" w14:textId="77777777" w:rsidTr="00020E43">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204" w:type="dxa"/>
            <w:shd w:val="clear" w:color="auto" w:fill="F1BBA8" w:themeFill="accent5" w:themeFillTint="66"/>
          </w:tcPr>
          <w:p w14:paraId="23C58F6E" w14:textId="77777777" w:rsidR="00C95391" w:rsidRPr="00F46944" w:rsidRDefault="00C95391" w:rsidP="00310179">
            <w:pPr>
              <w:spacing w:before="120" w:after="120"/>
              <w:rPr>
                <w:b w:val="0"/>
              </w:rPr>
            </w:pPr>
            <w:r w:rsidRPr="00F46944">
              <w:rPr>
                <w:rFonts w:asciiTheme="majorHAnsi" w:hAnsiTheme="majorHAnsi" w:cstheme="majorHAnsi"/>
                <w:color w:val="000000"/>
                <w:sz w:val="21"/>
                <w:szCs w:val="21"/>
              </w:rPr>
              <w:t>Data source</w:t>
            </w:r>
          </w:p>
        </w:tc>
        <w:tc>
          <w:tcPr>
            <w:tcW w:w="6552" w:type="dxa"/>
          </w:tcPr>
          <w:p w14:paraId="6D1C4401" w14:textId="77777777" w:rsidR="00C95391" w:rsidRPr="00F46944" w:rsidRDefault="00C95391" w:rsidP="00310179">
            <w:pPr>
              <w:spacing w:before="120" w:after="120"/>
              <w:cnfStyle w:val="000000100000" w:firstRow="0" w:lastRow="0" w:firstColumn="0" w:lastColumn="0" w:oddVBand="0" w:evenVBand="0" w:oddHBand="1" w:evenHBand="0" w:firstRowFirstColumn="0" w:firstRowLastColumn="0" w:lastRowFirstColumn="0" w:lastRowLastColumn="0"/>
            </w:pPr>
            <w:r w:rsidRPr="00F46944">
              <w:rPr>
                <w:rFonts w:asciiTheme="majorHAnsi" w:hAnsiTheme="majorHAnsi" w:cstheme="majorHAnsi"/>
                <w:color w:val="000000"/>
                <w:sz w:val="21"/>
                <w:szCs w:val="21"/>
              </w:rPr>
              <w:t>Pharmaceutical Benefits Scheme (PBS) and Repatriation Pharmaceutical Benefits Scheme (RPBS)</w:t>
            </w:r>
          </w:p>
        </w:tc>
      </w:tr>
      <w:tr w:rsidR="00C95391" w:rsidRPr="00F46944" w14:paraId="0230151A" w14:textId="77777777" w:rsidTr="00020E43">
        <w:tc>
          <w:tcPr>
            <w:cnfStyle w:val="001000000000" w:firstRow="0" w:lastRow="0" w:firstColumn="1" w:lastColumn="0" w:oddVBand="0" w:evenVBand="0" w:oddHBand="0" w:evenHBand="0" w:firstRowFirstColumn="0" w:firstRowLastColumn="0" w:lastRowFirstColumn="0" w:lastRowLastColumn="0"/>
            <w:tcW w:w="2204" w:type="dxa"/>
            <w:shd w:val="clear" w:color="auto" w:fill="F1BBA8" w:themeFill="accent5" w:themeFillTint="66"/>
          </w:tcPr>
          <w:p w14:paraId="232195FB" w14:textId="77777777" w:rsidR="00C95391" w:rsidRPr="00F46944" w:rsidRDefault="00C95391" w:rsidP="00310179">
            <w:pPr>
              <w:spacing w:before="120" w:after="120"/>
              <w:rPr>
                <w:b w:val="0"/>
              </w:rPr>
            </w:pPr>
            <w:r w:rsidRPr="00F46944">
              <w:rPr>
                <w:rFonts w:asciiTheme="majorHAnsi" w:hAnsiTheme="majorHAnsi" w:cstheme="majorHAnsi"/>
                <w:color w:val="000000"/>
                <w:sz w:val="21"/>
                <w:szCs w:val="21"/>
              </w:rPr>
              <w:t>Type of data</w:t>
            </w:r>
          </w:p>
        </w:tc>
        <w:tc>
          <w:tcPr>
            <w:tcW w:w="6552" w:type="dxa"/>
          </w:tcPr>
          <w:p w14:paraId="5A838271" w14:textId="77777777" w:rsidR="00C95391" w:rsidRPr="00F46944" w:rsidRDefault="00C95391" w:rsidP="00310179">
            <w:pPr>
              <w:spacing w:before="120" w:after="120"/>
              <w:cnfStyle w:val="000000000000" w:firstRow="0" w:lastRow="0" w:firstColumn="0" w:lastColumn="0" w:oddVBand="0" w:evenVBand="0" w:oddHBand="0" w:evenHBand="0" w:firstRowFirstColumn="0" w:firstRowLastColumn="0" w:lastRowFirstColumn="0" w:lastRowLastColumn="0"/>
            </w:pPr>
            <w:r w:rsidRPr="00F46944">
              <w:rPr>
                <w:rFonts w:asciiTheme="majorHAnsi" w:hAnsiTheme="majorHAnsi" w:cstheme="majorHAnsi"/>
                <w:color w:val="000000"/>
                <w:sz w:val="21"/>
                <w:szCs w:val="21"/>
              </w:rPr>
              <w:t>Dispensed volume, trends</w:t>
            </w:r>
          </w:p>
        </w:tc>
      </w:tr>
      <w:tr w:rsidR="00C95391" w:rsidRPr="00F46944" w14:paraId="16BBA252" w14:textId="77777777" w:rsidTr="00020E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4" w:type="dxa"/>
            <w:shd w:val="clear" w:color="auto" w:fill="F1BBA8" w:themeFill="accent5" w:themeFillTint="66"/>
          </w:tcPr>
          <w:p w14:paraId="09A63714" w14:textId="77777777" w:rsidR="00C95391" w:rsidRPr="00F46944" w:rsidRDefault="00C95391" w:rsidP="00310179">
            <w:pPr>
              <w:spacing w:before="120" w:after="120"/>
              <w:rPr>
                <w:b w:val="0"/>
              </w:rPr>
            </w:pPr>
            <w:r w:rsidRPr="00F46944">
              <w:rPr>
                <w:rFonts w:asciiTheme="majorHAnsi" w:hAnsiTheme="majorHAnsi" w:cstheme="majorHAnsi"/>
                <w:color w:val="000000"/>
                <w:sz w:val="21"/>
                <w:szCs w:val="21"/>
              </w:rPr>
              <w:t>Setting</w:t>
            </w:r>
          </w:p>
        </w:tc>
        <w:tc>
          <w:tcPr>
            <w:tcW w:w="6552" w:type="dxa"/>
          </w:tcPr>
          <w:p w14:paraId="489BA953" w14:textId="77777777" w:rsidR="00C95391" w:rsidRPr="00F46944" w:rsidRDefault="00C95391" w:rsidP="00310179">
            <w:pPr>
              <w:spacing w:before="120" w:after="120"/>
              <w:cnfStyle w:val="000000100000" w:firstRow="0" w:lastRow="0" w:firstColumn="0" w:lastColumn="0" w:oddVBand="0" w:evenVBand="0" w:oddHBand="1" w:evenHBand="0" w:firstRowFirstColumn="0" w:firstRowLastColumn="0" w:lastRowFirstColumn="0" w:lastRowLastColumn="0"/>
            </w:pPr>
            <w:r w:rsidRPr="00F46944">
              <w:rPr>
                <w:rFonts w:asciiTheme="majorHAnsi" w:hAnsiTheme="majorHAnsi" w:cstheme="majorHAnsi"/>
                <w:color w:val="000000"/>
                <w:sz w:val="21"/>
                <w:szCs w:val="21"/>
              </w:rPr>
              <w:t>Australian general practices and community health services*</w:t>
            </w:r>
            <w:r w:rsidRPr="00F46944">
              <w:rPr>
                <w:rFonts w:asciiTheme="majorHAnsi" w:hAnsiTheme="majorHAnsi" w:cstheme="majorHAnsi"/>
                <w:color w:val="000000"/>
                <w:sz w:val="21"/>
                <w:szCs w:val="21"/>
                <w:vertAlign w:val="superscript"/>
              </w:rPr>
              <w:t>† §</w:t>
            </w:r>
          </w:p>
        </w:tc>
      </w:tr>
      <w:tr w:rsidR="00C95391" w:rsidRPr="00F46944" w14:paraId="7F5B4A9E" w14:textId="77777777" w:rsidTr="00020E43">
        <w:tc>
          <w:tcPr>
            <w:cnfStyle w:val="001000000000" w:firstRow="0" w:lastRow="0" w:firstColumn="1" w:lastColumn="0" w:oddVBand="0" w:evenVBand="0" w:oddHBand="0" w:evenHBand="0" w:firstRowFirstColumn="0" w:firstRowLastColumn="0" w:lastRowFirstColumn="0" w:lastRowLastColumn="0"/>
            <w:tcW w:w="2204" w:type="dxa"/>
            <w:shd w:val="clear" w:color="auto" w:fill="F1BBA8" w:themeFill="accent5" w:themeFillTint="66"/>
          </w:tcPr>
          <w:p w14:paraId="374EF1CA" w14:textId="77777777" w:rsidR="00C95391" w:rsidRPr="00F46944" w:rsidRDefault="00C95391" w:rsidP="00310179">
            <w:pPr>
              <w:spacing w:before="120" w:after="120"/>
              <w:rPr>
                <w:b w:val="0"/>
              </w:rPr>
            </w:pPr>
            <w:r w:rsidRPr="00F46944">
              <w:rPr>
                <w:rFonts w:asciiTheme="majorHAnsi" w:hAnsiTheme="majorHAnsi" w:cstheme="majorHAnsi"/>
                <w:color w:val="000000"/>
                <w:sz w:val="21"/>
                <w:szCs w:val="21"/>
              </w:rPr>
              <w:t>Coverage</w:t>
            </w:r>
          </w:p>
        </w:tc>
        <w:tc>
          <w:tcPr>
            <w:tcW w:w="6552" w:type="dxa"/>
          </w:tcPr>
          <w:p w14:paraId="6A9EAF97" w14:textId="568AD38D" w:rsidR="00C95391" w:rsidRPr="00F46944" w:rsidRDefault="00C95391" w:rsidP="00310179">
            <w:pPr>
              <w:tabs>
                <w:tab w:val="left" w:pos="216"/>
              </w:tabs>
              <w:spacing w:before="60" w:after="60"/>
              <w:ind w:left="216" w:hanging="216"/>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1"/>
                <w:szCs w:val="21"/>
              </w:rPr>
            </w:pPr>
            <w:r w:rsidRPr="00F46944">
              <w:rPr>
                <w:rFonts w:asciiTheme="majorHAnsi" w:hAnsiTheme="majorHAnsi" w:cstheme="majorHAnsi"/>
                <w:color w:val="000000"/>
                <w:sz w:val="21"/>
                <w:szCs w:val="21"/>
              </w:rPr>
              <w:t>National</w:t>
            </w:r>
          </w:p>
          <w:p w14:paraId="085B9A57" w14:textId="0EB70EF8" w:rsidR="00E32B43" w:rsidRPr="00F46944" w:rsidRDefault="00E32B43" w:rsidP="00E32B43">
            <w:pPr>
              <w:tabs>
                <w:tab w:val="left" w:pos="216"/>
              </w:tabs>
              <w:spacing w:before="60" w:after="60"/>
              <w:ind w:left="216" w:hanging="216"/>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1"/>
                <w:szCs w:val="21"/>
              </w:rPr>
            </w:pPr>
            <w:r w:rsidRPr="00F46944">
              <w:rPr>
                <w:rFonts w:asciiTheme="majorHAnsi" w:hAnsiTheme="majorHAnsi" w:cstheme="majorHAnsi"/>
                <w:color w:val="000000"/>
                <w:sz w:val="21"/>
                <w:szCs w:val="21"/>
              </w:rPr>
              <w:t>201</w:t>
            </w:r>
            <w:r w:rsidR="002B78A4" w:rsidRPr="00F46944">
              <w:rPr>
                <w:rFonts w:asciiTheme="majorHAnsi" w:hAnsiTheme="majorHAnsi" w:cstheme="majorHAnsi"/>
                <w:color w:val="000000"/>
                <w:sz w:val="21"/>
                <w:szCs w:val="21"/>
              </w:rPr>
              <w:t>5</w:t>
            </w:r>
            <w:r w:rsidRPr="00F46944">
              <w:rPr>
                <w:rFonts w:asciiTheme="majorHAnsi" w:hAnsiTheme="majorHAnsi" w:cstheme="majorHAnsi"/>
                <w:color w:val="000000"/>
                <w:sz w:val="21"/>
                <w:szCs w:val="21"/>
              </w:rPr>
              <w:t xml:space="preserve">: </w:t>
            </w:r>
            <w:r w:rsidR="00D93D16" w:rsidRPr="00F46944">
              <w:rPr>
                <w:rFonts w:asciiTheme="majorHAnsi" w:hAnsiTheme="majorHAnsi" w:cstheme="majorHAnsi"/>
                <w:color w:val="000000"/>
                <w:sz w:val="21"/>
                <w:szCs w:val="21"/>
              </w:rPr>
              <w:t>29,264,932</w:t>
            </w:r>
            <w:r w:rsidRPr="00F46944">
              <w:rPr>
                <w:rFonts w:asciiTheme="majorHAnsi" w:hAnsiTheme="majorHAnsi" w:cstheme="majorHAnsi"/>
                <w:color w:val="000000"/>
                <w:sz w:val="21"/>
                <w:szCs w:val="21"/>
              </w:rPr>
              <w:t> prescriptions for all antimicrobials</w:t>
            </w:r>
          </w:p>
          <w:p w14:paraId="3D3CA2CB" w14:textId="1FC60B40" w:rsidR="00E32B43" w:rsidRPr="00F46944" w:rsidRDefault="00E32B43" w:rsidP="00E32B43">
            <w:pPr>
              <w:tabs>
                <w:tab w:val="left" w:pos="216"/>
              </w:tabs>
              <w:spacing w:before="60" w:after="60"/>
              <w:ind w:left="216" w:hanging="216"/>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1"/>
                <w:szCs w:val="21"/>
              </w:rPr>
            </w:pPr>
            <w:r w:rsidRPr="00F46944">
              <w:rPr>
                <w:rFonts w:asciiTheme="majorHAnsi" w:hAnsiTheme="majorHAnsi" w:cstheme="majorHAnsi"/>
                <w:color w:val="000000"/>
                <w:sz w:val="21"/>
                <w:szCs w:val="21"/>
              </w:rPr>
              <w:t>201</w:t>
            </w:r>
            <w:r w:rsidR="002B78A4" w:rsidRPr="00F46944">
              <w:rPr>
                <w:rFonts w:asciiTheme="majorHAnsi" w:hAnsiTheme="majorHAnsi" w:cstheme="majorHAnsi"/>
                <w:color w:val="000000"/>
                <w:sz w:val="21"/>
                <w:szCs w:val="21"/>
              </w:rPr>
              <w:t>6</w:t>
            </w:r>
            <w:r w:rsidRPr="00F46944">
              <w:rPr>
                <w:rFonts w:asciiTheme="majorHAnsi" w:hAnsiTheme="majorHAnsi" w:cstheme="majorHAnsi"/>
                <w:color w:val="000000"/>
                <w:sz w:val="21"/>
                <w:szCs w:val="21"/>
              </w:rPr>
              <w:t xml:space="preserve">: </w:t>
            </w:r>
            <w:r w:rsidR="00D93D16" w:rsidRPr="00F46944">
              <w:rPr>
                <w:rFonts w:asciiTheme="majorHAnsi" w:hAnsiTheme="majorHAnsi" w:cstheme="majorHAnsi"/>
                <w:color w:val="000000"/>
                <w:sz w:val="21"/>
                <w:szCs w:val="21"/>
              </w:rPr>
              <w:t>27,324,648</w:t>
            </w:r>
            <w:r w:rsidRPr="00F46944">
              <w:rPr>
                <w:rFonts w:asciiTheme="majorHAnsi" w:hAnsiTheme="majorHAnsi" w:cstheme="majorHAnsi"/>
                <w:color w:val="000000"/>
                <w:sz w:val="21"/>
                <w:szCs w:val="21"/>
              </w:rPr>
              <w:t> prescriptions for all antimicrobials</w:t>
            </w:r>
          </w:p>
          <w:p w14:paraId="2F7777B5" w14:textId="1235CCA3" w:rsidR="00C95391" w:rsidRPr="00F46944" w:rsidRDefault="00C95391" w:rsidP="00310179">
            <w:pPr>
              <w:tabs>
                <w:tab w:val="left" w:pos="216"/>
              </w:tabs>
              <w:spacing w:before="60" w:after="60"/>
              <w:ind w:left="216" w:hanging="216"/>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1"/>
                <w:szCs w:val="21"/>
              </w:rPr>
            </w:pPr>
            <w:r w:rsidRPr="00F46944">
              <w:rPr>
                <w:rFonts w:asciiTheme="majorHAnsi" w:hAnsiTheme="majorHAnsi" w:cstheme="majorHAnsi"/>
                <w:color w:val="000000"/>
                <w:sz w:val="21"/>
                <w:szCs w:val="21"/>
              </w:rPr>
              <w:t xml:space="preserve">2017: 26,553,451 prescriptions for all </w:t>
            </w:r>
            <w:r w:rsidR="00686B01" w:rsidRPr="00F46944">
              <w:rPr>
                <w:rFonts w:asciiTheme="majorHAnsi" w:hAnsiTheme="majorHAnsi" w:cstheme="majorHAnsi"/>
                <w:color w:val="000000"/>
                <w:sz w:val="21"/>
                <w:szCs w:val="21"/>
              </w:rPr>
              <w:t>antimicrobials</w:t>
            </w:r>
          </w:p>
          <w:p w14:paraId="153839D7" w14:textId="34F84815" w:rsidR="00C95391" w:rsidRPr="00F46944" w:rsidRDefault="00C95391" w:rsidP="00310179">
            <w:pPr>
              <w:keepNext/>
              <w:tabs>
                <w:tab w:val="left" w:pos="216"/>
              </w:tabs>
              <w:spacing w:before="60" w:after="60"/>
              <w:ind w:left="216" w:hanging="216"/>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1"/>
                <w:szCs w:val="21"/>
              </w:rPr>
            </w:pPr>
            <w:r w:rsidRPr="00F46944">
              <w:rPr>
                <w:rFonts w:asciiTheme="majorHAnsi" w:hAnsiTheme="majorHAnsi" w:cstheme="majorHAnsi"/>
                <w:color w:val="000000"/>
                <w:sz w:val="21"/>
                <w:szCs w:val="21"/>
              </w:rPr>
              <w:t xml:space="preserve">2018: 26,229,366 prescriptions for all </w:t>
            </w:r>
            <w:r w:rsidR="00686B01" w:rsidRPr="00F46944">
              <w:rPr>
                <w:rFonts w:asciiTheme="majorHAnsi" w:hAnsiTheme="majorHAnsi" w:cstheme="majorHAnsi"/>
                <w:color w:val="000000"/>
                <w:sz w:val="21"/>
                <w:szCs w:val="21"/>
              </w:rPr>
              <w:t>antimicrobials</w:t>
            </w:r>
          </w:p>
          <w:p w14:paraId="290FB3D7" w14:textId="31E196E4" w:rsidR="00C95391" w:rsidRPr="00F46944" w:rsidRDefault="00C95391" w:rsidP="00310179">
            <w:pPr>
              <w:tabs>
                <w:tab w:val="left" w:pos="216"/>
              </w:tabs>
              <w:spacing w:before="60" w:after="60"/>
              <w:ind w:left="216" w:hanging="216"/>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1"/>
                <w:szCs w:val="21"/>
              </w:rPr>
            </w:pPr>
            <w:r w:rsidRPr="00F46944">
              <w:rPr>
                <w:rFonts w:asciiTheme="majorHAnsi" w:hAnsiTheme="majorHAnsi" w:cstheme="majorHAnsi"/>
                <w:color w:val="000000"/>
                <w:sz w:val="21"/>
                <w:szCs w:val="21"/>
              </w:rPr>
              <w:t>2019: 26,669,561</w:t>
            </w:r>
            <w:r w:rsidR="00AD58A0" w:rsidRPr="00F46944">
              <w:rPr>
                <w:rFonts w:asciiTheme="majorHAnsi" w:hAnsiTheme="majorHAnsi" w:cstheme="majorHAnsi"/>
                <w:color w:val="000000"/>
                <w:sz w:val="21"/>
                <w:szCs w:val="21"/>
              </w:rPr>
              <w:t> </w:t>
            </w:r>
            <w:r w:rsidRPr="00F46944">
              <w:rPr>
                <w:rFonts w:asciiTheme="majorHAnsi" w:hAnsiTheme="majorHAnsi" w:cstheme="majorHAnsi"/>
                <w:color w:val="000000"/>
                <w:sz w:val="21"/>
                <w:szCs w:val="21"/>
              </w:rPr>
              <w:t xml:space="preserve">prescriptions for all </w:t>
            </w:r>
            <w:r w:rsidR="00686B01" w:rsidRPr="00F46944">
              <w:rPr>
                <w:rFonts w:asciiTheme="majorHAnsi" w:hAnsiTheme="majorHAnsi" w:cstheme="majorHAnsi"/>
                <w:color w:val="000000"/>
                <w:sz w:val="21"/>
                <w:szCs w:val="21"/>
              </w:rPr>
              <w:t>antimicrobials</w:t>
            </w:r>
          </w:p>
          <w:p w14:paraId="5A730490" w14:textId="5A31A1CE" w:rsidR="00C95391" w:rsidRPr="00F46944" w:rsidRDefault="00C95391" w:rsidP="00310179">
            <w:pPr>
              <w:tabs>
                <w:tab w:val="left" w:pos="216"/>
              </w:tabs>
              <w:spacing w:before="60" w:after="60"/>
              <w:ind w:left="216" w:hanging="216"/>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1"/>
                <w:szCs w:val="21"/>
              </w:rPr>
            </w:pPr>
            <w:r w:rsidRPr="00F46944">
              <w:rPr>
                <w:rFonts w:asciiTheme="majorHAnsi" w:hAnsiTheme="majorHAnsi" w:cstheme="majorHAnsi"/>
                <w:color w:val="000000"/>
                <w:sz w:val="21"/>
                <w:szCs w:val="21"/>
              </w:rPr>
              <w:t>2020: 20,095,926</w:t>
            </w:r>
            <w:r w:rsidR="00AD58A0" w:rsidRPr="00F46944">
              <w:rPr>
                <w:rFonts w:asciiTheme="majorHAnsi" w:hAnsiTheme="majorHAnsi" w:cstheme="majorHAnsi"/>
                <w:color w:val="000000"/>
                <w:sz w:val="21"/>
                <w:szCs w:val="21"/>
              </w:rPr>
              <w:t> </w:t>
            </w:r>
            <w:r w:rsidRPr="00F46944">
              <w:rPr>
                <w:rFonts w:asciiTheme="majorHAnsi" w:hAnsiTheme="majorHAnsi" w:cstheme="majorHAnsi"/>
                <w:color w:val="000000"/>
                <w:sz w:val="21"/>
                <w:szCs w:val="21"/>
              </w:rPr>
              <w:t xml:space="preserve">prescriptions for all </w:t>
            </w:r>
            <w:r w:rsidR="00686B01" w:rsidRPr="00F46944">
              <w:rPr>
                <w:rFonts w:asciiTheme="majorHAnsi" w:hAnsiTheme="majorHAnsi" w:cstheme="majorHAnsi"/>
                <w:color w:val="000000"/>
                <w:sz w:val="21"/>
                <w:szCs w:val="21"/>
              </w:rPr>
              <w:t>antimicrobials</w:t>
            </w:r>
          </w:p>
          <w:p w14:paraId="0982F0C4" w14:textId="3D19518C" w:rsidR="00C95391" w:rsidRPr="00F46944" w:rsidRDefault="00C95391" w:rsidP="00310179">
            <w:pPr>
              <w:tabs>
                <w:tab w:val="left" w:pos="216"/>
              </w:tabs>
              <w:spacing w:before="60" w:after="60"/>
              <w:ind w:left="216" w:hanging="216"/>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1"/>
                <w:szCs w:val="21"/>
              </w:rPr>
            </w:pPr>
            <w:r w:rsidRPr="00F46944">
              <w:rPr>
                <w:rFonts w:asciiTheme="majorHAnsi" w:hAnsiTheme="majorHAnsi" w:cstheme="majorHAnsi"/>
                <w:color w:val="000000"/>
                <w:sz w:val="21"/>
                <w:szCs w:val="21"/>
              </w:rPr>
              <w:t>2021: 19,931,271</w:t>
            </w:r>
            <w:r w:rsidR="00AD58A0" w:rsidRPr="00F46944">
              <w:rPr>
                <w:rFonts w:asciiTheme="majorHAnsi" w:hAnsiTheme="majorHAnsi" w:cstheme="majorHAnsi"/>
                <w:color w:val="000000"/>
                <w:sz w:val="21"/>
                <w:szCs w:val="21"/>
              </w:rPr>
              <w:t> </w:t>
            </w:r>
            <w:r w:rsidRPr="00F46944">
              <w:rPr>
                <w:rFonts w:asciiTheme="majorHAnsi" w:hAnsiTheme="majorHAnsi" w:cstheme="majorHAnsi"/>
                <w:color w:val="000000"/>
                <w:sz w:val="21"/>
                <w:szCs w:val="21"/>
              </w:rPr>
              <w:t xml:space="preserve">prescriptions for all </w:t>
            </w:r>
            <w:r w:rsidR="00686B01" w:rsidRPr="00F46944">
              <w:rPr>
                <w:rFonts w:asciiTheme="majorHAnsi" w:hAnsiTheme="majorHAnsi" w:cstheme="majorHAnsi"/>
                <w:color w:val="000000"/>
                <w:sz w:val="21"/>
                <w:szCs w:val="21"/>
              </w:rPr>
              <w:t>antimicrobials</w:t>
            </w:r>
          </w:p>
        </w:tc>
      </w:tr>
    </w:tbl>
    <w:p w14:paraId="053751F0" w14:textId="6672BD66" w:rsidR="00DD7BD6" w:rsidRPr="00F46944" w:rsidRDefault="00046902" w:rsidP="00D43799">
      <w:pPr>
        <w:tabs>
          <w:tab w:val="left" w:pos="142"/>
        </w:tabs>
        <w:spacing w:after="0"/>
        <w:ind w:left="135" w:hanging="135"/>
        <w:rPr>
          <w:rFonts w:cstheme="minorHAnsi"/>
          <w:sz w:val="16"/>
          <w:szCs w:val="16"/>
        </w:rPr>
      </w:pPr>
      <w:bookmarkStart w:id="32" w:name="_Hlk100660832"/>
      <w:r w:rsidRPr="00F46944">
        <w:rPr>
          <w:rFonts w:asciiTheme="majorHAnsi" w:hAnsiTheme="majorHAnsi" w:cstheme="majorHAnsi"/>
          <w:sz w:val="16"/>
          <w:szCs w:val="16"/>
        </w:rPr>
        <w:t>*</w:t>
      </w:r>
      <w:r w:rsidR="007008CB">
        <w:rPr>
          <w:rFonts w:asciiTheme="majorHAnsi" w:hAnsiTheme="majorHAnsi" w:cstheme="majorHAnsi"/>
          <w:sz w:val="16"/>
          <w:szCs w:val="16"/>
        </w:rPr>
        <w:tab/>
      </w:r>
      <w:r w:rsidRPr="00F46944">
        <w:rPr>
          <w:rFonts w:cstheme="minorHAnsi"/>
          <w:sz w:val="16"/>
          <w:szCs w:val="16"/>
        </w:rPr>
        <w:t xml:space="preserve">Data include </w:t>
      </w:r>
      <w:r w:rsidR="00657759" w:rsidRPr="00F46944">
        <w:rPr>
          <w:rFonts w:cstheme="minorHAnsi"/>
          <w:sz w:val="16"/>
          <w:szCs w:val="16"/>
        </w:rPr>
        <w:t xml:space="preserve">all </w:t>
      </w:r>
      <w:r w:rsidR="004D2FDA" w:rsidRPr="00F46944">
        <w:rPr>
          <w:rFonts w:cstheme="minorHAnsi"/>
          <w:sz w:val="16"/>
          <w:szCs w:val="16"/>
        </w:rPr>
        <w:t>antimicrobial</w:t>
      </w:r>
      <w:r w:rsidRPr="00F46944">
        <w:rPr>
          <w:rFonts w:cstheme="minorHAnsi"/>
          <w:sz w:val="16"/>
          <w:szCs w:val="16"/>
        </w:rPr>
        <w:t>s dispensed through the PBS</w:t>
      </w:r>
      <w:r w:rsidR="006E3CFC" w:rsidRPr="00F46944">
        <w:rPr>
          <w:rFonts w:cstheme="minorHAnsi"/>
          <w:sz w:val="16"/>
          <w:szCs w:val="16"/>
        </w:rPr>
        <w:t>/</w:t>
      </w:r>
      <w:r w:rsidRPr="00F46944">
        <w:rPr>
          <w:rFonts w:cstheme="minorHAnsi"/>
          <w:sz w:val="16"/>
          <w:szCs w:val="16"/>
        </w:rPr>
        <w:t xml:space="preserve">RPBS; therefore, </w:t>
      </w:r>
      <w:r w:rsidR="004D2FDA" w:rsidRPr="00F46944">
        <w:rPr>
          <w:rFonts w:cstheme="minorHAnsi"/>
          <w:sz w:val="16"/>
          <w:szCs w:val="16"/>
        </w:rPr>
        <w:t>antimicrobial</w:t>
      </w:r>
      <w:r w:rsidRPr="00F46944">
        <w:rPr>
          <w:rFonts w:cstheme="minorHAnsi"/>
          <w:sz w:val="16"/>
          <w:szCs w:val="16"/>
        </w:rPr>
        <w:t>s dispensed from some inpatient and outpatient services, and some community health services, and Aboriginal and Torres Strait Islander health services may not be captured</w:t>
      </w:r>
    </w:p>
    <w:p w14:paraId="4E73F420" w14:textId="02F3F0E3" w:rsidR="00046902" w:rsidRPr="00F46944" w:rsidRDefault="00046902" w:rsidP="00D43799">
      <w:pPr>
        <w:tabs>
          <w:tab w:val="left" w:pos="142"/>
        </w:tabs>
        <w:spacing w:after="0"/>
        <w:rPr>
          <w:rFonts w:cstheme="minorHAnsi"/>
          <w:sz w:val="16"/>
          <w:szCs w:val="16"/>
        </w:rPr>
      </w:pPr>
      <w:r w:rsidRPr="00F46944">
        <w:rPr>
          <w:rFonts w:ascii="Arial" w:hAnsi="Arial" w:cs="Arial"/>
          <w:sz w:val="16"/>
          <w:szCs w:val="16"/>
          <w:vertAlign w:val="superscript"/>
        </w:rPr>
        <w:t>†</w:t>
      </w:r>
      <w:r w:rsidR="00112691">
        <w:rPr>
          <w:rFonts w:ascii="Arial" w:hAnsi="Arial" w:cs="Arial"/>
          <w:sz w:val="16"/>
          <w:szCs w:val="16"/>
          <w:vertAlign w:val="superscript"/>
        </w:rPr>
        <w:tab/>
      </w:r>
      <w:r w:rsidR="00172E00" w:rsidRPr="00F46944">
        <w:rPr>
          <w:rFonts w:cstheme="minorHAnsi"/>
          <w:sz w:val="16"/>
          <w:szCs w:val="16"/>
        </w:rPr>
        <w:t>Non-PBS/RPBS</w:t>
      </w:r>
      <w:r w:rsidR="001D49C2" w:rsidRPr="00F46944">
        <w:rPr>
          <w:rFonts w:cstheme="minorHAnsi"/>
          <w:sz w:val="16"/>
          <w:szCs w:val="16"/>
        </w:rPr>
        <w:t xml:space="preserve"> </w:t>
      </w:r>
      <w:r w:rsidRPr="00F46944">
        <w:rPr>
          <w:rFonts w:cstheme="minorHAnsi"/>
          <w:sz w:val="16"/>
          <w:szCs w:val="16"/>
        </w:rPr>
        <w:t>prescriptions are not included in this dataset</w:t>
      </w:r>
    </w:p>
    <w:p w14:paraId="208B1698" w14:textId="436D14EB" w:rsidR="00DD7BD6" w:rsidRPr="006938E2" w:rsidRDefault="00046902" w:rsidP="00D43799">
      <w:pPr>
        <w:pStyle w:val="BulletLast"/>
        <w:numPr>
          <w:ilvl w:val="0"/>
          <w:numId w:val="0"/>
        </w:numPr>
        <w:spacing w:after="0"/>
        <w:ind w:left="142" w:hanging="142"/>
        <w:rPr>
          <w:rFonts w:asciiTheme="minorHAnsi" w:hAnsiTheme="minorHAnsi" w:cstheme="minorHAnsi"/>
          <w:sz w:val="16"/>
          <w:szCs w:val="16"/>
        </w:rPr>
      </w:pPr>
      <w:r w:rsidRPr="00F46944">
        <w:rPr>
          <w:rFonts w:ascii="Arial" w:hAnsi="Arial" w:cs="Arial"/>
          <w:color w:val="auto"/>
          <w:sz w:val="16"/>
          <w:szCs w:val="16"/>
          <w:vertAlign w:val="superscript"/>
        </w:rPr>
        <w:t>§</w:t>
      </w:r>
      <w:r w:rsidR="00112691">
        <w:rPr>
          <w:rFonts w:ascii="Arial" w:hAnsi="Arial" w:cs="Arial"/>
          <w:color w:val="auto"/>
          <w:sz w:val="16"/>
          <w:szCs w:val="16"/>
          <w:vertAlign w:val="superscript"/>
        </w:rPr>
        <w:tab/>
      </w:r>
      <w:r w:rsidRPr="00F46944">
        <w:rPr>
          <w:rFonts w:asciiTheme="minorHAnsi" w:hAnsiTheme="minorHAnsi" w:cstheme="minorHAnsi"/>
          <w:sz w:val="16"/>
          <w:szCs w:val="16"/>
        </w:rPr>
        <w:t>The data do not indicate the diagnosis or condition of the patient</w:t>
      </w:r>
      <w:r w:rsidR="00DB4131" w:rsidRPr="00F46944">
        <w:rPr>
          <w:rFonts w:asciiTheme="minorHAnsi" w:hAnsiTheme="minorHAnsi" w:cstheme="minorHAnsi"/>
          <w:sz w:val="16"/>
          <w:szCs w:val="16"/>
        </w:rPr>
        <w:t xml:space="preserve"> or the indication for prescription</w:t>
      </w:r>
    </w:p>
    <w:p w14:paraId="518CF0DF" w14:textId="0074F573" w:rsidR="00046902" w:rsidRPr="00F46944" w:rsidRDefault="00046902" w:rsidP="00046902">
      <w:pPr>
        <w:pStyle w:val="BulletLast"/>
        <w:numPr>
          <w:ilvl w:val="0"/>
          <w:numId w:val="0"/>
        </w:numPr>
        <w:spacing w:after="0"/>
        <w:ind w:left="360" w:hanging="360"/>
        <w:rPr>
          <w:rFonts w:asciiTheme="minorHAnsi" w:hAnsiTheme="minorHAnsi" w:cstheme="minorHAnsi"/>
          <w:sz w:val="16"/>
          <w:szCs w:val="16"/>
        </w:rPr>
      </w:pPr>
      <w:r w:rsidRPr="00F46944">
        <w:rPr>
          <w:rFonts w:asciiTheme="minorHAnsi" w:hAnsiTheme="minorHAnsi" w:cstheme="minorHAnsi"/>
          <w:color w:val="auto"/>
          <w:sz w:val="16"/>
          <w:szCs w:val="16"/>
        </w:rPr>
        <w:t>Source: Gadzhanova, Roughead</w:t>
      </w:r>
      <w:r w:rsidR="00C95391" w:rsidRPr="00F46944">
        <w:rPr>
          <w:rFonts w:asciiTheme="minorHAnsi" w:hAnsiTheme="minorHAnsi" w:cstheme="minorHAnsi"/>
          <w:color w:val="auto"/>
          <w:sz w:val="16"/>
          <w:szCs w:val="16"/>
        </w:rPr>
        <w:fldChar w:fldCharType="begin"/>
      </w:r>
      <w:r w:rsidR="00DB0DCB">
        <w:rPr>
          <w:rFonts w:asciiTheme="minorHAnsi" w:hAnsiTheme="minorHAnsi" w:cstheme="minorHAnsi"/>
          <w:color w:val="auto"/>
          <w:sz w:val="16"/>
          <w:szCs w:val="16"/>
        </w:rPr>
        <w:instrText xml:space="preserve"> ADDIN EN.CITE &lt;EndNote&gt;&lt;Cite&gt;&lt;Author&gt;Gadzhanova&lt;/Author&gt;&lt;RecNum&gt;5&lt;/RecNum&gt;&lt;DisplayText&gt;&lt;style face="superscript"&gt;5&lt;/style&gt;&lt;/DisplayText&gt;&lt;record&gt;&lt;rec-number&gt;5&lt;/rec-number&gt;&lt;foreign-keys&gt;&lt;key app="EN" db-id="es9dr99ws90stoe5x2rp505nazvswdzppxa5" timestamp="1670810539"&gt;5&lt;/key&gt;&lt;/foreign-keys&gt;&lt;ref-type name="Unpublished Work"&gt;34&lt;/ref-type&gt;&lt;contributors&gt;&lt;authors&gt;&lt;author&gt;Gadzhanova, S.&lt;/author&gt;&lt;author&gt;Roughead, E.&lt;/author&gt;&lt;/authors&gt;&lt;/contributors&gt;&lt;titles&gt;&lt;title&gt;Analysis of 2015–2021 PBS data for the National Report on Antimicrobial Use and Resistance (unpublished)&lt;/title&gt;&lt;/titles&gt;&lt;dates&gt;&lt;/dates&gt;&lt;pub-location&gt;Sydney &lt;/pub-location&gt;&lt;publisher&gt;ACSQHC &lt;/publisher&gt;&lt;urls&gt;&lt;/urls&gt;&lt;/record&gt;&lt;/Cite&gt;&lt;/EndNote&gt;</w:instrText>
      </w:r>
      <w:r w:rsidR="00C95391" w:rsidRPr="00F46944">
        <w:rPr>
          <w:rFonts w:asciiTheme="minorHAnsi" w:hAnsiTheme="minorHAnsi" w:cstheme="minorHAnsi"/>
          <w:color w:val="auto"/>
          <w:sz w:val="16"/>
          <w:szCs w:val="16"/>
        </w:rPr>
        <w:fldChar w:fldCharType="separate"/>
      </w:r>
      <w:r w:rsidR="001C0A42" w:rsidRPr="001C0A42">
        <w:rPr>
          <w:rFonts w:asciiTheme="minorHAnsi" w:hAnsiTheme="minorHAnsi" w:cstheme="minorHAnsi"/>
          <w:noProof/>
          <w:color w:val="auto"/>
          <w:sz w:val="16"/>
          <w:szCs w:val="16"/>
          <w:vertAlign w:val="superscript"/>
        </w:rPr>
        <w:t>5</w:t>
      </w:r>
      <w:r w:rsidR="00C95391" w:rsidRPr="00F46944">
        <w:rPr>
          <w:rFonts w:asciiTheme="minorHAnsi" w:hAnsiTheme="minorHAnsi" w:cstheme="minorHAnsi"/>
          <w:color w:val="auto"/>
          <w:sz w:val="16"/>
          <w:szCs w:val="16"/>
        </w:rPr>
        <w:fldChar w:fldCharType="end"/>
      </w:r>
      <w:r w:rsidR="001E361F" w:rsidRPr="00F46944" w:rsidDel="001E361F">
        <w:rPr>
          <w:rFonts w:asciiTheme="minorHAnsi" w:hAnsiTheme="minorHAnsi" w:cstheme="minorHAnsi"/>
          <w:color w:val="auto"/>
          <w:sz w:val="16"/>
          <w:szCs w:val="16"/>
        </w:rPr>
        <w:t xml:space="preserve"> </w:t>
      </w:r>
    </w:p>
    <w:bookmarkEnd w:id="32"/>
    <w:p w14:paraId="455ACDC9" w14:textId="4D56D703" w:rsidR="00445A19" w:rsidRDefault="00445A19" w:rsidP="0016537F">
      <w:pPr>
        <w:pStyle w:val="Heading4"/>
        <w:rPr>
          <w:rFonts w:asciiTheme="majorHAnsi" w:hAnsiTheme="majorHAnsi" w:cstheme="majorHAnsi"/>
        </w:rPr>
      </w:pPr>
      <w:r w:rsidRPr="00F46944">
        <w:rPr>
          <w:rFonts w:asciiTheme="majorHAnsi" w:hAnsiTheme="majorHAnsi" w:cstheme="majorHAnsi"/>
        </w:rPr>
        <w:t>Data development and analysis</w:t>
      </w:r>
    </w:p>
    <w:p w14:paraId="6506C989" w14:textId="35623922" w:rsidR="003F5F96" w:rsidRDefault="003F5F96" w:rsidP="003F5F96">
      <w:pPr>
        <w:rPr>
          <w:rFonts w:cstheme="minorHAnsi"/>
        </w:rPr>
      </w:pPr>
      <w:r w:rsidRPr="00F46944">
        <w:rPr>
          <w:rFonts w:cstheme="minorHAnsi"/>
        </w:rPr>
        <w:t xml:space="preserve">The antimicrobials included in the analyses presented in this report are shown </w:t>
      </w:r>
      <w:r w:rsidRPr="0066435A">
        <w:rPr>
          <w:rFonts w:cstheme="minorHAnsi"/>
        </w:rPr>
        <w:t xml:space="preserve">in </w:t>
      </w:r>
      <w:r w:rsidRPr="00D43799">
        <w:rPr>
          <w:rFonts w:cstheme="minorHAnsi"/>
        </w:rPr>
        <w:t>Table 2</w:t>
      </w:r>
      <w:r>
        <w:rPr>
          <w:rFonts w:cstheme="minorHAnsi"/>
        </w:rPr>
        <w:t xml:space="preserve"> and are referred to as ‘all antimicrobials’ (see </w:t>
      </w:r>
      <w:r w:rsidRPr="00D43799">
        <w:rPr>
          <w:rFonts w:cstheme="minorHAnsi"/>
        </w:rPr>
        <w:t xml:space="preserve">Appendix </w:t>
      </w:r>
      <w:r w:rsidR="0048693D">
        <w:rPr>
          <w:rFonts w:cstheme="minorHAnsi"/>
        </w:rPr>
        <w:t>2</w:t>
      </w:r>
      <w:r>
        <w:rPr>
          <w:rFonts w:cstheme="minorHAnsi"/>
        </w:rPr>
        <w:t>)</w:t>
      </w:r>
      <w:r w:rsidRPr="00F46944">
        <w:rPr>
          <w:rFonts w:cstheme="minorHAnsi"/>
        </w:rPr>
        <w:t>.</w:t>
      </w:r>
    </w:p>
    <w:p w14:paraId="506E75D1" w14:textId="12576FB0" w:rsidR="00E32452" w:rsidRDefault="003F5F96" w:rsidP="003F5F96">
      <w:pPr>
        <w:rPr>
          <w:rFonts w:cstheme="minorHAnsi"/>
        </w:rPr>
      </w:pPr>
      <w:r w:rsidRPr="00F46944">
        <w:rPr>
          <w:rFonts w:cstheme="minorHAnsi"/>
        </w:rPr>
        <w:t>Th</w:t>
      </w:r>
      <w:r>
        <w:rPr>
          <w:rFonts w:cstheme="minorHAnsi"/>
        </w:rPr>
        <w:t xml:space="preserve">e </w:t>
      </w:r>
      <w:r w:rsidRPr="00F46944">
        <w:rPr>
          <w:rFonts w:cstheme="minorHAnsi"/>
        </w:rPr>
        <w:t xml:space="preserve">codes </w:t>
      </w:r>
      <w:r>
        <w:rPr>
          <w:rFonts w:cstheme="minorHAnsi"/>
        </w:rPr>
        <w:t xml:space="preserve">in addition to J01 antimicrobials ensure </w:t>
      </w:r>
      <w:r w:rsidRPr="00F46944">
        <w:rPr>
          <w:rFonts w:cstheme="minorHAnsi"/>
        </w:rPr>
        <w:t xml:space="preserve">that data on important agents, such as topical fluoroquinolones, were captured to better reflect antimicrobial exposure in the community and resistance selection pressure. </w:t>
      </w:r>
    </w:p>
    <w:p w14:paraId="3F647A58" w14:textId="77777777" w:rsidR="00E32452" w:rsidRDefault="00E32452">
      <w:pPr>
        <w:spacing w:after="80"/>
        <w:rPr>
          <w:rFonts w:cstheme="minorHAnsi"/>
        </w:rPr>
      </w:pPr>
      <w:r>
        <w:rPr>
          <w:rFonts w:cstheme="minorHAnsi"/>
        </w:rPr>
        <w:br w:type="page"/>
      </w:r>
    </w:p>
    <w:p w14:paraId="38AAC617" w14:textId="64F73D24" w:rsidR="003F5F96" w:rsidRPr="00625242" w:rsidRDefault="00625242" w:rsidP="00625242">
      <w:pPr>
        <w:pStyle w:val="Captions"/>
        <w:rPr>
          <w:b w:val="0"/>
          <w:bCs w:val="0"/>
        </w:rPr>
      </w:pPr>
      <w:bookmarkStart w:id="33" w:name="_Toc121744362"/>
      <w:bookmarkStart w:id="34" w:name="_Toc121491302"/>
      <w:r>
        <w:lastRenderedPageBreak/>
        <w:t>Table</w:t>
      </w:r>
      <w:r w:rsidRPr="00F46944">
        <w:t> </w:t>
      </w:r>
      <w:fldSimple w:instr=" SEQ Table \* ARABIC ">
        <w:r w:rsidR="00F34DDD">
          <w:rPr>
            <w:noProof/>
          </w:rPr>
          <w:t>2</w:t>
        </w:r>
      </w:fldSimple>
      <w:r w:rsidR="003F5F96" w:rsidRPr="00F46944">
        <w:t>:</w:t>
      </w:r>
      <w:r w:rsidR="003F5F96" w:rsidRPr="00625242">
        <w:rPr>
          <w:b w:val="0"/>
          <w:bCs w:val="0"/>
        </w:rPr>
        <w:t> Antimicrobials included in the analyses of PBS/RPBS data, 2015–2021</w:t>
      </w:r>
      <w:bookmarkEnd w:id="33"/>
      <w:bookmarkEnd w:id="34"/>
    </w:p>
    <w:tbl>
      <w:tblPr>
        <w:tblW w:w="9079" w:type="dxa"/>
        <w:tblInd w:w="108" w:type="dxa"/>
        <w:tblLook w:val="04A0" w:firstRow="1" w:lastRow="0" w:firstColumn="1" w:lastColumn="0" w:noHBand="0" w:noVBand="1"/>
      </w:tblPr>
      <w:tblGrid>
        <w:gridCol w:w="2381"/>
        <w:gridCol w:w="6698"/>
      </w:tblGrid>
      <w:tr w:rsidR="003F5F96" w:rsidRPr="00F46944" w14:paraId="38C99FF7" w14:textId="77777777" w:rsidTr="00D77422">
        <w:trPr>
          <w:trHeight w:val="328"/>
        </w:trPr>
        <w:tc>
          <w:tcPr>
            <w:tcW w:w="2381" w:type="dxa"/>
            <w:tcBorders>
              <w:top w:val="single" w:sz="4" w:space="0" w:color="auto"/>
              <w:left w:val="nil"/>
              <w:bottom w:val="single" w:sz="4" w:space="0" w:color="auto"/>
              <w:right w:val="nil"/>
            </w:tcBorders>
            <w:shd w:val="clear" w:color="auto" w:fill="F1BBA8" w:themeFill="accent5" w:themeFillTint="66"/>
            <w:vAlign w:val="center"/>
            <w:hideMark/>
          </w:tcPr>
          <w:p w14:paraId="0A7E412B" w14:textId="77777777" w:rsidR="003F5F96" w:rsidRPr="00F46944" w:rsidRDefault="003F5F96" w:rsidP="00D77422">
            <w:pPr>
              <w:spacing w:after="0"/>
              <w:rPr>
                <w:rFonts w:ascii="Arial" w:hAnsi="Arial" w:cs="Arial"/>
                <w:b/>
                <w:bCs/>
                <w:color w:val="000000"/>
                <w:sz w:val="20"/>
                <w:szCs w:val="20"/>
              </w:rPr>
            </w:pPr>
            <w:r w:rsidRPr="00F46944">
              <w:rPr>
                <w:rFonts w:ascii="Arial" w:hAnsi="Arial" w:cstheme="minorHAnsi"/>
                <w:b/>
                <w:bCs/>
                <w:color w:val="000000"/>
                <w:sz w:val="20"/>
                <w:szCs w:val="20"/>
              </w:rPr>
              <w:t>ATC codes</w:t>
            </w:r>
          </w:p>
        </w:tc>
        <w:tc>
          <w:tcPr>
            <w:tcW w:w="6698" w:type="dxa"/>
            <w:tcBorders>
              <w:top w:val="single" w:sz="4" w:space="0" w:color="auto"/>
              <w:left w:val="nil"/>
              <w:bottom w:val="single" w:sz="4" w:space="0" w:color="auto"/>
              <w:right w:val="nil"/>
            </w:tcBorders>
            <w:shd w:val="clear" w:color="auto" w:fill="F1BBA8" w:themeFill="accent5" w:themeFillTint="66"/>
            <w:vAlign w:val="center"/>
            <w:hideMark/>
          </w:tcPr>
          <w:p w14:paraId="2896B5CF" w14:textId="77777777" w:rsidR="003F5F96" w:rsidRPr="00F46944" w:rsidRDefault="003F5F96" w:rsidP="00D77422">
            <w:pPr>
              <w:spacing w:after="0"/>
              <w:rPr>
                <w:rFonts w:ascii="Arial" w:hAnsi="Arial" w:cs="Arial"/>
                <w:b/>
                <w:bCs/>
                <w:color w:val="000000"/>
                <w:sz w:val="20"/>
                <w:szCs w:val="20"/>
              </w:rPr>
            </w:pPr>
            <w:r w:rsidRPr="00F46944">
              <w:rPr>
                <w:rFonts w:ascii="Arial" w:hAnsi="Arial" w:cstheme="minorHAnsi"/>
                <w:b/>
                <w:bCs/>
                <w:color w:val="000000"/>
                <w:sz w:val="20"/>
                <w:szCs w:val="20"/>
              </w:rPr>
              <w:t>Description</w:t>
            </w:r>
          </w:p>
        </w:tc>
      </w:tr>
      <w:tr w:rsidR="003F5F96" w:rsidRPr="00F46944" w14:paraId="5416DB97" w14:textId="77777777" w:rsidTr="00D77422">
        <w:trPr>
          <w:trHeight w:val="328"/>
        </w:trPr>
        <w:tc>
          <w:tcPr>
            <w:tcW w:w="2381" w:type="dxa"/>
            <w:tcBorders>
              <w:top w:val="nil"/>
              <w:left w:val="nil"/>
              <w:bottom w:val="single" w:sz="4" w:space="0" w:color="auto"/>
              <w:right w:val="nil"/>
            </w:tcBorders>
            <w:shd w:val="clear" w:color="auto" w:fill="auto"/>
            <w:vAlign w:val="center"/>
            <w:hideMark/>
          </w:tcPr>
          <w:p w14:paraId="2A0A9170" w14:textId="77777777" w:rsidR="003F5F96" w:rsidRPr="00F46944" w:rsidRDefault="003F5F96" w:rsidP="00D77422">
            <w:pPr>
              <w:spacing w:after="0"/>
              <w:rPr>
                <w:rFonts w:ascii="Arial" w:hAnsi="Arial" w:cs="Arial"/>
                <w:color w:val="000000"/>
                <w:sz w:val="20"/>
                <w:szCs w:val="20"/>
              </w:rPr>
            </w:pPr>
            <w:r w:rsidRPr="00F46944">
              <w:rPr>
                <w:rFonts w:ascii="Arial" w:hAnsi="Arial" w:cstheme="minorHAnsi"/>
                <w:color w:val="000000"/>
                <w:sz w:val="20"/>
                <w:szCs w:val="20"/>
              </w:rPr>
              <w:t>J01</w:t>
            </w:r>
          </w:p>
        </w:tc>
        <w:tc>
          <w:tcPr>
            <w:tcW w:w="6698" w:type="dxa"/>
            <w:tcBorders>
              <w:top w:val="nil"/>
              <w:left w:val="nil"/>
              <w:bottom w:val="single" w:sz="4" w:space="0" w:color="auto"/>
              <w:right w:val="nil"/>
            </w:tcBorders>
            <w:shd w:val="clear" w:color="auto" w:fill="auto"/>
            <w:vAlign w:val="center"/>
            <w:hideMark/>
          </w:tcPr>
          <w:p w14:paraId="727A2CD5" w14:textId="77777777" w:rsidR="003F5F96" w:rsidRPr="00F46944" w:rsidRDefault="003F5F96" w:rsidP="00D77422">
            <w:pPr>
              <w:spacing w:after="0"/>
              <w:rPr>
                <w:rFonts w:ascii="Arial" w:hAnsi="Arial" w:cs="Arial"/>
                <w:color w:val="000000"/>
                <w:sz w:val="20"/>
                <w:szCs w:val="20"/>
              </w:rPr>
            </w:pPr>
            <w:proofErr w:type="spellStart"/>
            <w:r w:rsidRPr="00F46944">
              <w:rPr>
                <w:rFonts w:ascii="Arial" w:hAnsi="Arial" w:cstheme="minorHAnsi"/>
                <w:color w:val="000000"/>
                <w:sz w:val="20"/>
                <w:szCs w:val="20"/>
              </w:rPr>
              <w:t>Antibacterials</w:t>
            </w:r>
            <w:proofErr w:type="spellEnd"/>
            <w:r w:rsidRPr="00F46944">
              <w:rPr>
                <w:rFonts w:ascii="Arial" w:hAnsi="Arial" w:cstheme="minorHAnsi"/>
                <w:color w:val="000000"/>
                <w:sz w:val="20"/>
                <w:szCs w:val="20"/>
              </w:rPr>
              <w:t xml:space="preserve"> for systemic use</w:t>
            </w:r>
          </w:p>
        </w:tc>
      </w:tr>
      <w:tr w:rsidR="003F5F96" w:rsidRPr="00F46944" w14:paraId="19EF72F6" w14:textId="77777777" w:rsidTr="00D77422">
        <w:trPr>
          <w:trHeight w:val="328"/>
        </w:trPr>
        <w:tc>
          <w:tcPr>
            <w:tcW w:w="2381" w:type="dxa"/>
            <w:tcBorders>
              <w:top w:val="nil"/>
              <w:left w:val="nil"/>
              <w:bottom w:val="single" w:sz="4" w:space="0" w:color="auto"/>
              <w:right w:val="nil"/>
            </w:tcBorders>
            <w:shd w:val="clear" w:color="auto" w:fill="auto"/>
            <w:vAlign w:val="center"/>
            <w:hideMark/>
          </w:tcPr>
          <w:p w14:paraId="0BF32592" w14:textId="77777777" w:rsidR="003F5F96" w:rsidRPr="00F46944" w:rsidRDefault="003F5F96" w:rsidP="00D77422">
            <w:pPr>
              <w:spacing w:after="0"/>
              <w:rPr>
                <w:rFonts w:ascii="Arial" w:hAnsi="Arial" w:cs="Arial"/>
                <w:color w:val="000000"/>
                <w:sz w:val="20"/>
                <w:szCs w:val="20"/>
              </w:rPr>
            </w:pPr>
            <w:r w:rsidRPr="00F46944">
              <w:rPr>
                <w:rFonts w:ascii="Arial" w:hAnsi="Arial" w:cstheme="minorHAnsi"/>
                <w:color w:val="000000"/>
                <w:sz w:val="20"/>
                <w:szCs w:val="20"/>
              </w:rPr>
              <w:t>A02BD</w:t>
            </w:r>
          </w:p>
        </w:tc>
        <w:tc>
          <w:tcPr>
            <w:tcW w:w="6698" w:type="dxa"/>
            <w:tcBorders>
              <w:top w:val="nil"/>
              <w:left w:val="nil"/>
              <w:bottom w:val="single" w:sz="4" w:space="0" w:color="auto"/>
              <w:right w:val="nil"/>
            </w:tcBorders>
            <w:shd w:val="clear" w:color="auto" w:fill="auto"/>
            <w:vAlign w:val="center"/>
            <w:hideMark/>
          </w:tcPr>
          <w:p w14:paraId="09F5133B" w14:textId="77777777" w:rsidR="003F5F96" w:rsidRPr="00F46944" w:rsidRDefault="003F5F96" w:rsidP="00D77422">
            <w:pPr>
              <w:spacing w:after="0"/>
              <w:rPr>
                <w:rFonts w:ascii="Arial" w:hAnsi="Arial" w:cs="Arial"/>
                <w:color w:val="000000"/>
                <w:sz w:val="20"/>
                <w:szCs w:val="20"/>
              </w:rPr>
            </w:pPr>
            <w:r w:rsidRPr="00F46944">
              <w:rPr>
                <w:rFonts w:ascii="Arial" w:hAnsi="Arial" w:cstheme="minorHAnsi"/>
                <w:color w:val="000000"/>
                <w:sz w:val="20"/>
                <w:szCs w:val="20"/>
              </w:rPr>
              <w:t xml:space="preserve">Combinations for eradication of </w:t>
            </w:r>
            <w:r w:rsidRPr="00F46944">
              <w:rPr>
                <w:rFonts w:ascii="Arial" w:hAnsi="Arial" w:cs="Arial"/>
                <w:i/>
                <w:iCs/>
                <w:color w:val="000000"/>
                <w:sz w:val="20"/>
                <w:szCs w:val="20"/>
              </w:rPr>
              <w:t>Helicobacter pylori</w:t>
            </w:r>
          </w:p>
        </w:tc>
      </w:tr>
      <w:tr w:rsidR="003F5F96" w:rsidRPr="00F46944" w14:paraId="660FDFFD" w14:textId="77777777" w:rsidTr="00D77422">
        <w:trPr>
          <w:trHeight w:val="328"/>
        </w:trPr>
        <w:tc>
          <w:tcPr>
            <w:tcW w:w="2381" w:type="dxa"/>
            <w:tcBorders>
              <w:top w:val="nil"/>
              <w:left w:val="nil"/>
              <w:bottom w:val="single" w:sz="4" w:space="0" w:color="auto"/>
              <w:right w:val="nil"/>
            </w:tcBorders>
            <w:shd w:val="clear" w:color="auto" w:fill="auto"/>
            <w:vAlign w:val="center"/>
            <w:hideMark/>
          </w:tcPr>
          <w:p w14:paraId="121A0782" w14:textId="77777777" w:rsidR="003F5F96" w:rsidRPr="00F46944" w:rsidRDefault="003F5F96" w:rsidP="00D77422">
            <w:pPr>
              <w:spacing w:after="0"/>
              <w:rPr>
                <w:rFonts w:ascii="Arial" w:hAnsi="Arial" w:cs="Arial"/>
                <w:color w:val="000000"/>
                <w:sz w:val="20"/>
                <w:szCs w:val="20"/>
              </w:rPr>
            </w:pPr>
            <w:r w:rsidRPr="00F46944">
              <w:rPr>
                <w:rFonts w:ascii="Arial" w:hAnsi="Arial" w:cstheme="minorHAnsi"/>
                <w:color w:val="000000"/>
                <w:sz w:val="20"/>
                <w:szCs w:val="20"/>
              </w:rPr>
              <w:t>A07AA09</w:t>
            </w:r>
          </w:p>
        </w:tc>
        <w:tc>
          <w:tcPr>
            <w:tcW w:w="6698" w:type="dxa"/>
            <w:tcBorders>
              <w:top w:val="nil"/>
              <w:left w:val="nil"/>
              <w:bottom w:val="single" w:sz="4" w:space="0" w:color="auto"/>
              <w:right w:val="nil"/>
            </w:tcBorders>
            <w:shd w:val="clear" w:color="auto" w:fill="auto"/>
            <w:vAlign w:val="center"/>
            <w:hideMark/>
          </w:tcPr>
          <w:p w14:paraId="0B9ECC4A" w14:textId="77777777" w:rsidR="003F5F96" w:rsidRPr="00F46944" w:rsidRDefault="003F5F96" w:rsidP="00D77422">
            <w:pPr>
              <w:spacing w:after="0"/>
              <w:rPr>
                <w:rFonts w:ascii="Arial" w:hAnsi="Arial" w:cs="Arial"/>
                <w:color w:val="000000"/>
                <w:sz w:val="20"/>
                <w:szCs w:val="20"/>
              </w:rPr>
            </w:pPr>
            <w:r w:rsidRPr="00F46944">
              <w:rPr>
                <w:rFonts w:ascii="Arial" w:hAnsi="Arial" w:cstheme="minorHAnsi"/>
                <w:color w:val="000000"/>
                <w:sz w:val="20"/>
                <w:szCs w:val="20"/>
              </w:rPr>
              <w:t>Vancomycin (intestinal anti-infectives)</w:t>
            </w:r>
          </w:p>
        </w:tc>
      </w:tr>
      <w:tr w:rsidR="003F5F96" w:rsidRPr="00F46944" w14:paraId="55F1FA29" w14:textId="77777777" w:rsidTr="00D77422">
        <w:trPr>
          <w:trHeight w:val="328"/>
        </w:trPr>
        <w:tc>
          <w:tcPr>
            <w:tcW w:w="2381" w:type="dxa"/>
            <w:tcBorders>
              <w:top w:val="nil"/>
              <w:left w:val="nil"/>
              <w:bottom w:val="single" w:sz="4" w:space="0" w:color="auto"/>
              <w:right w:val="nil"/>
            </w:tcBorders>
            <w:shd w:val="clear" w:color="auto" w:fill="auto"/>
            <w:vAlign w:val="center"/>
            <w:hideMark/>
          </w:tcPr>
          <w:p w14:paraId="0A10D417" w14:textId="77777777" w:rsidR="003F5F96" w:rsidRPr="00F46944" w:rsidRDefault="003F5F96" w:rsidP="00D77422">
            <w:pPr>
              <w:spacing w:after="0"/>
              <w:rPr>
                <w:rFonts w:ascii="Arial" w:hAnsi="Arial" w:cs="Arial"/>
                <w:color w:val="000000"/>
                <w:sz w:val="20"/>
                <w:szCs w:val="20"/>
              </w:rPr>
            </w:pPr>
            <w:r w:rsidRPr="00F46944">
              <w:rPr>
                <w:rFonts w:ascii="Arial" w:hAnsi="Arial" w:cstheme="minorHAnsi"/>
                <w:color w:val="000000"/>
                <w:sz w:val="20"/>
                <w:szCs w:val="20"/>
              </w:rPr>
              <w:t>A07AA11</w:t>
            </w:r>
          </w:p>
        </w:tc>
        <w:tc>
          <w:tcPr>
            <w:tcW w:w="6698" w:type="dxa"/>
            <w:tcBorders>
              <w:top w:val="nil"/>
              <w:left w:val="nil"/>
              <w:bottom w:val="single" w:sz="4" w:space="0" w:color="auto"/>
              <w:right w:val="nil"/>
            </w:tcBorders>
            <w:shd w:val="clear" w:color="auto" w:fill="auto"/>
            <w:vAlign w:val="center"/>
            <w:hideMark/>
          </w:tcPr>
          <w:p w14:paraId="42A52E67" w14:textId="77777777" w:rsidR="003F5F96" w:rsidRPr="00F46944" w:rsidRDefault="003F5F96" w:rsidP="00D77422">
            <w:pPr>
              <w:spacing w:after="0"/>
              <w:rPr>
                <w:rFonts w:ascii="Arial" w:hAnsi="Arial" w:cs="Arial"/>
                <w:color w:val="000000"/>
                <w:sz w:val="20"/>
                <w:szCs w:val="20"/>
              </w:rPr>
            </w:pPr>
            <w:r w:rsidRPr="00F46944">
              <w:rPr>
                <w:rFonts w:ascii="Arial" w:hAnsi="Arial" w:cstheme="minorHAnsi"/>
                <w:color w:val="000000"/>
                <w:sz w:val="20"/>
                <w:szCs w:val="20"/>
              </w:rPr>
              <w:t>Rifaximin (intestinal anti-infectives)</w:t>
            </w:r>
          </w:p>
        </w:tc>
      </w:tr>
      <w:tr w:rsidR="003F5F96" w:rsidRPr="00F46944" w14:paraId="2E737A1A" w14:textId="77777777" w:rsidTr="00D77422">
        <w:trPr>
          <w:trHeight w:val="328"/>
        </w:trPr>
        <w:tc>
          <w:tcPr>
            <w:tcW w:w="2381" w:type="dxa"/>
            <w:tcBorders>
              <w:top w:val="nil"/>
              <w:left w:val="nil"/>
              <w:bottom w:val="single" w:sz="4" w:space="0" w:color="auto"/>
              <w:right w:val="nil"/>
            </w:tcBorders>
            <w:shd w:val="clear" w:color="auto" w:fill="auto"/>
            <w:vAlign w:val="center"/>
            <w:hideMark/>
          </w:tcPr>
          <w:p w14:paraId="3F16E171" w14:textId="77777777" w:rsidR="003F5F96" w:rsidRPr="00F46944" w:rsidRDefault="003F5F96" w:rsidP="00D77422">
            <w:pPr>
              <w:spacing w:after="0"/>
              <w:rPr>
                <w:rFonts w:ascii="Arial" w:hAnsi="Arial" w:cs="Arial"/>
                <w:color w:val="000000"/>
                <w:sz w:val="20"/>
                <w:szCs w:val="20"/>
              </w:rPr>
            </w:pPr>
            <w:r w:rsidRPr="00F46944">
              <w:rPr>
                <w:rFonts w:ascii="Arial" w:hAnsi="Arial" w:cstheme="minorHAnsi"/>
                <w:color w:val="000000"/>
                <w:sz w:val="20"/>
                <w:szCs w:val="20"/>
              </w:rPr>
              <w:t>D06AX09</w:t>
            </w:r>
          </w:p>
        </w:tc>
        <w:tc>
          <w:tcPr>
            <w:tcW w:w="6698" w:type="dxa"/>
            <w:tcBorders>
              <w:top w:val="nil"/>
              <w:left w:val="nil"/>
              <w:bottom w:val="single" w:sz="4" w:space="0" w:color="auto"/>
              <w:right w:val="nil"/>
            </w:tcBorders>
            <w:shd w:val="clear" w:color="auto" w:fill="auto"/>
            <w:vAlign w:val="center"/>
            <w:hideMark/>
          </w:tcPr>
          <w:p w14:paraId="6BD39120" w14:textId="77777777" w:rsidR="003F5F96" w:rsidRPr="00F46944" w:rsidRDefault="003F5F96" w:rsidP="00D77422">
            <w:pPr>
              <w:spacing w:after="0"/>
              <w:rPr>
                <w:rFonts w:ascii="Arial" w:hAnsi="Arial" w:cs="Arial"/>
                <w:color w:val="000000"/>
                <w:sz w:val="20"/>
                <w:szCs w:val="20"/>
              </w:rPr>
            </w:pPr>
            <w:r w:rsidRPr="00F46944">
              <w:rPr>
                <w:rFonts w:ascii="Arial" w:hAnsi="Arial" w:cstheme="minorHAnsi"/>
                <w:color w:val="000000"/>
                <w:sz w:val="20"/>
                <w:szCs w:val="20"/>
              </w:rPr>
              <w:t>Mupirocin (cream/ointment, RPBS)</w:t>
            </w:r>
          </w:p>
        </w:tc>
      </w:tr>
      <w:tr w:rsidR="003F5F96" w:rsidRPr="00F46944" w14:paraId="33A18B30" w14:textId="77777777" w:rsidTr="00D77422">
        <w:trPr>
          <w:trHeight w:val="328"/>
        </w:trPr>
        <w:tc>
          <w:tcPr>
            <w:tcW w:w="2381" w:type="dxa"/>
            <w:tcBorders>
              <w:top w:val="nil"/>
              <w:left w:val="nil"/>
              <w:bottom w:val="single" w:sz="4" w:space="0" w:color="auto"/>
              <w:right w:val="nil"/>
            </w:tcBorders>
            <w:shd w:val="clear" w:color="auto" w:fill="auto"/>
            <w:vAlign w:val="center"/>
            <w:hideMark/>
          </w:tcPr>
          <w:p w14:paraId="1F200C7E" w14:textId="77777777" w:rsidR="003F5F96" w:rsidRPr="00F46944" w:rsidRDefault="003F5F96" w:rsidP="00D77422">
            <w:pPr>
              <w:spacing w:after="0"/>
              <w:rPr>
                <w:rFonts w:ascii="Arial" w:hAnsi="Arial" w:cs="Arial"/>
                <w:color w:val="000000"/>
                <w:sz w:val="20"/>
                <w:szCs w:val="20"/>
              </w:rPr>
            </w:pPr>
            <w:r w:rsidRPr="00F46944">
              <w:rPr>
                <w:rFonts w:ascii="Arial" w:hAnsi="Arial" w:cstheme="minorHAnsi"/>
                <w:color w:val="000000"/>
                <w:sz w:val="20"/>
                <w:szCs w:val="20"/>
              </w:rPr>
              <w:t>D06BA01</w:t>
            </w:r>
          </w:p>
        </w:tc>
        <w:tc>
          <w:tcPr>
            <w:tcW w:w="6698" w:type="dxa"/>
            <w:tcBorders>
              <w:top w:val="nil"/>
              <w:left w:val="nil"/>
              <w:bottom w:val="single" w:sz="4" w:space="0" w:color="auto"/>
              <w:right w:val="nil"/>
            </w:tcBorders>
            <w:shd w:val="clear" w:color="auto" w:fill="auto"/>
            <w:vAlign w:val="center"/>
            <w:hideMark/>
          </w:tcPr>
          <w:p w14:paraId="2B8BF778" w14:textId="77777777" w:rsidR="003F5F96" w:rsidRPr="00F46944" w:rsidRDefault="003F5F96" w:rsidP="00D77422">
            <w:pPr>
              <w:spacing w:after="0"/>
              <w:rPr>
                <w:rFonts w:ascii="Arial" w:hAnsi="Arial" w:cs="Arial"/>
                <w:color w:val="000000"/>
                <w:sz w:val="20"/>
                <w:szCs w:val="20"/>
              </w:rPr>
            </w:pPr>
            <w:r w:rsidRPr="00F46944">
              <w:rPr>
                <w:rFonts w:ascii="Arial" w:hAnsi="Arial" w:cstheme="minorHAnsi"/>
                <w:color w:val="000000"/>
                <w:sz w:val="20"/>
                <w:szCs w:val="20"/>
              </w:rPr>
              <w:t>Sulfadiazine silver (cream)</w:t>
            </w:r>
          </w:p>
        </w:tc>
      </w:tr>
      <w:tr w:rsidR="003F5F96" w:rsidRPr="00F46944" w14:paraId="69CAD792" w14:textId="77777777" w:rsidTr="00D77422">
        <w:trPr>
          <w:trHeight w:val="328"/>
        </w:trPr>
        <w:tc>
          <w:tcPr>
            <w:tcW w:w="2381" w:type="dxa"/>
            <w:tcBorders>
              <w:top w:val="nil"/>
              <w:left w:val="nil"/>
              <w:bottom w:val="single" w:sz="4" w:space="0" w:color="auto"/>
              <w:right w:val="nil"/>
            </w:tcBorders>
            <w:shd w:val="clear" w:color="auto" w:fill="auto"/>
            <w:vAlign w:val="center"/>
            <w:hideMark/>
          </w:tcPr>
          <w:p w14:paraId="57658D0C" w14:textId="77777777" w:rsidR="003F5F96" w:rsidRPr="00F46944" w:rsidRDefault="003F5F96" w:rsidP="00D77422">
            <w:pPr>
              <w:spacing w:after="0"/>
              <w:rPr>
                <w:rFonts w:ascii="Arial" w:hAnsi="Arial" w:cs="Arial"/>
                <w:color w:val="000000"/>
                <w:sz w:val="20"/>
                <w:szCs w:val="20"/>
              </w:rPr>
            </w:pPr>
            <w:r w:rsidRPr="00F46944">
              <w:rPr>
                <w:rFonts w:ascii="Arial" w:hAnsi="Arial" w:cstheme="minorHAnsi"/>
                <w:color w:val="000000"/>
                <w:sz w:val="20"/>
                <w:szCs w:val="20"/>
              </w:rPr>
              <w:t>S01AA01, S01AA11, S01AA12</w:t>
            </w:r>
          </w:p>
        </w:tc>
        <w:tc>
          <w:tcPr>
            <w:tcW w:w="6698" w:type="dxa"/>
            <w:tcBorders>
              <w:top w:val="nil"/>
              <w:left w:val="nil"/>
              <w:bottom w:val="single" w:sz="4" w:space="0" w:color="auto"/>
              <w:right w:val="nil"/>
            </w:tcBorders>
            <w:shd w:val="clear" w:color="auto" w:fill="auto"/>
            <w:vAlign w:val="center"/>
            <w:hideMark/>
          </w:tcPr>
          <w:p w14:paraId="6DE0F2AD" w14:textId="77777777" w:rsidR="003F5F96" w:rsidRPr="00F46944" w:rsidRDefault="003F5F96" w:rsidP="00D77422">
            <w:pPr>
              <w:spacing w:after="0"/>
              <w:rPr>
                <w:rFonts w:ascii="Arial" w:hAnsi="Arial" w:cs="Arial"/>
                <w:color w:val="000000"/>
                <w:sz w:val="20"/>
                <w:szCs w:val="20"/>
              </w:rPr>
            </w:pPr>
            <w:r w:rsidRPr="00F46944">
              <w:rPr>
                <w:rFonts w:ascii="Arial" w:hAnsi="Arial" w:cstheme="minorHAnsi"/>
                <w:color w:val="000000"/>
                <w:sz w:val="20"/>
                <w:szCs w:val="20"/>
              </w:rPr>
              <w:t>Ophthalmological antibiotics: gentamicin, chloramphenicol, tobramycin</w:t>
            </w:r>
          </w:p>
        </w:tc>
      </w:tr>
      <w:tr w:rsidR="003F5F96" w:rsidRPr="00F46944" w14:paraId="2E7F9C0E" w14:textId="77777777" w:rsidTr="00D77422">
        <w:trPr>
          <w:trHeight w:val="328"/>
        </w:trPr>
        <w:tc>
          <w:tcPr>
            <w:tcW w:w="2381" w:type="dxa"/>
            <w:tcBorders>
              <w:top w:val="nil"/>
              <w:left w:val="nil"/>
              <w:bottom w:val="single" w:sz="4" w:space="0" w:color="auto"/>
              <w:right w:val="nil"/>
            </w:tcBorders>
            <w:shd w:val="clear" w:color="auto" w:fill="auto"/>
            <w:vAlign w:val="center"/>
            <w:hideMark/>
          </w:tcPr>
          <w:p w14:paraId="25BCFEA4" w14:textId="77777777" w:rsidR="003F5F96" w:rsidRPr="00F46944" w:rsidRDefault="003F5F96" w:rsidP="00D77422">
            <w:pPr>
              <w:spacing w:after="0"/>
              <w:rPr>
                <w:rFonts w:ascii="Arial" w:hAnsi="Arial" w:cs="Arial"/>
                <w:color w:val="000000"/>
                <w:sz w:val="20"/>
                <w:szCs w:val="20"/>
              </w:rPr>
            </w:pPr>
            <w:r w:rsidRPr="00F46944">
              <w:rPr>
                <w:rFonts w:ascii="Arial" w:hAnsi="Arial" w:cstheme="minorHAnsi"/>
                <w:color w:val="000000"/>
                <w:sz w:val="20"/>
                <w:szCs w:val="20"/>
              </w:rPr>
              <w:t>S01AE01, S01AE03</w:t>
            </w:r>
          </w:p>
        </w:tc>
        <w:tc>
          <w:tcPr>
            <w:tcW w:w="6698" w:type="dxa"/>
            <w:tcBorders>
              <w:top w:val="nil"/>
              <w:left w:val="nil"/>
              <w:bottom w:val="single" w:sz="4" w:space="0" w:color="auto"/>
              <w:right w:val="nil"/>
            </w:tcBorders>
            <w:shd w:val="clear" w:color="auto" w:fill="auto"/>
            <w:vAlign w:val="center"/>
            <w:hideMark/>
          </w:tcPr>
          <w:p w14:paraId="5E81A40E" w14:textId="77777777" w:rsidR="003F5F96" w:rsidRPr="00F46944" w:rsidRDefault="003F5F96" w:rsidP="00D77422">
            <w:pPr>
              <w:spacing w:after="0"/>
              <w:rPr>
                <w:rFonts w:ascii="Arial" w:hAnsi="Arial" w:cs="Arial"/>
                <w:color w:val="000000"/>
                <w:sz w:val="20"/>
                <w:szCs w:val="20"/>
              </w:rPr>
            </w:pPr>
            <w:r w:rsidRPr="00F46944">
              <w:rPr>
                <w:rFonts w:ascii="Arial" w:hAnsi="Arial" w:cstheme="minorHAnsi"/>
                <w:color w:val="000000"/>
                <w:sz w:val="20"/>
                <w:szCs w:val="20"/>
              </w:rPr>
              <w:t>Ophthalmological fluoroquinolones: ofloxacin, ciprofloxacin</w:t>
            </w:r>
          </w:p>
        </w:tc>
      </w:tr>
      <w:tr w:rsidR="003F5F96" w:rsidRPr="00F46944" w14:paraId="537B5F7C" w14:textId="77777777" w:rsidTr="00D77422">
        <w:trPr>
          <w:trHeight w:val="328"/>
        </w:trPr>
        <w:tc>
          <w:tcPr>
            <w:tcW w:w="2381" w:type="dxa"/>
            <w:tcBorders>
              <w:top w:val="nil"/>
              <w:left w:val="nil"/>
              <w:bottom w:val="single" w:sz="4" w:space="0" w:color="auto"/>
              <w:right w:val="nil"/>
            </w:tcBorders>
            <w:shd w:val="clear" w:color="auto" w:fill="auto"/>
            <w:vAlign w:val="center"/>
            <w:hideMark/>
          </w:tcPr>
          <w:p w14:paraId="70929F4C" w14:textId="77777777" w:rsidR="003F5F96" w:rsidRPr="00F46944" w:rsidRDefault="003F5F96" w:rsidP="00D77422">
            <w:pPr>
              <w:spacing w:after="0"/>
              <w:rPr>
                <w:rFonts w:ascii="Arial" w:hAnsi="Arial" w:cs="Arial"/>
                <w:color w:val="000000"/>
                <w:sz w:val="20"/>
                <w:szCs w:val="20"/>
              </w:rPr>
            </w:pPr>
            <w:r w:rsidRPr="00F46944">
              <w:rPr>
                <w:rFonts w:ascii="Arial" w:hAnsi="Arial" w:cstheme="minorHAnsi"/>
                <w:color w:val="000000"/>
                <w:sz w:val="20"/>
                <w:szCs w:val="20"/>
              </w:rPr>
              <w:t>S02AA01, S02AA15</w:t>
            </w:r>
          </w:p>
        </w:tc>
        <w:tc>
          <w:tcPr>
            <w:tcW w:w="6698" w:type="dxa"/>
            <w:tcBorders>
              <w:top w:val="nil"/>
              <w:left w:val="nil"/>
              <w:bottom w:val="single" w:sz="4" w:space="0" w:color="auto"/>
              <w:right w:val="nil"/>
            </w:tcBorders>
            <w:shd w:val="clear" w:color="auto" w:fill="auto"/>
            <w:vAlign w:val="center"/>
            <w:hideMark/>
          </w:tcPr>
          <w:p w14:paraId="43F61B1F" w14:textId="77777777" w:rsidR="003F5F96" w:rsidRPr="00F46944" w:rsidRDefault="003F5F96" w:rsidP="00D77422">
            <w:pPr>
              <w:spacing w:after="0"/>
              <w:rPr>
                <w:rFonts w:ascii="Arial" w:hAnsi="Arial" w:cs="Arial"/>
                <w:color w:val="000000"/>
                <w:sz w:val="20"/>
                <w:szCs w:val="20"/>
              </w:rPr>
            </w:pPr>
            <w:proofErr w:type="spellStart"/>
            <w:r w:rsidRPr="00F46944">
              <w:rPr>
                <w:rFonts w:ascii="Arial" w:hAnsi="Arial" w:cstheme="minorHAnsi"/>
                <w:color w:val="000000"/>
                <w:sz w:val="20"/>
                <w:szCs w:val="20"/>
              </w:rPr>
              <w:t>Otological</w:t>
            </w:r>
            <w:proofErr w:type="spellEnd"/>
            <w:r w:rsidRPr="00F46944">
              <w:rPr>
                <w:rFonts w:ascii="Arial" w:hAnsi="Arial" w:cstheme="minorHAnsi"/>
                <w:color w:val="000000"/>
                <w:sz w:val="20"/>
                <w:szCs w:val="20"/>
              </w:rPr>
              <w:t xml:space="preserve"> anti-infectives: chloramphenicol, ciprofloxacin</w:t>
            </w:r>
          </w:p>
        </w:tc>
      </w:tr>
      <w:tr w:rsidR="003F5F96" w:rsidRPr="00F46944" w14:paraId="6130C126" w14:textId="77777777" w:rsidTr="00D77422">
        <w:trPr>
          <w:trHeight w:val="328"/>
        </w:trPr>
        <w:tc>
          <w:tcPr>
            <w:tcW w:w="2381" w:type="dxa"/>
            <w:tcBorders>
              <w:top w:val="nil"/>
              <w:left w:val="nil"/>
              <w:bottom w:val="single" w:sz="4" w:space="0" w:color="auto"/>
              <w:right w:val="nil"/>
            </w:tcBorders>
            <w:shd w:val="clear" w:color="auto" w:fill="auto"/>
            <w:vAlign w:val="center"/>
            <w:hideMark/>
          </w:tcPr>
          <w:p w14:paraId="3F0AEF1D" w14:textId="77777777" w:rsidR="003F5F96" w:rsidRPr="00F46944" w:rsidRDefault="003F5F96" w:rsidP="00D77422">
            <w:pPr>
              <w:spacing w:after="0"/>
              <w:rPr>
                <w:rFonts w:ascii="Arial" w:hAnsi="Arial" w:cs="Arial"/>
                <w:color w:val="000000"/>
                <w:sz w:val="20"/>
                <w:szCs w:val="20"/>
              </w:rPr>
            </w:pPr>
            <w:r w:rsidRPr="00F46944">
              <w:rPr>
                <w:rFonts w:ascii="Arial" w:hAnsi="Arial" w:cstheme="minorHAnsi"/>
                <w:color w:val="000000"/>
                <w:sz w:val="20"/>
                <w:szCs w:val="20"/>
              </w:rPr>
              <w:t>S03AA</w:t>
            </w:r>
          </w:p>
        </w:tc>
        <w:tc>
          <w:tcPr>
            <w:tcW w:w="6698" w:type="dxa"/>
            <w:tcBorders>
              <w:top w:val="nil"/>
              <w:left w:val="nil"/>
              <w:bottom w:val="single" w:sz="4" w:space="0" w:color="auto"/>
              <w:right w:val="nil"/>
            </w:tcBorders>
            <w:shd w:val="clear" w:color="auto" w:fill="auto"/>
            <w:vAlign w:val="center"/>
            <w:hideMark/>
          </w:tcPr>
          <w:p w14:paraId="218407ED" w14:textId="77777777" w:rsidR="003F5F96" w:rsidRPr="00F46944" w:rsidRDefault="003F5F96" w:rsidP="00D77422">
            <w:pPr>
              <w:spacing w:after="0"/>
              <w:rPr>
                <w:rFonts w:ascii="Arial" w:hAnsi="Arial" w:cs="Arial"/>
                <w:sz w:val="20"/>
                <w:szCs w:val="20"/>
              </w:rPr>
            </w:pPr>
            <w:proofErr w:type="spellStart"/>
            <w:r w:rsidRPr="00F46944">
              <w:rPr>
                <w:rFonts w:ascii="Arial" w:hAnsi="Arial" w:cs="Arial"/>
                <w:sz w:val="20"/>
                <w:szCs w:val="20"/>
              </w:rPr>
              <w:t>Framycetin</w:t>
            </w:r>
            <w:proofErr w:type="spellEnd"/>
            <w:r w:rsidRPr="00F46944">
              <w:rPr>
                <w:rFonts w:ascii="Arial" w:hAnsi="Arial" w:cs="Arial"/>
                <w:sz w:val="20"/>
                <w:szCs w:val="20"/>
              </w:rPr>
              <w:t xml:space="preserve"> (S01AA07 on WHO, but S03AA on www.pbs.gov.au) </w:t>
            </w:r>
          </w:p>
        </w:tc>
      </w:tr>
    </w:tbl>
    <w:p w14:paraId="17836DED" w14:textId="77777777" w:rsidR="003F5F96" w:rsidRPr="003F5F96" w:rsidRDefault="003F5F96" w:rsidP="00571290"/>
    <w:p w14:paraId="48835605" w14:textId="700CF333" w:rsidR="00445A19" w:rsidRPr="00F46944" w:rsidRDefault="00445A19" w:rsidP="00445A19">
      <w:pPr>
        <w:pStyle w:val="Tablecaption"/>
        <w:spacing w:after="0"/>
        <w:rPr>
          <w:rFonts w:cstheme="minorHAnsi"/>
          <w:sz w:val="22"/>
          <w:szCs w:val="22"/>
        </w:rPr>
      </w:pPr>
      <w:r w:rsidRPr="00F46944">
        <w:rPr>
          <w:rFonts w:cstheme="minorHAnsi"/>
          <w:sz w:val="22"/>
          <w:szCs w:val="22"/>
        </w:rPr>
        <w:t>The data included the following fields:</w:t>
      </w:r>
    </w:p>
    <w:p w14:paraId="24142133" w14:textId="6A412B01" w:rsidR="00D87E52" w:rsidRPr="00F46944" w:rsidRDefault="00D87E52" w:rsidP="007631ED">
      <w:pPr>
        <w:pStyle w:val="ListParagraph"/>
        <w:numPr>
          <w:ilvl w:val="0"/>
          <w:numId w:val="16"/>
        </w:numPr>
        <w:spacing w:before="60" w:after="60"/>
        <w:rPr>
          <w:rFonts w:cstheme="minorHAnsi"/>
        </w:rPr>
      </w:pPr>
      <w:r w:rsidRPr="00F46944">
        <w:rPr>
          <w:rFonts w:cstheme="minorHAnsi"/>
        </w:rPr>
        <w:t>Patient Identifier (Encrypted</w:t>
      </w:r>
      <w:r w:rsidR="00657759" w:rsidRPr="00F46944">
        <w:rPr>
          <w:rFonts w:cstheme="minorHAnsi"/>
        </w:rPr>
        <w:t>, system generated unique identifier</w:t>
      </w:r>
      <w:r w:rsidRPr="00F46944">
        <w:rPr>
          <w:rFonts w:cstheme="minorHAnsi"/>
        </w:rPr>
        <w:t>)</w:t>
      </w:r>
    </w:p>
    <w:p w14:paraId="334A77FF" w14:textId="64340205" w:rsidR="00D87E52" w:rsidRPr="00F46944" w:rsidRDefault="00D87E52" w:rsidP="007631ED">
      <w:pPr>
        <w:pStyle w:val="ListParagraph"/>
        <w:numPr>
          <w:ilvl w:val="0"/>
          <w:numId w:val="16"/>
        </w:numPr>
        <w:spacing w:before="60" w:after="60"/>
        <w:rPr>
          <w:rFonts w:cstheme="minorHAnsi"/>
        </w:rPr>
      </w:pPr>
      <w:r w:rsidRPr="00F46944">
        <w:rPr>
          <w:rFonts w:cstheme="minorHAnsi"/>
        </w:rPr>
        <w:t>Patient Date of Birth (MMYYYY)</w:t>
      </w:r>
    </w:p>
    <w:p w14:paraId="7F8013FA" w14:textId="64563D7E" w:rsidR="00657759" w:rsidRPr="00F46944" w:rsidRDefault="00657759" w:rsidP="007631ED">
      <w:pPr>
        <w:pStyle w:val="ListParagraph"/>
        <w:numPr>
          <w:ilvl w:val="0"/>
          <w:numId w:val="16"/>
        </w:numPr>
        <w:spacing w:before="60" w:after="60"/>
        <w:rPr>
          <w:rFonts w:cstheme="minorHAnsi"/>
        </w:rPr>
      </w:pPr>
      <w:bookmarkStart w:id="35" w:name="_Hlk112840235"/>
      <w:r w:rsidRPr="00F46944">
        <w:rPr>
          <w:rFonts w:cstheme="minorHAnsi"/>
        </w:rPr>
        <w:t>Postcode in which the patient resided at the date of supply</w:t>
      </w:r>
    </w:p>
    <w:bookmarkEnd w:id="35"/>
    <w:p w14:paraId="4AEA3CA4" w14:textId="537EDB9E" w:rsidR="00D87E52" w:rsidRPr="00F46944" w:rsidRDefault="00657759" w:rsidP="007631ED">
      <w:pPr>
        <w:pStyle w:val="ListParagraph"/>
        <w:numPr>
          <w:ilvl w:val="0"/>
          <w:numId w:val="16"/>
        </w:numPr>
        <w:spacing w:before="60" w:after="60"/>
        <w:rPr>
          <w:rFonts w:cstheme="minorHAnsi"/>
        </w:rPr>
      </w:pPr>
      <w:r w:rsidRPr="00F46944">
        <w:rPr>
          <w:rFonts w:cstheme="minorHAnsi"/>
        </w:rPr>
        <w:t>Postcode in which the prescriber’s address was located at the date of supply</w:t>
      </w:r>
    </w:p>
    <w:p w14:paraId="1725329A" w14:textId="6AE6B9CF" w:rsidR="00D87E52" w:rsidRPr="00F46944" w:rsidRDefault="00D87E52" w:rsidP="007631ED">
      <w:pPr>
        <w:pStyle w:val="ListParagraph"/>
        <w:numPr>
          <w:ilvl w:val="0"/>
          <w:numId w:val="16"/>
        </w:numPr>
        <w:spacing w:before="60" w:after="60"/>
        <w:rPr>
          <w:rFonts w:cstheme="minorHAnsi"/>
        </w:rPr>
      </w:pPr>
      <w:r w:rsidRPr="00F46944">
        <w:rPr>
          <w:rFonts w:cstheme="minorHAnsi"/>
        </w:rPr>
        <w:t>PBS</w:t>
      </w:r>
      <w:r w:rsidR="006A717A" w:rsidRPr="00F46944">
        <w:rPr>
          <w:rFonts w:cstheme="minorHAnsi"/>
        </w:rPr>
        <w:t>/RPBS</w:t>
      </w:r>
      <w:r w:rsidRPr="00F46944">
        <w:rPr>
          <w:rFonts w:cstheme="minorHAnsi"/>
        </w:rPr>
        <w:t xml:space="preserve"> Item Code</w:t>
      </w:r>
    </w:p>
    <w:p w14:paraId="0912FB51" w14:textId="3BDAEC08" w:rsidR="00D87E52" w:rsidRPr="00F46944" w:rsidRDefault="00D87E52" w:rsidP="007631ED">
      <w:pPr>
        <w:pStyle w:val="ListParagraph"/>
        <w:numPr>
          <w:ilvl w:val="0"/>
          <w:numId w:val="16"/>
        </w:numPr>
        <w:spacing w:before="60" w:after="60"/>
        <w:rPr>
          <w:rFonts w:cstheme="minorHAnsi"/>
        </w:rPr>
      </w:pPr>
      <w:r w:rsidRPr="00F46944">
        <w:rPr>
          <w:rFonts w:cstheme="minorHAnsi"/>
        </w:rPr>
        <w:t xml:space="preserve">Anatomical Therapeutic Chemical (ATC) </w:t>
      </w:r>
      <w:r w:rsidR="004E4ED9">
        <w:rPr>
          <w:rFonts w:cstheme="minorHAnsi"/>
        </w:rPr>
        <w:t>c</w:t>
      </w:r>
      <w:r w:rsidRPr="00F46944">
        <w:rPr>
          <w:rFonts w:cstheme="minorHAnsi"/>
        </w:rPr>
        <w:t>ode (Level 2)</w:t>
      </w:r>
    </w:p>
    <w:p w14:paraId="383FFCD6" w14:textId="23E345E2" w:rsidR="00D87E52" w:rsidRPr="00F46944" w:rsidRDefault="00D87E52" w:rsidP="007631ED">
      <w:pPr>
        <w:pStyle w:val="ListParagraph"/>
        <w:numPr>
          <w:ilvl w:val="0"/>
          <w:numId w:val="16"/>
        </w:numPr>
        <w:spacing w:before="60" w:after="60"/>
        <w:rPr>
          <w:rFonts w:cstheme="minorHAnsi"/>
        </w:rPr>
      </w:pPr>
      <w:r w:rsidRPr="00F46944">
        <w:rPr>
          <w:rFonts w:cstheme="minorHAnsi"/>
        </w:rPr>
        <w:t>Drug Name</w:t>
      </w:r>
    </w:p>
    <w:p w14:paraId="39938998" w14:textId="1D7DD4FD" w:rsidR="00657759" w:rsidRPr="00F46944" w:rsidRDefault="00657759" w:rsidP="007631ED">
      <w:pPr>
        <w:pStyle w:val="ListParagraph"/>
        <w:numPr>
          <w:ilvl w:val="0"/>
          <w:numId w:val="16"/>
        </w:numPr>
        <w:spacing w:before="60" w:after="60"/>
        <w:rPr>
          <w:rFonts w:cstheme="minorHAnsi"/>
        </w:rPr>
      </w:pPr>
      <w:r w:rsidRPr="00F46944">
        <w:rPr>
          <w:rFonts w:cstheme="minorHAnsi"/>
        </w:rPr>
        <w:t>Product form and strength</w:t>
      </w:r>
    </w:p>
    <w:p w14:paraId="630C6AB4" w14:textId="04B9C6FD" w:rsidR="00657759" w:rsidRPr="00F46944" w:rsidRDefault="00657759" w:rsidP="007631ED">
      <w:pPr>
        <w:pStyle w:val="ListParagraph"/>
        <w:numPr>
          <w:ilvl w:val="0"/>
          <w:numId w:val="16"/>
        </w:numPr>
        <w:spacing w:before="60" w:after="60"/>
        <w:rPr>
          <w:rFonts w:cstheme="minorHAnsi"/>
        </w:rPr>
      </w:pPr>
      <w:r w:rsidRPr="00F46944">
        <w:rPr>
          <w:rFonts w:cstheme="minorHAnsi"/>
        </w:rPr>
        <w:t>Quantity of PBS</w:t>
      </w:r>
      <w:r w:rsidR="006A717A" w:rsidRPr="00F46944">
        <w:rPr>
          <w:rFonts w:cstheme="minorHAnsi"/>
        </w:rPr>
        <w:t>/RPBS</w:t>
      </w:r>
      <w:r w:rsidRPr="00F46944">
        <w:rPr>
          <w:rFonts w:cstheme="minorHAnsi"/>
        </w:rPr>
        <w:t xml:space="preserve"> item supplied</w:t>
      </w:r>
    </w:p>
    <w:p w14:paraId="5F257869" w14:textId="3718F19C" w:rsidR="00657759" w:rsidRPr="00F46944" w:rsidRDefault="00657759" w:rsidP="007631ED">
      <w:pPr>
        <w:pStyle w:val="ListParagraph"/>
        <w:numPr>
          <w:ilvl w:val="0"/>
          <w:numId w:val="16"/>
        </w:numPr>
        <w:spacing w:before="60" w:after="60"/>
        <w:rPr>
          <w:rFonts w:cstheme="minorHAnsi"/>
        </w:rPr>
      </w:pPr>
      <w:r w:rsidRPr="00F46944">
        <w:rPr>
          <w:rFonts w:cstheme="minorHAnsi"/>
        </w:rPr>
        <w:t>Date of supply</w:t>
      </w:r>
    </w:p>
    <w:p w14:paraId="52F9CE54" w14:textId="6537F104" w:rsidR="00657759" w:rsidRPr="00F46944" w:rsidRDefault="00657759" w:rsidP="007631ED">
      <w:pPr>
        <w:pStyle w:val="ListParagraph"/>
        <w:numPr>
          <w:ilvl w:val="0"/>
          <w:numId w:val="16"/>
        </w:numPr>
        <w:spacing w:before="60" w:after="60"/>
        <w:rPr>
          <w:rFonts w:cstheme="minorHAnsi"/>
        </w:rPr>
      </w:pPr>
      <w:r w:rsidRPr="00F46944">
        <w:rPr>
          <w:rFonts w:cstheme="minorHAnsi"/>
        </w:rPr>
        <w:t>Type of prescription: original</w:t>
      </w:r>
      <w:r w:rsidR="000E793A" w:rsidRPr="00F46944">
        <w:rPr>
          <w:rFonts w:cstheme="minorHAnsi"/>
        </w:rPr>
        <w:t>,</w:t>
      </w:r>
      <w:r w:rsidRPr="00F46944">
        <w:rPr>
          <w:rFonts w:cstheme="minorHAnsi"/>
        </w:rPr>
        <w:t xml:space="preserve"> repeat, or authority</w:t>
      </w:r>
    </w:p>
    <w:p w14:paraId="581E62AD" w14:textId="741F7746" w:rsidR="00657759" w:rsidRPr="00F46944" w:rsidRDefault="00657759" w:rsidP="007631ED">
      <w:pPr>
        <w:pStyle w:val="ListParagraph"/>
        <w:numPr>
          <w:ilvl w:val="0"/>
          <w:numId w:val="16"/>
        </w:numPr>
        <w:spacing w:before="60" w:after="60"/>
        <w:rPr>
          <w:rFonts w:cstheme="minorHAnsi"/>
        </w:rPr>
      </w:pPr>
      <w:r w:rsidRPr="00F46944">
        <w:rPr>
          <w:rFonts w:cstheme="minorHAnsi"/>
        </w:rPr>
        <w:t>Number of repeats ordered</w:t>
      </w:r>
    </w:p>
    <w:p w14:paraId="762FB5A2" w14:textId="29DB3DA9" w:rsidR="00657759" w:rsidRPr="00F46944" w:rsidRDefault="00657759" w:rsidP="007631ED">
      <w:pPr>
        <w:pStyle w:val="ListParagraph"/>
        <w:numPr>
          <w:ilvl w:val="0"/>
          <w:numId w:val="16"/>
        </w:numPr>
        <w:spacing w:before="60" w:after="60"/>
        <w:rPr>
          <w:rFonts w:cstheme="minorHAnsi"/>
        </w:rPr>
      </w:pPr>
      <w:r w:rsidRPr="00F46944">
        <w:rPr>
          <w:rFonts w:cstheme="minorHAnsi"/>
        </w:rPr>
        <w:t>Number of previous supplies</w:t>
      </w:r>
    </w:p>
    <w:p w14:paraId="5AD933C4" w14:textId="01B20681" w:rsidR="00657759" w:rsidRPr="00F46944" w:rsidRDefault="00657759" w:rsidP="007631ED">
      <w:pPr>
        <w:pStyle w:val="ListParagraph"/>
        <w:numPr>
          <w:ilvl w:val="0"/>
          <w:numId w:val="16"/>
        </w:numPr>
        <w:spacing w:before="60" w:after="60"/>
        <w:rPr>
          <w:rFonts w:cstheme="minorHAnsi"/>
        </w:rPr>
      </w:pPr>
      <w:bookmarkStart w:id="36" w:name="_Hlk105362661"/>
      <w:r w:rsidRPr="00F46944">
        <w:rPr>
          <w:rFonts w:cstheme="minorHAnsi"/>
        </w:rPr>
        <w:t>Regulat</w:t>
      </w:r>
      <w:r w:rsidR="00891E58" w:rsidRPr="00F46944">
        <w:rPr>
          <w:rFonts w:cstheme="minorHAnsi"/>
        </w:rPr>
        <w:t>ion</w:t>
      </w:r>
      <w:r w:rsidRPr="00F46944">
        <w:rPr>
          <w:rFonts w:cstheme="minorHAnsi"/>
        </w:rPr>
        <w:t xml:space="preserve"> </w:t>
      </w:r>
      <w:r w:rsidR="003238F4" w:rsidRPr="00F46944">
        <w:rPr>
          <w:rFonts w:cstheme="minorHAnsi"/>
        </w:rPr>
        <w:t>49</w:t>
      </w:r>
      <w:r w:rsidR="00C26102" w:rsidRPr="00F46944">
        <w:rPr>
          <w:rFonts w:cstheme="minorHAnsi"/>
        </w:rPr>
        <w:t xml:space="preserve"> </w:t>
      </w:r>
      <w:r w:rsidRPr="00F46944">
        <w:rPr>
          <w:rFonts w:cstheme="minorHAnsi"/>
        </w:rPr>
        <w:t>indicator</w:t>
      </w:r>
      <w:r w:rsidR="00C26102" w:rsidRPr="00F46944">
        <w:rPr>
          <w:rFonts w:cstheme="minorHAnsi"/>
        </w:rPr>
        <w:t xml:space="preserve"> </w:t>
      </w:r>
      <w:bookmarkEnd w:id="36"/>
      <w:r w:rsidR="00C26102" w:rsidRPr="00F46944">
        <w:rPr>
          <w:rFonts w:cstheme="minorHAnsi"/>
        </w:rPr>
        <w:t>(</w:t>
      </w:r>
      <w:r w:rsidR="00C81E53" w:rsidRPr="00F46944">
        <w:rPr>
          <w:rFonts w:cstheme="minorHAnsi"/>
        </w:rPr>
        <w:t xml:space="preserve">previously Regulation 24, </w:t>
      </w:r>
      <w:r w:rsidR="00C26102" w:rsidRPr="00F46944">
        <w:rPr>
          <w:rFonts w:cstheme="minorHAnsi"/>
        </w:rPr>
        <w:t xml:space="preserve">which </w:t>
      </w:r>
      <w:r w:rsidR="006A717A" w:rsidRPr="00F46944">
        <w:rPr>
          <w:rFonts w:cstheme="minorHAnsi"/>
        </w:rPr>
        <w:t>indicat</w:t>
      </w:r>
      <w:r w:rsidR="00530BF9" w:rsidRPr="00F46944">
        <w:rPr>
          <w:rFonts w:cstheme="minorHAnsi"/>
        </w:rPr>
        <w:t>es</w:t>
      </w:r>
      <w:r w:rsidR="006A717A" w:rsidRPr="00F46944">
        <w:rPr>
          <w:rFonts w:cstheme="minorHAnsi"/>
        </w:rPr>
        <w:t xml:space="preserve"> whether </w:t>
      </w:r>
      <w:r w:rsidR="00C26102" w:rsidRPr="00F46944">
        <w:rPr>
          <w:rFonts w:cstheme="minorHAnsi"/>
        </w:rPr>
        <w:t xml:space="preserve">all repeats for a PBS/RPBS prescription </w:t>
      </w:r>
      <w:r w:rsidR="001D49C2" w:rsidRPr="00F46944">
        <w:rPr>
          <w:rFonts w:cstheme="minorHAnsi"/>
        </w:rPr>
        <w:t xml:space="preserve">were </w:t>
      </w:r>
      <w:r w:rsidR="00C26102" w:rsidRPr="00F46944">
        <w:rPr>
          <w:rFonts w:cstheme="minorHAnsi"/>
        </w:rPr>
        <w:t>supplied at the same time as the original prescription)</w:t>
      </w:r>
    </w:p>
    <w:p w14:paraId="77E7EA31" w14:textId="5A29F428" w:rsidR="00657759" w:rsidRPr="00F46944" w:rsidRDefault="00657759" w:rsidP="007631ED">
      <w:pPr>
        <w:pStyle w:val="ListParagraph"/>
        <w:numPr>
          <w:ilvl w:val="0"/>
          <w:numId w:val="16"/>
        </w:numPr>
        <w:spacing w:before="60" w:after="60"/>
        <w:rPr>
          <w:rFonts w:cstheme="minorHAnsi"/>
        </w:rPr>
      </w:pPr>
      <w:r w:rsidRPr="00F46944">
        <w:rPr>
          <w:rFonts w:cstheme="minorHAnsi"/>
        </w:rPr>
        <w:t>Specialty group of prescriber.</w:t>
      </w:r>
    </w:p>
    <w:p w14:paraId="7B2EC1A5" w14:textId="77777777" w:rsidR="00445A19" w:rsidRPr="00F46944" w:rsidRDefault="00445A19" w:rsidP="00657759">
      <w:pPr>
        <w:spacing w:before="60" w:after="60"/>
        <w:rPr>
          <w:rFonts w:cstheme="minorHAnsi"/>
        </w:rPr>
      </w:pPr>
    </w:p>
    <w:p w14:paraId="7BECF8FA" w14:textId="35D47000" w:rsidR="00445A19" w:rsidRPr="00F46944" w:rsidRDefault="003F5F96" w:rsidP="003F5F96">
      <w:pPr>
        <w:rPr>
          <w:rFonts w:cstheme="minorHAnsi"/>
        </w:rPr>
      </w:pPr>
      <w:bookmarkStart w:id="37" w:name="_Hlk100655594"/>
      <w:r w:rsidRPr="00F46944">
        <w:t>As part of the development of this report, the Commission engaged the University of South Australia</w:t>
      </w:r>
      <w:r>
        <w:t xml:space="preserve"> to perform the </w:t>
      </w:r>
      <w:r w:rsidR="00445A19" w:rsidRPr="00F46944">
        <w:rPr>
          <w:rFonts w:cstheme="minorHAnsi"/>
        </w:rPr>
        <w:t xml:space="preserve"> following analyses:</w:t>
      </w:r>
    </w:p>
    <w:bookmarkEnd w:id="37"/>
    <w:p w14:paraId="3E9B11FC" w14:textId="5A5B0BA8" w:rsidR="00851A0B" w:rsidRPr="00F46944" w:rsidRDefault="00413330" w:rsidP="003140B6">
      <w:pPr>
        <w:pStyle w:val="ListParagraph"/>
        <w:numPr>
          <w:ilvl w:val="0"/>
          <w:numId w:val="21"/>
        </w:numPr>
        <w:spacing w:before="60" w:after="60"/>
        <w:ind w:left="360"/>
        <w:rPr>
          <w:rFonts w:cstheme="minorHAnsi"/>
        </w:rPr>
      </w:pPr>
      <w:r w:rsidRPr="00F46944">
        <w:rPr>
          <w:rFonts w:cstheme="minorHAnsi"/>
        </w:rPr>
        <w:t xml:space="preserve">Overall trends for all antimicrobials supplied </w:t>
      </w:r>
      <w:r w:rsidR="006E2137">
        <w:rPr>
          <w:rFonts w:cstheme="minorHAnsi"/>
        </w:rPr>
        <w:t>from</w:t>
      </w:r>
      <w:r w:rsidR="006E2137" w:rsidRPr="00F46944">
        <w:rPr>
          <w:rFonts w:cstheme="minorHAnsi"/>
        </w:rPr>
        <w:t xml:space="preserve"> </w:t>
      </w:r>
      <w:r w:rsidRPr="00F46944">
        <w:rPr>
          <w:rFonts w:cstheme="minorHAnsi"/>
        </w:rPr>
        <w:t>2015 to 2021</w:t>
      </w:r>
      <w:r w:rsidR="00A050F6" w:rsidRPr="00F46944">
        <w:rPr>
          <w:rFonts w:cstheme="minorHAnsi"/>
        </w:rPr>
        <w:t>,</w:t>
      </w:r>
      <w:r w:rsidRPr="00F46944">
        <w:rPr>
          <w:rFonts w:cstheme="minorHAnsi"/>
        </w:rPr>
        <w:t xml:space="preserve"> defined as:</w:t>
      </w:r>
    </w:p>
    <w:p w14:paraId="50F4D6D4" w14:textId="49C94925" w:rsidR="00851A0B" w:rsidRPr="00F46944" w:rsidRDefault="00851A0B" w:rsidP="003140B6">
      <w:pPr>
        <w:pStyle w:val="ListParagraph"/>
        <w:numPr>
          <w:ilvl w:val="1"/>
          <w:numId w:val="21"/>
        </w:numPr>
        <w:spacing w:before="60" w:after="60"/>
        <w:ind w:left="1080"/>
        <w:rPr>
          <w:rFonts w:cstheme="minorHAnsi"/>
        </w:rPr>
      </w:pPr>
      <w:r w:rsidRPr="00F46944">
        <w:rPr>
          <w:rFonts w:cstheme="minorHAnsi"/>
        </w:rPr>
        <w:t>Number of prescriptions/1</w:t>
      </w:r>
      <w:r w:rsidR="00003B89" w:rsidRPr="00F46944">
        <w:rPr>
          <w:rFonts w:cstheme="minorHAnsi"/>
        </w:rPr>
        <w:t>,</w:t>
      </w:r>
      <w:r w:rsidRPr="00F46944">
        <w:rPr>
          <w:rFonts w:cstheme="minorHAnsi"/>
        </w:rPr>
        <w:t>000</w:t>
      </w:r>
      <w:r w:rsidR="00C53268" w:rsidRPr="00F46944">
        <w:rPr>
          <w:rFonts w:cstheme="minorHAnsi"/>
        </w:rPr>
        <w:t> </w:t>
      </w:r>
      <w:r w:rsidR="00614E00" w:rsidRPr="00F46944">
        <w:rPr>
          <w:rFonts w:cstheme="minorHAnsi"/>
        </w:rPr>
        <w:t>people</w:t>
      </w:r>
      <w:r w:rsidRPr="00F46944">
        <w:rPr>
          <w:rFonts w:cstheme="minorHAnsi"/>
        </w:rPr>
        <w:t xml:space="preserve"> at national, state</w:t>
      </w:r>
      <w:r w:rsidR="00175282" w:rsidRPr="00F46944">
        <w:rPr>
          <w:rFonts w:cstheme="minorHAnsi"/>
        </w:rPr>
        <w:t>/ territory</w:t>
      </w:r>
      <w:r w:rsidRPr="00F46944">
        <w:rPr>
          <w:rFonts w:cstheme="minorHAnsi"/>
        </w:rPr>
        <w:t xml:space="preserve">, and statistical area </w:t>
      </w:r>
      <w:r w:rsidR="000759D6" w:rsidRPr="00F46944">
        <w:rPr>
          <w:rFonts w:cstheme="minorHAnsi"/>
        </w:rPr>
        <w:t>level</w:t>
      </w:r>
      <w:r w:rsidR="00106BC3" w:rsidRPr="00F46944">
        <w:rPr>
          <w:rFonts w:cstheme="minorHAnsi"/>
        </w:rPr>
        <w:t> </w:t>
      </w:r>
      <w:r w:rsidRPr="00F46944">
        <w:rPr>
          <w:rFonts w:cstheme="minorHAnsi"/>
        </w:rPr>
        <w:t>3 (SA3) (derived from postcode)</w:t>
      </w:r>
    </w:p>
    <w:p w14:paraId="15C092DB" w14:textId="4A07F7C4" w:rsidR="00851A0B" w:rsidRPr="00F46944" w:rsidRDefault="00851A0B" w:rsidP="003140B6">
      <w:pPr>
        <w:pStyle w:val="ListParagraph"/>
        <w:numPr>
          <w:ilvl w:val="1"/>
          <w:numId w:val="21"/>
        </w:numPr>
        <w:spacing w:before="60" w:after="60"/>
        <w:ind w:left="1080"/>
        <w:rPr>
          <w:rFonts w:cstheme="minorHAnsi"/>
        </w:rPr>
      </w:pPr>
      <w:r w:rsidRPr="00F46944">
        <w:rPr>
          <w:rFonts w:cstheme="minorHAnsi"/>
        </w:rPr>
        <w:t>Number of prescriptions/1</w:t>
      </w:r>
      <w:r w:rsidR="00003B89" w:rsidRPr="00F46944">
        <w:rPr>
          <w:rFonts w:cstheme="minorHAnsi"/>
        </w:rPr>
        <w:t>,</w:t>
      </w:r>
      <w:r w:rsidRPr="00F46944">
        <w:rPr>
          <w:rFonts w:cstheme="minorHAnsi"/>
        </w:rPr>
        <w:t>000</w:t>
      </w:r>
      <w:r w:rsidR="00C53268" w:rsidRPr="00F46944">
        <w:rPr>
          <w:rFonts w:cstheme="minorHAnsi"/>
        </w:rPr>
        <w:t> </w:t>
      </w:r>
      <w:r w:rsidR="00614E00" w:rsidRPr="00F46944">
        <w:rPr>
          <w:rFonts w:cstheme="minorHAnsi"/>
        </w:rPr>
        <w:t>people</w:t>
      </w:r>
      <w:r w:rsidRPr="00F46944">
        <w:rPr>
          <w:rFonts w:cstheme="minorHAnsi"/>
        </w:rPr>
        <w:t xml:space="preserve"> by class of </w:t>
      </w:r>
      <w:r w:rsidR="0023029D" w:rsidRPr="00F46944">
        <w:rPr>
          <w:rFonts w:cstheme="minorHAnsi"/>
        </w:rPr>
        <w:t xml:space="preserve">antibacterial for systemic use </w:t>
      </w:r>
      <w:r w:rsidR="00BB0C25" w:rsidRPr="00F46944">
        <w:rPr>
          <w:rFonts w:cstheme="minorHAnsi"/>
        </w:rPr>
        <w:t>(J01)</w:t>
      </w:r>
    </w:p>
    <w:p w14:paraId="6A4C5E33" w14:textId="6E21CB91" w:rsidR="00851A0B" w:rsidRPr="00F46944" w:rsidRDefault="00D42FFA" w:rsidP="003140B6">
      <w:pPr>
        <w:pStyle w:val="ListParagraph"/>
        <w:numPr>
          <w:ilvl w:val="1"/>
          <w:numId w:val="21"/>
        </w:numPr>
        <w:spacing w:before="60" w:after="60"/>
        <w:ind w:left="1080"/>
        <w:rPr>
          <w:rFonts w:cstheme="minorHAnsi"/>
        </w:rPr>
      </w:pPr>
      <w:r>
        <w:rPr>
          <w:rFonts w:cstheme="minorHAnsi"/>
        </w:rPr>
        <w:t>Defined daily dose (</w:t>
      </w:r>
      <w:r w:rsidR="00851A0B" w:rsidRPr="00F46944">
        <w:rPr>
          <w:rFonts w:cstheme="minorHAnsi"/>
        </w:rPr>
        <w:t>DDD</w:t>
      </w:r>
      <w:r>
        <w:rPr>
          <w:rFonts w:cstheme="minorHAnsi"/>
        </w:rPr>
        <w:t>)</w:t>
      </w:r>
      <w:r w:rsidR="00851A0B" w:rsidRPr="00F46944">
        <w:rPr>
          <w:rFonts w:cstheme="minorHAnsi"/>
        </w:rPr>
        <w:t>/1</w:t>
      </w:r>
      <w:r w:rsidR="00003B89" w:rsidRPr="00F46944">
        <w:rPr>
          <w:rFonts w:cstheme="minorHAnsi"/>
        </w:rPr>
        <w:t>,</w:t>
      </w:r>
      <w:r w:rsidR="00851A0B" w:rsidRPr="00F46944">
        <w:rPr>
          <w:rFonts w:cstheme="minorHAnsi"/>
        </w:rPr>
        <w:t>000</w:t>
      </w:r>
      <w:r w:rsidR="00C53268" w:rsidRPr="00F46944">
        <w:rPr>
          <w:rFonts w:cstheme="minorHAnsi"/>
        </w:rPr>
        <w:t> </w:t>
      </w:r>
      <w:r w:rsidR="00614E00" w:rsidRPr="00F46944">
        <w:rPr>
          <w:rFonts w:cstheme="minorHAnsi"/>
        </w:rPr>
        <w:t>people</w:t>
      </w:r>
      <w:r w:rsidR="00851A0B" w:rsidRPr="00F46944">
        <w:rPr>
          <w:rFonts w:cstheme="minorHAnsi"/>
        </w:rPr>
        <w:t>/day at national and state levels</w:t>
      </w:r>
    </w:p>
    <w:p w14:paraId="3BCDB631" w14:textId="0B3D1BBA" w:rsidR="000759D6" w:rsidRPr="00F46944" w:rsidRDefault="00851A0B" w:rsidP="003140B6">
      <w:pPr>
        <w:pStyle w:val="ListParagraph"/>
        <w:numPr>
          <w:ilvl w:val="1"/>
          <w:numId w:val="21"/>
        </w:numPr>
        <w:spacing w:before="60" w:after="60"/>
        <w:ind w:left="1080"/>
        <w:rPr>
          <w:rFonts w:cstheme="minorHAnsi"/>
        </w:rPr>
      </w:pPr>
      <w:r w:rsidRPr="00F46944">
        <w:rPr>
          <w:rFonts w:cstheme="minorHAnsi"/>
        </w:rPr>
        <w:t>DDD/1</w:t>
      </w:r>
      <w:r w:rsidR="00003B89" w:rsidRPr="00F46944">
        <w:rPr>
          <w:rFonts w:cstheme="minorHAnsi"/>
        </w:rPr>
        <w:t>,</w:t>
      </w:r>
      <w:r w:rsidRPr="00F46944">
        <w:rPr>
          <w:rFonts w:cstheme="minorHAnsi"/>
        </w:rPr>
        <w:t>000</w:t>
      </w:r>
      <w:r w:rsidR="00C53268" w:rsidRPr="00F46944">
        <w:rPr>
          <w:rFonts w:cstheme="minorHAnsi"/>
        </w:rPr>
        <w:t> </w:t>
      </w:r>
      <w:r w:rsidR="00614E00" w:rsidRPr="00F46944">
        <w:rPr>
          <w:rFonts w:cstheme="minorHAnsi"/>
        </w:rPr>
        <w:t>people</w:t>
      </w:r>
      <w:r w:rsidRPr="00F46944">
        <w:rPr>
          <w:rFonts w:cstheme="minorHAnsi"/>
        </w:rPr>
        <w:t>/day by class of anti</w:t>
      </w:r>
      <w:r w:rsidR="004D2FDA" w:rsidRPr="00F46944">
        <w:rPr>
          <w:rFonts w:cstheme="minorHAnsi"/>
        </w:rPr>
        <w:t>bacterial</w:t>
      </w:r>
      <w:r w:rsidRPr="00F46944">
        <w:rPr>
          <w:rFonts w:cstheme="minorHAnsi"/>
        </w:rPr>
        <w:t xml:space="preserve"> </w:t>
      </w:r>
      <w:r w:rsidR="0023029D" w:rsidRPr="00F46944">
        <w:rPr>
          <w:rFonts w:cstheme="minorHAnsi"/>
        </w:rPr>
        <w:t xml:space="preserve">for systemic use </w:t>
      </w:r>
      <w:r w:rsidR="00BB0C25" w:rsidRPr="00F46944">
        <w:rPr>
          <w:rFonts w:cstheme="minorHAnsi"/>
        </w:rPr>
        <w:t>(J01)</w:t>
      </w:r>
      <w:r w:rsidR="000759D6" w:rsidRPr="00F46944">
        <w:rPr>
          <w:rFonts w:cstheme="minorHAnsi"/>
        </w:rPr>
        <w:t>.</w:t>
      </w:r>
    </w:p>
    <w:p w14:paraId="0527DBE6" w14:textId="77777777" w:rsidR="002F78DD" w:rsidRPr="00F46944" w:rsidRDefault="002F78DD">
      <w:pPr>
        <w:spacing w:after="80"/>
        <w:rPr>
          <w:rFonts w:cstheme="minorHAnsi"/>
        </w:rPr>
      </w:pPr>
    </w:p>
    <w:p w14:paraId="59ACC030" w14:textId="25B038BD" w:rsidR="00851A0B" w:rsidRPr="00F46944" w:rsidRDefault="004D2FDA" w:rsidP="003140B6">
      <w:pPr>
        <w:pStyle w:val="ListParagraph"/>
        <w:numPr>
          <w:ilvl w:val="0"/>
          <w:numId w:val="21"/>
        </w:numPr>
        <w:spacing w:before="60" w:after="60"/>
        <w:ind w:left="360"/>
        <w:rPr>
          <w:rFonts w:cstheme="minorHAnsi"/>
        </w:rPr>
      </w:pPr>
      <w:r w:rsidRPr="00F46944">
        <w:rPr>
          <w:rFonts w:cstheme="minorHAnsi"/>
        </w:rPr>
        <w:t>Antimicrobial</w:t>
      </w:r>
      <w:r w:rsidR="00851A0B" w:rsidRPr="00F46944">
        <w:rPr>
          <w:rFonts w:cstheme="minorHAnsi"/>
        </w:rPr>
        <w:t xml:space="preserve"> use by age in 2020 and 2021:</w:t>
      </w:r>
    </w:p>
    <w:p w14:paraId="34397A02" w14:textId="5118C835" w:rsidR="000759D6" w:rsidRPr="00F46944" w:rsidRDefault="00851A0B" w:rsidP="003140B6">
      <w:pPr>
        <w:pStyle w:val="ListParagraph"/>
        <w:numPr>
          <w:ilvl w:val="1"/>
          <w:numId w:val="21"/>
        </w:numPr>
        <w:spacing w:before="60" w:after="60"/>
        <w:ind w:left="1080"/>
        <w:rPr>
          <w:rFonts w:cstheme="minorHAnsi"/>
        </w:rPr>
      </w:pPr>
      <w:r w:rsidRPr="00F46944">
        <w:rPr>
          <w:rFonts w:cstheme="minorHAnsi"/>
        </w:rPr>
        <w:t xml:space="preserve">Number of all </w:t>
      </w:r>
      <w:r w:rsidR="000759D6" w:rsidRPr="00F46944">
        <w:rPr>
          <w:rFonts w:cstheme="minorHAnsi"/>
        </w:rPr>
        <w:t>antimicrobials dispensed</w:t>
      </w:r>
      <w:r w:rsidRPr="00F46944">
        <w:rPr>
          <w:rFonts w:cstheme="minorHAnsi"/>
        </w:rPr>
        <w:t xml:space="preserve"> per 1</w:t>
      </w:r>
      <w:r w:rsidR="00003B89" w:rsidRPr="00F46944">
        <w:rPr>
          <w:rFonts w:cstheme="minorHAnsi"/>
        </w:rPr>
        <w:t>,</w:t>
      </w:r>
      <w:r w:rsidRPr="00F46944">
        <w:rPr>
          <w:rFonts w:cstheme="minorHAnsi"/>
        </w:rPr>
        <w:t>000</w:t>
      </w:r>
      <w:r w:rsidR="00C53268" w:rsidRPr="00F46944">
        <w:rPr>
          <w:rFonts w:cstheme="minorHAnsi"/>
        </w:rPr>
        <w:t> </w:t>
      </w:r>
      <w:r w:rsidR="00614E00" w:rsidRPr="00F46944">
        <w:rPr>
          <w:rFonts w:cstheme="minorHAnsi"/>
        </w:rPr>
        <w:t>people</w:t>
      </w:r>
      <w:r w:rsidR="00003B89" w:rsidRPr="00F46944">
        <w:rPr>
          <w:rFonts w:cstheme="minorHAnsi"/>
        </w:rPr>
        <w:t xml:space="preserve"> </w:t>
      </w:r>
      <w:r w:rsidRPr="00F46944">
        <w:rPr>
          <w:rFonts w:cstheme="minorHAnsi"/>
        </w:rPr>
        <w:t>by patient age</w:t>
      </w:r>
      <w:r w:rsidR="00003B89" w:rsidRPr="00F46944">
        <w:rPr>
          <w:rFonts w:cstheme="minorHAnsi"/>
        </w:rPr>
        <w:t>, by</w:t>
      </w:r>
      <w:r w:rsidRPr="00F46944">
        <w:rPr>
          <w:rFonts w:cstheme="minorHAnsi"/>
        </w:rPr>
        <w:t xml:space="preserve"> patient SA3</w:t>
      </w:r>
      <w:r w:rsidR="000759D6" w:rsidRPr="00F46944">
        <w:rPr>
          <w:rFonts w:cstheme="minorHAnsi"/>
        </w:rPr>
        <w:t xml:space="preserve"> (derived from postcode)</w:t>
      </w:r>
      <w:r w:rsidRPr="00F46944">
        <w:rPr>
          <w:rFonts w:cstheme="minorHAnsi"/>
        </w:rPr>
        <w:t xml:space="preserve"> and state</w:t>
      </w:r>
      <w:r w:rsidR="004A474C" w:rsidRPr="00F46944">
        <w:rPr>
          <w:rFonts w:cstheme="minorHAnsi"/>
        </w:rPr>
        <w:t xml:space="preserve">/ </w:t>
      </w:r>
      <w:r w:rsidR="008F716E" w:rsidRPr="00F46944">
        <w:rPr>
          <w:rFonts w:cstheme="minorHAnsi"/>
        </w:rPr>
        <w:t>territory</w:t>
      </w:r>
      <w:r w:rsidRPr="00F46944">
        <w:rPr>
          <w:rFonts w:cstheme="minorHAnsi"/>
        </w:rPr>
        <w:t>.</w:t>
      </w:r>
      <w:r w:rsidR="00175282" w:rsidRPr="00F46944">
        <w:rPr>
          <w:rFonts w:cstheme="minorHAnsi"/>
        </w:rPr>
        <w:t xml:space="preserve"> </w:t>
      </w:r>
    </w:p>
    <w:p w14:paraId="028C6A00" w14:textId="77777777" w:rsidR="002C0C84" w:rsidRPr="00F46944" w:rsidRDefault="002C0C84" w:rsidP="001D0621">
      <w:pPr>
        <w:spacing w:before="60" w:after="60"/>
        <w:rPr>
          <w:rFonts w:cstheme="minorHAnsi"/>
        </w:rPr>
      </w:pPr>
    </w:p>
    <w:p w14:paraId="6DBA8769" w14:textId="401F6F8F" w:rsidR="00851A0B" w:rsidRPr="00F46944" w:rsidRDefault="00851A0B" w:rsidP="003140B6">
      <w:pPr>
        <w:pStyle w:val="ListParagraph"/>
        <w:numPr>
          <w:ilvl w:val="0"/>
          <w:numId w:val="21"/>
        </w:numPr>
        <w:spacing w:before="60" w:after="60"/>
        <w:ind w:left="360"/>
        <w:rPr>
          <w:rFonts w:cstheme="minorHAnsi"/>
        </w:rPr>
      </w:pPr>
      <w:r w:rsidRPr="00F46944">
        <w:rPr>
          <w:rFonts w:cstheme="minorHAnsi"/>
        </w:rPr>
        <w:t>Top</w:t>
      </w:r>
      <w:r w:rsidR="002C3A18" w:rsidRPr="00F46944">
        <w:rPr>
          <w:rFonts w:cstheme="minorHAnsi"/>
        </w:rPr>
        <w:t> </w:t>
      </w:r>
      <w:r w:rsidR="000759D6" w:rsidRPr="00F46944">
        <w:rPr>
          <w:rFonts w:cstheme="minorHAnsi"/>
        </w:rPr>
        <w:t>10</w:t>
      </w:r>
      <w:r w:rsidRPr="00F46944">
        <w:rPr>
          <w:rFonts w:cstheme="minorHAnsi"/>
        </w:rPr>
        <w:t xml:space="preserve"> </w:t>
      </w:r>
      <w:r w:rsidR="004D2FDA" w:rsidRPr="00F46944">
        <w:rPr>
          <w:rFonts w:cstheme="minorHAnsi"/>
        </w:rPr>
        <w:t>antimicrobial</w:t>
      </w:r>
      <w:r w:rsidRPr="00F46944">
        <w:rPr>
          <w:rFonts w:cstheme="minorHAnsi"/>
        </w:rPr>
        <w:t>s supplied in 2020 and 2021:</w:t>
      </w:r>
    </w:p>
    <w:p w14:paraId="4BA614B4" w14:textId="3EC5780A" w:rsidR="00851A0B" w:rsidRPr="00F46944" w:rsidRDefault="00851A0B" w:rsidP="003140B6">
      <w:pPr>
        <w:pStyle w:val="ListParagraph"/>
        <w:numPr>
          <w:ilvl w:val="1"/>
          <w:numId w:val="21"/>
        </w:numPr>
        <w:spacing w:before="60" w:after="60"/>
        <w:ind w:left="1080"/>
        <w:rPr>
          <w:rFonts w:cstheme="minorHAnsi"/>
        </w:rPr>
      </w:pPr>
      <w:r w:rsidRPr="00F46944">
        <w:rPr>
          <w:rFonts w:cstheme="minorHAnsi"/>
        </w:rPr>
        <w:t xml:space="preserve">Most commonly supplied </w:t>
      </w:r>
      <w:r w:rsidR="004D2FDA" w:rsidRPr="00F46944">
        <w:rPr>
          <w:rFonts w:cstheme="minorHAnsi"/>
        </w:rPr>
        <w:t>antimicrobial</w:t>
      </w:r>
      <w:r w:rsidRPr="00F46944">
        <w:rPr>
          <w:rFonts w:cstheme="minorHAnsi"/>
        </w:rPr>
        <w:t xml:space="preserve">s </w:t>
      </w:r>
    </w:p>
    <w:p w14:paraId="0802ADAC" w14:textId="1107A2E2" w:rsidR="000759D6" w:rsidRPr="00F46944" w:rsidRDefault="000759D6" w:rsidP="003140B6">
      <w:pPr>
        <w:pStyle w:val="ListParagraph"/>
        <w:numPr>
          <w:ilvl w:val="1"/>
          <w:numId w:val="21"/>
        </w:numPr>
        <w:spacing w:before="60" w:after="60"/>
        <w:ind w:left="1080"/>
        <w:rPr>
          <w:rFonts w:cstheme="minorHAnsi"/>
        </w:rPr>
      </w:pPr>
      <w:r w:rsidRPr="00F46944">
        <w:rPr>
          <w:rFonts w:cstheme="minorHAnsi"/>
        </w:rPr>
        <w:t>Original and repeat dispensing of the top</w:t>
      </w:r>
      <w:r w:rsidR="002C3A18" w:rsidRPr="00F46944">
        <w:rPr>
          <w:rFonts w:cstheme="minorHAnsi"/>
        </w:rPr>
        <w:t> </w:t>
      </w:r>
      <w:r w:rsidRPr="00F46944">
        <w:rPr>
          <w:rFonts w:cstheme="minorHAnsi"/>
        </w:rPr>
        <w:t>10 most commonly supplied antimicrobials.</w:t>
      </w:r>
    </w:p>
    <w:p w14:paraId="653852D8" w14:textId="0E8C1C88" w:rsidR="000759D6" w:rsidRPr="00F46944" w:rsidRDefault="00851A0B" w:rsidP="003140B6">
      <w:pPr>
        <w:pStyle w:val="ListParagraph"/>
        <w:numPr>
          <w:ilvl w:val="0"/>
          <w:numId w:val="21"/>
        </w:numPr>
        <w:spacing w:before="60" w:after="60"/>
        <w:ind w:left="360"/>
        <w:rPr>
          <w:rFonts w:cstheme="minorHAnsi"/>
        </w:rPr>
      </w:pPr>
      <w:r w:rsidRPr="00F46944">
        <w:rPr>
          <w:rFonts w:cstheme="minorHAnsi"/>
        </w:rPr>
        <w:lastRenderedPageBreak/>
        <w:t>Rate per 1</w:t>
      </w:r>
      <w:r w:rsidR="00003B89" w:rsidRPr="00F46944">
        <w:rPr>
          <w:rFonts w:cstheme="minorHAnsi"/>
        </w:rPr>
        <w:t>,</w:t>
      </w:r>
      <w:r w:rsidRPr="00F46944">
        <w:rPr>
          <w:rFonts w:cstheme="minorHAnsi"/>
        </w:rPr>
        <w:t>000</w:t>
      </w:r>
      <w:r w:rsidR="00772DCB" w:rsidRPr="00F46944">
        <w:rPr>
          <w:rFonts w:cstheme="minorHAnsi"/>
        </w:rPr>
        <w:t> </w:t>
      </w:r>
      <w:r w:rsidR="00614E00" w:rsidRPr="00F46944">
        <w:rPr>
          <w:rFonts w:cstheme="minorHAnsi"/>
        </w:rPr>
        <w:t>people</w:t>
      </w:r>
      <w:r w:rsidR="00175282" w:rsidRPr="00F46944">
        <w:rPr>
          <w:rFonts w:cstheme="minorHAnsi"/>
        </w:rPr>
        <w:t xml:space="preserve"> </w:t>
      </w:r>
      <w:r w:rsidRPr="00F46944">
        <w:rPr>
          <w:rFonts w:cstheme="minorHAnsi"/>
        </w:rPr>
        <w:t xml:space="preserve">of all </w:t>
      </w:r>
      <w:r w:rsidR="004D2FDA" w:rsidRPr="00F46944">
        <w:rPr>
          <w:rFonts w:cstheme="minorHAnsi"/>
        </w:rPr>
        <w:t>antimicrobial</w:t>
      </w:r>
      <w:r w:rsidRPr="00F46944">
        <w:rPr>
          <w:rFonts w:cstheme="minorHAnsi"/>
        </w:rPr>
        <w:t xml:space="preserve">s supplied in the winter season (June, July, August) of 2020 and 2021 by prescriber SA3, </w:t>
      </w:r>
      <w:r w:rsidR="00003B89" w:rsidRPr="00F46944">
        <w:rPr>
          <w:rFonts w:cstheme="minorHAnsi"/>
        </w:rPr>
        <w:t>and</w:t>
      </w:r>
      <w:r w:rsidRPr="00F46944">
        <w:rPr>
          <w:rFonts w:cstheme="minorHAnsi"/>
        </w:rPr>
        <w:t xml:space="preserve"> by </w:t>
      </w:r>
      <w:r w:rsidR="008F716E" w:rsidRPr="00F46944">
        <w:rPr>
          <w:rFonts w:cstheme="minorHAnsi"/>
        </w:rPr>
        <w:t>s</w:t>
      </w:r>
      <w:r w:rsidRPr="00F46944">
        <w:rPr>
          <w:rFonts w:cstheme="minorHAnsi"/>
        </w:rPr>
        <w:t xml:space="preserve">tate and </w:t>
      </w:r>
      <w:r w:rsidR="008F716E" w:rsidRPr="00F46944">
        <w:rPr>
          <w:rFonts w:cstheme="minorHAnsi"/>
        </w:rPr>
        <w:t>t</w:t>
      </w:r>
      <w:r w:rsidRPr="00F46944">
        <w:rPr>
          <w:rFonts w:cstheme="minorHAnsi"/>
        </w:rPr>
        <w:t>erritory</w:t>
      </w:r>
      <w:r w:rsidR="000759D6" w:rsidRPr="00F46944">
        <w:rPr>
          <w:rFonts w:cstheme="minorHAnsi"/>
        </w:rPr>
        <w:t>.</w:t>
      </w:r>
      <w:r w:rsidR="00175282" w:rsidRPr="00F46944">
        <w:rPr>
          <w:rFonts w:cstheme="minorHAnsi"/>
        </w:rPr>
        <w:t xml:space="preserve"> </w:t>
      </w:r>
      <w:r w:rsidR="000759D6" w:rsidRPr="00F46944">
        <w:rPr>
          <w:rFonts w:cstheme="minorHAnsi"/>
        </w:rPr>
        <w:t xml:space="preserve">The results are mapped to the Australian map to enable comparisons to analysis and reporting </w:t>
      </w:r>
      <w:r w:rsidR="00DA43CF" w:rsidRPr="00F46944">
        <w:rPr>
          <w:rFonts w:cstheme="minorHAnsi"/>
        </w:rPr>
        <w:t>in the</w:t>
      </w:r>
      <w:r w:rsidR="000759D6" w:rsidRPr="00F46944">
        <w:rPr>
          <w:rFonts w:cstheme="minorHAnsi"/>
        </w:rPr>
        <w:t xml:space="preserve"> Australian Atlas of Healthcare Variation.</w:t>
      </w:r>
      <w:r w:rsidR="00DA43CF" w:rsidRPr="00F46944">
        <w:rPr>
          <w:rFonts w:cstheme="minorHAnsi"/>
        </w:rPr>
        <w:fldChar w:fldCharType="begin"/>
      </w:r>
      <w:r w:rsidR="00412507">
        <w:rPr>
          <w:rFonts w:cstheme="minorHAnsi"/>
        </w:rPr>
        <w:instrText xml:space="preserve"> ADDIN EN.CITE &lt;EndNote&gt;&lt;Cite&gt;&lt;Author&gt;Welfare&lt;/Author&gt;&lt;Year&gt;2021&lt;/Year&gt;&lt;RecNum&gt;14&lt;/RecNum&gt;&lt;DisplayText&gt;&lt;style face="superscript"&gt;15&lt;/style&gt;&lt;/DisplayText&gt;&lt;record&gt;&lt;rec-number&gt;14&lt;/rec-number&gt;&lt;foreign-keys&gt;&lt;key app="EN" db-id="es9dr99ws90stoe5x2rp505nazvswdzppxa5" timestamp="1670810541"&gt;14&lt;/key&gt;&lt;/foreign-keys&gt;&lt;ref-type name="Report"&gt;27&lt;/ref-type&gt;&lt;contributors&gt;&lt;authors&gt;&lt;author&gt;Australian Commission on Safety and Quality in Health Care and Australian Institute of Health and Welfare&lt;/author&gt;&lt;/authors&gt;&lt;/contributors&gt;&lt;titles&gt;&lt;title&gt;The Fourth Australian Atlas of Healthcare Variation&lt;/title&gt;&lt;/titles&gt;&lt;dates&gt;&lt;year&gt;2021&lt;/year&gt;&lt;/dates&gt;&lt;pub-location&gt;Sydney&lt;/pub-location&gt;&lt;publisher&gt;ACSQHC&lt;/publisher&gt;&lt;urls&gt;&lt;/urls&gt;&lt;/record&gt;&lt;/Cite&gt;&lt;/EndNote&gt;</w:instrText>
      </w:r>
      <w:r w:rsidR="00DA43CF" w:rsidRPr="00F46944">
        <w:rPr>
          <w:rFonts w:cstheme="minorHAnsi"/>
        </w:rPr>
        <w:fldChar w:fldCharType="separate"/>
      </w:r>
      <w:r w:rsidR="00C16B8F" w:rsidRPr="00C16B8F">
        <w:rPr>
          <w:rFonts w:cstheme="minorHAnsi"/>
          <w:noProof/>
          <w:vertAlign w:val="superscript"/>
        </w:rPr>
        <w:t>15</w:t>
      </w:r>
      <w:r w:rsidR="00DA43CF" w:rsidRPr="00F46944">
        <w:rPr>
          <w:rFonts w:cstheme="minorHAnsi"/>
        </w:rPr>
        <w:fldChar w:fldCharType="end"/>
      </w:r>
      <w:r w:rsidR="000759D6" w:rsidRPr="00F46944">
        <w:rPr>
          <w:rFonts w:cstheme="minorHAnsi"/>
        </w:rPr>
        <w:t xml:space="preserve"> </w:t>
      </w:r>
    </w:p>
    <w:p w14:paraId="229641FB" w14:textId="77777777" w:rsidR="000759D6" w:rsidRPr="00F46944" w:rsidRDefault="000759D6" w:rsidP="001D0621">
      <w:pPr>
        <w:spacing w:before="60" w:after="60"/>
        <w:rPr>
          <w:rFonts w:cstheme="minorHAnsi"/>
        </w:rPr>
      </w:pPr>
    </w:p>
    <w:p w14:paraId="20551D88" w14:textId="28850A1C" w:rsidR="00851A0B" w:rsidRPr="00F46944" w:rsidRDefault="000759D6" w:rsidP="003140B6">
      <w:pPr>
        <w:pStyle w:val="ListParagraph"/>
        <w:numPr>
          <w:ilvl w:val="0"/>
          <w:numId w:val="21"/>
        </w:numPr>
        <w:spacing w:before="60" w:after="60"/>
        <w:ind w:left="360"/>
        <w:rPr>
          <w:rFonts w:cstheme="minorHAnsi"/>
        </w:rPr>
      </w:pPr>
      <w:r w:rsidRPr="00F46944">
        <w:rPr>
          <w:rFonts w:cstheme="minorHAnsi"/>
        </w:rPr>
        <w:t xml:space="preserve">Impact </w:t>
      </w:r>
      <w:r w:rsidR="00175282" w:rsidRPr="00F46944">
        <w:rPr>
          <w:rFonts w:cstheme="minorHAnsi"/>
        </w:rPr>
        <w:t xml:space="preserve">of COVID-19 on </w:t>
      </w:r>
      <w:r w:rsidR="00851A0B" w:rsidRPr="00F46944">
        <w:rPr>
          <w:rFonts w:cstheme="minorHAnsi"/>
        </w:rPr>
        <w:t>antimicrobial use:</w:t>
      </w:r>
    </w:p>
    <w:p w14:paraId="76258309" w14:textId="602021A5" w:rsidR="00175282" w:rsidRPr="00F46944" w:rsidRDefault="00175282" w:rsidP="003140B6">
      <w:pPr>
        <w:pStyle w:val="ListParagraph"/>
        <w:numPr>
          <w:ilvl w:val="1"/>
          <w:numId w:val="21"/>
        </w:numPr>
        <w:spacing w:before="60" w:after="60"/>
        <w:ind w:left="1080"/>
        <w:rPr>
          <w:rFonts w:cstheme="minorHAnsi"/>
        </w:rPr>
      </w:pPr>
      <w:r w:rsidRPr="00F46944">
        <w:rPr>
          <w:rFonts w:cstheme="minorHAnsi"/>
        </w:rPr>
        <w:t xml:space="preserve">Monthly number of </w:t>
      </w:r>
      <w:r w:rsidR="0023029D" w:rsidRPr="00F46944">
        <w:rPr>
          <w:rFonts w:cstheme="minorHAnsi"/>
        </w:rPr>
        <w:t>dispensing</w:t>
      </w:r>
      <w:r w:rsidRPr="00F46944">
        <w:rPr>
          <w:rFonts w:cstheme="minorHAnsi"/>
        </w:rPr>
        <w:t xml:space="preserve"> of </w:t>
      </w:r>
      <w:proofErr w:type="spellStart"/>
      <w:r w:rsidR="0023029D" w:rsidRPr="00F46944">
        <w:rPr>
          <w:rFonts w:cstheme="minorHAnsi"/>
        </w:rPr>
        <w:t>antibacterials</w:t>
      </w:r>
      <w:proofErr w:type="spellEnd"/>
      <w:r w:rsidRPr="00F46944">
        <w:rPr>
          <w:rFonts w:cstheme="minorHAnsi"/>
        </w:rPr>
        <w:t xml:space="preserve"> for systemic use </w:t>
      </w:r>
      <w:r w:rsidR="0023029D" w:rsidRPr="00F46944">
        <w:rPr>
          <w:rFonts w:cstheme="minorHAnsi"/>
        </w:rPr>
        <w:t xml:space="preserve">(J01) </w:t>
      </w:r>
      <w:r w:rsidRPr="00F46944">
        <w:rPr>
          <w:rFonts w:cstheme="minorHAnsi"/>
        </w:rPr>
        <w:t>are reported from January 2019 to December 2021. Changes in antimicrobial use in each month of 2021 compared to the same month in 2019 and 2020 are reported as percentage change in dispensing numbers and percentage change in volume of antimicrobial as measured by DDD/1</w:t>
      </w:r>
      <w:r w:rsidR="00003B89" w:rsidRPr="00F46944">
        <w:rPr>
          <w:rFonts w:cstheme="minorHAnsi"/>
        </w:rPr>
        <w:t>,</w:t>
      </w:r>
      <w:r w:rsidRPr="00F46944">
        <w:rPr>
          <w:rFonts w:cstheme="minorHAnsi"/>
        </w:rPr>
        <w:t>000</w:t>
      </w:r>
      <w:r w:rsidR="00772DCB" w:rsidRPr="00F46944">
        <w:rPr>
          <w:rFonts w:cstheme="minorHAnsi"/>
        </w:rPr>
        <w:t> </w:t>
      </w:r>
      <w:r w:rsidR="00614E00" w:rsidRPr="00F46944">
        <w:rPr>
          <w:rFonts w:cstheme="minorHAnsi"/>
        </w:rPr>
        <w:t>people</w:t>
      </w:r>
      <w:r w:rsidRPr="00F46944">
        <w:rPr>
          <w:rFonts w:cstheme="minorHAnsi"/>
        </w:rPr>
        <w:t>/day</w:t>
      </w:r>
    </w:p>
    <w:p w14:paraId="3B8A3739" w14:textId="3E5C8C24" w:rsidR="00851A0B" w:rsidRPr="00F46944" w:rsidRDefault="00851A0B" w:rsidP="003140B6">
      <w:pPr>
        <w:pStyle w:val="ListParagraph"/>
        <w:numPr>
          <w:ilvl w:val="1"/>
          <w:numId w:val="21"/>
        </w:numPr>
        <w:spacing w:before="60" w:after="60"/>
        <w:ind w:left="1080"/>
        <w:rPr>
          <w:rFonts w:cstheme="minorHAnsi"/>
        </w:rPr>
      </w:pPr>
      <w:r w:rsidRPr="00F46944">
        <w:rPr>
          <w:rFonts w:cstheme="minorHAnsi"/>
        </w:rPr>
        <w:t xml:space="preserve">Monthly number of </w:t>
      </w:r>
      <w:r w:rsidR="0023029D" w:rsidRPr="00F46944">
        <w:rPr>
          <w:rFonts w:cstheme="minorHAnsi"/>
        </w:rPr>
        <w:t xml:space="preserve">dispensing of </w:t>
      </w:r>
      <w:proofErr w:type="spellStart"/>
      <w:r w:rsidR="0023029D" w:rsidRPr="00F46944">
        <w:rPr>
          <w:rFonts w:cstheme="minorHAnsi"/>
        </w:rPr>
        <w:t>antibacterials</w:t>
      </w:r>
      <w:proofErr w:type="spellEnd"/>
      <w:r w:rsidRPr="00F46944">
        <w:rPr>
          <w:rFonts w:cstheme="minorHAnsi"/>
        </w:rPr>
        <w:t xml:space="preserve"> for systemic use </w:t>
      </w:r>
      <w:r w:rsidR="0023029D" w:rsidRPr="00F46944">
        <w:rPr>
          <w:rFonts w:cstheme="minorHAnsi"/>
        </w:rPr>
        <w:t xml:space="preserve">(J01) </w:t>
      </w:r>
      <w:r w:rsidR="00462E31" w:rsidRPr="00F46944">
        <w:rPr>
          <w:rFonts w:cstheme="minorHAnsi"/>
        </w:rPr>
        <w:t>are</w:t>
      </w:r>
      <w:r w:rsidRPr="00F46944">
        <w:rPr>
          <w:rFonts w:cstheme="minorHAnsi"/>
        </w:rPr>
        <w:t xml:space="preserve"> reported from January 2019 to December 2021. Changes in </w:t>
      </w:r>
      <w:r w:rsidR="004D2FDA" w:rsidRPr="00F46944">
        <w:rPr>
          <w:rFonts w:cstheme="minorHAnsi"/>
        </w:rPr>
        <w:t>antimicrobial</w:t>
      </w:r>
      <w:r w:rsidRPr="00F46944">
        <w:rPr>
          <w:rFonts w:cstheme="minorHAnsi"/>
        </w:rPr>
        <w:t xml:space="preserve"> use in each month of 2021 compared to the same months in 2019 and 2020 are reported as percentage change in dispensing numbers and percentage change in volume of </w:t>
      </w:r>
      <w:r w:rsidR="004D2FDA" w:rsidRPr="00F46944">
        <w:rPr>
          <w:rFonts w:cstheme="minorHAnsi"/>
        </w:rPr>
        <w:t>antimicrobial</w:t>
      </w:r>
      <w:r w:rsidRPr="00F46944">
        <w:rPr>
          <w:rFonts w:cstheme="minorHAnsi"/>
        </w:rPr>
        <w:t xml:space="preserve"> as measured by </w:t>
      </w:r>
      <w:r w:rsidR="00175282" w:rsidRPr="00F46944">
        <w:rPr>
          <w:rFonts w:cstheme="minorHAnsi"/>
        </w:rPr>
        <w:t>DDD/1</w:t>
      </w:r>
      <w:r w:rsidR="00003B89" w:rsidRPr="00F46944">
        <w:rPr>
          <w:rFonts w:cstheme="minorHAnsi"/>
        </w:rPr>
        <w:t>,</w:t>
      </w:r>
      <w:r w:rsidR="00175282" w:rsidRPr="00F46944">
        <w:rPr>
          <w:rFonts w:cstheme="minorHAnsi"/>
        </w:rPr>
        <w:t>000</w:t>
      </w:r>
      <w:r w:rsidR="00772DCB" w:rsidRPr="00F46944">
        <w:rPr>
          <w:rFonts w:cstheme="minorHAnsi"/>
        </w:rPr>
        <w:t> </w:t>
      </w:r>
      <w:r w:rsidR="00614E00" w:rsidRPr="00F46944">
        <w:rPr>
          <w:rFonts w:cstheme="minorHAnsi"/>
        </w:rPr>
        <w:t>people</w:t>
      </w:r>
      <w:r w:rsidR="00175282" w:rsidRPr="00F46944">
        <w:rPr>
          <w:rFonts w:cstheme="minorHAnsi"/>
        </w:rPr>
        <w:t>/day</w:t>
      </w:r>
      <w:r w:rsidR="0066435A">
        <w:rPr>
          <w:rFonts w:cstheme="minorHAnsi"/>
        </w:rPr>
        <w:t>.</w:t>
      </w:r>
    </w:p>
    <w:p w14:paraId="2631DA97" w14:textId="775A620C" w:rsidR="00851A0B" w:rsidRPr="00F46944" w:rsidRDefault="00851A0B" w:rsidP="00D43799">
      <w:pPr>
        <w:spacing w:before="60" w:after="60"/>
        <w:ind w:left="357"/>
        <w:rPr>
          <w:rFonts w:cstheme="minorHAnsi"/>
        </w:rPr>
      </w:pPr>
      <w:r w:rsidRPr="00F46944">
        <w:rPr>
          <w:rFonts w:cstheme="minorHAnsi"/>
        </w:rPr>
        <w:t xml:space="preserve">Analysis </w:t>
      </w:r>
      <w:r w:rsidR="008F716E" w:rsidRPr="00F46944">
        <w:rPr>
          <w:rFonts w:cstheme="minorHAnsi"/>
        </w:rPr>
        <w:t>was</w:t>
      </w:r>
      <w:r w:rsidRPr="00F46944">
        <w:rPr>
          <w:rFonts w:cstheme="minorHAnsi"/>
        </w:rPr>
        <w:t xml:space="preserve"> stratified by oral </w:t>
      </w:r>
      <w:r w:rsidR="004D2FDA" w:rsidRPr="00F46944">
        <w:rPr>
          <w:rFonts w:cstheme="minorHAnsi"/>
        </w:rPr>
        <w:t>antimicrobial</w:t>
      </w:r>
      <w:r w:rsidRPr="00F46944">
        <w:rPr>
          <w:rFonts w:cstheme="minorHAnsi"/>
        </w:rPr>
        <w:t xml:space="preserve">s predominantly used for </w:t>
      </w:r>
      <w:r w:rsidR="003A499C" w:rsidRPr="00F46944">
        <w:rPr>
          <w:rFonts w:cstheme="minorHAnsi"/>
        </w:rPr>
        <w:t>URTI</w:t>
      </w:r>
      <w:r w:rsidR="00A70B58">
        <w:rPr>
          <w:rFonts w:cstheme="minorHAnsi"/>
        </w:rPr>
        <w:t>s</w:t>
      </w:r>
      <w:r w:rsidRPr="00F46944">
        <w:rPr>
          <w:rFonts w:cstheme="minorHAnsi"/>
        </w:rPr>
        <w:t xml:space="preserve">, </w:t>
      </w:r>
      <w:r w:rsidR="003F5F96" w:rsidRPr="003F5F96">
        <w:rPr>
          <w:rFonts w:cstheme="minorHAnsi"/>
        </w:rPr>
        <w:t>urinary tract infection</w:t>
      </w:r>
      <w:r w:rsidR="003F5F96">
        <w:rPr>
          <w:rFonts w:cstheme="minorHAnsi"/>
        </w:rPr>
        <w:t>s (</w:t>
      </w:r>
      <w:r w:rsidR="00F74E80" w:rsidRPr="00F46944">
        <w:rPr>
          <w:rFonts w:cstheme="minorHAnsi"/>
        </w:rPr>
        <w:t>UTIs</w:t>
      </w:r>
      <w:r w:rsidR="003F5F96">
        <w:rPr>
          <w:rFonts w:cstheme="minorHAnsi"/>
        </w:rPr>
        <w:t>)</w:t>
      </w:r>
      <w:r w:rsidRPr="00F46944">
        <w:rPr>
          <w:rFonts w:cstheme="minorHAnsi"/>
        </w:rPr>
        <w:t xml:space="preserve"> and for skin conditions</w:t>
      </w:r>
      <w:r w:rsidR="00175282" w:rsidRPr="00F46944">
        <w:rPr>
          <w:rFonts w:cstheme="minorHAnsi"/>
        </w:rPr>
        <w:t>.</w:t>
      </w:r>
      <w:r w:rsidR="008F716E" w:rsidRPr="00F46944">
        <w:rPr>
          <w:rFonts w:cstheme="minorHAnsi"/>
        </w:rPr>
        <w:t xml:space="preserve"> </w:t>
      </w:r>
      <w:r w:rsidRPr="00F46944">
        <w:rPr>
          <w:rFonts w:cstheme="minorHAnsi"/>
        </w:rPr>
        <w:t xml:space="preserve">For </w:t>
      </w:r>
      <w:r w:rsidR="004D2FDA" w:rsidRPr="00F46944">
        <w:rPr>
          <w:rFonts w:cstheme="minorHAnsi"/>
        </w:rPr>
        <w:t>antimicrobial</w:t>
      </w:r>
      <w:r w:rsidRPr="00F46944">
        <w:rPr>
          <w:rFonts w:cstheme="minorHAnsi"/>
        </w:rPr>
        <w:t xml:space="preserve">s used for </w:t>
      </w:r>
      <w:r w:rsidR="003A499C" w:rsidRPr="00F46944">
        <w:rPr>
          <w:rFonts w:cstheme="minorHAnsi"/>
        </w:rPr>
        <w:t>URTIs</w:t>
      </w:r>
      <w:r w:rsidRPr="00F46944">
        <w:rPr>
          <w:rFonts w:cstheme="minorHAnsi"/>
        </w:rPr>
        <w:t xml:space="preserve">, the results </w:t>
      </w:r>
      <w:r w:rsidR="008F716E" w:rsidRPr="00F46944">
        <w:rPr>
          <w:rFonts w:cstheme="minorHAnsi"/>
        </w:rPr>
        <w:t>are</w:t>
      </w:r>
      <w:r w:rsidRPr="00F46944">
        <w:rPr>
          <w:rFonts w:cstheme="minorHAnsi"/>
        </w:rPr>
        <w:t xml:space="preserve"> stratified by type of </w:t>
      </w:r>
      <w:r w:rsidR="004D2FDA" w:rsidRPr="00F46944">
        <w:rPr>
          <w:rFonts w:cstheme="minorHAnsi"/>
        </w:rPr>
        <w:t>antimicrobial</w:t>
      </w:r>
      <w:r w:rsidRPr="00F46944">
        <w:rPr>
          <w:rFonts w:cstheme="minorHAnsi"/>
        </w:rPr>
        <w:t>, by state</w:t>
      </w:r>
      <w:r w:rsidR="009F767F" w:rsidRPr="00F46944">
        <w:rPr>
          <w:rFonts w:cstheme="minorHAnsi"/>
        </w:rPr>
        <w:t>/ territory</w:t>
      </w:r>
      <w:r w:rsidRPr="00F46944">
        <w:rPr>
          <w:rFonts w:cstheme="minorHAnsi"/>
        </w:rPr>
        <w:t xml:space="preserve">, and by </w:t>
      </w:r>
      <w:r w:rsidR="00F1786C" w:rsidRPr="00F46944">
        <w:rPr>
          <w:rFonts w:cstheme="minorHAnsi"/>
        </w:rPr>
        <w:t xml:space="preserve">patient </w:t>
      </w:r>
      <w:r w:rsidRPr="00F46944">
        <w:rPr>
          <w:rFonts w:cstheme="minorHAnsi"/>
        </w:rPr>
        <w:t>age.</w:t>
      </w:r>
    </w:p>
    <w:p w14:paraId="4D949D63" w14:textId="27CBAE94" w:rsidR="004A10EF" w:rsidRPr="00F46944" w:rsidRDefault="004A10EF" w:rsidP="001D0621">
      <w:pPr>
        <w:spacing w:before="60" w:after="60"/>
      </w:pPr>
    </w:p>
    <w:p w14:paraId="30359ABF" w14:textId="470F4ACC" w:rsidR="00BC3F75" w:rsidRDefault="00851A0B" w:rsidP="00BC3F75">
      <w:pPr>
        <w:spacing w:before="60" w:after="60"/>
      </w:pPr>
      <w:bookmarkStart w:id="38" w:name="_Hlk105362756"/>
      <w:r w:rsidRPr="00F46944">
        <w:t xml:space="preserve">For reporting of age-standardised rates, the reference population was the Australian population </w:t>
      </w:r>
      <w:r w:rsidR="0000162D" w:rsidRPr="00F46944">
        <w:t>at</w:t>
      </w:r>
      <w:r w:rsidRPr="00F46944">
        <w:t xml:space="preserve"> mid-2013</w:t>
      </w:r>
      <w:r w:rsidR="00E74AF0" w:rsidRPr="00F46944">
        <w:t xml:space="preserve"> for consistency with previous AURA reports</w:t>
      </w:r>
      <w:r w:rsidRPr="00F46944">
        <w:t>.</w:t>
      </w:r>
      <w:r w:rsidR="00E74AF0" w:rsidRPr="00F46944">
        <w:fldChar w:fldCharType="begin">
          <w:fldData xml:space="preserve">PEVuZE5vdGU+PENpdGU+PEF1dGhvcj5DYXJlPC9BdXRob3I+PFllYXI+MjAxNjwvWWVhcj48UmVj
TnVtPjI8L1JlY051bT48RGlzcGxheVRleHQ+PHN0eWxlIGZhY2U9InN1cGVyc2NyaXB0Ij4xLTQ8
L3N0eWxlPjwvRGlzcGxheVRleHQ+PHJlY29yZD48cmVjLW51bWJlcj4yPC9yZWMtbnVtYmVyPjxm
b3JlaWduLWtleXM+PGtleSBhcHA9IkVOIiBkYi1pZD0iZXM5ZHI5OXdzOTBzdG9lNXgycnA1MDVu
YXp2c3dkenBweGE1IiB0aW1lc3RhbXA9IjE2NzA4MTA1MzgiPjI8L2tleT48L2ZvcmVpZ24ta2V5
cz48cmVmLXR5cGUgbmFtZT0iUmVwb3J0Ij4yNzwvcmVmLXR5cGU+PGNvbnRyaWJ1dG9ycz48YXV0
aG9ycz48YXV0aG9yPkF1c3RyYWxpYW4gQ29tbWlzc2lvbiBvbiBTYWZldHkgYW5kIFF1YWxpdHkg
aW4gSGVhbHRoIENhcmU8L2F1dGhvcj48L2F1dGhvcnM+PC9jb250cmlidXRvcnM+PHRpdGxlcz48
dGl0bGU+QVVSQSAyMDE2OiBmaXJzdCBBdXN0cmFsaWFuIHJlcG9ydCBvbiBhbnRpbWljcm9iaWFs
IHVzZSBhbmQgcmVzaXN0YW5jZSBpbiBodW1hbiBoZWFsdGg8L3RpdGxlPjwvdGl0bGVzPjxkYXRl
cz48eWVhcj4yMDE2PC95ZWFyPjwvZGF0ZXM+PHB1Yi1sb2NhdGlvbj5TeWRuZXk8L3B1Yi1sb2Nh
dGlvbj48cHVibGlzaGVyPkFDU1FIQzwvcHVibGlzaGVyPjx1cmxzPjxyZWxhdGVkLXVybHM+PHVy
bD5odHRwczovL3d3dy5zYWZldHlhbmRxdWFsaXR5Lmdvdi5hdS9wdWJsaWNhdGlvbnMtYW5kLXJl
c291cmNlcy9yZXNvdXJjZS1saWJyYXJ5L2F1cmEtMjAxNi1maXJzdC1hdXN0cmFsaWFuLXJlcG9y
dC1hbnRpbWljcm9iaWFsLXVzZS1hbmQtcmVzaXN0YW5jZS1odW1hbi1oZWFsdGgtZnVsbC1yZXBv
cnQ8L3VybD48L3JlbGF0ZWQtdXJscz48L3VybHM+PGFjY2Vzcy1kYXRlPjEgTWFyY2ggMjAyMTwv
YWNjZXNzLWRhdGU+PC9yZWNvcmQ+PC9DaXRlPjxDaXRlPjxBdXRob3I+Q2FyZTwvQXV0aG9yPjxZ
ZWFyPjIwMTc8L1llYXI+PFJlY051bT4zPC9SZWNOdW0+PHJlY29yZD48cmVjLW51bWJlcj4zPC9y
ZWMtbnVtYmVyPjxmb3JlaWduLWtleXM+PGtleSBhcHA9IkVOIiBkYi1pZD0iZXM5ZHI5OXdzOTBz
dG9lNXgycnA1MDVuYXp2c3dkenBweGE1IiB0aW1lc3RhbXA9IjE2NzA4MTA1MzgiPjM8L2tleT48
L2ZvcmVpZ24ta2V5cz48cmVmLXR5cGUgbmFtZT0iUmVwb3J0Ij4yNzwvcmVmLXR5cGU+PGNvbnRy
aWJ1dG9ycz48YXV0aG9ycz48YXV0aG9yPkF1c3RyYWxpYW4gQ29tbWlzc2lvbiBvbiBTYWZldHkg
YW5kIFF1YWxpdHkgaW4gSGVhbHRoIENhcmU8L2F1dGhvcj48L2F1dGhvcnM+PC9jb250cmlidXRv
cnM+PHRpdGxlcz48dGl0bGU+QVVSQSAyMDE3OiBzZWNvbmQgQXVzdHJhbGlhbiByZXBvcnQgb24g
YW50aW1pY3JvYmlhbCB1c2UgYW5kIHJlc2lzdGFuY2UgaW4gaHVtYW4gaGVhbHRoPC90aXRsZT48
L3RpdGxlcz48ZGF0ZXM+PHllYXI+MjAxNzwveWVhcj48L2RhdGVzPjxwdWItbG9jYXRpb24+U3lk
bmV5PC9wdWItbG9jYXRpb24+PHB1Ymxpc2hlcj5BQ1NRSEM8L3B1Ymxpc2hlcj48dXJscz48cmVs
YXRlZC11cmxzPjx1cmw+aHR0cHM6Ly93d3cuc2FmZXR5YW5kcXVhbGl0eS5nb3YuYXUvcHVibGlj
YXRpb25zLWFuZC1yZXNvdXJjZXMvcmVzb3VyY2UtbGlicmFyeS9hdXJhLTIwMTctc2Vjb25kLWF1
c3RyYWxpYW4tcmVwb3J0LWFudGltaWNyb2JpYWwtdXNlLWFuZC1yZXNpc3RhbmNlLWh1bWFuLWhl
YWx0aDwvdXJsPjwvcmVsYXRlZC11cmxzPjwvdXJscz48YWNjZXNzLWRhdGU+MSBNYXJjaCAyMDIx
PC9hY2Nlc3MtZGF0ZT48L3JlY29yZD48L0NpdGU+PENpdGU+PEF1dGhvcj5DYXJlPC9BdXRob3I+
PFllYXI+MjAxNzwvWWVhcj48UmVjTnVtPjM8L1JlY051bT48cmVjb3JkPjxyZWMtbnVtYmVyPjM8
L3JlYy1udW1iZXI+PGZvcmVpZ24ta2V5cz48a2V5IGFwcD0iRU4iIGRiLWlkPSJlczlkcjk5d3M5
MHN0b2U1eDJycDUwNW5henZzd2R6cHB4YTUiIHRpbWVzdGFtcD0iMTY3MDgxMDUzOCI+Mzwva2V5
PjwvZm9yZWlnbi1rZXlzPjxyZWYtdHlwZSBuYW1lPSJSZXBvcnQiPjI3PC9yZWYtdHlwZT48Y29u
dHJpYnV0b3JzPjxhdXRob3JzPjxhdXRob3I+QXVzdHJhbGlhbiBDb21taXNzaW9uIG9uIFNhZmV0
eSBhbmQgUXVhbGl0eSBpbiBIZWFsdGggQ2FyZTwvYXV0aG9yPjwvYXV0aG9ycz48L2NvbnRyaWJ1
dG9ycz48dGl0bGVzPjx0aXRsZT5BVVJBIDIwMTc6IHNlY29uZCBBdXN0cmFsaWFuIHJlcG9ydCBv
biBhbnRpbWljcm9iaWFsIHVzZSBhbmQgcmVzaXN0YW5jZSBpbiBodW1hbiBoZWFsdGg8L3RpdGxl
PjwvdGl0bGVzPjxkYXRlcz48eWVhcj4yMDE3PC95ZWFyPjwvZGF0ZXM+PHB1Yi1sb2NhdGlvbj5T
eWRuZXk8L3B1Yi1sb2NhdGlvbj48cHVibGlzaGVyPkFDU1FIQzwvcHVibGlzaGVyPjx1cmxzPjxy
ZWxhdGVkLXVybHM+PHVybD5odHRwczovL3d3dy5zYWZldHlhbmRxdWFsaXR5Lmdvdi5hdS9wdWJs
aWNhdGlvbnMtYW5kLXJlc291cmNlcy9yZXNvdXJjZS1saWJyYXJ5L2F1cmEtMjAxNy1zZWNvbmQt
YXVzdHJhbGlhbi1yZXBvcnQtYW50aW1pY3JvYmlhbC11c2UtYW5kLXJlc2lzdGFuY2UtaHVtYW4t
aGVhbHRoPC91cmw+PC9yZWxhdGVkLXVybHM+PC91cmxzPjxhY2Nlc3MtZGF0ZT4xIE1hcmNoIDIw
MjE8L2FjY2Vzcy1kYXRlPjwvcmVjb3JkPjwvQ2l0ZT48Q2l0ZT48QXV0aG9yPkNhcmU8L0F1dGhv
cj48WWVhcj4yMDE5PC9ZZWFyPjxSZWNOdW0+NDwvUmVjTnVtPjxyZWNvcmQ+PHJlYy1udW1iZXI+
NDwvcmVjLW51bWJlcj48Zm9yZWlnbi1rZXlzPjxrZXkgYXBwPSJFTiIgZGItaWQ9ImVzOWRyOTl3
czkwc3RvZTV4MnJwNTA1bmF6dnN3ZHpwcHhhNSIgdGltZXN0YW1wPSIxNjcwODEwNTM5Ij40PC9r
ZXk+PC9mb3JlaWduLWtleXM+PHJlZi10eXBlIG5hbWU9IlJlcG9ydCI+Mjc8L3JlZi10eXBlPjxj
b250cmlidXRvcnM+PGF1dGhvcnM+PGF1dGhvcj5BdXN0cmFsaWFuIENvbW1pc3Npb24gb24gU2Fm
ZXR5IGFuZCBRdWFsaXR5IGluIEhlYWx0aCBDYXJlPC9hdXRob3I+PC9hdXRob3JzPjwvY29udHJp
YnV0b3JzPjx0aXRsZXM+PHRpdGxlPkFVUkEgMjAxOTogdGhpcmQgQXVzdHJhbGlhbiByZXBvcnQg
b24gYW50aW1pY3JvYmlhbCB1c2UgYW5kIHJlc2lzdGFuY2UgaW4gaHVtYW4gaGVhbHRoPC90aXRs
ZT48L3RpdGxlcz48ZGF0ZXM+PHllYXI+MjAxOTwveWVhcj48L2RhdGVzPjxwdWItbG9jYXRpb24+
U3lkbmV5PC9wdWItbG9jYXRpb24+PHB1Ymxpc2hlcj5BQ1NRSEM8L3B1Ymxpc2hlcj48dXJscz48
L3VybHM+PC9yZWNvcmQ+PC9DaXRlPjxDaXRlPjxBdXRob3I+Q2FyZTwvQXV0aG9yPjxZZWFyPjIw
MjE8L1llYXI+PFJlY051bT4xPC9SZWNOdW0+PHJlY29yZD48cmVjLW51bWJlcj4xPC9yZWMtbnVt
YmVyPjxmb3JlaWduLWtleXM+PGtleSBhcHA9IkVOIiBkYi1pZD0iZXM5ZHI5OXdzOTBzdG9lNXgy
cnA1MDVuYXp2c3dkenBweGE1IiB0aW1lc3RhbXA9IjE2NzA4MTA1MzgiPjE8L2tleT48L2ZvcmVp
Z24ta2V5cz48cmVmLXR5cGUgbmFtZT0iUmVwb3J0Ij4yNzwvcmVmLXR5cGU+PGNvbnRyaWJ1dG9y
cz48YXV0aG9ycz48YXV0aG9yPkF1c3RyYWxpYW4gQ29tbWlzc2lvbiBvbiBTYWZldHkgYW5kIFF1
YWxpdHkgaW4gSGVhbHRoIENhcmU8L2F1dGhvcj48L2F1dGhvcnM+PC9jb250cmlidXRvcnM+PHRp
dGxlcz48dGl0bGU+QVVSQSAyMDIxOiBmb3VydGggQXVzdHJhbGlhbiByZXBvcnQgb24gYW50aW1p
Y3JvYmlhbCB1c2UgYW5kIHJlc2lzdGFuY2UgaW4gaHVtYW4gaGVhbHRoPC90aXRsZT48L3RpdGxl
cz48ZGF0ZXM+PHllYXI+MjAyMTwveWVhcj48L2RhdGVzPjxwdWItbG9jYXRpb24+U3lkbmV5PC9w
dWItbG9jYXRpb24+PHB1Ymxpc2hlcj5BQ1NRSEM8L3B1Ymxpc2hlcj48dXJscz48L3VybHM+PC9y
ZWNvcmQ+PC9DaXRlPjwvRW5kTm90ZT4A
</w:fldData>
        </w:fldChar>
      </w:r>
      <w:r w:rsidR="00412507">
        <w:instrText xml:space="preserve"> ADDIN EN.CITE </w:instrText>
      </w:r>
      <w:r w:rsidR="00412507">
        <w:fldChar w:fldCharType="begin">
          <w:fldData xml:space="preserve">PEVuZE5vdGU+PENpdGU+PEF1dGhvcj5DYXJlPC9BdXRob3I+PFllYXI+MjAxNjwvWWVhcj48UmVj
TnVtPjI8L1JlY051bT48RGlzcGxheVRleHQ+PHN0eWxlIGZhY2U9InN1cGVyc2NyaXB0Ij4xLTQ8
L3N0eWxlPjwvRGlzcGxheVRleHQ+PHJlY29yZD48cmVjLW51bWJlcj4yPC9yZWMtbnVtYmVyPjxm
b3JlaWduLWtleXM+PGtleSBhcHA9IkVOIiBkYi1pZD0iZXM5ZHI5OXdzOTBzdG9lNXgycnA1MDVu
YXp2c3dkenBweGE1IiB0aW1lc3RhbXA9IjE2NzA4MTA1MzgiPjI8L2tleT48L2ZvcmVpZ24ta2V5
cz48cmVmLXR5cGUgbmFtZT0iUmVwb3J0Ij4yNzwvcmVmLXR5cGU+PGNvbnRyaWJ1dG9ycz48YXV0
aG9ycz48YXV0aG9yPkF1c3RyYWxpYW4gQ29tbWlzc2lvbiBvbiBTYWZldHkgYW5kIFF1YWxpdHkg
aW4gSGVhbHRoIENhcmU8L2F1dGhvcj48L2F1dGhvcnM+PC9jb250cmlidXRvcnM+PHRpdGxlcz48
dGl0bGU+QVVSQSAyMDE2OiBmaXJzdCBBdXN0cmFsaWFuIHJlcG9ydCBvbiBhbnRpbWljcm9iaWFs
IHVzZSBhbmQgcmVzaXN0YW5jZSBpbiBodW1hbiBoZWFsdGg8L3RpdGxlPjwvdGl0bGVzPjxkYXRl
cz48eWVhcj4yMDE2PC95ZWFyPjwvZGF0ZXM+PHB1Yi1sb2NhdGlvbj5TeWRuZXk8L3B1Yi1sb2Nh
dGlvbj48cHVibGlzaGVyPkFDU1FIQzwvcHVibGlzaGVyPjx1cmxzPjxyZWxhdGVkLXVybHM+PHVy
bD5odHRwczovL3d3dy5zYWZldHlhbmRxdWFsaXR5Lmdvdi5hdS9wdWJsaWNhdGlvbnMtYW5kLXJl
c291cmNlcy9yZXNvdXJjZS1saWJyYXJ5L2F1cmEtMjAxNi1maXJzdC1hdXN0cmFsaWFuLXJlcG9y
dC1hbnRpbWljcm9iaWFsLXVzZS1hbmQtcmVzaXN0YW5jZS1odW1hbi1oZWFsdGgtZnVsbC1yZXBv
cnQ8L3VybD48L3JlbGF0ZWQtdXJscz48L3VybHM+PGFjY2Vzcy1kYXRlPjEgTWFyY2ggMjAyMTwv
YWNjZXNzLWRhdGU+PC9yZWNvcmQ+PC9DaXRlPjxDaXRlPjxBdXRob3I+Q2FyZTwvQXV0aG9yPjxZ
ZWFyPjIwMTc8L1llYXI+PFJlY051bT4zPC9SZWNOdW0+PHJlY29yZD48cmVjLW51bWJlcj4zPC9y
ZWMtbnVtYmVyPjxmb3JlaWduLWtleXM+PGtleSBhcHA9IkVOIiBkYi1pZD0iZXM5ZHI5OXdzOTBz
dG9lNXgycnA1MDVuYXp2c3dkenBweGE1IiB0aW1lc3RhbXA9IjE2NzA4MTA1MzgiPjM8L2tleT48
L2ZvcmVpZ24ta2V5cz48cmVmLXR5cGUgbmFtZT0iUmVwb3J0Ij4yNzwvcmVmLXR5cGU+PGNvbnRy
aWJ1dG9ycz48YXV0aG9ycz48YXV0aG9yPkF1c3RyYWxpYW4gQ29tbWlzc2lvbiBvbiBTYWZldHkg
YW5kIFF1YWxpdHkgaW4gSGVhbHRoIENhcmU8L2F1dGhvcj48L2F1dGhvcnM+PC9jb250cmlidXRv
cnM+PHRpdGxlcz48dGl0bGU+QVVSQSAyMDE3OiBzZWNvbmQgQXVzdHJhbGlhbiByZXBvcnQgb24g
YW50aW1pY3JvYmlhbCB1c2UgYW5kIHJlc2lzdGFuY2UgaW4gaHVtYW4gaGVhbHRoPC90aXRsZT48
L3RpdGxlcz48ZGF0ZXM+PHllYXI+MjAxNzwveWVhcj48L2RhdGVzPjxwdWItbG9jYXRpb24+U3lk
bmV5PC9wdWItbG9jYXRpb24+PHB1Ymxpc2hlcj5BQ1NRSEM8L3B1Ymxpc2hlcj48dXJscz48cmVs
YXRlZC11cmxzPjx1cmw+aHR0cHM6Ly93d3cuc2FmZXR5YW5kcXVhbGl0eS5nb3YuYXUvcHVibGlj
YXRpb25zLWFuZC1yZXNvdXJjZXMvcmVzb3VyY2UtbGlicmFyeS9hdXJhLTIwMTctc2Vjb25kLWF1
c3RyYWxpYW4tcmVwb3J0LWFudGltaWNyb2JpYWwtdXNlLWFuZC1yZXNpc3RhbmNlLWh1bWFuLWhl
YWx0aDwvdXJsPjwvcmVsYXRlZC11cmxzPjwvdXJscz48YWNjZXNzLWRhdGU+MSBNYXJjaCAyMDIx
PC9hY2Nlc3MtZGF0ZT48L3JlY29yZD48L0NpdGU+PENpdGU+PEF1dGhvcj5DYXJlPC9BdXRob3I+
PFllYXI+MjAxNzwvWWVhcj48UmVjTnVtPjM8L1JlY051bT48cmVjb3JkPjxyZWMtbnVtYmVyPjM8
L3JlYy1udW1iZXI+PGZvcmVpZ24ta2V5cz48a2V5IGFwcD0iRU4iIGRiLWlkPSJlczlkcjk5d3M5
MHN0b2U1eDJycDUwNW5henZzd2R6cHB4YTUiIHRpbWVzdGFtcD0iMTY3MDgxMDUzOCI+Mzwva2V5
PjwvZm9yZWlnbi1rZXlzPjxyZWYtdHlwZSBuYW1lPSJSZXBvcnQiPjI3PC9yZWYtdHlwZT48Y29u
dHJpYnV0b3JzPjxhdXRob3JzPjxhdXRob3I+QXVzdHJhbGlhbiBDb21taXNzaW9uIG9uIFNhZmV0
eSBhbmQgUXVhbGl0eSBpbiBIZWFsdGggQ2FyZTwvYXV0aG9yPjwvYXV0aG9ycz48L2NvbnRyaWJ1
dG9ycz48dGl0bGVzPjx0aXRsZT5BVVJBIDIwMTc6IHNlY29uZCBBdXN0cmFsaWFuIHJlcG9ydCBv
biBhbnRpbWljcm9iaWFsIHVzZSBhbmQgcmVzaXN0YW5jZSBpbiBodW1hbiBoZWFsdGg8L3RpdGxl
PjwvdGl0bGVzPjxkYXRlcz48eWVhcj4yMDE3PC95ZWFyPjwvZGF0ZXM+PHB1Yi1sb2NhdGlvbj5T
eWRuZXk8L3B1Yi1sb2NhdGlvbj48cHVibGlzaGVyPkFDU1FIQzwvcHVibGlzaGVyPjx1cmxzPjxy
ZWxhdGVkLXVybHM+PHVybD5odHRwczovL3d3dy5zYWZldHlhbmRxdWFsaXR5Lmdvdi5hdS9wdWJs
aWNhdGlvbnMtYW5kLXJlc291cmNlcy9yZXNvdXJjZS1saWJyYXJ5L2F1cmEtMjAxNy1zZWNvbmQt
YXVzdHJhbGlhbi1yZXBvcnQtYW50aW1pY3JvYmlhbC11c2UtYW5kLXJlc2lzdGFuY2UtaHVtYW4t
aGVhbHRoPC91cmw+PC9yZWxhdGVkLXVybHM+PC91cmxzPjxhY2Nlc3MtZGF0ZT4xIE1hcmNoIDIw
MjE8L2FjY2Vzcy1kYXRlPjwvcmVjb3JkPjwvQ2l0ZT48Q2l0ZT48QXV0aG9yPkNhcmU8L0F1dGhv
cj48WWVhcj4yMDE5PC9ZZWFyPjxSZWNOdW0+NDwvUmVjTnVtPjxyZWNvcmQ+PHJlYy1udW1iZXI+
NDwvcmVjLW51bWJlcj48Zm9yZWlnbi1rZXlzPjxrZXkgYXBwPSJFTiIgZGItaWQ9ImVzOWRyOTl3
czkwc3RvZTV4MnJwNTA1bmF6dnN3ZHpwcHhhNSIgdGltZXN0YW1wPSIxNjcwODEwNTM5Ij40PC9r
ZXk+PC9mb3JlaWduLWtleXM+PHJlZi10eXBlIG5hbWU9IlJlcG9ydCI+Mjc8L3JlZi10eXBlPjxj
b250cmlidXRvcnM+PGF1dGhvcnM+PGF1dGhvcj5BdXN0cmFsaWFuIENvbW1pc3Npb24gb24gU2Fm
ZXR5IGFuZCBRdWFsaXR5IGluIEhlYWx0aCBDYXJlPC9hdXRob3I+PC9hdXRob3JzPjwvY29udHJp
YnV0b3JzPjx0aXRsZXM+PHRpdGxlPkFVUkEgMjAxOTogdGhpcmQgQXVzdHJhbGlhbiByZXBvcnQg
b24gYW50aW1pY3JvYmlhbCB1c2UgYW5kIHJlc2lzdGFuY2UgaW4gaHVtYW4gaGVhbHRoPC90aXRs
ZT48L3RpdGxlcz48ZGF0ZXM+PHllYXI+MjAxOTwveWVhcj48L2RhdGVzPjxwdWItbG9jYXRpb24+
U3lkbmV5PC9wdWItbG9jYXRpb24+PHB1Ymxpc2hlcj5BQ1NRSEM8L3B1Ymxpc2hlcj48dXJscz48
L3VybHM+PC9yZWNvcmQ+PC9DaXRlPjxDaXRlPjxBdXRob3I+Q2FyZTwvQXV0aG9yPjxZZWFyPjIw
MjE8L1llYXI+PFJlY051bT4xPC9SZWNOdW0+PHJlY29yZD48cmVjLW51bWJlcj4xPC9yZWMtbnVt
YmVyPjxmb3JlaWduLWtleXM+PGtleSBhcHA9IkVOIiBkYi1pZD0iZXM5ZHI5OXdzOTBzdG9lNXgy
cnA1MDVuYXp2c3dkenBweGE1IiB0aW1lc3RhbXA9IjE2NzA4MTA1MzgiPjE8L2tleT48L2ZvcmVp
Z24ta2V5cz48cmVmLXR5cGUgbmFtZT0iUmVwb3J0Ij4yNzwvcmVmLXR5cGU+PGNvbnRyaWJ1dG9y
cz48YXV0aG9ycz48YXV0aG9yPkF1c3RyYWxpYW4gQ29tbWlzc2lvbiBvbiBTYWZldHkgYW5kIFF1
YWxpdHkgaW4gSGVhbHRoIENhcmU8L2F1dGhvcj48L2F1dGhvcnM+PC9jb250cmlidXRvcnM+PHRp
dGxlcz48dGl0bGU+QVVSQSAyMDIxOiBmb3VydGggQXVzdHJhbGlhbiByZXBvcnQgb24gYW50aW1p
Y3JvYmlhbCB1c2UgYW5kIHJlc2lzdGFuY2UgaW4gaHVtYW4gaGVhbHRoPC90aXRsZT48L3RpdGxl
cz48ZGF0ZXM+PHllYXI+MjAyMTwveWVhcj48L2RhdGVzPjxwdWItbG9jYXRpb24+U3lkbmV5PC9w
dWItbG9jYXRpb24+PHB1Ymxpc2hlcj5BQ1NRSEM8L3B1Ymxpc2hlcj48dXJscz48L3VybHM+PC9y
ZWNvcmQ+PC9DaXRlPjwvRW5kTm90ZT4A
</w:fldData>
        </w:fldChar>
      </w:r>
      <w:r w:rsidR="00412507">
        <w:instrText xml:space="preserve"> ADDIN EN.CITE.DATA </w:instrText>
      </w:r>
      <w:r w:rsidR="00412507">
        <w:fldChar w:fldCharType="end"/>
      </w:r>
      <w:r w:rsidR="00E74AF0" w:rsidRPr="00F46944">
        <w:fldChar w:fldCharType="separate"/>
      </w:r>
      <w:r w:rsidR="001C0A42" w:rsidRPr="001C0A42">
        <w:rPr>
          <w:noProof/>
          <w:vertAlign w:val="superscript"/>
        </w:rPr>
        <w:t>1-4</w:t>
      </w:r>
      <w:r w:rsidR="00E74AF0" w:rsidRPr="00F46944">
        <w:fldChar w:fldCharType="end"/>
      </w:r>
      <w:r w:rsidRPr="00F46944">
        <w:t xml:space="preserve"> </w:t>
      </w:r>
      <w:r w:rsidR="008F716E" w:rsidRPr="00F46944">
        <w:t xml:space="preserve">Where population data were used, the mid-year </w:t>
      </w:r>
      <w:r w:rsidRPr="00F46944">
        <w:t>(30</w:t>
      </w:r>
      <w:r w:rsidR="002C0850">
        <w:t xml:space="preserve"> </w:t>
      </w:r>
      <w:r w:rsidRPr="00F46944">
        <w:t>June) estimates for each calendar year as provided by the Australian Bureau of Statistics (ABS) were used.</w:t>
      </w:r>
    </w:p>
    <w:p w14:paraId="646D7400" w14:textId="332964F9" w:rsidR="00445A19" w:rsidRPr="00F46944" w:rsidRDefault="00445A19" w:rsidP="00445A19">
      <w:pPr>
        <w:pStyle w:val="Heading3"/>
        <w:rPr>
          <w:rFonts w:asciiTheme="majorHAnsi" w:hAnsiTheme="majorHAnsi"/>
        </w:rPr>
      </w:pPr>
      <w:bookmarkStart w:id="39" w:name="_Toc121826727"/>
      <w:bookmarkEnd w:id="38"/>
      <w:r w:rsidRPr="00F46944">
        <w:rPr>
          <w:rFonts w:asciiTheme="majorHAnsi" w:hAnsiTheme="majorHAnsi"/>
        </w:rPr>
        <w:t xml:space="preserve">NPS MedicineWise </w:t>
      </w:r>
      <w:proofErr w:type="spellStart"/>
      <w:r w:rsidRPr="00F46944">
        <w:rPr>
          <w:rFonts w:asciiTheme="majorHAnsi" w:hAnsiTheme="majorHAnsi"/>
        </w:rPr>
        <w:t>MedicineInsight</w:t>
      </w:r>
      <w:proofErr w:type="spellEnd"/>
      <w:r w:rsidRPr="00F46944">
        <w:rPr>
          <w:rFonts w:asciiTheme="majorHAnsi" w:hAnsiTheme="majorHAnsi"/>
        </w:rPr>
        <w:t xml:space="preserve"> program</w:t>
      </w:r>
      <w:bookmarkEnd w:id="39"/>
    </w:p>
    <w:p w14:paraId="604B6EB1" w14:textId="77777777" w:rsidR="002C0850" w:rsidRPr="00F46944" w:rsidRDefault="002C0850" w:rsidP="002C0850">
      <w:pPr>
        <w:pStyle w:val="Heading4"/>
        <w:rPr>
          <w:rFonts w:asciiTheme="majorHAnsi" w:hAnsiTheme="majorHAnsi" w:cstheme="majorHAnsi"/>
        </w:rPr>
      </w:pPr>
      <w:r w:rsidRPr="00F46944">
        <w:rPr>
          <w:rFonts w:asciiTheme="majorHAnsi" w:hAnsiTheme="majorHAnsi" w:cstheme="majorHAnsi"/>
        </w:rPr>
        <w:t>Data source and criteria</w:t>
      </w:r>
    </w:p>
    <w:p w14:paraId="45FAE488" w14:textId="2179BD06" w:rsidR="00247D5F" w:rsidRPr="00F46944" w:rsidRDefault="00247D5F" w:rsidP="00247D5F">
      <w:pPr>
        <w:rPr>
          <w:rFonts w:ascii="Times New Roman" w:hAnsi="Times New Roman"/>
          <w:sz w:val="24"/>
          <w:szCs w:val="24"/>
        </w:rPr>
      </w:pPr>
      <w:r w:rsidRPr="00F46944">
        <w:rPr>
          <w:rFonts w:eastAsiaTheme="minorEastAsia"/>
        </w:rPr>
        <w:t xml:space="preserve">This report </w:t>
      </w:r>
      <w:r>
        <w:rPr>
          <w:rFonts w:eastAsiaTheme="minorEastAsia"/>
        </w:rPr>
        <w:t>analyses</w:t>
      </w:r>
      <w:r w:rsidRPr="00F46944">
        <w:rPr>
          <w:rFonts w:eastAsiaTheme="minorEastAsia"/>
        </w:rPr>
        <w:t xml:space="preserve"> </w:t>
      </w:r>
      <w:proofErr w:type="spellStart"/>
      <w:r w:rsidRPr="00F46944">
        <w:rPr>
          <w:rFonts w:eastAsiaTheme="minorEastAsia"/>
        </w:rPr>
        <w:t>MedicineInsight</w:t>
      </w:r>
      <w:proofErr w:type="spellEnd"/>
      <w:r w:rsidRPr="00F46944">
        <w:rPr>
          <w:rFonts w:eastAsiaTheme="minorEastAsia"/>
        </w:rPr>
        <w:t xml:space="preserve"> data for 2015 to 2021, and complements analyses previously reported for the period 2010 to 2019.</w:t>
      </w:r>
      <w:r w:rsidRPr="00F46944">
        <w:rPr>
          <w:rFonts w:eastAsiaTheme="minorEastAsia"/>
        </w:rPr>
        <w:fldChar w:fldCharType="begin">
          <w:fldData xml:space="preserve">PEVuZE5vdGU+PENpdGU+PEF1dGhvcj5DYXJlPC9BdXRob3I+PFllYXI+MjAyMTwvWWVhcj48UmVj
TnVtPjE8L1JlY051bT48RGlzcGxheVRleHQ+PHN0eWxlIGZhY2U9InN1cGVyc2NyaXB0Ij4xLDMs
NDwvc3R5bGU+PC9EaXNwbGF5VGV4dD48cmVjb3JkPjxyZWMtbnVtYmVyPjE8L3JlYy1udW1iZXI+
PGZvcmVpZ24ta2V5cz48a2V5IGFwcD0iRU4iIGRiLWlkPSJlczlkcjk5d3M5MHN0b2U1eDJycDUw
NW5henZzd2R6cHB4YTUiIHRpbWVzdGFtcD0iMTY3MDgxMDUzOCI+MTwva2V5PjwvZm9yZWlnbi1r
ZXlzPjxyZWYtdHlwZSBuYW1lPSJSZXBvcnQiPjI3PC9yZWYtdHlwZT48Y29udHJpYnV0b3JzPjxh
dXRob3JzPjxhdXRob3I+QXVzdHJhbGlhbiBDb21taXNzaW9uIG9uIFNhZmV0eSBhbmQgUXVhbGl0
eSBpbiBIZWFsdGggQ2FyZTwvYXV0aG9yPjwvYXV0aG9ycz48L2NvbnRyaWJ1dG9ycz48dGl0bGVz
Pjx0aXRsZT5BVVJBIDIwMjE6IGZvdXJ0aCBBdXN0cmFsaWFuIHJlcG9ydCBvbiBhbnRpbWljcm9i
aWFsIHVzZSBhbmQgcmVzaXN0YW5jZSBpbiBodW1hbiBoZWFsdGg8L3RpdGxlPjwvdGl0bGVzPjxk
YXRlcz48eWVhcj4yMDIxPC95ZWFyPjwvZGF0ZXM+PHB1Yi1sb2NhdGlvbj5TeWRuZXk8L3B1Yi1s
b2NhdGlvbj48cHVibGlzaGVyPkFDU1FIQzwvcHVibGlzaGVyPjx1cmxzPjwvdXJscz48L3JlY29y
ZD48L0NpdGU+PENpdGU+PEF1dGhvcj5DYXJlPC9BdXRob3I+PFllYXI+MjAxNzwvWWVhcj48UmVj
TnVtPjM8L1JlY051bT48cmVjb3JkPjxyZWMtbnVtYmVyPjM8L3JlYy1udW1iZXI+PGZvcmVpZ24t
a2V5cz48a2V5IGFwcD0iRU4iIGRiLWlkPSJlczlkcjk5d3M5MHN0b2U1eDJycDUwNW5henZzd2R6
cHB4YTUiIHRpbWVzdGFtcD0iMTY3MDgxMDUzOCI+Mzwva2V5PjwvZm9yZWlnbi1rZXlzPjxyZWYt
dHlwZSBuYW1lPSJSZXBvcnQiPjI3PC9yZWYtdHlwZT48Y29udHJpYnV0b3JzPjxhdXRob3JzPjxh
dXRob3I+QXVzdHJhbGlhbiBDb21taXNzaW9uIG9uIFNhZmV0eSBhbmQgUXVhbGl0eSBpbiBIZWFs
dGggQ2FyZTwvYXV0aG9yPjwvYXV0aG9ycz48L2NvbnRyaWJ1dG9ycz48dGl0bGVzPjx0aXRsZT5B
VVJBIDIwMTc6IHNlY29uZCBBdXN0cmFsaWFuIHJlcG9ydCBvbiBhbnRpbWljcm9iaWFsIHVzZSBh
bmQgcmVzaXN0YW5jZSBpbiBodW1hbiBoZWFsdGg8L3RpdGxlPjwvdGl0bGVzPjxkYXRlcz48eWVh
cj4yMDE3PC95ZWFyPjwvZGF0ZXM+PHB1Yi1sb2NhdGlvbj5TeWRuZXk8L3B1Yi1sb2NhdGlvbj48
cHVibGlzaGVyPkFDU1FIQzwvcHVibGlzaGVyPjx1cmxzPjxyZWxhdGVkLXVybHM+PHVybD5odHRw
czovL3d3dy5zYWZldHlhbmRxdWFsaXR5Lmdvdi5hdS9wdWJsaWNhdGlvbnMtYW5kLXJlc291cmNl
cy9yZXNvdXJjZS1saWJyYXJ5L2F1cmEtMjAxNy1zZWNvbmQtYXVzdHJhbGlhbi1yZXBvcnQtYW50
aW1pY3JvYmlhbC11c2UtYW5kLXJlc2lzdGFuY2UtaHVtYW4taGVhbHRoPC91cmw+PC9yZWxhdGVk
LXVybHM+PC91cmxzPjxhY2Nlc3MtZGF0ZT4xIE1hcmNoIDIwMjE8L2FjY2Vzcy1kYXRlPjwvcmVj
b3JkPjwvQ2l0ZT48Q2l0ZT48QXV0aG9yPkNhcmU8L0F1dGhvcj48WWVhcj4yMDE5PC9ZZWFyPjxS
ZWNOdW0+NDwvUmVjTnVtPjxyZWNvcmQ+PHJlYy1udW1iZXI+NDwvcmVjLW51bWJlcj48Zm9yZWln
bi1rZXlzPjxrZXkgYXBwPSJFTiIgZGItaWQ9ImVzOWRyOTl3czkwc3RvZTV4MnJwNTA1bmF6dnN3
ZHpwcHhhNSIgdGltZXN0YW1wPSIxNjcwODEwNTM5Ij40PC9rZXk+PC9mb3JlaWduLWtleXM+PHJl
Zi10eXBlIG5hbWU9IlJlcG9ydCI+Mjc8L3JlZi10eXBlPjxjb250cmlidXRvcnM+PGF1dGhvcnM+
PGF1dGhvcj5BdXN0cmFsaWFuIENvbW1pc3Npb24gb24gU2FmZXR5IGFuZCBRdWFsaXR5IGluIEhl
YWx0aCBDYXJlPC9hdXRob3I+PC9hdXRob3JzPjwvY29udHJpYnV0b3JzPjx0aXRsZXM+PHRpdGxl
PkFVUkEgMjAxOTogdGhpcmQgQXVzdHJhbGlhbiByZXBvcnQgb24gYW50aW1pY3JvYmlhbCB1c2Ug
YW5kIHJlc2lzdGFuY2UgaW4gaHVtYW4gaGVhbHRoPC90aXRsZT48L3RpdGxlcz48ZGF0ZXM+PHll
YXI+MjAxOTwveWVhcj48L2RhdGVzPjxwdWItbG9jYXRpb24+U3lkbmV5PC9wdWItbG9jYXRpb24+
PHB1Ymxpc2hlcj5BQ1NRSEM8L3B1Ymxpc2hlcj48dXJscz48L3VybHM+PC9yZWNvcmQ+PC9DaXRl
PjwvRW5kTm90ZT4A
</w:fldData>
        </w:fldChar>
      </w:r>
      <w:r w:rsidR="00412507">
        <w:rPr>
          <w:rFonts w:eastAsiaTheme="minorEastAsia"/>
        </w:rPr>
        <w:instrText xml:space="preserve"> ADDIN EN.CITE </w:instrText>
      </w:r>
      <w:r w:rsidR="00412507">
        <w:rPr>
          <w:rFonts w:eastAsiaTheme="minorEastAsia"/>
        </w:rPr>
        <w:fldChar w:fldCharType="begin">
          <w:fldData xml:space="preserve">PEVuZE5vdGU+PENpdGU+PEF1dGhvcj5DYXJlPC9BdXRob3I+PFllYXI+MjAyMTwvWWVhcj48UmVj
TnVtPjE8L1JlY051bT48RGlzcGxheVRleHQ+PHN0eWxlIGZhY2U9InN1cGVyc2NyaXB0Ij4xLDMs
NDwvc3R5bGU+PC9EaXNwbGF5VGV4dD48cmVjb3JkPjxyZWMtbnVtYmVyPjE8L3JlYy1udW1iZXI+
PGZvcmVpZ24ta2V5cz48a2V5IGFwcD0iRU4iIGRiLWlkPSJlczlkcjk5d3M5MHN0b2U1eDJycDUw
NW5henZzd2R6cHB4YTUiIHRpbWVzdGFtcD0iMTY3MDgxMDUzOCI+MTwva2V5PjwvZm9yZWlnbi1r
ZXlzPjxyZWYtdHlwZSBuYW1lPSJSZXBvcnQiPjI3PC9yZWYtdHlwZT48Y29udHJpYnV0b3JzPjxh
dXRob3JzPjxhdXRob3I+QXVzdHJhbGlhbiBDb21taXNzaW9uIG9uIFNhZmV0eSBhbmQgUXVhbGl0
eSBpbiBIZWFsdGggQ2FyZTwvYXV0aG9yPjwvYXV0aG9ycz48L2NvbnRyaWJ1dG9ycz48dGl0bGVz
Pjx0aXRsZT5BVVJBIDIwMjE6IGZvdXJ0aCBBdXN0cmFsaWFuIHJlcG9ydCBvbiBhbnRpbWljcm9i
aWFsIHVzZSBhbmQgcmVzaXN0YW5jZSBpbiBodW1hbiBoZWFsdGg8L3RpdGxlPjwvdGl0bGVzPjxk
YXRlcz48eWVhcj4yMDIxPC95ZWFyPjwvZGF0ZXM+PHB1Yi1sb2NhdGlvbj5TeWRuZXk8L3B1Yi1s
b2NhdGlvbj48cHVibGlzaGVyPkFDU1FIQzwvcHVibGlzaGVyPjx1cmxzPjwvdXJscz48L3JlY29y
ZD48L0NpdGU+PENpdGU+PEF1dGhvcj5DYXJlPC9BdXRob3I+PFllYXI+MjAxNzwvWWVhcj48UmVj
TnVtPjM8L1JlY051bT48cmVjb3JkPjxyZWMtbnVtYmVyPjM8L3JlYy1udW1iZXI+PGZvcmVpZ24t
a2V5cz48a2V5IGFwcD0iRU4iIGRiLWlkPSJlczlkcjk5d3M5MHN0b2U1eDJycDUwNW5henZzd2R6
cHB4YTUiIHRpbWVzdGFtcD0iMTY3MDgxMDUzOCI+Mzwva2V5PjwvZm9yZWlnbi1rZXlzPjxyZWYt
dHlwZSBuYW1lPSJSZXBvcnQiPjI3PC9yZWYtdHlwZT48Y29udHJpYnV0b3JzPjxhdXRob3JzPjxh
dXRob3I+QXVzdHJhbGlhbiBDb21taXNzaW9uIG9uIFNhZmV0eSBhbmQgUXVhbGl0eSBpbiBIZWFs
dGggQ2FyZTwvYXV0aG9yPjwvYXV0aG9ycz48L2NvbnRyaWJ1dG9ycz48dGl0bGVzPjx0aXRsZT5B
VVJBIDIwMTc6IHNlY29uZCBBdXN0cmFsaWFuIHJlcG9ydCBvbiBhbnRpbWljcm9iaWFsIHVzZSBh
bmQgcmVzaXN0YW5jZSBpbiBodW1hbiBoZWFsdGg8L3RpdGxlPjwvdGl0bGVzPjxkYXRlcz48eWVh
cj4yMDE3PC95ZWFyPjwvZGF0ZXM+PHB1Yi1sb2NhdGlvbj5TeWRuZXk8L3B1Yi1sb2NhdGlvbj48
cHVibGlzaGVyPkFDU1FIQzwvcHVibGlzaGVyPjx1cmxzPjxyZWxhdGVkLXVybHM+PHVybD5odHRw
czovL3d3dy5zYWZldHlhbmRxdWFsaXR5Lmdvdi5hdS9wdWJsaWNhdGlvbnMtYW5kLXJlc291cmNl
cy9yZXNvdXJjZS1saWJyYXJ5L2F1cmEtMjAxNy1zZWNvbmQtYXVzdHJhbGlhbi1yZXBvcnQtYW50
aW1pY3JvYmlhbC11c2UtYW5kLXJlc2lzdGFuY2UtaHVtYW4taGVhbHRoPC91cmw+PC9yZWxhdGVk
LXVybHM+PC91cmxzPjxhY2Nlc3MtZGF0ZT4xIE1hcmNoIDIwMjE8L2FjY2Vzcy1kYXRlPjwvcmVj
b3JkPjwvQ2l0ZT48Q2l0ZT48QXV0aG9yPkNhcmU8L0F1dGhvcj48WWVhcj4yMDE5PC9ZZWFyPjxS
ZWNOdW0+NDwvUmVjTnVtPjxyZWNvcmQ+PHJlYy1udW1iZXI+NDwvcmVjLW51bWJlcj48Zm9yZWln
bi1rZXlzPjxrZXkgYXBwPSJFTiIgZGItaWQ9ImVzOWRyOTl3czkwc3RvZTV4MnJwNTA1bmF6dnN3
ZHpwcHhhNSIgdGltZXN0YW1wPSIxNjcwODEwNTM5Ij40PC9rZXk+PC9mb3JlaWduLWtleXM+PHJl
Zi10eXBlIG5hbWU9IlJlcG9ydCI+Mjc8L3JlZi10eXBlPjxjb250cmlidXRvcnM+PGF1dGhvcnM+
PGF1dGhvcj5BdXN0cmFsaWFuIENvbW1pc3Npb24gb24gU2FmZXR5IGFuZCBRdWFsaXR5IGluIEhl
YWx0aCBDYXJlPC9hdXRob3I+PC9hdXRob3JzPjwvY29udHJpYnV0b3JzPjx0aXRsZXM+PHRpdGxl
PkFVUkEgMjAxOTogdGhpcmQgQXVzdHJhbGlhbiByZXBvcnQgb24gYW50aW1pY3JvYmlhbCB1c2Ug
YW5kIHJlc2lzdGFuY2UgaW4gaHVtYW4gaGVhbHRoPC90aXRsZT48L3RpdGxlcz48ZGF0ZXM+PHll
YXI+MjAxOTwveWVhcj48L2RhdGVzPjxwdWItbG9jYXRpb24+U3lkbmV5PC9wdWItbG9jYXRpb24+
PHB1Ymxpc2hlcj5BQ1NRSEM8L3B1Ymxpc2hlcj48dXJscz48L3VybHM+PC9yZWNvcmQ+PC9DaXRl
PjwvRW5kTm90ZT4A
</w:fldData>
        </w:fldChar>
      </w:r>
      <w:r w:rsidR="00412507">
        <w:rPr>
          <w:rFonts w:eastAsiaTheme="minorEastAsia"/>
        </w:rPr>
        <w:instrText xml:space="preserve"> ADDIN EN.CITE.DATA </w:instrText>
      </w:r>
      <w:r w:rsidR="00412507">
        <w:rPr>
          <w:rFonts w:eastAsiaTheme="minorEastAsia"/>
        </w:rPr>
      </w:r>
      <w:r w:rsidR="00412507">
        <w:rPr>
          <w:rFonts w:eastAsiaTheme="minorEastAsia"/>
        </w:rPr>
        <w:fldChar w:fldCharType="end"/>
      </w:r>
      <w:r w:rsidRPr="00F46944">
        <w:rPr>
          <w:rFonts w:eastAsiaTheme="minorEastAsia"/>
        </w:rPr>
      </w:r>
      <w:r w:rsidRPr="00F46944">
        <w:rPr>
          <w:rFonts w:eastAsiaTheme="minorEastAsia"/>
        </w:rPr>
        <w:fldChar w:fldCharType="separate"/>
      </w:r>
      <w:r w:rsidR="00C16B8F" w:rsidRPr="00C16B8F">
        <w:rPr>
          <w:rFonts w:eastAsiaTheme="minorEastAsia"/>
          <w:noProof/>
          <w:vertAlign w:val="superscript"/>
        </w:rPr>
        <w:t>1,3,4</w:t>
      </w:r>
      <w:r w:rsidRPr="00F46944">
        <w:rPr>
          <w:rFonts w:eastAsiaTheme="minorEastAsia"/>
        </w:rPr>
        <w:fldChar w:fldCharType="end"/>
      </w:r>
    </w:p>
    <w:p w14:paraId="2C70F56B" w14:textId="07FFA7D3" w:rsidR="00247988" w:rsidRDefault="00295C39" w:rsidP="00295C39">
      <w:r w:rsidRPr="0066435A">
        <w:t>Table</w:t>
      </w:r>
      <w:r w:rsidR="002C0850" w:rsidRPr="00D43799">
        <w:t xml:space="preserve"> </w:t>
      </w:r>
      <w:r w:rsidRPr="0066435A">
        <w:t>3</w:t>
      </w:r>
      <w:r w:rsidRPr="00F46944">
        <w:t xml:space="preserve"> outlines data source, type of data analysed, setting, time-period, and population.</w:t>
      </w:r>
    </w:p>
    <w:p w14:paraId="6024583D" w14:textId="77777777" w:rsidR="002C0C84" w:rsidRDefault="002C0C84">
      <w:pPr>
        <w:spacing w:after="80"/>
        <w:rPr>
          <w:b/>
          <w:bCs/>
        </w:rPr>
      </w:pPr>
      <w:bookmarkStart w:id="40" w:name="_Toc121744363"/>
      <w:bookmarkStart w:id="41" w:name="_Toc121491303"/>
      <w:bookmarkStart w:id="42" w:name="_Hlk100654356"/>
      <w:r>
        <w:br w:type="page"/>
      </w:r>
    </w:p>
    <w:p w14:paraId="6CB17102" w14:textId="772DB1B7" w:rsidR="00046902" w:rsidRPr="00625242" w:rsidRDefault="00625242" w:rsidP="00D43799">
      <w:pPr>
        <w:pStyle w:val="Captions"/>
      </w:pPr>
      <w:r>
        <w:lastRenderedPageBreak/>
        <w:t>Table</w:t>
      </w:r>
      <w:r w:rsidRPr="00F46944">
        <w:t> </w:t>
      </w:r>
      <w:fldSimple w:instr=" SEQ Table \* ARABIC ">
        <w:r w:rsidR="00F34DDD">
          <w:rPr>
            <w:noProof/>
          </w:rPr>
          <w:t>3</w:t>
        </w:r>
      </w:fldSimple>
      <w:r w:rsidR="00046902" w:rsidRPr="00F46944">
        <w:t>:</w:t>
      </w:r>
      <w:r w:rsidR="00CC09FB" w:rsidRPr="00625242">
        <w:rPr>
          <w:b w:val="0"/>
          <w:bCs w:val="0"/>
        </w:rPr>
        <w:t> </w:t>
      </w:r>
      <w:proofErr w:type="spellStart"/>
      <w:r w:rsidR="00247988">
        <w:rPr>
          <w:b w:val="0"/>
          <w:bCs w:val="0"/>
        </w:rPr>
        <w:t>MedicineInsight</w:t>
      </w:r>
      <w:proofErr w:type="spellEnd"/>
      <w:r w:rsidR="00046902" w:rsidRPr="00625242">
        <w:rPr>
          <w:b w:val="0"/>
          <w:bCs w:val="0"/>
        </w:rPr>
        <w:t xml:space="preserve"> community antimicrobial use data source</w:t>
      </w:r>
      <w:bookmarkEnd w:id="40"/>
      <w:bookmarkEnd w:id="41"/>
      <w:r w:rsidR="00046902" w:rsidRPr="00625242">
        <w:rPr>
          <w:b w:val="0"/>
          <w:bCs w:val="0"/>
        </w:rPr>
        <w:t xml:space="preserve"> </w:t>
      </w:r>
    </w:p>
    <w:tbl>
      <w:tblPr>
        <w:tblStyle w:val="PlainTable2"/>
        <w:tblW w:w="0" w:type="auto"/>
        <w:tblLook w:val="04A0" w:firstRow="1" w:lastRow="0" w:firstColumn="1" w:lastColumn="0" w:noHBand="0" w:noVBand="1"/>
      </w:tblPr>
      <w:tblGrid>
        <w:gridCol w:w="2235"/>
        <w:gridCol w:w="6747"/>
      </w:tblGrid>
      <w:tr w:rsidR="00355293" w:rsidRPr="00F46944" w14:paraId="488897BA" w14:textId="77777777" w:rsidTr="00742B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F1BBA8" w:themeFill="accent5" w:themeFillTint="66"/>
            <w:vAlign w:val="bottom"/>
          </w:tcPr>
          <w:p w14:paraId="04AFBA23" w14:textId="0665F375" w:rsidR="00355293" w:rsidRPr="00F46944" w:rsidRDefault="00355293" w:rsidP="00B63B76">
            <w:pPr>
              <w:spacing w:before="120" w:after="120"/>
              <w:rPr>
                <w:bCs w:val="0"/>
              </w:rPr>
            </w:pPr>
            <w:r w:rsidRPr="00F46944">
              <w:rPr>
                <w:rFonts w:asciiTheme="majorHAnsi" w:hAnsiTheme="majorHAnsi" w:cstheme="majorHAnsi"/>
                <w:color w:val="000000"/>
                <w:sz w:val="21"/>
                <w:szCs w:val="21"/>
              </w:rPr>
              <w:t>Subject and type of surveillance</w:t>
            </w:r>
          </w:p>
        </w:tc>
        <w:tc>
          <w:tcPr>
            <w:tcW w:w="6747" w:type="dxa"/>
            <w:shd w:val="clear" w:color="auto" w:fill="F1BBA8" w:themeFill="accent5" w:themeFillTint="66"/>
            <w:vAlign w:val="center"/>
          </w:tcPr>
          <w:p w14:paraId="648474FA" w14:textId="1B0A1256" w:rsidR="00355293" w:rsidRPr="00F46944" w:rsidRDefault="00E7771C" w:rsidP="00355293">
            <w:pPr>
              <w:tabs>
                <w:tab w:val="left" w:pos="216"/>
              </w:tabs>
              <w:spacing w:before="60" w:after="60"/>
              <w:ind w:left="216" w:hanging="216"/>
              <w:cnfStyle w:val="100000000000" w:firstRow="1" w:lastRow="0" w:firstColumn="0" w:lastColumn="0" w:oddVBand="0" w:evenVBand="0" w:oddHBand="0" w:evenHBand="0" w:firstRowFirstColumn="0" w:firstRowLastColumn="0" w:lastRowFirstColumn="0" w:lastRowLastColumn="0"/>
              <w:rPr>
                <w:rFonts w:asciiTheme="majorHAnsi" w:eastAsiaTheme="minorEastAsia" w:hAnsiTheme="majorHAnsi" w:cstheme="majorHAnsi"/>
                <w:color w:val="000000"/>
                <w:sz w:val="21"/>
                <w:szCs w:val="21"/>
              </w:rPr>
            </w:pPr>
            <w:r w:rsidRPr="00F46944">
              <w:rPr>
                <w:rFonts w:asciiTheme="majorHAnsi" w:hAnsiTheme="majorHAnsi" w:cstheme="majorHAnsi"/>
                <w:color w:val="000000"/>
                <w:sz w:val="21"/>
                <w:szCs w:val="21"/>
              </w:rPr>
              <w:t xml:space="preserve">Targeted surveillance of antimicrobial use in the community </w:t>
            </w:r>
          </w:p>
        </w:tc>
      </w:tr>
      <w:tr w:rsidR="00355293" w:rsidRPr="00F46944" w14:paraId="76C929CB" w14:textId="77777777" w:rsidTr="0016537F">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235" w:type="dxa"/>
          </w:tcPr>
          <w:p w14:paraId="3B318C8B" w14:textId="6065B0A9" w:rsidR="00355293" w:rsidRPr="00F46944" w:rsidRDefault="00355293" w:rsidP="00B63B76">
            <w:pPr>
              <w:spacing w:before="120" w:after="120"/>
              <w:rPr>
                <w:b w:val="0"/>
              </w:rPr>
            </w:pPr>
            <w:r w:rsidRPr="00F46944">
              <w:rPr>
                <w:rFonts w:asciiTheme="majorHAnsi" w:hAnsiTheme="majorHAnsi" w:cstheme="majorHAnsi"/>
                <w:color w:val="000000"/>
                <w:sz w:val="21"/>
                <w:szCs w:val="21"/>
              </w:rPr>
              <w:t>Data source</w:t>
            </w:r>
          </w:p>
        </w:tc>
        <w:tc>
          <w:tcPr>
            <w:tcW w:w="6747" w:type="dxa"/>
          </w:tcPr>
          <w:p w14:paraId="76E97F64" w14:textId="1B0225B2" w:rsidR="00355293" w:rsidRPr="00F46944" w:rsidRDefault="00355293" w:rsidP="005D7C00">
            <w:pPr>
              <w:spacing w:before="120" w:after="120"/>
              <w:cnfStyle w:val="000000100000" w:firstRow="0" w:lastRow="0" w:firstColumn="0" w:lastColumn="0" w:oddVBand="0" w:evenVBand="0" w:oddHBand="1" w:evenHBand="0" w:firstRowFirstColumn="0" w:firstRowLastColumn="0" w:lastRowFirstColumn="0" w:lastRowLastColumn="0"/>
            </w:pPr>
            <w:r w:rsidRPr="00F46944">
              <w:rPr>
                <w:rFonts w:asciiTheme="majorHAnsi" w:hAnsiTheme="majorHAnsi" w:cstheme="majorHAnsi"/>
                <w:color w:val="000000"/>
                <w:sz w:val="21"/>
                <w:szCs w:val="21"/>
              </w:rPr>
              <w:t xml:space="preserve">NPS MedicineWise </w:t>
            </w:r>
            <w:proofErr w:type="spellStart"/>
            <w:r w:rsidRPr="00F46944">
              <w:rPr>
                <w:rFonts w:asciiTheme="majorHAnsi" w:hAnsiTheme="majorHAnsi" w:cstheme="majorHAnsi"/>
                <w:color w:val="000000"/>
                <w:sz w:val="21"/>
                <w:szCs w:val="21"/>
              </w:rPr>
              <w:t>MedicineInsight</w:t>
            </w:r>
            <w:proofErr w:type="spellEnd"/>
            <w:r w:rsidRPr="00F46944">
              <w:rPr>
                <w:rFonts w:asciiTheme="majorHAnsi" w:hAnsiTheme="majorHAnsi" w:cstheme="majorHAnsi"/>
                <w:color w:val="000000"/>
                <w:sz w:val="21"/>
                <w:szCs w:val="21"/>
              </w:rPr>
              <w:t xml:space="preserve"> program</w:t>
            </w:r>
          </w:p>
        </w:tc>
      </w:tr>
      <w:tr w:rsidR="00355293" w:rsidRPr="00F46944" w14:paraId="69AEE4E7" w14:textId="77777777" w:rsidTr="0016537F">
        <w:tc>
          <w:tcPr>
            <w:cnfStyle w:val="001000000000" w:firstRow="0" w:lastRow="0" w:firstColumn="1" w:lastColumn="0" w:oddVBand="0" w:evenVBand="0" w:oddHBand="0" w:evenHBand="0" w:firstRowFirstColumn="0" w:firstRowLastColumn="0" w:lastRowFirstColumn="0" w:lastRowLastColumn="0"/>
            <w:tcW w:w="2235" w:type="dxa"/>
          </w:tcPr>
          <w:p w14:paraId="1E55445D" w14:textId="0FAE3489" w:rsidR="00355293" w:rsidRPr="00F46944" w:rsidRDefault="00355293" w:rsidP="00B63B76">
            <w:pPr>
              <w:spacing w:before="120" w:after="120"/>
              <w:rPr>
                <w:b w:val="0"/>
              </w:rPr>
            </w:pPr>
            <w:r w:rsidRPr="00F46944">
              <w:rPr>
                <w:rFonts w:asciiTheme="majorHAnsi" w:hAnsiTheme="majorHAnsi" w:cstheme="majorHAnsi"/>
                <w:color w:val="000000"/>
                <w:sz w:val="21"/>
                <w:szCs w:val="21"/>
              </w:rPr>
              <w:t>Type of data</w:t>
            </w:r>
          </w:p>
        </w:tc>
        <w:tc>
          <w:tcPr>
            <w:tcW w:w="6747" w:type="dxa"/>
          </w:tcPr>
          <w:p w14:paraId="482C61C0" w14:textId="7EDC653F" w:rsidR="00355293" w:rsidRPr="00F46944" w:rsidRDefault="00355293" w:rsidP="005D7C00">
            <w:pPr>
              <w:spacing w:before="120" w:after="120"/>
              <w:cnfStyle w:val="000000000000" w:firstRow="0" w:lastRow="0" w:firstColumn="0" w:lastColumn="0" w:oddVBand="0" w:evenVBand="0" w:oddHBand="0" w:evenHBand="0" w:firstRowFirstColumn="0" w:firstRowLastColumn="0" w:lastRowFirstColumn="0" w:lastRowLastColumn="0"/>
            </w:pPr>
            <w:r w:rsidRPr="00F46944">
              <w:rPr>
                <w:rFonts w:asciiTheme="majorHAnsi" w:hAnsiTheme="majorHAnsi" w:cstheme="majorHAnsi"/>
                <w:color w:val="000000"/>
                <w:sz w:val="21"/>
                <w:szCs w:val="21"/>
              </w:rPr>
              <w:t>Appropriateness of prescribing, prescribing patterns</w:t>
            </w:r>
          </w:p>
        </w:tc>
      </w:tr>
      <w:tr w:rsidR="00355293" w:rsidRPr="00F46944" w14:paraId="5579490E" w14:textId="77777777" w:rsidTr="00165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590702B" w14:textId="2C338108" w:rsidR="00355293" w:rsidRPr="00F46944" w:rsidRDefault="00355293" w:rsidP="00B63B76">
            <w:pPr>
              <w:spacing w:before="120" w:after="120"/>
              <w:rPr>
                <w:b w:val="0"/>
              </w:rPr>
            </w:pPr>
            <w:r w:rsidRPr="00F46944">
              <w:rPr>
                <w:rFonts w:asciiTheme="majorHAnsi" w:hAnsiTheme="majorHAnsi" w:cstheme="majorHAnsi"/>
                <w:color w:val="000000"/>
                <w:sz w:val="21"/>
                <w:szCs w:val="21"/>
              </w:rPr>
              <w:t>Setting</w:t>
            </w:r>
          </w:p>
        </w:tc>
        <w:tc>
          <w:tcPr>
            <w:tcW w:w="6747" w:type="dxa"/>
          </w:tcPr>
          <w:p w14:paraId="412C244C" w14:textId="793712A0" w:rsidR="00355293" w:rsidRPr="00F46944" w:rsidRDefault="00355293" w:rsidP="005D7C00">
            <w:pPr>
              <w:spacing w:before="120" w:after="120"/>
              <w:cnfStyle w:val="000000100000" w:firstRow="0" w:lastRow="0" w:firstColumn="0" w:lastColumn="0" w:oddVBand="0" w:evenVBand="0" w:oddHBand="1" w:evenHBand="0" w:firstRowFirstColumn="0" w:firstRowLastColumn="0" w:lastRowFirstColumn="0" w:lastRowLastColumn="0"/>
            </w:pPr>
            <w:r w:rsidRPr="00F46944">
              <w:rPr>
                <w:rFonts w:asciiTheme="majorHAnsi" w:hAnsiTheme="majorHAnsi" w:cstheme="majorHAnsi"/>
                <w:color w:val="000000"/>
                <w:sz w:val="21"/>
                <w:szCs w:val="21"/>
              </w:rPr>
              <w:t>Australian general practices</w:t>
            </w:r>
            <w:r w:rsidR="004413B7">
              <w:rPr>
                <w:rFonts w:asciiTheme="majorHAnsi" w:hAnsiTheme="majorHAnsi" w:cstheme="majorHAnsi"/>
                <w:color w:val="000000"/>
                <w:sz w:val="21"/>
                <w:szCs w:val="21"/>
              </w:rPr>
              <w:t>*</w:t>
            </w:r>
            <w:r w:rsidRPr="00F46944">
              <w:rPr>
                <w:rFonts w:asciiTheme="majorHAnsi" w:hAnsiTheme="majorHAnsi" w:cstheme="majorHAnsi"/>
                <w:color w:val="000000"/>
                <w:sz w:val="21"/>
                <w:szCs w:val="21"/>
                <w:vertAlign w:val="superscript"/>
              </w:rPr>
              <w:t>†</w:t>
            </w:r>
          </w:p>
        </w:tc>
      </w:tr>
      <w:tr w:rsidR="00355293" w:rsidRPr="00F46944" w14:paraId="5D939423" w14:textId="77777777" w:rsidTr="0016537F">
        <w:tc>
          <w:tcPr>
            <w:cnfStyle w:val="001000000000" w:firstRow="0" w:lastRow="0" w:firstColumn="1" w:lastColumn="0" w:oddVBand="0" w:evenVBand="0" w:oddHBand="0" w:evenHBand="0" w:firstRowFirstColumn="0" w:firstRowLastColumn="0" w:lastRowFirstColumn="0" w:lastRowLastColumn="0"/>
            <w:tcW w:w="2235" w:type="dxa"/>
          </w:tcPr>
          <w:p w14:paraId="28F488EF" w14:textId="54A3BD3B" w:rsidR="00355293" w:rsidRPr="00F46944" w:rsidRDefault="00355293" w:rsidP="00B63B76">
            <w:pPr>
              <w:spacing w:before="120" w:after="120"/>
              <w:rPr>
                <w:b w:val="0"/>
              </w:rPr>
            </w:pPr>
            <w:r w:rsidRPr="00F46944">
              <w:rPr>
                <w:rFonts w:asciiTheme="majorHAnsi" w:hAnsiTheme="majorHAnsi" w:cstheme="majorHAnsi"/>
                <w:color w:val="000000"/>
                <w:sz w:val="21"/>
                <w:szCs w:val="21"/>
              </w:rPr>
              <w:t>Coverage</w:t>
            </w:r>
          </w:p>
        </w:tc>
        <w:tc>
          <w:tcPr>
            <w:tcW w:w="6747" w:type="dxa"/>
          </w:tcPr>
          <w:p w14:paraId="65B5FDD7" w14:textId="5B201F87" w:rsidR="00355293" w:rsidRPr="00F46944" w:rsidRDefault="00E7771C" w:rsidP="00B63B76">
            <w:pPr>
              <w:tabs>
                <w:tab w:val="left" w:pos="216"/>
              </w:tabs>
              <w:spacing w:before="120" w:after="120"/>
              <w:ind w:left="215" w:hanging="215"/>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1"/>
                <w:szCs w:val="21"/>
              </w:rPr>
            </w:pPr>
            <w:r w:rsidRPr="00F46944">
              <w:rPr>
                <w:rFonts w:asciiTheme="majorHAnsi" w:hAnsiTheme="majorHAnsi" w:cstheme="majorHAnsi"/>
                <w:color w:val="000000"/>
                <w:sz w:val="21"/>
                <w:szCs w:val="21"/>
              </w:rPr>
              <w:t>National</w:t>
            </w:r>
          </w:p>
          <w:p w14:paraId="43FF13CA" w14:textId="55FA3CC7" w:rsidR="00355293" w:rsidRPr="00F46944" w:rsidRDefault="00355293" w:rsidP="00B63B76">
            <w:pPr>
              <w:keepNext/>
              <w:tabs>
                <w:tab w:val="left" w:pos="216"/>
              </w:tabs>
              <w:spacing w:before="120" w:after="120"/>
              <w:ind w:left="215" w:hanging="215"/>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1"/>
                <w:szCs w:val="21"/>
              </w:rPr>
            </w:pPr>
            <w:r w:rsidRPr="00F46944">
              <w:rPr>
                <w:rFonts w:asciiTheme="majorHAnsi" w:hAnsiTheme="majorHAnsi" w:cstheme="majorHAnsi"/>
                <w:color w:val="000000"/>
                <w:sz w:val="21"/>
                <w:szCs w:val="21"/>
              </w:rPr>
              <w:t>2015: 480 general practices, 2,291,604</w:t>
            </w:r>
            <w:r w:rsidR="00106BC3" w:rsidRPr="00F46944">
              <w:rPr>
                <w:rFonts w:asciiTheme="majorHAnsi" w:hAnsiTheme="majorHAnsi" w:cstheme="majorHAnsi"/>
                <w:color w:val="000000"/>
                <w:sz w:val="21"/>
                <w:szCs w:val="21"/>
              </w:rPr>
              <w:t> </w:t>
            </w:r>
            <w:r w:rsidRPr="00F46944">
              <w:rPr>
                <w:rFonts w:asciiTheme="majorHAnsi" w:hAnsiTheme="majorHAnsi" w:cstheme="majorHAnsi"/>
                <w:color w:val="000000"/>
                <w:sz w:val="21"/>
                <w:szCs w:val="21"/>
              </w:rPr>
              <w:t>patients</w:t>
            </w:r>
          </w:p>
          <w:p w14:paraId="412DCFD0" w14:textId="23A88D98" w:rsidR="00355293" w:rsidRPr="00F46944" w:rsidRDefault="00355293" w:rsidP="00B63B76">
            <w:pPr>
              <w:keepNext/>
              <w:tabs>
                <w:tab w:val="left" w:pos="216"/>
              </w:tabs>
              <w:spacing w:before="120" w:after="120"/>
              <w:ind w:left="215" w:hanging="215"/>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1"/>
                <w:szCs w:val="21"/>
              </w:rPr>
            </w:pPr>
            <w:r w:rsidRPr="00F46944">
              <w:rPr>
                <w:rFonts w:asciiTheme="majorHAnsi" w:hAnsiTheme="majorHAnsi" w:cstheme="majorHAnsi"/>
                <w:color w:val="000000"/>
                <w:sz w:val="21"/>
                <w:szCs w:val="21"/>
              </w:rPr>
              <w:t>2016: 493 general practices, 2,413,269</w:t>
            </w:r>
            <w:r w:rsidR="00106BC3" w:rsidRPr="00F46944">
              <w:rPr>
                <w:rFonts w:asciiTheme="majorHAnsi" w:hAnsiTheme="majorHAnsi" w:cstheme="majorHAnsi"/>
                <w:color w:val="000000"/>
                <w:sz w:val="21"/>
                <w:szCs w:val="21"/>
              </w:rPr>
              <w:t> </w:t>
            </w:r>
            <w:r w:rsidRPr="00F46944">
              <w:rPr>
                <w:rFonts w:asciiTheme="majorHAnsi" w:hAnsiTheme="majorHAnsi" w:cstheme="majorHAnsi"/>
                <w:color w:val="000000"/>
                <w:sz w:val="21"/>
                <w:szCs w:val="21"/>
              </w:rPr>
              <w:t xml:space="preserve">patients </w:t>
            </w:r>
          </w:p>
          <w:p w14:paraId="6FC2BA32" w14:textId="5FF22A2D" w:rsidR="00355293" w:rsidRPr="00F46944" w:rsidRDefault="00355293" w:rsidP="00B63B76">
            <w:pPr>
              <w:keepNext/>
              <w:tabs>
                <w:tab w:val="left" w:pos="216"/>
              </w:tabs>
              <w:spacing w:before="120" w:after="120"/>
              <w:ind w:left="215" w:hanging="215"/>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1"/>
                <w:szCs w:val="21"/>
              </w:rPr>
            </w:pPr>
            <w:r w:rsidRPr="00F46944">
              <w:rPr>
                <w:rFonts w:asciiTheme="majorHAnsi" w:hAnsiTheme="majorHAnsi" w:cstheme="majorHAnsi"/>
                <w:color w:val="000000"/>
                <w:sz w:val="21"/>
                <w:szCs w:val="21"/>
              </w:rPr>
              <w:t>2017: 498 general practices, 2,560,823</w:t>
            </w:r>
            <w:r w:rsidR="00106BC3" w:rsidRPr="00F46944">
              <w:rPr>
                <w:rFonts w:asciiTheme="majorHAnsi" w:hAnsiTheme="majorHAnsi" w:cstheme="majorHAnsi"/>
                <w:color w:val="000000"/>
                <w:sz w:val="21"/>
                <w:szCs w:val="21"/>
              </w:rPr>
              <w:t> </w:t>
            </w:r>
            <w:r w:rsidRPr="00F46944">
              <w:rPr>
                <w:rFonts w:asciiTheme="majorHAnsi" w:hAnsiTheme="majorHAnsi" w:cstheme="majorHAnsi"/>
                <w:color w:val="000000"/>
                <w:sz w:val="21"/>
                <w:szCs w:val="21"/>
              </w:rPr>
              <w:t>patients</w:t>
            </w:r>
          </w:p>
          <w:p w14:paraId="428599C7" w14:textId="505F98A8" w:rsidR="00355293" w:rsidRPr="00F46944" w:rsidRDefault="00355293" w:rsidP="00B63B76">
            <w:pPr>
              <w:keepNext/>
              <w:tabs>
                <w:tab w:val="left" w:pos="216"/>
              </w:tabs>
              <w:spacing w:before="120" w:after="120"/>
              <w:ind w:left="215" w:hanging="215"/>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1"/>
                <w:szCs w:val="21"/>
              </w:rPr>
            </w:pPr>
            <w:r w:rsidRPr="00F46944">
              <w:rPr>
                <w:rFonts w:asciiTheme="majorHAnsi" w:hAnsiTheme="majorHAnsi" w:cstheme="majorHAnsi"/>
                <w:color w:val="000000"/>
                <w:sz w:val="21"/>
                <w:szCs w:val="21"/>
              </w:rPr>
              <w:t>2018: 502 general practices, 2,657,445</w:t>
            </w:r>
            <w:r w:rsidR="00106BC3" w:rsidRPr="00F46944">
              <w:rPr>
                <w:rFonts w:asciiTheme="majorHAnsi" w:hAnsiTheme="majorHAnsi" w:cstheme="majorHAnsi"/>
                <w:color w:val="000000"/>
                <w:sz w:val="21"/>
                <w:szCs w:val="21"/>
              </w:rPr>
              <w:t> </w:t>
            </w:r>
            <w:r w:rsidRPr="00F46944">
              <w:rPr>
                <w:rFonts w:asciiTheme="majorHAnsi" w:hAnsiTheme="majorHAnsi" w:cstheme="majorHAnsi"/>
                <w:color w:val="000000"/>
                <w:sz w:val="21"/>
                <w:szCs w:val="21"/>
              </w:rPr>
              <w:t>patients</w:t>
            </w:r>
          </w:p>
          <w:p w14:paraId="54C35233" w14:textId="3533EB26" w:rsidR="00355293" w:rsidRPr="00F46944" w:rsidRDefault="00355293" w:rsidP="00B63B76">
            <w:pPr>
              <w:keepNext/>
              <w:tabs>
                <w:tab w:val="left" w:pos="216"/>
              </w:tabs>
              <w:spacing w:before="120" w:after="120"/>
              <w:ind w:left="215" w:hanging="215"/>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1"/>
                <w:szCs w:val="21"/>
              </w:rPr>
            </w:pPr>
            <w:r w:rsidRPr="00F46944">
              <w:rPr>
                <w:rFonts w:asciiTheme="majorHAnsi" w:hAnsiTheme="majorHAnsi" w:cstheme="majorHAnsi"/>
                <w:color w:val="000000"/>
                <w:sz w:val="21"/>
                <w:szCs w:val="21"/>
              </w:rPr>
              <w:t>2019: 502 general practices, 2,726,115</w:t>
            </w:r>
            <w:r w:rsidR="00106BC3" w:rsidRPr="00F46944">
              <w:rPr>
                <w:rFonts w:asciiTheme="majorHAnsi" w:hAnsiTheme="majorHAnsi" w:cstheme="majorHAnsi"/>
                <w:color w:val="000000"/>
                <w:sz w:val="21"/>
                <w:szCs w:val="21"/>
              </w:rPr>
              <w:t> </w:t>
            </w:r>
            <w:r w:rsidRPr="00F46944">
              <w:rPr>
                <w:rFonts w:asciiTheme="majorHAnsi" w:hAnsiTheme="majorHAnsi" w:cstheme="majorHAnsi"/>
                <w:color w:val="000000"/>
                <w:sz w:val="21"/>
                <w:szCs w:val="21"/>
              </w:rPr>
              <w:t>patients</w:t>
            </w:r>
          </w:p>
          <w:p w14:paraId="6F2281E8" w14:textId="04040BF7" w:rsidR="00355293" w:rsidRPr="00F46944" w:rsidRDefault="00355293" w:rsidP="00B63B76">
            <w:pPr>
              <w:keepNext/>
              <w:tabs>
                <w:tab w:val="left" w:pos="216"/>
              </w:tabs>
              <w:spacing w:before="120" w:after="120"/>
              <w:ind w:left="215" w:hanging="215"/>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1"/>
                <w:szCs w:val="21"/>
              </w:rPr>
            </w:pPr>
            <w:r w:rsidRPr="00F46944">
              <w:rPr>
                <w:rFonts w:asciiTheme="majorHAnsi" w:hAnsiTheme="majorHAnsi" w:cstheme="majorHAnsi"/>
                <w:color w:val="000000"/>
                <w:sz w:val="21"/>
                <w:szCs w:val="21"/>
              </w:rPr>
              <w:t>2020: 503</w:t>
            </w:r>
            <w:r w:rsidR="00106BC3" w:rsidRPr="00F46944">
              <w:rPr>
                <w:rFonts w:asciiTheme="majorHAnsi" w:hAnsiTheme="majorHAnsi" w:cstheme="majorHAnsi"/>
                <w:color w:val="000000"/>
                <w:sz w:val="21"/>
                <w:szCs w:val="21"/>
              </w:rPr>
              <w:t> </w:t>
            </w:r>
            <w:r w:rsidRPr="00F46944">
              <w:rPr>
                <w:rFonts w:asciiTheme="majorHAnsi" w:hAnsiTheme="majorHAnsi" w:cstheme="majorHAnsi"/>
                <w:color w:val="000000"/>
                <w:sz w:val="21"/>
                <w:szCs w:val="21"/>
              </w:rPr>
              <w:t>general practices, 2,581,255</w:t>
            </w:r>
            <w:r w:rsidR="00106BC3" w:rsidRPr="00F46944">
              <w:rPr>
                <w:rFonts w:asciiTheme="majorHAnsi" w:hAnsiTheme="majorHAnsi" w:cstheme="majorHAnsi"/>
                <w:color w:val="000000"/>
                <w:sz w:val="21"/>
                <w:szCs w:val="21"/>
              </w:rPr>
              <w:t> </w:t>
            </w:r>
            <w:r w:rsidRPr="00F46944">
              <w:rPr>
                <w:rFonts w:asciiTheme="majorHAnsi" w:hAnsiTheme="majorHAnsi" w:cstheme="majorHAnsi"/>
                <w:color w:val="000000"/>
                <w:sz w:val="21"/>
                <w:szCs w:val="21"/>
              </w:rPr>
              <w:t>patients</w:t>
            </w:r>
          </w:p>
          <w:p w14:paraId="4836136A" w14:textId="33FBF38D" w:rsidR="00355293" w:rsidRPr="00F46944" w:rsidRDefault="00355293" w:rsidP="00B63B76">
            <w:pPr>
              <w:keepNext/>
              <w:tabs>
                <w:tab w:val="left" w:pos="216"/>
              </w:tabs>
              <w:spacing w:before="120" w:after="120"/>
              <w:ind w:left="215" w:hanging="215"/>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1"/>
                <w:szCs w:val="21"/>
              </w:rPr>
            </w:pPr>
            <w:r w:rsidRPr="00F46944">
              <w:rPr>
                <w:rFonts w:asciiTheme="majorHAnsi" w:hAnsiTheme="majorHAnsi" w:cstheme="majorHAnsi"/>
                <w:color w:val="000000"/>
                <w:sz w:val="21"/>
                <w:szCs w:val="21"/>
              </w:rPr>
              <w:t>2021: 504</w:t>
            </w:r>
            <w:r w:rsidR="00106BC3" w:rsidRPr="00F46944">
              <w:rPr>
                <w:rFonts w:asciiTheme="majorHAnsi" w:hAnsiTheme="majorHAnsi" w:cstheme="majorHAnsi"/>
                <w:color w:val="000000"/>
                <w:sz w:val="21"/>
                <w:szCs w:val="21"/>
              </w:rPr>
              <w:t> </w:t>
            </w:r>
            <w:r w:rsidRPr="00F46944">
              <w:rPr>
                <w:rFonts w:asciiTheme="majorHAnsi" w:hAnsiTheme="majorHAnsi" w:cstheme="majorHAnsi"/>
                <w:color w:val="000000"/>
                <w:sz w:val="21"/>
                <w:szCs w:val="21"/>
              </w:rPr>
              <w:t>general practices, 2,778,848</w:t>
            </w:r>
            <w:r w:rsidR="00106BC3" w:rsidRPr="00F46944">
              <w:rPr>
                <w:rFonts w:asciiTheme="majorHAnsi" w:hAnsiTheme="majorHAnsi" w:cstheme="majorHAnsi"/>
                <w:color w:val="000000"/>
                <w:sz w:val="21"/>
                <w:szCs w:val="21"/>
              </w:rPr>
              <w:t> </w:t>
            </w:r>
            <w:r w:rsidRPr="00F46944">
              <w:rPr>
                <w:rFonts w:asciiTheme="majorHAnsi" w:hAnsiTheme="majorHAnsi" w:cstheme="majorHAnsi"/>
                <w:color w:val="000000"/>
                <w:sz w:val="21"/>
                <w:szCs w:val="21"/>
              </w:rPr>
              <w:t>patients</w:t>
            </w:r>
          </w:p>
        </w:tc>
      </w:tr>
    </w:tbl>
    <w:p w14:paraId="4B4681E7" w14:textId="16C13D9E" w:rsidR="00355293" w:rsidRPr="00F46944" w:rsidRDefault="004413B7" w:rsidP="002965E6">
      <w:pPr>
        <w:tabs>
          <w:tab w:val="left" w:pos="142"/>
        </w:tabs>
        <w:spacing w:after="0"/>
        <w:ind w:left="135" w:hanging="135"/>
        <w:rPr>
          <w:rFonts w:ascii="Arial" w:eastAsiaTheme="minorEastAsia" w:hAnsi="Arial" w:cs="Arial"/>
          <w:color w:val="000000"/>
          <w:sz w:val="16"/>
          <w:szCs w:val="16"/>
        </w:rPr>
      </w:pPr>
      <w:r>
        <w:rPr>
          <w:rFonts w:ascii="Arial" w:hAnsi="Arial" w:cs="Arial"/>
          <w:sz w:val="16"/>
          <w:szCs w:val="16"/>
        </w:rPr>
        <w:t>*</w:t>
      </w:r>
      <w:r w:rsidR="00112691">
        <w:rPr>
          <w:rFonts w:ascii="Arial" w:hAnsi="Arial" w:cs="Arial"/>
          <w:sz w:val="16"/>
          <w:szCs w:val="16"/>
        </w:rPr>
        <w:tab/>
      </w:r>
      <w:r w:rsidR="001E1629" w:rsidRPr="00F46944">
        <w:rPr>
          <w:rFonts w:ascii="Arial" w:hAnsi="Arial" w:cs="Arial"/>
          <w:color w:val="000000"/>
          <w:sz w:val="16"/>
          <w:szCs w:val="16"/>
        </w:rPr>
        <w:t xml:space="preserve">Prescribing </w:t>
      </w:r>
      <w:r w:rsidR="00355293" w:rsidRPr="00F46944">
        <w:rPr>
          <w:rFonts w:ascii="Arial" w:hAnsi="Arial" w:cs="Arial"/>
          <w:color w:val="000000"/>
          <w:sz w:val="16"/>
          <w:szCs w:val="16"/>
        </w:rPr>
        <w:t xml:space="preserve">data can differ from </w:t>
      </w:r>
      <w:r w:rsidR="001E1629" w:rsidRPr="00F46944">
        <w:rPr>
          <w:rFonts w:ascii="Arial" w:hAnsi="Arial" w:cs="Arial"/>
          <w:color w:val="000000"/>
          <w:sz w:val="16"/>
          <w:szCs w:val="16"/>
        </w:rPr>
        <w:t xml:space="preserve">dispensing </w:t>
      </w:r>
      <w:r w:rsidR="00355293" w:rsidRPr="00F46944">
        <w:rPr>
          <w:rFonts w:ascii="Arial" w:hAnsi="Arial" w:cs="Arial"/>
          <w:color w:val="000000"/>
          <w:sz w:val="16"/>
          <w:szCs w:val="16"/>
        </w:rPr>
        <w:t>data, because not all prescriptions are dispensed</w:t>
      </w:r>
      <w:r w:rsidR="00B860C8" w:rsidRPr="00F46944">
        <w:rPr>
          <w:rFonts w:ascii="Arial" w:hAnsi="Arial" w:cs="Arial"/>
          <w:color w:val="000000"/>
          <w:sz w:val="16"/>
          <w:szCs w:val="16"/>
        </w:rPr>
        <w:t>, and this dataset includes only J01 antimicrobials unlike PBS/RPBS data</w:t>
      </w:r>
      <w:r w:rsidR="00355293" w:rsidRPr="00F46944">
        <w:rPr>
          <w:rFonts w:ascii="Arial" w:hAnsi="Arial" w:cs="Arial"/>
          <w:color w:val="000000"/>
          <w:sz w:val="16"/>
          <w:szCs w:val="16"/>
        </w:rPr>
        <w:t>; therefore, these data may not correlate completely with PBS</w:t>
      </w:r>
      <w:r w:rsidR="006A717A" w:rsidRPr="00F46944">
        <w:rPr>
          <w:rFonts w:ascii="Arial" w:hAnsi="Arial" w:cs="Arial"/>
          <w:color w:val="000000"/>
          <w:sz w:val="16"/>
          <w:szCs w:val="16"/>
        </w:rPr>
        <w:t>/RPBS</w:t>
      </w:r>
      <w:r w:rsidR="00355293" w:rsidRPr="00F46944">
        <w:rPr>
          <w:rFonts w:ascii="Arial" w:hAnsi="Arial" w:cs="Arial"/>
          <w:color w:val="000000"/>
          <w:sz w:val="16"/>
          <w:szCs w:val="16"/>
        </w:rPr>
        <w:t xml:space="preserve"> data </w:t>
      </w:r>
    </w:p>
    <w:p w14:paraId="6AF257E7" w14:textId="6A97AED3" w:rsidR="00355293" w:rsidRPr="00F46944" w:rsidRDefault="004413B7" w:rsidP="002965E6">
      <w:pPr>
        <w:tabs>
          <w:tab w:val="left" w:pos="142"/>
        </w:tabs>
        <w:spacing w:after="0"/>
        <w:ind w:left="135" w:hanging="135"/>
        <w:rPr>
          <w:rFonts w:ascii="Arial" w:hAnsi="Arial" w:cs="Arial"/>
          <w:color w:val="000000"/>
          <w:sz w:val="16"/>
          <w:szCs w:val="16"/>
        </w:rPr>
      </w:pPr>
      <w:r w:rsidRPr="00F46944">
        <w:rPr>
          <w:rFonts w:ascii="Arial" w:hAnsi="Arial" w:cs="Arial"/>
          <w:sz w:val="16"/>
          <w:szCs w:val="16"/>
        </w:rPr>
        <w:t>†</w:t>
      </w:r>
      <w:r w:rsidR="00112691">
        <w:rPr>
          <w:rFonts w:ascii="Arial" w:hAnsi="Arial" w:cs="Arial"/>
          <w:color w:val="000000"/>
          <w:sz w:val="16"/>
          <w:szCs w:val="16"/>
        </w:rPr>
        <w:tab/>
      </w:r>
      <w:r w:rsidR="00355293" w:rsidRPr="00F46944">
        <w:rPr>
          <w:rFonts w:ascii="Arial" w:hAnsi="Arial" w:cs="Arial"/>
          <w:color w:val="000000"/>
          <w:sz w:val="16"/>
          <w:szCs w:val="16"/>
        </w:rPr>
        <w:t xml:space="preserve">Data are sourced from medical records and rely on an appropriate level of completeness and accuracy of those records. Specialist prescriptions and samples are not included </w:t>
      </w:r>
    </w:p>
    <w:p w14:paraId="76CE8AD8" w14:textId="22497D6B" w:rsidR="00046902" w:rsidRPr="00F46944" w:rsidRDefault="00EF3728" w:rsidP="00046902">
      <w:pPr>
        <w:rPr>
          <w:sz w:val="16"/>
          <w:szCs w:val="16"/>
        </w:rPr>
      </w:pPr>
      <w:r w:rsidRPr="00F46944">
        <w:rPr>
          <w:rFonts w:ascii="Arial" w:hAnsi="Arial" w:cs="Arial"/>
          <w:color w:val="000000"/>
          <w:sz w:val="16"/>
          <w:szCs w:val="16"/>
        </w:rPr>
        <w:t>Source: NPS MedicineWise</w:t>
      </w:r>
      <w:r w:rsidRPr="00F46944">
        <w:rPr>
          <w:rFonts w:ascii="Arial" w:hAnsi="Arial" w:cs="Arial"/>
          <w:color w:val="000000"/>
          <w:sz w:val="16"/>
          <w:szCs w:val="16"/>
        </w:rPr>
        <w:fldChar w:fldCharType="begin"/>
      </w:r>
      <w:r w:rsidR="00DB0DCB">
        <w:rPr>
          <w:rFonts w:ascii="Arial" w:hAnsi="Arial" w:cs="Arial"/>
          <w:color w:val="000000"/>
          <w:sz w:val="16"/>
          <w:szCs w:val="16"/>
        </w:rPr>
        <w:instrText xml:space="preserve"> ADDIN EN.CITE &lt;EndNote&gt;&lt;Cite&gt;&lt;Author&gt;NPS MedicineWise&lt;/Author&gt;&lt;RecNum&gt;6&lt;/RecNum&gt;&lt;DisplayText&gt;&lt;style face="superscript"&gt;6&lt;/style&gt;&lt;/DisplayText&gt;&lt;record&gt;&lt;rec-number&gt;6&lt;/rec-number&gt;&lt;foreign-keys&gt;&lt;key app="EN" db-id="es9dr99ws90stoe5x2rp505nazvswdzppxa5" timestamp="1670810539"&gt;6&lt;/key&gt;&lt;/foreign-keys&gt;&lt;ref-type name="Unpublished Work"&gt;34&lt;/ref-type&gt;&lt;contributors&gt;&lt;authors&gt;&lt;author&gt;NPS MedicineWise,&lt;/author&gt;&lt;/authors&gt;&lt;/contributors&gt;&lt;titles&gt;&lt;title&gt;MedicineInsight data analyses for AURA Community report, May 2022 (unpublished)&lt;/title&gt;&lt;/titles&gt;&lt;dates&gt;&lt;/dates&gt;&lt;publisher&gt;NPS MedicineWise&lt;/publisher&gt;&lt;urls&gt;&lt;/urls&gt;&lt;/record&gt;&lt;/Cite&gt;&lt;/EndNote&gt;</w:instrText>
      </w:r>
      <w:r w:rsidRPr="00F46944">
        <w:rPr>
          <w:rFonts w:ascii="Arial" w:hAnsi="Arial" w:cs="Arial"/>
          <w:color w:val="000000"/>
          <w:sz w:val="16"/>
          <w:szCs w:val="16"/>
        </w:rPr>
        <w:fldChar w:fldCharType="separate"/>
      </w:r>
      <w:r w:rsidR="001C0A42" w:rsidRPr="001C0A42">
        <w:rPr>
          <w:rFonts w:ascii="Arial" w:hAnsi="Arial" w:cs="Arial"/>
          <w:noProof/>
          <w:color w:val="000000"/>
          <w:sz w:val="16"/>
          <w:szCs w:val="16"/>
          <w:vertAlign w:val="superscript"/>
        </w:rPr>
        <w:t>6</w:t>
      </w:r>
      <w:r w:rsidRPr="00F46944">
        <w:rPr>
          <w:rFonts w:ascii="Arial" w:hAnsi="Arial" w:cs="Arial"/>
          <w:color w:val="000000"/>
          <w:sz w:val="16"/>
          <w:szCs w:val="16"/>
        </w:rPr>
        <w:fldChar w:fldCharType="end"/>
      </w:r>
    </w:p>
    <w:bookmarkEnd w:id="42"/>
    <w:p w14:paraId="5E7ED331" w14:textId="32FE556E" w:rsidR="00233672" w:rsidRDefault="00233672" w:rsidP="00AC42E3">
      <w:r w:rsidRPr="00F46944">
        <w:t xml:space="preserve">Data were analysed for antimicrobials included in the standard collection of WHO ATC </w:t>
      </w:r>
      <w:r w:rsidR="00EC277F">
        <w:t>c</w:t>
      </w:r>
      <w:r w:rsidRPr="00F46944">
        <w:t>lass J01 (</w:t>
      </w:r>
      <w:proofErr w:type="spellStart"/>
      <w:r w:rsidRPr="00F46944">
        <w:t>antibacterials</w:t>
      </w:r>
      <w:proofErr w:type="spellEnd"/>
      <w:r w:rsidRPr="00F46944">
        <w:t xml:space="preserve"> for systemic use).</w:t>
      </w:r>
      <w:r>
        <w:t xml:space="preserve"> Additional analyses are included for the seven most </w:t>
      </w:r>
      <w:r>
        <w:rPr>
          <w:rFonts w:ascii="Arial" w:hAnsi="Arial" w:cs="Arial"/>
        </w:rPr>
        <w:t>frequently prescribed antimicrobials (</w:t>
      </w:r>
      <w:r w:rsidR="002C0C84">
        <w:rPr>
          <w:rFonts w:ascii="Arial" w:hAnsi="Arial" w:cs="Arial"/>
        </w:rPr>
        <w:t>referred to</w:t>
      </w:r>
      <w:r>
        <w:rPr>
          <w:rFonts w:ascii="Arial" w:hAnsi="Arial" w:cs="Arial"/>
        </w:rPr>
        <w:t xml:space="preserve"> as </w:t>
      </w:r>
      <w:r w:rsidR="00D43799">
        <w:rPr>
          <w:rFonts w:ascii="Arial" w:hAnsi="Arial" w:cs="Arial"/>
        </w:rPr>
        <w:t>’</w:t>
      </w:r>
      <w:r>
        <w:rPr>
          <w:rFonts w:ascii="Arial" w:hAnsi="Arial" w:cs="Arial"/>
        </w:rPr>
        <w:t>high use antimicrobials</w:t>
      </w:r>
      <w:r w:rsidR="00D43799">
        <w:rPr>
          <w:rFonts w:ascii="Arial" w:hAnsi="Arial" w:cs="Arial"/>
        </w:rPr>
        <w:t>’</w:t>
      </w:r>
      <w:r>
        <w:rPr>
          <w:rFonts w:ascii="Arial" w:hAnsi="Arial" w:cs="Arial"/>
        </w:rPr>
        <w:t xml:space="preserve"> in this report)</w:t>
      </w:r>
      <w:r w:rsidRPr="00F46944">
        <w:rPr>
          <w:rFonts w:ascii="Arial" w:hAnsi="Arial" w:cs="Arial"/>
        </w:rPr>
        <w:t>:</w:t>
      </w:r>
      <w:r>
        <w:rPr>
          <w:rFonts w:ascii="Arial" w:hAnsi="Arial" w:cs="Arial"/>
        </w:rPr>
        <w:t xml:space="preserve"> a</w:t>
      </w:r>
      <w:r w:rsidRPr="00F46944">
        <w:rPr>
          <w:rFonts w:ascii="Arial" w:hAnsi="Arial" w:cs="Arial"/>
        </w:rPr>
        <w:t>moxicillin, amoxicillin</w:t>
      </w:r>
      <w:r w:rsidRPr="00F46944">
        <w:rPr>
          <w:rFonts w:asciiTheme="majorHAnsi" w:hAnsiTheme="majorHAnsi" w:cstheme="majorHAnsi"/>
        </w:rPr>
        <w:t>–</w:t>
      </w:r>
      <w:r w:rsidRPr="00F46944">
        <w:rPr>
          <w:rFonts w:ascii="Arial" w:hAnsi="Arial" w:cs="Arial"/>
        </w:rPr>
        <w:t>clavulanic acid, azithromycin, cefalexin, ciprofloxacin, doxycycline, roxithromycin</w:t>
      </w:r>
      <w:r w:rsidR="00A72254">
        <w:rPr>
          <w:rFonts w:ascii="Arial" w:hAnsi="Arial" w:cs="Arial"/>
        </w:rPr>
        <w:t xml:space="preserve"> (see </w:t>
      </w:r>
      <w:r w:rsidR="00A72254" w:rsidRPr="00D43799">
        <w:rPr>
          <w:rFonts w:ascii="Arial" w:hAnsi="Arial" w:cs="Arial"/>
        </w:rPr>
        <w:t xml:space="preserve">Appendix </w:t>
      </w:r>
      <w:r w:rsidR="0048693D">
        <w:rPr>
          <w:rFonts w:ascii="Arial" w:hAnsi="Arial" w:cs="Arial"/>
        </w:rPr>
        <w:t>2</w:t>
      </w:r>
      <w:r w:rsidR="00A72254">
        <w:rPr>
          <w:rFonts w:ascii="Arial" w:hAnsi="Arial" w:cs="Arial"/>
        </w:rPr>
        <w:t>)</w:t>
      </w:r>
      <w:r>
        <w:rPr>
          <w:rFonts w:ascii="Arial" w:hAnsi="Arial" w:cs="Arial"/>
        </w:rPr>
        <w:t xml:space="preserve">. </w:t>
      </w:r>
    </w:p>
    <w:p w14:paraId="1D033200" w14:textId="59F32A86" w:rsidR="00AC42E3" w:rsidRPr="00F46944" w:rsidRDefault="00445A19" w:rsidP="00AC42E3">
      <w:proofErr w:type="spellStart"/>
      <w:r w:rsidRPr="00F46944">
        <w:t>MedicineInsight</w:t>
      </w:r>
      <w:proofErr w:type="spellEnd"/>
      <w:r w:rsidRPr="00F46944">
        <w:t xml:space="preserve"> prescribing data differs from PBS</w:t>
      </w:r>
      <w:r w:rsidR="006A717A" w:rsidRPr="00F46944">
        <w:t>/RPBS</w:t>
      </w:r>
      <w:r w:rsidRPr="00F46944">
        <w:t xml:space="preserve"> dispensing data as not all prescriptions </w:t>
      </w:r>
      <w:r w:rsidR="00AB525B" w:rsidRPr="00F46944">
        <w:t xml:space="preserve">issued </w:t>
      </w:r>
      <w:r w:rsidRPr="00F46944">
        <w:t xml:space="preserve">by general practitioners </w:t>
      </w:r>
      <w:r w:rsidR="00D6576C" w:rsidRPr="00F46944">
        <w:t xml:space="preserve">(GPs) </w:t>
      </w:r>
      <w:r w:rsidR="00AB525B" w:rsidRPr="00F46944">
        <w:t>are</w:t>
      </w:r>
      <w:r w:rsidR="001D0621" w:rsidRPr="00F46944">
        <w:t xml:space="preserve"> </w:t>
      </w:r>
      <w:r w:rsidRPr="00F46944">
        <w:t>dispensed</w:t>
      </w:r>
      <w:r w:rsidR="001D0621" w:rsidRPr="00F46944">
        <w:t>. T</w:t>
      </w:r>
      <w:r w:rsidRPr="00F46944">
        <w:t xml:space="preserve">herefore, </w:t>
      </w:r>
      <w:proofErr w:type="spellStart"/>
      <w:r w:rsidRPr="00F46944">
        <w:t>MedicineInsight</w:t>
      </w:r>
      <w:proofErr w:type="spellEnd"/>
      <w:r w:rsidRPr="00F46944">
        <w:t xml:space="preserve"> data </w:t>
      </w:r>
      <w:r w:rsidR="001D0621" w:rsidRPr="00F46944">
        <w:t xml:space="preserve">and </w:t>
      </w:r>
      <w:r w:rsidRPr="00F46944">
        <w:t>PBS</w:t>
      </w:r>
      <w:r w:rsidR="006A717A" w:rsidRPr="00F46944">
        <w:t>/RPBS</w:t>
      </w:r>
      <w:r w:rsidRPr="00F46944">
        <w:t xml:space="preserve"> data</w:t>
      </w:r>
      <w:r w:rsidR="00AB525B" w:rsidRPr="00F46944">
        <w:t xml:space="preserve"> may not always correlate</w:t>
      </w:r>
      <w:r w:rsidR="00E42FC7" w:rsidRPr="00F46944">
        <w:t>.</w:t>
      </w:r>
      <w:r w:rsidR="00F14042" w:rsidRPr="00F46944">
        <w:t xml:space="preserve"> </w:t>
      </w:r>
      <w:r w:rsidR="001E1629" w:rsidRPr="00F46944">
        <w:t xml:space="preserve">Additionally, </w:t>
      </w:r>
      <w:proofErr w:type="spellStart"/>
      <w:r w:rsidR="00247988">
        <w:t>MedicineInsight</w:t>
      </w:r>
      <w:proofErr w:type="spellEnd"/>
      <w:r w:rsidR="001E1629" w:rsidRPr="00F46944">
        <w:t xml:space="preserve"> </w:t>
      </w:r>
      <w:r w:rsidR="009772D6" w:rsidRPr="00F46944">
        <w:t>data includes</w:t>
      </w:r>
      <w:r w:rsidR="00DB4131" w:rsidRPr="00F46944">
        <w:t xml:space="preserve"> only</w:t>
      </w:r>
      <w:r w:rsidR="009772D6" w:rsidRPr="00F46944">
        <w:t xml:space="preserve"> antimicrobials that are classed ATC J01 (</w:t>
      </w:r>
      <w:proofErr w:type="spellStart"/>
      <w:r w:rsidR="009772D6" w:rsidRPr="00F46944">
        <w:t>antibacterials</w:t>
      </w:r>
      <w:proofErr w:type="spellEnd"/>
      <w:r w:rsidR="009772D6" w:rsidRPr="00F46944">
        <w:t xml:space="preserve"> for systemic use). PBS/RPBS data</w:t>
      </w:r>
      <w:r w:rsidR="005871CC" w:rsidRPr="00F46944">
        <w:t xml:space="preserve"> </w:t>
      </w:r>
      <w:r w:rsidR="00DB4131" w:rsidRPr="00F46944">
        <w:t>also</w:t>
      </w:r>
      <w:r w:rsidR="00AB525B" w:rsidRPr="00F46944">
        <w:t xml:space="preserve"> </w:t>
      </w:r>
      <w:r w:rsidR="009772D6" w:rsidRPr="00F46944">
        <w:t xml:space="preserve">includes </w:t>
      </w:r>
      <w:r w:rsidR="005871CC" w:rsidRPr="00F46944">
        <w:t xml:space="preserve">ATC </w:t>
      </w:r>
      <w:r w:rsidR="009B69BB">
        <w:t xml:space="preserve">code </w:t>
      </w:r>
      <w:r w:rsidR="005871CC" w:rsidRPr="00F46944">
        <w:t>A02, A07, D06, S01, S02 and S03 antimicrobials (</w:t>
      </w:r>
      <w:r w:rsidR="005871CC" w:rsidRPr="0066435A">
        <w:t>Table 2</w:t>
      </w:r>
      <w:r w:rsidR="005871CC" w:rsidRPr="00F46944">
        <w:t xml:space="preserve">). </w:t>
      </w:r>
    </w:p>
    <w:p w14:paraId="60C041EF" w14:textId="59571569" w:rsidR="004A24D4" w:rsidRPr="00F46944" w:rsidRDefault="00131DBA" w:rsidP="00AC42E3">
      <w:bookmarkStart w:id="43" w:name="_Hlk106283321"/>
      <w:r w:rsidRPr="00F46944">
        <w:t xml:space="preserve">Both GP visits and number of patients prescribed an antimicrobial </w:t>
      </w:r>
      <w:r w:rsidR="009D5EF0" w:rsidRPr="00F46944">
        <w:t xml:space="preserve">are </w:t>
      </w:r>
      <w:r w:rsidRPr="00F46944">
        <w:t>used as denominator</w:t>
      </w:r>
      <w:r w:rsidR="0048767A" w:rsidRPr="00F46944">
        <w:t>s</w:t>
      </w:r>
      <w:r w:rsidRPr="00F46944">
        <w:t xml:space="preserve"> in the </w:t>
      </w:r>
      <w:proofErr w:type="spellStart"/>
      <w:r w:rsidR="00176775">
        <w:t>MedicineInsight</w:t>
      </w:r>
      <w:proofErr w:type="spellEnd"/>
      <w:r w:rsidR="00176775">
        <w:t xml:space="preserve"> </w:t>
      </w:r>
      <w:r w:rsidRPr="00F46944">
        <w:t>data</w:t>
      </w:r>
      <w:r w:rsidR="0048767A" w:rsidRPr="00F46944">
        <w:t>.</w:t>
      </w:r>
      <w:r w:rsidRPr="00F46944">
        <w:t xml:space="preserve"> </w:t>
      </w:r>
      <w:r w:rsidR="004A24D4" w:rsidRPr="00F46944">
        <w:t xml:space="preserve">Absolute </w:t>
      </w:r>
      <w:r w:rsidRPr="00F46944">
        <w:t xml:space="preserve">numbers </w:t>
      </w:r>
      <w:r w:rsidR="009D5EF0" w:rsidRPr="00F46944">
        <w:t xml:space="preserve">are </w:t>
      </w:r>
      <w:r w:rsidRPr="00F46944">
        <w:t xml:space="preserve">used within </w:t>
      </w:r>
      <w:r w:rsidR="009D5EF0" w:rsidRPr="00F46944">
        <w:t xml:space="preserve">this report </w:t>
      </w:r>
      <w:r w:rsidRPr="00F46944">
        <w:t xml:space="preserve">to describe </w:t>
      </w:r>
      <w:r w:rsidR="009D5EF0" w:rsidRPr="00F46944">
        <w:t xml:space="preserve">patterns in </w:t>
      </w:r>
      <w:r w:rsidRPr="00F46944">
        <w:t xml:space="preserve">prescribing and </w:t>
      </w:r>
      <w:r w:rsidR="00690CF5" w:rsidRPr="00F46944">
        <w:t xml:space="preserve">do </w:t>
      </w:r>
      <w:r w:rsidRPr="00F46944">
        <w:t>not take into consideration differences in the number of GP visits</w:t>
      </w:r>
      <w:r w:rsidR="009D5EF0" w:rsidRPr="00F46944">
        <w:t xml:space="preserve"> in that period</w:t>
      </w:r>
      <w:r w:rsidR="0048767A" w:rsidRPr="00F46944">
        <w:t>.</w:t>
      </w:r>
      <w:r w:rsidRPr="00F46944">
        <w:t xml:space="preserve"> </w:t>
      </w:r>
      <w:r w:rsidR="009D5EF0" w:rsidRPr="00F46944">
        <w:t>T</w:t>
      </w:r>
      <w:r w:rsidRPr="00F46944">
        <w:t>his should be taken into consideration when interpreting results</w:t>
      </w:r>
      <w:r w:rsidR="00690CF5" w:rsidRPr="00F46944">
        <w:t xml:space="preserve"> based on absolute numbers</w:t>
      </w:r>
      <w:r w:rsidRPr="00F46944">
        <w:t xml:space="preserve">. </w:t>
      </w:r>
      <w:r w:rsidR="004A24D4" w:rsidRPr="00F46944">
        <w:t>Comparison of prescribing between years is</w:t>
      </w:r>
      <w:r w:rsidR="00FB289B" w:rsidRPr="00F46944">
        <w:t xml:space="preserve"> </w:t>
      </w:r>
      <w:r w:rsidR="004A24D4" w:rsidRPr="00F46944">
        <w:t>presented as rates</w:t>
      </w:r>
      <w:r w:rsidRPr="00F46944">
        <w:t xml:space="preserve"> where applicable</w:t>
      </w:r>
      <w:r w:rsidR="004A24D4" w:rsidRPr="00F46944">
        <w:t>, not absolute numbers, to account for the</w:t>
      </w:r>
      <w:r w:rsidR="009D5EF0" w:rsidRPr="00F46944">
        <w:t>se</w:t>
      </w:r>
      <w:r w:rsidR="004A24D4" w:rsidRPr="00F46944">
        <w:t xml:space="preserve"> differences.</w:t>
      </w:r>
    </w:p>
    <w:bookmarkEnd w:id="43"/>
    <w:p w14:paraId="4132FF48" w14:textId="49FD3969" w:rsidR="00686B01" w:rsidRPr="00F46944" w:rsidRDefault="00AC42E3" w:rsidP="00AC42E3">
      <w:proofErr w:type="spellStart"/>
      <w:r w:rsidRPr="00F46944">
        <w:t>MedicineInsight</w:t>
      </w:r>
      <w:proofErr w:type="spellEnd"/>
      <w:r w:rsidRPr="00F46944">
        <w:t xml:space="preserve"> </w:t>
      </w:r>
      <w:r w:rsidR="009C3D96" w:rsidRPr="00F46944">
        <w:t xml:space="preserve">data are sourced from </w:t>
      </w:r>
      <w:r w:rsidR="00D6576C" w:rsidRPr="00F46944">
        <w:t xml:space="preserve">GP </w:t>
      </w:r>
      <w:r w:rsidR="009C3D96" w:rsidRPr="00F46944">
        <w:t>medical records</w:t>
      </w:r>
      <w:r w:rsidR="00C81BEC" w:rsidRPr="00F46944">
        <w:t xml:space="preserve"> derived from monthly longitudinal, de-identified, whole-of-practice data extracted from the clinical information systems of consenting general practices across </w:t>
      </w:r>
      <w:r w:rsidR="00486696" w:rsidRPr="00F46944">
        <w:t>Australia and</w:t>
      </w:r>
      <w:r w:rsidR="009C3D96" w:rsidRPr="00F46944">
        <w:t xml:space="preserve"> rely on </w:t>
      </w:r>
      <w:r w:rsidR="009A7162" w:rsidRPr="00F46944">
        <w:t>the</w:t>
      </w:r>
      <w:r w:rsidR="001D0621" w:rsidRPr="00F46944">
        <w:t xml:space="preserve"> </w:t>
      </w:r>
      <w:r w:rsidR="009C3D96" w:rsidRPr="00F46944">
        <w:t>level of completeness and accuracy of those records.</w:t>
      </w:r>
      <w:r w:rsidR="00686B01" w:rsidRPr="00F46944">
        <w:t xml:space="preserve"> </w:t>
      </w:r>
    </w:p>
    <w:p w14:paraId="78D4E145" w14:textId="5C785109" w:rsidR="00445A19" w:rsidRPr="00F46944" w:rsidRDefault="00445A19" w:rsidP="00AC42E3">
      <w:r w:rsidRPr="00F46944">
        <w:t xml:space="preserve">Patients are included from the first recording of their clinical data in the participating practices’ clinical systems. </w:t>
      </w:r>
    </w:p>
    <w:p w14:paraId="07C3C217" w14:textId="785D31B5" w:rsidR="001D49C2" w:rsidRPr="00F46944" w:rsidRDefault="009E44DB" w:rsidP="00AC42E3">
      <w:pPr>
        <w:rPr>
          <w:i/>
          <w:iCs/>
        </w:rPr>
      </w:pPr>
      <w:r w:rsidRPr="00F46944">
        <w:t xml:space="preserve">Information about the clinical indication for an antimicrobial prescription can be collected from general practice clinical information software in </w:t>
      </w:r>
      <w:r w:rsidR="00D402B1" w:rsidRPr="00F46944">
        <w:t>several</w:t>
      </w:r>
      <w:r w:rsidRPr="00F46944">
        <w:t xml:space="preserve"> ways. The most straightforward approach is through the ‘Reason for Prescription’</w:t>
      </w:r>
      <w:r w:rsidR="00F6048E" w:rsidRPr="00F46944">
        <w:t xml:space="preserve"> f</w:t>
      </w:r>
      <w:r w:rsidRPr="00F46944">
        <w:t xml:space="preserve">ield associated with the record for a clinical </w:t>
      </w:r>
      <w:r w:rsidR="00644A15" w:rsidRPr="00F46944">
        <w:lastRenderedPageBreak/>
        <w:t xml:space="preserve">encounter. However, it is not mandatory for GPs to complete this field and it is often left blank. </w:t>
      </w:r>
      <w:r w:rsidR="00C81BEC" w:rsidRPr="00F46944">
        <w:t>Where a reason for prescription was not recorded, the analysis used information recorded on the same day as the antimicrobial prescription from other fields – Reason for Encounter and Diagnosis</w:t>
      </w:r>
      <w:r w:rsidR="00E51F37" w:rsidRPr="00F46944">
        <w:t xml:space="preserve"> – to identify the clinical indication(s). </w:t>
      </w:r>
      <w:bookmarkStart w:id="44" w:name="_Hlk117608145"/>
      <w:r w:rsidR="00351885" w:rsidRPr="00F46944">
        <w:t xml:space="preserve">For the purposes of this report, appropriateness is assessed by </w:t>
      </w:r>
      <w:r w:rsidR="005A332A" w:rsidRPr="00F46944">
        <w:t xml:space="preserve">drug </w:t>
      </w:r>
      <w:r w:rsidR="00351885" w:rsidRPr="00F46944">
        <w:t xml:space="preserve">choice </w:t>
      </w:r>
      <w:r w:rsidR="00040E4B" w:rsidRPr="00F46944">
        <w:t xml:space="preserve">and indication </w:t>
      </w:r>
      <w:r w:rsidR="00E20EA4" w:rsidRPr="00F46944">
        <w:t>whereby</w:t>
      </w:r>
      <w:r w:rsidR="005A332A" w:rsidRPr="00F46944">
        <w:t xml:space="preserve"> an appropriate antimicrobial </w:t>
      </w:r>
      <w:r w:rsidR="00E20EA4" w:rsidRPr="00F46944">
        <w:t>is</w:t>
      </w:r>
      <w:r w:rsidR="005A332A" w:rsidRPr="00F46944">
        <w:t xml:space="preserve"> compliant with </w:t>
      </w:r>
      <w:r w:rsidR="00FF092B" w:rsidRPr="00F46944">
        <w:t xml:space="preserve">recommendations in </w:t>
      </w:r>
      <w:r w:rsidR="005A332A" w:rsidRPr="00F46944">
        <w:rPr>
          <w:i/>
          <w:iCs/>
        </w:rPr>
        <w:t>Therapeutic Guidelines: Antibiotic</w:t>
      </w:r>
      <w:r w:rsidR="005A332A" w:rsidRPr="00F46944">
        <w:t>.</w:t>
      </w:r>
      <w:r w:rsidR="005A332A" w:rsidRPr="00F46944">
        <w:rPr>
          <w:rFonts w:asciiTheme="majorHAnsi" w:eastAsiaTheme="minorEastAsia" w:hAnsiTheme="majorHAnsi" w:cstheme="majorHAnsi"/>
        </w:rPr>
        <w:fldChar w:fldCharType="begin"/>
      </w:r>
      <w:r w:rsidR="00C16B8F">
        <w:rPr>
          <w:rFonts w:asciiTheme="majorHAnsi" w:eastAsiaTheme="minorEastAsia" w:hAnsiTheme="majorHAnsi" w:cstheme="majorHAnsi"/>
        </w:rPr>
        <w:instrText xml:space="preserve"> ADDIN EN.CITE &lt;EndNote&gt;&lt;Cite&gt;&lt;Author&gt;Antibiotic Expert Groups&lt;/Author&gt;&lt;Year&gt;2019&lt;/Year&gt;&lt;RecNum&gt;15&lt;/RecNum&gt;&lt;DisplayText&gt;&lt;style face="superscript"&gt;16&lt;/style&gt;&lt;/DisplayText&gt;&lt;record&gt;&lt;rec-number&gt;15&lt;/rec-number&gt;&lt;foreign-keys&gt;&lt;key app="EN" db-id="es9dr99ws90stoe5x2rp505nazvswdzppxa5" timestamp="1670810542"&gt;15&lt;/key&gt;&lt;/foreign-keys&gt;&lt;ref-type name="Aggregated Database"&gt;55&lt;/ref-type&gt;&lt;contributors&gt;&lt;authors&gt;&lt;author&gt;Antibiotic Expert Groups,&lt;/author&gt;&lt;/authors&gt;&lt;/contributors&gt;&lt;titles&gt;&lt;title&gt;Therapeutic guidelines: antibiotic&lt;/title&gt;&lt;/titles&gt;&lt;volume&gt;16&lt;/volume&gt;&lt;dates&gt;&lt;year&gt;2019&lt;/year&gt;&lt;/dates&gt;&lt;pub-location&gt;Melbourne&lt;/pub-location&gt;&lt;publisher&gt;Therapeutic Guidelines Limited&lt;/publisher&gt;&lt;urls&gt;&lt;/urls&gt;&lt;/record&gt;&lt;/Cite&gt;&lt;/EndNote&gt;</w:instrText>
      </w:r>
      <w:r w:rsidR="005A332A" w:rsidRPr="00F46944">
        <w:rPr>
          <w:rFonts w:asciiTheme="majorHAnsi" w:eastAsiaTheme="minorEastAsia" w:hAnsiTheme="majorHAnsi" w:cstheme="majorHAnsi"/>
        </w:rPr>
        <w:fldChar w:fldCharType="separate"/>
      </w:r>
      <w:r w:rsidR="00C16B8F" w:rsidRPr="00C16B8F">
        <w:rPr>
          <w:rFonts w:asciiTheme="majorHAnsi" w:eastAsiaTheme="minorEastAsia" w:hAnsiTheme="majorHAnsi" w:cstheme="majorHAnsi"/>
          <w:noProof/>
          <w:vertAlign w:val="superscript"/>
        </w:rPr>
        <w:t>16</w:t>
      </w:r>
      <w:r w:rsidR="005A332A" w:rsidRPr="00F46944">
        <w:rPr>
          <w:rFonts w:asciiTheme="majorHAnsi" w:eastAsiaTheme="minorEastAsia" w:hAnsiTheme="majorHAnsi" w:cstheme="majorHAnsi"/>
        </w:rPr>
        <w:fldChar w:fldCharType="end"/>
      </w:r>
      <w:bookmarkEnd w:id="44"/>
    </w:p>
    <w:p w14:paraId="5A8F351B" w14:textId="2A48E3AB" w:rsidR="0063337B" w:rsidRPr="00F46944" w:rsidRDefault="00F8197B" w:rsidP="00F8197B">
      <w:pPr>
        <w:rPr>
          <w:lang w:eastAsia="en-US"/>
        </w:rPr>
      </w:pPr>
      <w:r w:rsidRPr="00F46944">
        <w:t xml:space="preserve">From March 2020, the Australian Government </w:t>
      </w:r>
      <w:r w:rsidR="00AB525B" w:rsidRPr="00F46944">
        <w:t xml:space="preserve">introduced </w:t>
      </w:r>
      <w:r w:rsidR="009B69BB">
        <w:t>t</w:t>
      </w:r>
      <w:r w:rsidRPr="00F46944">
        <w:t xml:space="preserve">elehealth items </w:t>
      </w:r>
      <w:r w:rsidR="00AB525B" w:rsidRPr="00F46944">
        <w:t xml:space="preserve">on </w:t>
      </w:r>
      <w:r w:rsidRPr="00F46944">
        <w:t>the MBS.</w:t>
      </w:r>
      <w:r w:rsidR="00571290">
        <w:fldChar w:fldCharType="begin"/>
      </w:r>
      <w:r w:rsidR="00412507">
        <w:instrText xml:space="preserve"> ADDIN EN.CITE &lt;EndNote&gt;&lt;Cite&gt;&lt;Author&gt;Care&lt;/Author&gt;&lt;Year&gt;2022&lt;/Year&gt;&lt;RecNum&gt;16&lt;/RecNum&gt;&lt;DisplayText&gt;&lt;style face="superscript"&gt;17&lt;/style&gt;&lt;/DisplayText&gt;&lt;record&gt;&lt;rec-number&gt;16&lt;/rec-number&gt;&lt;foreign-keys&gt;&lt;key app="EN" db-id="es9dr99ws90stoe5x2rp505nazvswdzppxa5" timestamp="1670810542"&gt;16&lt;/key&gt;&lt;/foreign-keys&gt;&lt;ref-type name="Web Page"&gt;12&lt;/ref-type&gt;&lt;contributors&gt;&lt;authors&gt;&lt;author&gt;Australian Government Department of Health and Aged Care&lt;/author&gt;&lt;/authors&gt;&lt;/contributors&gt;&lt;titles&gt;&lt;title&gt;MBS changes factsheet&lt;/title&gt;&lt;/titles&gt;&lt;number&gt;May 2022&lt;/number&gt;&lt;dates&gt;&lt;year&gt;2022&lt;/year&gt;&lt;/dates&gt;&lt;urls&gt;&lt;related-urls&gt;&lt;url&gt;http://www.mbsonline.gov.au/internet/mbsonline/publishing.nsf/Content/2211355D5611CA3DCA2587A70006FF09/$File/Factsheet-telehealth-GPs-OMP.v.13.04.22.pdf&lt;/url&gt;&lt;/related-urls&gt;&lt;/urls&gt;&lt;/record&gt;&lt;/Cite&gt;&lt;/EndNote&gt;</w:instrText>
      </w:r>
      <w:r w:rsidR="00571290">
        <w:fldChar w:fldCharType="separate"/>
      </w:r>
      <w:r w:rsidR="00C16B8F" w:rsidRPr="00C16B8F">
        <w:rPr>
          <w:noProof/>
          <w:vertAlign w:val="superscript"/>
        </w:rPr>
        <w:t>17</w:t>
      </w:r>
      <w:r w:rsidR="00571290">
        <w:fldChar w:fldCharType="end"/>
      </w:r>
      <w:r w:rsidRPr="00F46944">
        <w:t xml:space="preserve"> </w:t>
      </w:r>
      <w:r w:rsidR="0063337B" w:rsidRPr="00F46944">
        <w:t xml:space="preserve">Data on </w:t>
      </w:r>
      <w:r w:rsidRPr="00F46944">
        <w:t xml:space="preserve">antimicrobial prescribing during </w:t>
      </w:r>
      <w:r w:rsidR="0063337B" w:rsidRPr="00F46944">
        <w:t xml:space="preserve">telehealth consultations were extracted </w:t>
      </w:r>
      <w:r w:rsidR="006A2755" w:rsidRPr="00F46944">
        <w:t xml:space="preserve">from </w:t>
      </w:r>
      <w:r w:rsidRPr="00F46944">
        <w:t xml:space="preserve">patient records of participating </w:t>
      </w:r>
      <w:proofErr w:type="spellStart"/>
      <w:r w:rsidRPr="00F46944">
        <w:t>MedicineInsight</w:t>
      </w:r>
      <w:proofErr w:type="spellEnd"/>
      <w:r w:rsidRPr="00F46944">
        <w:t xml:space="preserve"> practices</w:t>
      </w:r>
      <w:r w:rsidR="0063337B" w:rsidRPr="00F46944">
        <w:rPr>
          <w:lang w:eastAsia="en-US"/>
        </w:rPr>
        <w:t>.</w:t>
      </w:r>
    </w:p>
    <w:p w14:paraId="3E2BD99B" w14:textId="40F49B85" w:rsidR="00445A19" w:rsidRPr="00F46944" w:rsidRDefault="00445A19" w:rsidP="0016537F">
      <w:pPr>
        <w:pStyle w:val="Heading4"/>
        <w:rPr>
          <w:rFonts w:asciiTheme="majorHAnsi" w:hAnsiTheme="majorHAnsi" w:cstheme="majorHAnsi"/>
        </w:rPr>
      </w:pPr>
      <w:r w:rsidRPr="00F46944">
        <w:rPr>
          <w:rFonts w:asciiTheme="majorHAnsi" w:hAnsiTheme="majorHAnsi" w:cstheme="majorHAnsi"/>
        </w:rPr>
        <w:t>Data development and analysis</w:t>
      </w:r>
    </w:p>
    <w:p w14:paraId="4E20F6B0" w14:textId="73E12E0A" w:rsidR="00445A19" w:rsidRPr="00F46944" w:rsidRDefault="002C0850" w:rsidP="007E37FD">
      <w:r w:rsidRPr="00F46944">
        <w:t xml:space="preserve">As part of the development of this report, </w:t>
      </w:r>
      <w:r w:rsidR="00403E7F">
        <w:t xml:space="preserve">in collaboration with NPS MedicineWise, </w:t>
      </w:r>
      <w:r w:rsidRPr="00F46944">
        <w:t xml:space="preserve">the Commission </w:t>
      </w:r>
      <w:r>
        <w:t>perform</w:t>
      </w:r>
      <w:r w:rsidR="00403E7F">
        <w:t>ed</w:t>
      </w:r>
      <w:r>
        <w:t xml:space="preserve"> the </w:t>
      </w:r>
      <w:r w:rsidRPr="00F46944">
        <w:rPr>
          <w:rFonts w:cstheme="minorHAnsi"/>
        </w:rPr>
        <w:t>following analyses</w:t>
      </w:r>
      <w:r>
        <w:rPr>
          <w:rFonts w:cstheme="minorHAnsi"/>
        </w:rPr>
        <w:t>:</w:t>
      </w:r>
      <w:r w:rsidRPr="00F46944">
        <w:t xml:space="preserve"> </w:t>
      </w:r>
    </w:p>
    <w:p w14:paraId="61A495AD" w14:textId="1BE96DB7" w:rsidR="00445A19" w:rsidRPr="00F46944" w:rsidRDefault="00445A19" w:rsidP="007631ED">
      <w:pPr>
        <w:pStyle w:val="ListParagraph"/>
        <w:numPr>
          <w:ilvl w:val="0"/>
          <w:numId w:val="12"/>
        </w:numPr>
        <w:spacing w:after="160" w:line="259" w:lineRule="auto"/>
        <w:ind w:left="360"/>
        <w:rPr>
          <w:rFonts w:ascii="Arial" w:hAnsi="Arial" w:cs="Arial"/>
        </w:rPr>
      </w:pPr>
      <w:r w:rsidRPr="00F46944">
        <w:rPr>
          <w:rFonts w:ascii="Arial" w:hAnsi="Arial" w:cs="Arial"/>
        </w:rPr>
        <w:t xml:space="preserve">Monthly rate of </w:t>
      </w:r>
      <w:r w:rsidR="00C91CEA" w:rsidRPr="00F46944">
        <w:rPr>
          <w:rFonts w:ascii="Arial" w:hAnsi="Arial" w:cs="Arial"/>
        </w:rPr>
        <w:t>GP</w:t>
      </w:r>
      <w:r w:rsidRPr="00F46944">
        <w:rPr>
          <w:rFonts w:ascii="Arial" w:hAnsi="Arial" w:cs="Arial"/>
        </w:rPr>
        <w:t xml:space="preserve"> PBS/RPBS prescriptions for J01</w:t>
      </w:r>
      <w:r w:rsidR="00E27C81" w:rsidRPr="00F46944">
        <w:rPr>
          <w:rFonts w:ascii="Arial" w:hAnsi="Arial" w:cs="Arial"/>
        </w:rPr>
        <w:t> </w:t>
      </w:r>
      <w:r w:rsidRPr="00F46944">
        <w:rPr>
          <w:rFonts w:ascii="Arial" w:hAnsi="Arial" w:cs="Arial"/>
        </w:rPr>
        <w:t>systemic antimicrobials (originals and repeats) per 100 </w:t>
      </w:r>
      <w:r w:rsidR="0097547F">
        <w:rPr>
          <w:rFonts w:ascii="Arial" w:hAnsi="Arial" w:cs="Arial"/>
        </w:rPr>
        <w:t xml:space="preserve">GP </w:t>
      </w:r>
      <w:r w:rsidRPr="00F46944">
        <w:rPr>
          <w:rFonts w:ascii="Arial" w:hAnsi="Arial" w:cs="Arial"/>
        </w:rPr>
        <w:t>visits</w:t>
      </w:r>
      <w:r w:rsidR="007E37FD" w:rsidRPr="00F46944">
        <w:rPr>
          <w:rFonts w:ascii="Arial" w:hAnsi="Arial" w:cs="Arial"/>
        </w:rPr>
        <w:t>:</w:t>
      </w:r>
    </w:p>
    <w:p w14:paraId="020F0297" w14:textId="77777777" w:rsidR="00445A19" w:rsidRPr="00F46944" w:rsidRDefault="00445A19" w:rsidP="007631ED">
      <w:pPr>
        <w:pStyle w:val="ListParagraph"/>
        <w:numPr>
          <w:ilvl w:val="1"/>
          <w:numId w:val="12"/>
        </w:numPr>
        <w:spacing w:after="160" w:line="259" w:lineRule="auto"/>
        <w:ind w:left="1080"/>
        <w:rPr>
          <w:rFonts w:ascii="Arial" w:hAnsi="Arial" w:cs="Arial"/>
        </w:rPr>
      </w:pPr>
      <w:r w:rsidRPr="00F46944">
        <w:rPr>
          <w:rFonts w:ascii="Arial" w:hAnsi="Arial" w:cs="Arial"/>
        </w:rPr>
        <w:t>PBS/RPBS</w:t>
      </w:r>
    </w:p>
    <w:p w14:paraId="65A3E4CF" w14:textId="6EF18525" w:rsidR="00445A19" w:rsidRPr="00F46944" w:rsidRDefault="001D49C2" w:rsidP="007631ED">
      <w:pPr>
        <w:pStyle w:val="ListParagraph"/>
        <w:numPr>
          <w:ilvl w:val="1"/>
          <w:numId w:val="12"/>
        </w:numPr>
        <w:spacing w:after="160" w:line="259" w:lineRule="auto"/>
        <w:ind w:left="1080"/>
        <w:rPr>
          <w:rFonts w:ascii="Arial" w:hAnsi="Arial" w:cs="Arial"/>
        </w:rPr>
      </w:pPr>
      <w:r w:rsidRPr="00F46944">
        <w:rPr>
          <w:rFonts w:ascii="Arial" w:hAnsi="Arial" w:cs="Arial"/>
        </w:rPr>
        <w:t>Non-PBS</w:t>
      </w:r>
      <w:r w:rsidR="000C7143" w:rsidRPr="00F46944">
        <w:rPr>
          <w:rFonts w:ascii="Arial" w:hAnsi="Arial" w:cs="Arial"/>
        </w:rPr>
        <w:t>/RPBS</w:t>
      </w:r>
      <w:r w:rsidR="00445A19" w:rsidRPr="00F46944">
        <w:rPr>
          <w:rFonts w:ascii="Arial" w:hAnsi="Arial" w:cs="Arial"/>
        </w:rPr>
        <w:t>.</w:t>
      </w:r>
    </w:p>
    <w:p w14:paraId="18FD6D09" w14:textId="77777777" w:rsidR="00AE681D" w:rsidRPr="00F46944" w:rsidRDefault="00AE681D" w:rsidP="00AE681D">
      <w:pPr>
        <w:pStyle w:val="ListParagraph"/>
        <w:spacing w:after="160" w:line="259" w:lineRule="auto"/>
        <w:ind w:left="1080"/>
        <w:rPr>
          <w:rFonts w:ascii="Arial" w:hAnsi="Arial" w:cs="Arial"/>
        </w:rPr>
      </w:pPr>
    </w:p>
    <w:p w14:paraId="5B8DD1D5" w14:textId="5F7A42A7" w:rsidR="00445A19" w:rsidRPr="00F46944" w:rsidRDefault="00445A19" w:rsidP="007631ED">
      <w:pPr>
        <w:pStyle w:val="ListParagraph"/>
        <w:numPr>
          <w:ilvl w:val="0"/>
          <w:numId w:val="12"/>
        </w:numPr>
        <w:spacing w:after="160" w:line="259" w:lineRule="auto"/>
        <w:ind w:left="360"/>
        <w:rPr>
          <w:rFonts w:ascii="Arial" w:hAnsi="Arial" w:cs="Arial"/>
        </w:rPr>
      </w:pPr>
      <w:r w:rsidRPr="00F46944">
        <w:rPr>
          <w:rFonts w:ascii="Arial" w:hAnsi="Arial" w:cs="Arial"/>
        </w:rPr>
        <w:t xml:space="preserve">Patterns of antimicrobial prescribing among </w:t>
      </w:r>
      <w:r w:rsidR="00C91CEA" w:rsidRPr="00F46944">
        <w:rPr>
          <w:rFonts w:ascii="Arial" w:hAnsi="Arial" w:cs="Arial"/>
        </w:rPr>
        <w:t>GPs</w:t>
      </w:r>
      <w:r w:rsidRPr="00F46944">
        <w:rPr>
          <w:rFonts w:ascii="Arial" w:hAnsi="Arial" w:cs="Arial"/>
        </w:rPr>
        <w:t xml:space="preserve"> for </w:t>
      </w:r>
      <w:r w:rsidR="00D217C3">
        <w:rPr>
          <w:rFonts w:ascii="Arial" w:hAnsi="Arial" w:cs="Arial"/>
        </w:rPr>
        <w:t>high use antimicrobials</w:t>
      </w:r>
      <w:r w:rsidR="007E37FD" w:rsidRPr="00F46944">
        <w:rPr>
          <w:rFonts w:ascii="Arial" w:hAnsi="Arial" w:cs="Arial"/>
        </w:rPr>
        <w:t>:</w:t>
      </w:r>
    </w:p>
    <w:p w14:paraId="28944E22" w14:textId="75153EC7" w:rsidR="00445A19" w:rsidRPr="00F46944" w:rsidRDefault="00445A19" w:rsidP="007631ED">
      <w:pPr>
        <w:pStyle w:val="ListParagraph"/>
        <w:numPr>
          <w:ilvl w:val="1"/>
          <w:numId w:val="12"/>
        </w:numPr>
        <w:spacing w:after="160" w:line="259" w:lineRule="auto"/>
        <w:rPr>
          <w:rFonts w:ascii="Arial" w:hAnsi="Arial" w:cs="Arial"/>
        </w:rPr>
      </w:pPr>
      <w:r w:rsidRPr="00F46944">
        <w:rPr>
          <w:rFonts w:ascii="Arial" w:hAnsi="Arial" w:cs="Arial"/>
        </w:rPr>
        <w:t xml:space="preserve">Proportions of </w:t>
      </w:r>
      <w:r w:rsidR="00172E00" w:rsidRPr="00F46944">
        <w:rPr>
          <w:rFonts w:ascii="Arial" w:hAnsi="Arial" w:cs="Arial"/>
        </w:rPr>
        <w:t>non-PBS/RPBS</w:t>
      </w:r>
      <w:r w:rsidRPr="00F46944">
        <w:rPr>
          <w:rFonts w:ascii="Arial" w:hAnsi="Arial" w:cs="Arial"/>
        </w:rPr>
        <w:t xml:space="preserve"> to total prescriptions, originals, and repeat</w:t>
      </w:r>
    </w:p>
    <w:p w14:paraId="5C864485" w14:textId="6A416DBE" w:rsidR="00445A19" w:rsidRPr="00F46944" w:rsidRDefault="00445A19" w:rsidP="007631ED">
      <w:pPr>
        <w:pStyle w:val="ListParagraph"/>
        <w:numPr>
          <w:ilvl w:val="1"/>
          <w:numId w:val="12"/>
        </w:numPr>
        <w:spacing w:after="160" w:line="259" w:lineRule="auto"/>
        <w:rPr>
          <w:rFonts w:ascii="Arial" w:hAnsi="Arial" w:cs="Arial"/>
        </w:rPr>
      </w:pPr>
      <w:r w:rsidRPr="00F46944">
        <w:rPr>
          <w:rFonts w:ascii="Arial" w:hAnsi="Arial" w:cs="Arial"/>
        </w:rPr>
        <w:t xml:space="preserve">Proportion of </w:t>
      </w:r>
      <w:r w:rsidR="00462E31" w:rsidRPr="00F46944">
        <w:rPr>
          <w:rFonts w:ascii="Arial" w:hAnsi="Arial" w:cs="Arial"/>
        </w:rPr>
        <w:t>patients</w:t>
      </w:r>
      <w:r w:rsidR="007E37FD" w:rsidRPr="00F46944">
        <w:rPr>
          <w:rFonts w:ascii="Arial" w:hAnsi="Arial" w:cs="Arial"/>
        </w:rPr>
        <w:t xml:space="preserve"> </w:t>
      </w:r>
      <w:r w:rsidRPr="00F46944">
        <w:rPr>
          <w:rFonts w:ascii="Arial" w:hAnsi="Arial" w:cs="Arial"/>
        </w:rPr>
        <w:t>issued a prescription</w:t>
      </w:r>
    </w:p>
    <w:p w14:paraId="25FF77D0" w14:textId="3EC47490" w:rsidR="00445A19" w:rsidRPr="00F46944" w:rsidRDefault="00445A19" w:rsidP="007631ED">
      <w:pPr>
        <w:pStyle w:val="ListParagraph"/>
        <w:numPr>
          <w:ilvl w:val="1"/>
          <w:numId w:val="12"/>
        </w:numPr>
        <w:spacing w:after="160" w:line="259" w:lineRule="auto"/>
        <w:rPr>
          <w:rFonts w:ascii="Arial" w:hAnsi="Arial" w:cs="Arial"/>
        </w:rPr>
      </w:pPr>
      <w:r w:rsidRPr="00F46944">
        <w:rPr>
          <w:rFonts w:ascii="Arial" w:hAnsi="Arial" w:cs="Arial"/>
        </w:rPr>
        <w:t xml:space="preserve">Indications </w:t>
      </w:r>
      <w:r w:rsidR="00246636" w:rsidRPr="00F46944">
        <w:rPr>
          <w:rFonts w:ascii="Arial" w:hAnsi="Arial" w:cs="Arial"/>
        </w:rPr>
        <w:t xml:space="preserve">(taken from Reason for Prescription, Reason for Encounter and Diagnosis) </w:t>
      </w:r>
      <w:r w:rsidRPr="00F46944">
        <w:rPr>
          <w:rFonts w:ascii="Arial" w:hAnsi="Arial" w:cs="Arial"/>
        </w:rPr>
        <w:t>for therapy recorded</w:t>
      </w:r>
    </w:p>
    <w:p w14:paraId="54A423B4" w14:textId="77777777" w:rsidR="00445A19" w:rsidRPr="00F46944" w:rsidRDefault="00445A19" w:rsidP="007631ED">
      <w:pPr>
        <w:pStyle w:val="ListParagraph"/>
        <w:numPr>
          <w:ilvl w:val="1"/>
          <w:numId w:val="12"/>
        </w:numPr>
        <w:spacing w:after="160" w:line="259" w:lineRule="auto"/>
        <w:rPr>
          <w:rFonts w:ascii="Arial" w:hAnsi="Arial" w:cs="Arial"/>
        </w:rPr>
      </w:pPr>
      <w:r w:rsidRPr="00F46944">
        <w:rPr>
          <w:rFonts w:ascii="Arial" w:hAnsi="Arial" w:cs="Arial"/>
        </w:rPr>
        <w:t>Repeats prescribed</w:t>
      </w:r>
    </w:p>
    <w:p w14:paraId="37FA929F" w14:textId="74E962DB" w:rsidR="00445A19" w:rsidRPr="00F46944" w:rsidRDefault="00445A19" w:rsidP="007631ED">
      <w:pPr>
        <w:pStyle w:val="ListParagraph"/>
        <w:numPr>
          <w:ilvl w:val="1"/>
          <w:numId w:val="12"/>
        </w:numPr>
        <w:spacing w:after="160" w:line="259" w:lineRule="auto"/>
        <w:rPr>
          <w:rFonts w:ascii="Arial" w:hAnsi="Arial" w:cs="Arial"/>
        </w:rPr>
      </w:pPr>
      <w:r w:rsidRPr="00F46944">
        <w:rPr>
          <w:rFonts w:ascii="Arial" w:hAnsi="Arial" w:cs="Arial"/>
        </w:rPr>
        <w:t xml:space="preserve">PBS/RPBS and </w:t>
      </w:r>
      <w:r w:rsidR="00172E00" w:rsidRPr="00F46944">
        <w:rPr>
          <w:rFonts w:ascii="Arial" w:hAnsi="Arial" w:cs="Arial"/>
        </w:rPr>
        <w:t>non-PBS/RPBS</w:t>
      </w:r>
      <w:r w:rsidR="001D49C2" w:rsidRPr="00F46944">
        <w:rPr>
          <w:rFonts w:ascii="Arial" w:hAnsi="Arial" w:cs="Arial"/>
        </w:rPr>
        <w:t xml:space="preserve"> </w:t>
      </w:r>
      <w:r w:rsidRPr="00F46944">
        <w:rPr>
          <w:rFonts w:ascii="Arial" w:hAnsi="Arial" w:cs="Arial"/>
        </w:rPr>
        <w:t>prescriptions</w:t>
      </w:r>
    </w:p>
    <w:p w14:paraId="22D7BC9F" w14:textId="2A4A04FC" w:rsidR="00445A19" w:rsidRPr="00F46944" w:rsidRDefault="00445A19" w:rsidP="007631ED">
      <w:pPr>
        <w:pStyle w:val="ListParagraph"/>
        <w:numPr>
          <w:ilvl w:val="1"/>
          <w:numId w:val="12"/>
        </w:numPr>
        <w:spacing w:after="160" w:line="259" w:lineRule="auto"/>
        <w:rPr>
          <w:rFonts w:ascii="Arial" w:hAnsi="Arial" w:cs="Arial"/>
        </w:rPr>
      </w:pPr>
      <w:r w:rsidRPr="00F46944">
        <w:rPr>
          <w:rFonts w:ascii="Arial" w:hAnsi="Arial" w:cs="Arial"/>
        </w:rPr>
        <w:t xml:space="preserve">Patient demographics (5-year age group, state/territory, </w:t>
      </w:r>
      <w:r w:rsidR="000E793A" w:rsidRPr="00F46944">
        <w:rPr>
          <w:rFonts w:ascii="Arial" w:hAnsi="Arial" w:cs="Arial"/>
        </w:rPr>
        <w:t>Socio-Economic Indexes for Areas [</w:t>
      </w:r>
      <w:r w:rsidRPr="00F46944">
        <w:rPr>
          <w:rFonts w:ascii="Arial" w:hAnsi="Arial" w:cs="Arial"/>
        </w:rPr>
        <w:t>SEIFA</w:t>
      </w:r>
      <w:r w:rsidR="000E793A" w:rsidRPr="00F46944">
        <w:rPr>
          <w:rFonts w:ascii="Arial" w:hAnsi="Arial" w:cs="Arial"/>
        </w:rPr>
        <w:t>]</w:t>
      </w:r>
      <w:r w:rsidRPr="00F46944">
        <w:rPr>
          <w:rFonts w:ascii="Arial" w:hAnsi="Arial" w:cs="Arial"/>
        </w:rPr>
        <w:t>, remoteness)</w:t>
      </w:r>
    </w:p>
    <w:p w14:paraId="496BF7F4" w14:textId="7EBD65F6" w:rsidR="00445A19" w:rsidRPr="00F46944" w:rsidRDefault="00462E31" w:rsidP="007631ED">
      <w:pPr>
        <w:pStyle w:val="ListParagraph"/>
        <w:numPr>
          <w:ilvl w:val="1"/>
          <w:numId w:val="12"/>
        </w:numPr>
        <w:spacing w:after="160" w:line="259" w:lineRule="auto"/>
        <w:rPr>
          <w:rFonts w:ascii="Arial" w:hAnsi="Arial" w:cs="Arial"/>
        </w:rPr>
      </w:pPr>
      <w:r w:rsidRPr="00F46944">
        <w:rPr>
          <w:rFonts w:ascii="Arial" w:hAnsi="Arial" w:cs="Arial"/>
        </w:rPr>
        <w:t xml:space="preserve">Patients issued a prescription (PBS/RPBS or </w:t>
      </w:r>
      <w:r w:rsidR="00172E00" w:rsidRPr="00F46944">
        <w:rPr>
          <w:rFonts w:ascii="Arial" w:hAnsi="Arial" w:cs="Arial"/>
        </w:rPr>
        <w:t>non-PBS/RPBS</w:t>
      </w:r>
      <w:r w:rsidR="00B248F1" w:rsidRPr="00F46944">
        <w:rPr>
          <w:rFonts w:ascii="Arial" w:hAnsi="Arial" w:cs="Arial"/>
        </w:rPr>
        <w:t>)</w:t>
      </w:r>
      <w:r w:rsidRPr="00F46944">
        <w:rPr>
          <w:rFonts w:ascii="Arial" w:hAnsi="Arial" w:cs="Arial"/>
        </w:rPr>
        <w:t xml:space="preserve"> (%)</w:t>
      </w:r>
    </w:p>
    <w:p w14:paraId="4E141D76" w14:textId="77777777" w:rsidR="00445A19" w:rsidRPr="00F46944" w:rsidRDefault="00445A19" w:rsidP="007631ED">
      <w:pPr>
        <w:pStyle w:val="ListParagraph"/>
        <w:numPr>
          <w:ilvl w:val="1"/>
          <w:numId w:val="12"/>
        </w:numPr>
        <w:spacing w:after="160" w:line="259" w:lineRule="auto"/>
        <w:rPr>
          <w:rFonts w:ascii="Arial" w:hAnsi="Arial" w:cs="Arial"/>
        </w:rPr>
      </w:pPr>
      <w:r w:rsidRPr="00F46944">
        <w:rPr>
          <w:rFonts w:ascii="Arial" w:hAnsi="Arial" w:cs="Arial"/>
        </w:rPr>
        <w:t>Most common indication (%)</w:t>
      </w:r>
    </w:p>
    <w:p w14:paraId="74BB1F31" w14:textId="77777777" w:rsidR="00445A19" w:rsidRPr="00F46944" w:rsidRDefault="00445A19" w:rsidP="007631ED">
      <w:pPr>
        <w:pStyle w:val="ListParagraph"/>
        <w:numPr>
          <w:ilvl w:val="1"/>
          <w:numId w:val="12"/>
        </w:numPr>
        <w:spacing w:after="160" w:line="259" w:lineRule="auto"/>
        <w:rPr>
          <w:rFonts w:ascii="Arial" w:hAnsi="Arial" w:cs="Arial"/>
        </w:rPr>
      </w:pPr>
      <w:r w:rsidRPr="00F46944">
        <w:rPr>
          <w:rFonts w:ascii="Arial" w:hAnsi="Arial" w:cs="Arial"/>
        </w:rPr>
        <w:t>Patient age group with highest rate of prescribing (years)</w:t>
      </w:r>
    </w:p>
    <w:p w14:paraId="49A88726" w14:textId="1541DE21" w:rsidR="00445A19" w:rsidRPr="00F46944" w:rsidRDefault="00445A19" w:rsidP="007631ED">
      <w:pPr>
        <w:pStyle w:val="ListParagraph"/>
        <w:numPr>
          <w:ilvl w:val="1"/>
          <w:numId w:val="12"/>
        </w:numPr>
        <w:spacing w:after="160" w:line="259" w:lineRule="auto"/>
        <w:rPr>
          <w:rFonts w:ascii="Arial" w:hAnsi="Arial" w:cs="Arial"/>
        </w:rPr>
      </w:pPr>
      <w:r w:rsidRPr="00F46944">
        <w:rPr>
          <w:rFonts w:ascii="Arial" w:hAnsi="Arial" w:cs="Arial"/>
        </w:rPr>
        <w:t xml:space="preserve">Prescriptions (PBS/RPBS </w:t>
      </w:r>
      <w:r w:rsidR="00462E31" w:rsidRPr="00F46944">
        <w:rPr>
          <w:rFonts w:ascii="Arial" w:hAnsi="Arial" w:cs="Arial"/>
        </w:rPr>
        <w:t xml:space="preserve">or </w:t>
      </w:r>
      <w:r w:rsidR="00172E00" w:rsidRPr="00F46944">
        <w:rPr>
          <w:rFonts w:ascii="Arial" w:hAnsi="Arial" w:cs="Arial"/>
        </w:rPr>
        <w:t>non-PBS/RPBS</w:t>
      </w:r>
      <w:r w:rsidR="00B248F1" w:rsidRPr="00F46944">
        <w:rPr>
          <w:rFonts w:ascii="Arial" w:hAnsi="Arial" w:cs="Arial"/>
        </w:rPr>
        <w:t>)</w:t>
      </w:r>
      <w:r w:rsidR="00462E31" w:rsidRPr="00F46944">
        <w:rPr>
          <w:rFonts w:ascii="Arial" w:hAnsi="Arial" w:cs="Arial"/>
        </w:rPr>
        <w:t xml:space="preserve"> </w:t>
      </w:r>
      <w:r w:rsidRPr="00F46944">
        <w:rPr>
          <w:rFonts w:ascii="Arial" w:hAnsi="Arial" w:cs="Arial"/>
        </w:rPr>
        <w:t>ordered with repeats (%)</w:t>
      </w:r>
    </w:p>
    <w:p w14:paraId="16512C28" w14:textId="429A59CE" w:rsidR="00AE681D" w:rsidRPr="00F46944" w:rsidRDefault="00445A19" w:rsidP="007631ED">
      <w:pPr>
        <w:pStyle w:val="ListParagraph"/>
        <w:numPr>
          <w:ilvl w:val="1"/>
          <w:numId w:val="12"/>
        </w:numPr>
        <w:spacing w:after="160" w:line="259" w:lineRule="auto"/>
        <w:rPr>
          <w:rFonts w:ascii="Arial" w:hAnsi="Arial" w:cs="Arial"/>
        </w:rPr>
      </w:pPr>
      <w:r w:rsidRPr="00F46944">
        <w:rPr>
          <w:rFonts w:ascii="Arial" w:hAnsi="Arial" w:cs="Arial"/>
        </w:rPr>
        <w:t xml:space="preserve">Prescriptions ordered </w:t>
      </w:r>
      <w:r w:rsidR="00462E31" w:rsidRPr="00F46944">
        <w:rPr>
          <w:rFonts w:ascii="Arial" w:hAnsi="Arial" w:cs="Arial"/>
        </w:rPr>
        <w:t xml:space="preserve">as </w:t>
      </w:r>
      <w:r w:rsidR="001D49C2" w:rsidRPr="00F46944">
        <w:rPr>
          <w:rFonts w:ascii="Arial" w:hAnsi="Arial" w:cs="Arial"/>
        </w:rPr>
        <w:t>non-subsidised</w:t>
      </w:r>
      <w:r w:rsidR="00462E31" w:rsidRPr="00F46944">
        <w:rPr>
          <w:rFonts w:ascii="Arial" w:hAnsi="Arial" w:cs="Arial"/>
        </w:rPr>
        <w:t xml:space="preserve"> </w:t>
      </w:r>
      <w:r w:rsidRPr="00F46944">
        <w:rPr>
          <w:rFonts w:ascii="Arial" w:hAnsi="Arial" w:cs="Arial"/>
        </w:rPr>
        <w:t>(%).</w:t>
      </w:r>
    </w:p>
    <w:p w14:paraId="74042295" w14:textId="5DAFABC8" w:rsidR="002F78DD" w:rsidRPr="00F46944" w:rsidRDefault="002F78DD" w:rsidP="00AE681D">
      <w:pPr>
        <w:pStyle w:val="ListParagraph"/>
        <w:spacing w:after="160" w:line="259" w:lineRule="auto"/>
        <w:ind w:left="900"/>
        <w:rPr>
          <w:rFonts w:ascii="Arial" w:hAnsi="Arial" w:cs="Arial"/>
        </w:rPr>
      </w:pPr>
    </w:p>
    <w:p w14:paraId="3FF1D8AB" w14:textId="2AF0E684" w:rsidR="00445A19" w:rsidRPr="00F46944" w:rsidRDefault="00445A19" w:rsidP="007631ED">
      <w:pPr>
        <w:pStyle w:val="ListParagraph"/>
        <w:numPr>
          <w:ilvl w:val="0"/>
          <w:numId w:val="12"/>
        </w:numPr>
        <w:spacing w:after="160" w:line="259" w:lineRule="auto"/>
        <w:ind w:left="360"/>
        <w:rPr>
          <w:rFonts w:ascii="Arial" w:hAnsi="Arial" w:cs="Arial"/>
        </w:rPr>
      </w:pPr>
      <w:r w:rsidRPr="00F46944">
        <w:rPr>
          <w:rFonts w:ascii="Arial" w:hAnsi="Arial" w:cs="Arial"/>
        </w:rPr>
        <w:t xml:space="preserve">Number and </w:t>
      </w:r>
      <w:r w:rsidR="00462E31" w:rsidRPr="00F46944">
        <w:rPr>
          <w:rFonts w:ascii="Arial" w:hAnsi="Arial" w:cs="Arial"/>
        </w:rPr>
        <w:t xml:space="preserve">percentage of patients </w:t>
      </w:r>
      <w:r w:rsidRPr="00F46944">
        <w:rPr>
          <w:rFonts w:ascii="Arial" w:hAnsi="Arial" w:cs="Arial"/>
        </w:rPr>
        <w:t xml:space="preserve">prescribed systemic antimicrobials by </w:t>
      </w:r>
      <w:r w:rsidR="00C91CEA" w:rsidRPr="00F46944">
        <w:rPr>
          <w:rFonts w:ascii="Arial" w:hAnsi="Arial" w:cs="Arial"/>
        </w:rPr>
        <w:t>GPs</w:t>
      </w:r>
      <w:r w:rsidR="00462E31" w:rsidRPr="00F46944">
        <w:rPr>
          <w:rFonts w:ascii="Arial" w:hAnsi="Arial" w:cs="Arial"/>
        </w:rPr>
        <w:t xml:space="preserve"> stratified by:</w:t>
      </w:r>
      <w:r w:rsidRPr="00F46944">
        <w:rPr>
          <w:rFonts w:ascii="Arial" w:hAnsi="Arial" w:cs="Arial"/>
        </w:rPr>
        <w:t xml:space="preserve"> </w:t>
      </w:r>
    </w:p>
    <w:p w14:paraId="3C11F123" w14:textId="77777777" w:rsidR="00445A19" w:rsidRPr="00F46944" w:rsidRDefault="00445A19" w:rsidP="007631ED">
      <w:pPr>
        <w:pStyle w:val="ListParagraph"/>
        <w:numPr>
          <w:ilvl w:val="0"/>
          <w:numId w:val="13"/>
        </w:numPr>
        <w:spacing w:after="160" w:line="259" w:lineRule="auto"/>
        <w:rPr>
          <w:rFonts w:ascii="Arial" w:hAnsi="Arial" w:cs="Arial"/>
        </w:rPr>
      </w:pPr>
      <w:r w:rsidRPr="00F46944">
        <w:rPr>
          <w:rFonts w:ascii="Arial" w:hAnsi="Arial" w:cs="Arial"/>
        </w:rPr>
        <w:t>State/territory</w:t>
      </w:r>
    </w:p>
    <w:p w14:paraId="175C9D77" w14:textId="7F7CD9A9" w:rsidR="00445A19" w:rsidRPr="00F46944" w:rsidRDefault="00445A19" w:rsidP="007631ED">
      <w:pPr>
        <w:pStyle w:val="ListParagraph"/>
        <w:numPr>
          <w:ilvl w:val="0"/>
          <w:numId w:val="13"/>
        </w:numPr>
        <w:spacing w:after="160" w:line="259" w:lineRule="auto"/>
        <w:rPr>
          <w:rFonts w:ascii="Arial" w:hAnsi="Arial" w:cs="Arial"/>
        </w:rPr>
      </w:pPr>
      <w:r w:rsidRPr="00F46944">
        <w:rPr>
          <w:rFonts w:ascii="Arial" w:hAnsi="Arial" w:cs="Arial"/>
        </w:rPr>
        <w:t>Remoteness</w:t>
      </w:r>
    </w:p>
    <w:p w14:paraId="57119839" w14:textId="78431766" w:rsidR="00445A19" w:rsidRPr="00F46944" w:rsidRDefault="00445A19" w:rsidP="007631ED">
      <w:pPr>
        <w:pStyle w:val="ListParagraph"/>
        <w:numPr>
          <w:ilvl w:val="0"/>
          <w:numId w:val="13"/>
        </w:numPr>
        <w:spacing w:after="160" w:line="259" w:lineRule="auto"/>
        <w:rPr>
          <w:rFonts w:ascii="Arial" w:hAnsi="Arial" w:cs="Arial"/>
        </w:rPr>
      </w:pPr>
      <w:r w:rsidRPr="00F46944">
        <w:rPr>
          <w:rFonts w:ascii="Arial" w:hAnsi="Arial" w:cs="Arial"/>
        </w:rPr>
        <w:t>SEIFA</w:t>
      </w:r>
    </w:p>
    <w:p w14:paraId="5909B32C" w14:textId="15ADD984" w:rsidR="00445A19" w:rsidRPr="00F46944" w:rsidRDefault="00445A19" w:rsidP="007631ED">
      <w:pPr>
        <w:pStyle w:val="ListParagraph"/>
        <w:numPr>
          <w:ilvl w:val="0"/>
          <w:numId w:val="13"/>
        </w:numPr>
        <w:spacing w:after="160" w:line="259" w:lineRule="auto"/>
        <w:rPr>
          <w:rFonts w:ascii="Arial" w:hAnsi="Arial" w:cs="Arial"/>
        </w:rPr>
      </w:pPr>
      <w:r w:rsidRPr="00F46944">
        <w:rPr>
          <w:rFonts w:ascii="Arial" w:hAnsi="Arial" w:cs="Arial"/>
        </w:rPr>
        <w:t>Age group (5-year age group)</w:t>
      </w:r>
      <w:r w:rsidR="007E37FD" w:rsidRPr="00F46944">
        <w:rPr>
          <w:rFonts w:ascii="Arial" w:hAnsi="Arial" w:cs="Arial"/>
        </w:rPr>
        <w:t>:</w:t>
      </w:r>
    </w:p>
    <w:p w14:paraId="642B9179" w14:textId="79689FAF" w:rsidR="00445A19" w:rsidRPr="00F46944" w:rsidRDefault="007E37FD" w:rsidP="007631ED">
      <w:pPr>
        <w:pStyle w:val="ListParagraph"/>
        <w:numPr>
          <w:ilvl w:val="2"/>
          <w:numId w:val="12"/>
        </w:numPr>
        <w:spacing w:after="160" w:line="259" w:lineRule="auto"/>
        <w:ind w:left="900"/>
        <w:rPr>
          <w:rFonts w:ascii="Arial" w:hAnsi="Arial" w:cs="Arial"/>
        </w:rPr>
      </w:pPr>
      <w:r w:rsidRPr="00F46944">
        <w:rPr>
          <w:rFonts w:ascii="Arial" w:hAnsi="Arial" w:cs="Arial"/>
        </w:rPr>
        <w:t>C</w:t>
      </w:r>
      <w:r w:rsidR="00445A19" w:rsidRPr="00F46944">
        <w:rPr>
          <w:rFonts w:ascii="Arial" w:hAnsi="Arial" w:cs="Arial"/>
        </w:rPr>
        <w:t>onfidence intervals</w:t>
      </w:r>
      <w:r w:rsidR="00D6576C" w:rsidRPr="00F46944">
        <w:rPr>
          <w:rFonts w:ascii="Arial" w:hAnsi="Arial" w:cs="Arial"/>
        </w:rPr>
        <w:t xml:space="preserve"> (CI)</w:t>
      </w:r>
      <w:r w:rsidR="00445A19" w:rsidRPr="00F46944">
        <w:rPr>
          <w:rFonts w:ascii="Arial" w:hAnsi="Arial" w:cs="Arial"/>
        </w:rPr>
        <w:t xml:space="preserve"> and acceptable range:</w:t>
      </w:r>
    </w:p>
    <w:p w14:paraId="7678BDC6" w14:textId="77777777" w:rsidR="00445A19" w:rsidRPr="00F46944" w:rsidRDefault="00445A19" w:rsidP="007631ED">
      <w:pPr>
        <w:pStyle w:val="ListParagraph"/>
        <w:numPr>
          <w:ilvl w:val="3"/>
          <w:numId w:val="12"/>
        </w:numPr>
        <w:spacing w:after="160" w:line="259" w:lineRule="auto"/>
        <w:ind w:left="1620"/>
        <w:rPr>
          <w:rFonts w:ascii="Arial" w:hAnsi="Arial" w:cs="Arial"/>
        </w:rPr>
      </w:pPr>
      <w:r w:rsidRPr="00F46944">
        <w:rPr>
          <w:rFonts w:ascii="Arial" w:hAnsi="Arial" w:cs="Arial"/>
        </w:rPr>
        <w:t>Number of patients</w:t>
      </w:r>
    </w:p>
    <w:p w14:paraId="11154793" w14:textId="77777777" w:rsidR="00445A19" w:rsidRPr="00F46944" w:rsidRDefault="00445A19" w:rsidP="007631ED">
      <w:pPr>
        <w:pStyle w:val="ListParagraph"/>
        <w:numPr>
          <w:ilvl w:val="3"/>
          <w:numId w:val="12"/>
        </w:numPr>
        <w:spacing w:after="160" w:line="259" w:lineRule="auto"/>
        <w:ind w:left="1620"/>
        <w:rPr>
          <w:rFonts w:ascii="Arial" w:hAnsi="Arial" w:cs="Arial"/>
        </w:rPr>
      </w:pPr>
      <w:r w:rsidRPr="00F46944">
        <w:rPr>
          <w:rFonts w:ascii="Arial" w:hAnsi="Arial" w:cs="Arial"/>
        </w:rPr>
        <w:t>%</w:t>
      </w:r>
    </w:p>
    <w:p w14:paraId="4F080132" w14:textId="08A4C786" w:rsidR="00AE681D" w:rsidRPr="00F46944" w:rsidRDefault="00445A19" w:rsidP="007631ED">
      <w:pPr>
        <w:pStyle w:val="ListParagraph"/>
        <w:numPr>
          <w:ilvl w:val="3"/>
          <w:numId w:val="12"/>
        </w:numPr>
        <w:spacing w:after="160" w:line="259" w:lineRule="auto"/>
        <w:ind w:left="1620"/>
        <w:rPr>
          <w:rFonts w:ascii="Arial" w:hAnsi="Arial" w:cs="Arial"/>
        </w:rPr>
      </w:pPr>
      <w:r w:rsidRPr="00F46944">
        <w:rPr>
          <w:rFonts w:ascii="Arial" w:hAnsi="Arial" w:cs="Arial"/>
        </w:rPr>
        <w:t>95% CI.</w:t>
      </w:r>
    </w:p>
    <w:p w14:paraId="34870658" w14:textId="77777777" w:rsidR="00AA455D" w:rsidRPr="00F46944" w:rsidRDefault="00AA455D" w:rsidP="00AA455D">
      <w:pPr>
        <w:pStyle w:val="ListParagraph"/>
        <w:spacing w:after="160" w:line="259" w:lineRule="auto"/>
        <w:ind w:left="1620"/>
        <w:rPr>
          <w:rFonts w:ascii="Arial" w:hAnsi="Arial" w:cs="Arial"/>
        </w:rPr>
      </w:pPr>
    </w:p>
    <w:p w14:paraId="5E579FC5" w14:textId="5172B421" w:rsidR="00462E31" w:rsidRPr="00F46944" w:rsidRDefault="00445A19" w:rsidP="007631ED">
      <w:pPr>
        <w:pStyle w:val="ListParagraph"/>
        <w:numPr>
          <w:ilvl w:val="0"/>
          <w:numId w:val="12"/>
        </w:numPr>
        <w:spacing w:after="160" w:line="259" w:lineRule="auto"/>
        <w:ind w:left="360"/>
        <w:rPr>
          <w:rFonts w:ascii="Arial" w:hAnsi="Arial" w:cs="Arial"/>
        </w:rPr>
      </w:pPr>
      <w:r w:rsidRPr="00F46944">
        <w:rPr>
          <w:rFonts w:ascii="Arial" w:hAnsi="Arial" w:cs="Arial"/>
        </w:rPr>
        <w:t xml:space="preserve">Number and percentage of patients prescribed systemic antimicrobials by </w:t>
      </w:r>
      <w:r w:rsidR="00D6576C" w:rsidRPr="00F46944">
        <w:rPr>
          <w:rFonts w:ascii="Arial" w:hAnsi="Arial" w:cs="Arial"/>
        </w:rPr>
        <w:t xml:space="preserve">GPs </w:t>
      </w:r>
      <w:r w:rsidR="00462E31" w:rsidRPr="00F46944">
        <w:rPr>
          <w:rFonts w:ascii="Arial" w:hAnsi="Arial" w:cs="Arial"/>
        </w:rPr>
        <w:t>for selected conditions</w:t>
      </w:r>
      <w:r w:rsidR="007E37FD" w:rsidRPr="00F46944">
        <w:rPr>
          <w:rFonts w:ascii="Arial" w:hAnsi="Arial" w:cs="Arial"/>
        </w:rPr>
        <w:t>:</w:t>
      </w:r>
    </w:p>
    <w:p w14:paraId="763AB0C1" w14:textId="0CB65FC8" w:rsidR="00247988" w:rsidRDefault="00445A19" w:rsidP="00247988">
      <w:pPr>
        <w:pStyle w:val="ListParagraph"/>
        <w:numPr>
          <w:ilvl w:val="0"/>
          <w:numId w:val="14"/>
        </w:numPr>
        <w:spacing w:after="160" w:line="259" w:lineRule="auto"/>
        <w:rPr>
          <w:rFonts w:ascii="Arial" w:hAnsi="Arial" w:cs="Arial"/>
        </w:rPr>
      </w:pPr>
      <w:r w:rsidRPr="00F46944">
        <w:rPr>
          <w:rFonts w:ascii="Arial" w:hAnsi="Arial" w:cs="Arial"/>
        </w:rPr>
        <w:t xml:space="preserve">Selected conditions </w:t>
      </w:r>
      <w:r w:rsidR="00670342" w:rsidRPr="00F46944">
        <w:rPr>
          <w:rFonts w:ascii="Arial" w:hAnsi="Arial" w:cs="Arial"/>
        </w:rPr>
        <w:t>include</w:t>
      </w:r>
      <w:r w:rsidRPr="00F46944">
        <w:rPr>
          <w:rFonts w:ascii="Arial" w:hAnsi="Arial" w:cs="Arial"/>
        </w:rPr>
        <w:t xml:space="preserve"> acute URTI, acute bronchitis or bronchiolitis, acute tonsillitis sinusitis (chronic or acute), acute otitis media/myringitis, community acquired </w:t>
      </w:r>
      <w:r w:rsidR="00D6576C" w:rsidRPr="00F46944">
        <w:rPr>
          <w:rFonts w:ascii="Arial" w:hAnsi="Arial" w:cs="Arial"/>
        </w:rPr>
        <w:t xml:space="preserve">pneumonia, </w:t>
      </w:r>
      <w:r w:rsidR="006A6A75" w:rsidRPr="00F46944">
        <w:rPr>
          <w:rFonts w:ascii="Arial" w:hAnsi="Arial" w:cs="Arial"/>
        </w:rPr>
        <w:t>cystitis,</w:t>
      </w:r>
      <w:r w:rsidR="00D6576C" w:rsidRPr="00F46944">
        <w:rPr>
          <w:rFonts w:ascii="Arial" w:hAnsi="Arial" w:cs="Arial"/>
        </w:rPr>
        <w:t xml:space="preserve"> or other </w:t>
      </w:r>
      <w:r w:rsidR="001F0D7D" w:rsidRPr="00F46944">
        <w:rPr>
          <w:rFonts w:ascii="Arial" w:hAnsi="Arial" w:cs="Arial"/>
        </w:rPr>
        <w:t>UTI</w:t>
      </w:r>
      <w:r w:rsidR="00D6576C" w:rsidRPr="00F46944">
        <w:rPr>
          <w:rFonts w:ascii="Arial" w:hAnsi="Arial" w:cs="Arial"/>
        </w:rPr>
        <w:t xml:space="preserve">, influenza-like </w:t>
      </w:r>
      <w:r w:rsidR="00F4073F" w:rsidRPr="00F46944">
        <w:rPr>
          <w:rFonts w:ascii="Arial" w:hAnsi="Arial" w:cs="Arial"/>
        </w:rPr>
        <w:t>i</w:t>
      </w:r>
      <w:r w:rsidR="00D6576C" w:rsidRPr="00F46944">
        <w:rPr>
          <w:rFonts w:ascii="Arial" w:hAnsi="Arial" w:cs="Arial"/>
        </w:rPr>
        <w:t xml:space="preserve">llness, </w:t>
      </w:r>
      <w:r w:rsidR="001F0D7D" w:rsidRPr="00F46944">
        <w:rPr>
          <w:rFonts w:ascii="Arial" w:hAnsi="Arial" w:cs="Arial"/>
        </w:rPr>
        <w:t>chronic obstructive pulmonary disease (</w:t>
      </w:r>
      <w:r w:rsidR="00D6576C" w:rsidRPr="00F46944">
        <w:rPr>
          <w:rFonts w:ascii="Arial" w:hAnsi="Arial" w:cs="Arial"/>
        </w:rPr>
        <w:t>COPD</w:t>
      </w:r>
      <w:r w:rsidR="001F0D7D" w:rsidRPr="00F46944">
        <w:rPr>
          <w:rFonts w:ascii="Arial" w:hAnsi="Arial" w:cs="Arial"/>
        </w:rPr>
        <w:t>)</w:t>
      </w:r>
    </w:p>
    <w:p w14:paraId="113DF1F0" w14:textId="1BE05964" w:rsidR="00445A19" w:rsidRPr="00F46944" w:rsidRDefault="00D6576C" w:rsidP="007631ED">
      <w:pPr>
        <w:pStyle w:val="ListParagraph"/>
        <w:numPr>
          <w:ilvl w:val="0"/>
          <w:numId w:val="14"/>
        </w:numPr>
        <w:spacing w:after="160" w:line="259" w:lineRule="auto"/>
        <w:rPr>
          <w:rFonts w:ascii="Arial" w:hAnsi="Arial" w:cs="Arial"/>
        </w:rPr>
      </w:pPr>
      <w:r w:rsidRPr="00F46944">
        <w:rPr>
          <w:rFonts w:ascii="Arial" w:hAnsi="Arial" w:cs="Arial"/>
        </w:rPr>
        <w:t>CI</w:t>
      </w:r>
      <w:r w:rsidR="00445A19" w:rsidRPr="00F46944">
        <w:rPr>
          <w:rFonts w:ascii="Arial" w:hAnsi="Arial" w:cs="Arial"/>
        </w:rPr>
        <w:t xml:space="preserve"> and acceptable range</w:t>
      </w:r>
      <w:r w:rsidR="007E37FD" w:rsidRPr="00F46944">
        <w:rPr>
          <w:rFonts w:ascii="Arial" w:hAnsi="Arial" w:cs="Arial"/>
        </w:rPr>
        <w:t>:</w:t>
      </w:r>
    </w:p>
    <w:p w14:paraId="107742D5" w14:textId="77777777" w:rsidR="00445A19" w:rsidRPr="00F46944" w:rsidRDefault="00445A19" w:rsidP="007631ED">
      <w:pPr>
        <w:pStyle w:val="ListParagraph"/>
        <w:numPr>
          <w:ilvl w:val="1"/>
          <w:numId w:val="15"/>
        </w:numPr>
        <w:spacing w:after="160" w:line="259" w:lineRule="auto"/>
        <w:rPr>
          <w:rFonts w:ascii="Arial" w:hAnsi="Arial" w:cs="Arial"/>
        </w:rPr>
      </w:pPr>
      <w:r w:rsidRPr="00F46944">
        <w:rPr>
          <w:rFonts w:ascii="Arial" w:hAnsi="Arial" w:cs="Arial"/>
        </w:rPr>
        <w:t>Number of patients</w:t>
      </w:r>
    </w:p>
    <w:p w14:paraId="4A4B9329" w14:textId="77777777" w:rsidR="00445A19" w:rsidRPr="00F46944" w:rsidRDefault="00445A19" w:rsidP="007631ED">
      <w:pPr>
        <w:pStyle w:val="ListParagraph"/>
        <w:numPr>
          <w:ilvl w:val="1"/>
          <w:numId w:val="15"/>
        </w:numPr>
        <w:spacing w:after="160" w:line="259" w:lineRule="auto"/>
        <w:rPr>
          <w:rFonts w:ascii="Arial" w:hAnsi="Arial" w:cs="Arial"/>
        </w:rPr>
      </w:pPr>
      <w:r w:rsidRPr="00F46944">
        <w:rPr>
          <w:rFonts w:ascii="Arial" w:hAnsi="Arial" w:cs="Arial"/>
        </w:rPr>
        <w:lastRenderedPageBreak/>
        <w:t>%</w:t>
      </w:r>
    </w:p>
    <w:p w14:paraId="1086D023" w14:textId="6C090ABC" w:rsidR="00445A19" w:rsidRPr="00F46944" w:rsidRDefault="00445A19" w:rsidP="007631ED">
      <w:pPr>
        <w:pStyle w:val="ListParagraph"/>
        <w:numPr>
          <w:ilvl w:val="1"/>
          <w:numId w:val="15"/>
        </w:numPr>
        <w:spacing w:after="160" w:line="259" w:lineRule="auto"/>
        <w:rPr>
          <w:rFonts w:ascii="Arial" w:hAnsi="Arial" w:cs="Arial"/>
        </w:rPr>
      </w:pPr>
      <w:r w:rsidRPr="00F46944">
        <w:rPr>
          <w:rFonts w:ascii="Arial" w:hAnsi="Arial" w:cs="Arial"/>
        </w:rPr>
        <w:t>95% CI</w:t>
      </w:r>
      <w:r w:rsidR="00DA53BA" w:rsidRPr="00F46944">
        <w:rPr>
          <w:rFonts w:ascii="Arial" w:hAnsi="Arial" w:cs="Arial"/>
        </w:rPr>
        <w:t>.</w:t>
      </w:r>
    </w:p>
    <w:p w14:paraId="5F81DAE7" w14:textId="77777777" w:rsidR="00AE681D" w:rsidRPr="00F46944" w:rsidRDefault="00AE681D" w:rsidP="00AE681D">
      <w:pPr>
        <w:pStyle w:val="ListParagraph"/>
        <w:spacing w:after="160" w:line="259" w:lineRule="auto"/>
        <w:ind w:left="1440"/>
        <w:rPr>
          <w:rFonts w:ascii="Arial" w:hAnsi="Arial" w:cs="Arial"/>
        </w:rPr>
      </w:pPr>
    </w:p>
    <w:p w14:paraId="0AD0D62E" w14:textId="7F2DB37A" w:rsidR="007E37FD" w:rsidRPr="00F46944" w:rsidRDefault="00445A19" w:rsidP="007631ED">
      <w:pPr>
        <w:pStyle w:val="ListParagraph"/>
        <w:numPr>
          <w:ilvl w:val="0"/>
          <w:numId w:val="12"/>
        </w:numPr>
        <w:spacing w:after="160" w:line="259" w:lineRule="auto"/>
        <w:ind w:left="360"/>
        <w:rPr>
          <w:rFonts w:ascii="Arial" w:hAnsi="Arial" w:cs="Arial"/>
        </w:rPr>
      </w:pPr>
      <w:r w:rsidRPr="00F46944">
        <w:rPr>
          <w:rFonts w:ascii="Arial" w:hAnsi="Arial" w:cs="Arial"/>
        </w:rPr>
        <w:t xml:space="preserve">Number and percentage of </w:t>
      </w:r>
      <w:r w:rsidR="00D6576C" w:rsidRPr="00F46944">
        <w:rPr>
          <w:rFonts w:ascii="Arial" w:hAnsi="Arial" w:cs="Arial"/>
        </w:rPr>
        <w:t>GPs</w:t>
      </w:r>
      <w:r w:rsidRPr="00F46944">
        <w:rPr>
          <w:rFonts w:ascii="Arial" w:hAnsi="Arial" w:cs="Arial"/>
        </w:rPr>
        <w:t xml:space="preserve"> recording ‘indication’ for antimicrobial prescription for systemic antimicrobials</w:t>
      </w:r>
      <w:r w:rsidR="007E37FD" w:rsidRPr="00F46944">
        <w:rPr>
          <w:rFonts w:ascii="Arial" w:hAnsi="Arial" w:cs="Arial"/>
        </w:rPr>
        <w:t>:</w:t>
      </w:r>
    </w:p>
    <w:p w14:paraId="02193B9B" w14:textId="77777777" w:rsidR="007E37FD" w:rsidRPr="00F46944" w:rsidRDefault="00445A19" w:rsidP="007631ED">
      <w:pPr>
        <w:pStyle w:val="ListParagraph"/>
        <w:numPr>
          <w:ilvl w:val="1"/>
          <w:numId w:val="12"/>
        </w:numPr>
        <w:spacing w:after="160" w:line="259" w:lineRule="auto"/>
        <w:rPr>
          <w:rFonts w:ascii="Arial" w:hAnsi="Arial" w:cs="Arial"/>
        </w:rPr>
      </w:pPr>
      <w:r w:rsidRPr="00F46944">
        <w:rPr>
          <w:rFonts w:ascii="Arial" w:hAnsi="Arial" w:cs="Arial"/>
        </w:rPr>
        <w:t>Calendar years</w:t>
      </w:r>
    </w:p>
    <w:p w14:paraId="3D04D9E5" w14:textId="33BFF580" w:rsidR="00445A19" w:rsidRPr="00F46944" w:rsidRDefault="00445A19" w:rsidP="007631ED">
      <w:pPr>
        <w:pStyle w:val="ListParagraph"/>
        <w:numPr>
          <w:ilvl w:val="1"/>
          <w:numId w:val="12"/>
        </w:numPr>
        <w:spacing w:after="160" w:line="259" w:lineRule="auto"/>
        <w:rPr>
          <w:rFonts w:ascii="Arial" w:hAnsi="Arial" w:cs="Arial"/>
        </w:rPr>
      </w:pPr>
      <w:r w:rsidRPr="00F46944">
        <w:rPr>
          <w:rFonts w:ascii="Arial" w:hAnsi="Arial" w:cs="Arial"/>
        </w:rPr>
        <w:t>Age group by 5-year group</w:t>
      </w:r>
      <w:r w:rsidR="00DA53BA" w:rsidRPr="00F46944">
        <w:rPr>
          <w:rFonts w:ascii="Arial" w:hAnsi="Arial" w:cs="Arial"/>
        </w:rPr>
        <w:t>.</w:t>
      </w:r>
    </w:p>
    <w:p w14:paraId="1CC53655" w14:textId="77777777" w:rsidR="00AE681D" w:rsidRPr="00F46944" w:rsidRDefault="00AE681D" w:rsidP="00AE681D">
      <w:pPr>
        <w:pStyle w:val="ListParagraph"/>
        <w:spacing w:after="160" w:line="259" w:lineRule="auto"/>
        <w:ind w:left="1418"/>
        <w:rPr>
          <w:rFonts w:ascii="Arial" w:hAnsi="Arial" w:cs="Arial"/>
        </w:rPr>
      </w:pPr>
    </w:p>
    <w:p w14:paraId="24730C54" w14:textId="77777777" w:rsidR="009D48E7" w:rsidRDefault="006D2497" w:rsidP="007631ED">
      <w:pPr>
        <w:pStyle w:val="ListParagraph"/>
        <w:numPr>
          <w:ilvl w:val="0"/>
          <w:numId w:val="12"/>
        </w:numPr>
        <w:spacing w:before="120" w:after="120" w:line="259" w:lineRule="auto"/>
        <w:ind w:left="425" w:hanging="425"/>
        <w:rPr>
          <w:rFonts w:ascii="Arial" w:hAnsi="Arial" w:cs="Arial"/>
        </w:rPr>
      </w:pPr>
      <w:r w:rsidRPr="00F46944">
        <w:rPr>
          <w:rFonts w:ascii="Arial" w:hAnsi="Arial" w:cs="Arial"/>
        </w:rPr>
        <w:t>Telehealth services</w:t>
      </w:r>
      <w:r w:rsidR="009D48E7">
        <w:rPr>
          <w:rFonts w:ascii="Arial" w:hAnsi="Arial" w:cs="Arial"/>
        </w:rPr>
        <w:t>:</w:t>
      </w:r>
    </w:p>
    <w:p w14:paraId="7E27F636" w14:textId="1370A404" w:rsidR="00445A19" w:rsidRPr="00F46944" w:rsidRDefault="006D2497" w:rsidP="006938E2">
      <w:pPr>
        <w:pStyle w:val="ListParagraph"/>
        <w:numPr>
          <w:ilvl w:val="1"/>
          <w:numId w:val="12"/>
        </w:numPr>
        <w:spacing w:before="120" w:after="120" w:line="259" w:lineRule="auto"/>
        <w:rPr>
          <w:rFonts w:ascii="Arial" w:hAnsi="Arial" w:cs="Arial"/>
        </w:rPr>
      </w:pPr>
      <w:r w:rsidRPr="00F46944">
        <w:rPr>
          <w:rFonts w:ascii="Arial" w:hAnsi="Arial" w:cs="Arial"/>
        </w:rPr>
        <w:t xml:space="preserve">Rate of antimicrobial prescribing (original </w:t>
      </w:r>
      <w:r w:rsidR="001829AF" w:rsidRPr="00F46944">
        <w:rPr>
          <w:rFonts w:ascii="Arial" w:hAnsi="Arial" w:cs="Arial"/>
        </w:rPr>
        <w:t>pre</w:t>
      </w:r>
      <w:r w:rsidRPr="00F46944">
        <w:rPr>
          <w:rFonts w:ascii="Arial" w:hAnsi="Arial" w:cs="Arial"/>
        </w:rPr>
        <w:t>script</w:t>
      </w:r>
      <w:r w:rsidR="001829AF" w:rsidRPr="00F46944">
        <w:rPr>
          <w:rFonts w:ascii="Arial" w:hAnsi="Arial" w:cs="Arial"/>
        </w:rPr>
        <w:t>ion</w:t>
      </w:r>
      <w:r w:rsidRPr="00F46944">
        <w:rPr>
          <w:rFonts w:ascii="Arial" w:hAnsi="Arial" w:cs="Arial"/>
        </w:rPr>
        <w:t xml:space="preserve"> only) per 100</w:t>
      </w:r>
      <w:r w:rsidR="00772DCB" w:rsidRPr="00F46944">
        <w:rPr>
          <w:rFonts w:ascii="Arial" w:hAnsi="Arial" w:cs="Arial"/>
        </w:rPr>
        <w:t> </w:t>
      </w:r>
      <w:r w:rsidRPr="00F46944">
        <w:rPr>
          <w:rFonts w:ascii="Arial" w:hAnsi="Arial" w:cs="Arial"/>
        </w:rPr>
        <w:t>telehealth visits versus rate of antimicrobial prescribing per 100</w:t>
      </w:r>
      <w:r w:rsidR="00772DCB" w:rsidRPr="00F46944">
        <w:rPr>
          <w:rFonts w:ascii="Arial" w:hAnsi="Arial" w:cs="Arial"/>
        </w:rPr>
        <w:t> </w:t>
      </w:r>
      <w:r w:rsidRPr="00F46944">
        <w:rPr>
          <w:rFonts w:ascii="Arial" w:hAnsi="Arial" w:cs="Arial"/>
        </w:rPr>
        <w:t xml:space="preserve">non-telehealth </w:t>
      </w:r>
      <w:r w:rsidR="0097547F">
        <w:rPr>
          <w:rFonts w:ascii="Arial" w:hAnsi="Arial" w:cs="Arial"/>
        </w:rPr>
        <w:t xml:space="preserve">GP </w:t>
      </w:r>
      <w:r w:rsidRPr="00F46944">
        <w:rPr>
          <w:rFonts w:ascii="Arial" w:hAnsi="Arial" w:cs="Arial"/>
        </w:rPr>
        <w:t>visits or per 100</w:t>
      </w:r>
      <w:r w:rsidR="00772DCB" w:rsidRPr="00F46944">
        <w:rPr>
          <w:rFonts w:ascii="Arial" w:hAnsi="Arial" w:cs="Arial"/>
        </w:rPr>
        <w:t> </w:t>
      </w:r>
      <w:r w:rsidR="0097547F">
        <w:rPr>
          <w:rFonts w:ascii="Arial" w:hAnsi="Arial" w:cs="Arial"/>
        </w:rPr>
        <w:t xml:space="preserve">GP </w:t>
      </w:r>
      <w:r w:rsidRPr="00F46944">
        <w:rPr>
          <w:rFonts w:ascii="Arial" w:hAnsi="Arial" w:cs="Arial"/>
        </w:rPr>
        <w:t>visits of any type</w:t>
      </w:r>
      <w:r w:rsidR="00DA53BA" w:rsidRPr="00F46944">
        <w:rPr>
          <w:rFonts w:ascii="Arial" w:hAnsi="Arial" w:cs="Arial"/>
        </w:rPr>
        <w:t>.</w:t>
      </w:r>
    </w:p>
    <w:p w14:paraId="2243BCF6" w14:textId="41F7D522" w:rsidR="006F4F31" w:rsidRPr="00F46944" w:rsidRDefault="006F4F31" w:rsidP="00D43799">
      <w:pPr>
        <w:spacing w:after="0"/>
      </w:pPr>
      <w:r w:rsidRPr="00F46944">
        <w:t xml:space="preserve">Billing data </w:t>
      </w:r>
      <w:r w:rsidR="00AB525B" w:rsidRPr="00F46944">
        <w:t>were</w:t>
      </w:r>
      <w:r w:rsidRPr="00F46944">
        <w:t xml:space="preserve"> used to classify patient-date interactions into one of the following categories using the relevant MBS item numbers (that correspond to a regular face-to-face MBS encounter)</w:t>
      </w:r>
      <w:r w:rsidRPr="00F46944">
        <w:fldChar w:fldCharType="begin"/>
      </w:r>
      <w:r w:rsidR="00412507">
        <w:instrText xml:space="preserve"> ADDIN EN.CITE &lt;EndNote&gt;&lt;Cite&gt;&lt;Author&gt;Care&lt;/Author&gt;&lt;Year&gt;2022&lt;/Year&gt;&lt;RecNum&gt;16&lt;/RecNum&gt;&lt;DisplayText&gt;&lt;style face="superscript"&gt;17&lt;/style&gt;&lt;/DisplayText&gt;&lt;record&gt;&lt;rec-number&gt;16&lt;/rec-number&gt;&lt;foreign-keys&gt;&lt;key app="EN" db-id="es9dr99ws90stoe5x2rp505nazvswdzppxa5" timestamp="1670810542"&gt;16&lt;/key&gt;&lt;/foreign-keys&gt;&lt;ref-type name="Web Page"&gt;12&lt;/ref-type&gt;&lt;contributors&gt;&lt;authors&gt;&lt;author&gt;Australian Government Department of Health and Aged Care&lt;/author&gt;&lt;/authors&gt;&lt;/contributors&gt;&lt;titles&gt;&lt;title&gt;MBS changes factsheet&lt;/title&gt;&lt;/titles&gt;&lt;number&gt;May 2022&lt;/number&gt;&lt;dates&gt;&lt;year&gt;2022&lt;/year&gt;&lt;/dates&gt;&lt;urls&gt;&lt;related-urls&gt;&lt;url&gt;http://www.mbsonline.gov.au/internet/mbsonline/publishing.nsf/Content/2211355D5611CA3DCA2587A70006FF09/$File/Factsheet-telehealth-GPs-OMP.v.13.04.22.pdf&lt;/url&gt;&lt;/related-urls&gt;&lt;/urls&gt;&lt;/record&gt;&lt;/Cite&gt;&lt;/EndNote&gt;</w:instrText>
      </w:r>
      <w:r w:rsidRPr="00F46944">
        <w:fldChar w:fldCharType="separate"/>
      </w:r>
      <w:r w:rsidR="00C16B8F" w:rsidRPr="00C16B8F">
        <w:rPr>
          <w:noProof/>
          <w:vertAlign w:val="superscript"/>
        </w:rPr>
        <w:t>17</w:t>
      </w:r>
      <w:r w:rsidRPr="00F46944">
        <w:fldChar w:fldCharType="end"/>
      </w:r>
      <w:r w:rsidR="0086134D" w:rsidRPr="00F46944">
        <w:t>:</w:t>
      </w:r>
      <w:r w:rsidRPr="00F46944">
        <w:t xml:space="preserve"> </w:t>
      </w:r>
    </w:p>
    <w:p w14:paraId="1BB4F45F" w14:textId="77777777" w:rsidR="006F4F31" w:rsidRPr="00F46944" w:rsidRDefault="006F4F31" w:rsidP="003140B6">
      <w:pPr>
        <w:pStyle w:val="ListParagraph"/>
        <w:numPr>
          <w:ilvl w:val="0"/>
          <w:numId w:val="25"/>
        </w:numPr>
        <w:ind w:left="360"/>
      </w:pPr>
      <w:r w:rsidRPr="00F46944">
        <w:t>Face-to-face</w:t>
      </w:r>
    </w:p>
    <w:p w14:paraId="080FB389" w14:textId="77777777" w:rsidR="006F4F31" w:rsidRPr="00F46944" w:rsidRDefault="006F4F31" w:rsidP="003140B6">
      <w:pPr>
        <w:pStyle w:val="ListParagraph"/>
        <w:numPr>
          <w:ilvl w:val="0"/>
          <w:numId w:val="20"/>
        </w:numPr>
        <w:spacing w:after="160" w:line="259" w:lineRule="auto"/>
        <w:ind w:left="360"/>
      </w:pPr>
      <w:r w:rsidRPr="00F46944">
        <w:t>Telehealth</w:t>
      </w:r>
    </w:p>
    <w:p w14:paraId="5D674C22" w14:textId="77777777" w:rsidR="006F4F31" w:rsidRPr="00F46944" w:rsidRDefault="006F4F31" w:rsidP="003140B6">
      <w:pPr>
        <w:pStyle w:val="ListParagraph"/>
        <w:numPr>
          <w:ilvl w:val="0"/>
          <w:numId w:val="20"/>
        </w:numPr>
        <w:spacing w:after="160" w:line="259" w:lineRule="auto"/>
        <w:ind w:left="360"/>
      </w:pPr>
      <w:r w:rsidRPr="00F46944">
        <w:t>Unknown (Billing item found but not included in the list of relevant codes)</w:t>
      </w:r>
    </w:p>
    <w:p w14:paraId="5EE0AB7C" w14:textId="77777777" w:rsidR="006F4F31" w:rsidRPr="00F46944" w:rsidRDefault="006F4F31" w:rsidP="003140B6">
      <w:pPr>
        <w:pStyle w:val="ListParagraph"/>
        <w:numPr>
          <w:ilvl w:val="0"/>
          <w:numId w:val="20"/>
        </w:numPr>
        <w:spacing w:after="160" w:line="259" w:lineRule="auto"/>
        <w:ind w:left="360"/>
      </w:pPr>
      <w:r w:rsidRPr="00F46944">
        <w:t>Missing (Billing item not found).</w:t>
      </w:r>
    </w:p>
    <w:p w14:paraId="2B70D780" w14:textId="5E746C2E" w:rsidR="006F4F31" w:rsidRPr="00F46944" w:rsidRDefault="006F4F31" w:rsidP="00D43799">
      <w:pPr>
        <w:spacing w:after="0"/>
      </w:pPr>
      <w:r w:rsidRPr="00F46944">
        <w:t xml:space="preserve">Prescribing rates </w:t>
      </w:r>
      <w:r w:rsidR="00AB525B" w:rsidRPr="00F46944">
        <w:t>were</w:t>
      </w:r>
      <w:r w:rsidRPr="00F46944">
        <w:t xml:space="preserve"> provided in two ways for telehealth analyses</w:t>
      </w:r>
      <w:r w:rsidR="004C7343" w:rsidRPr="00F46944">
        <w:fldChar w:fldCharType="begin"/>
      </w:r>
      <w:r w:rsidR="00412507">
        <w:instrText xml:space="preserve"> ADDIN EN.CITE &lt;EndNote&gt;&lt;Cite&gt;&lt;Author&gt;Care&lt;/Author&gt;&lt;Year&gt;2022&lt;/Year&gt;&lt;RecNum&gt;16&lt;/RecNum&gt;&lt;DisplayText&gt;&lt;style face="superscript"&gt;17&lt;/style&gt;&lt;/DisplayText&gt;&lt;record&gt;&lt;rec-number&gt;16&lt;/rec-number&gt;&lt;foreign-keys&gt;&lt;key app="EN" db-id="es9dr99ws90stoe5x2rp505nazvswdzppxa5" timestamp="1670810542"&gt;16&lt;/key&gt;&lt;/foreign-keys&gt;&lt;ref-type name="Web Page"&gt;12&lt;/ref-type&gt;&lt;contributors&gt;&lt;authors&gt;&lt;author&gt;Australian Government Department of Health and Aged Care&lt;/author&gt;&lt;/authors&gt;&lt;/contributors&gt;&lt;titles&gt;&lt;title&gt;MBS changes factsheet&lt;/title&gt;&lt;/titles&gt;&lt;number&gt;May 2022&lt;/number&gt;&lt;dates&gt;&lt;year&gt;2022&lt;/year&gt;&lt;/dates&gt;&lt;urls&gt;&lt;related-urls&gt;&lt;url&gt;http://www.mbsonline.gov.au/internet/mbsonline/publishing.nsf/Content/2211355D5611CA3DCA2587A70006FF09/$File/Factsheet-telehealth-GPs-OMP.v.13.04.22.pdf&lt;/url&gt;&lt;/related-urls&gt;&lt;/urls&gt;&lt;/record&gt;&lt;/Cite&gt;&lt;/EndNote&gt;</w:instrText>
      </w:r>
      <w:r w:rsidR="004C7343" w:rsidRPr="00F46944">
        <w:fldChar w:fldCharType="separate"/>
      </w:r>
      <w:r w:rsidR="00C16B8F" w:rsidRPr="00C16B8F">
        <w:rPr>
          <w:noProof/>
          <w:vertAlign w:val="superscript"/>
        </w:rPr>
        <w:t>17</w:t>
      </w:r>
      <w:r w:rsidR="004C7343" w:rsidRPr="00F46944">
        <w:fldChar w:fldCharType="end"/>
      </w:r>
      <w:r w:rsidRPr="00F46944">
        <w:t>:</w:t>
      </w:r>
    </w:p>
    <w:p w14:paraId="23081B66" w14:textId="77777777" w:rsidR="006F4F31" w:rsidRPr="00F46944" w:rsidRDefault="006F4F31" w:rsidP="003140B6">
      <w:pPr>
        <w:pStyle w:val="ListParagraph"/>
        <w:numPr>
          <w:ilvl w:val="0"/>
          <w:numId w:val="19"/>
        </w:numPr>
        <w:spacing w:after="160" w:line="259" w:lineRule="auto"/>
      </w:pPr>
      <w:r w:rsidRPr="00F46944">
        <w:t>Direct Date Match: prescription/encounter and face-to-face or telehealth MBS billing item identified on the same day (direct date match)</w:t>
      </w:r>
    </w:p>
    <w:p w14:paraId="788804AE" w14:textId="3B88DE54" w:rsidR="006F4F31" w:rsidRPr="00F46944" w:rsidRDefault="006F4F31" w:rsidP="003140B6">
      <w:pPr>
        <w:pStyle w:val="ListParagraph"/>
        <w:numPr>
          <w:ilvl w:val="0"/>
          <w:numId w:val="19"/>
        </w:numPr>
        <w:spacing w:after="160" w:line="259" w:lineRule="auto"/>
      </w:pPr>
      <w:r w:rsidRPr="00F46944">
        <w:t xml:space="preserve">Sensitivity Analysis (+/- 1 Day Match): if no MBS billing item was identified on the same day as the prescription/encounter, </w:t>
      </w:r>
      <w:r w:rsidRPr="00F46944">
        <w:rPr>
          <w:rFonts w:eastAsiaTheme="minorHAnsi"/>
          <w:lang w:eastAsia="en-US"/>
        </w:rPr>
        <w:t>rates were calculated by identifying prescriptions/encounters with a face-to-face or telehealth MBS billing item on the same day, or on the day before or after the prescription/encounter.</w:t>
      </w:r>
    </w:p>
    <w:p w14:paraId="7192B24A" w14:textId="77777777" w:rsidR="002C0C84" w:rsidRDefault="002C0C84">
      <w:pPr>
        <w:spacing w:after="80"/>
        <w:rPr>
          <w:b/>
          <w:bCs/>
          <w:iCs/>
          <w:color w:val="595959" w:themeColor="text1" w:themeTint="A6"/>
          <w:sz w:val="24"/>
        </w:rPr>
      </w:pPr>
      <w:r>
        <w:rPr>
          <w:color w:val="595959" w:themeColor="text1" w:themeTint="A6"/>
        </w:rPr>
        <w:br w:type="page"/>
      </w:r>
    </w:p>
    <w:p w14:paraId="5E1D7585" w14:textId="21D488D9" w:rsidR="00445A19" w:rsidRPr="00F46944" w:rsidRDefault="00445A19" w:rsidP="00D32185">
      <w:pPr>
        <w:pStyle w:val="Heading5"/>
        <w:rPr>
          <w:color w:val="595959" w:themeColor="text1" w:themeTint="A6"/>
        </w:rPr>
      </w:pPr>
      <w:r w:rsidRPr="00F46944">
        <w:rPr>
          <w:color w:val="595959" w:themeColor="text1" w:themeTint="A6"/>
        </w:rPr>
        <w:lastRenderedPageBreak/>
        <w:t xml:space="preserve">Data definitions </w:t>
      </w:r>
    </w:p>
    <w:p w14:paraId="2B324B8E" w14:textId="5449C6AF" w:rsidR="00FF0EFE" w:rsidRDefault="00445A19" w:rsidP="00445A19">
      <w:r w:rsidRPr="00F46944">
        <w:t xml:space="preserve">The definitions </w:t>
      </w:r>
      <w:r w:rsidR="006E3566" w:rsidRPr="00F46944">
        <w:t xml:space="preserve">in </w:t>
      </w:r>
      <w:r w:rsidR="006E3566" w:rsidRPr="0066435A">
        <w:t>Table</w:t>
      </w:r>
      <w:r w:rsidR="00CC09FB" w:rsidRPr="0066435A">
        <w:t> </w:t>
      </w:r>
      <w:r w:rsidR="005B5214" w:rsidRPr="0066435A">
        <w:t>4</w:t>
      </w:r>
      <w:r w:rsidR="006E3566" w:rsidRPr="00F46944">
        <w:t xml:space="preserve"> </w:t>
      </w:r>
      <w:r w:rsidR="000F1C5D" w:rsidRPr="00F46944">
        <w:t>a</w:t>
      </w:r>
      <w:r w:rsidRPr="00F46944">
        <w:t xml:space="preserve">re used for </w:t>
      </w:r>
      <w:proofErr w:type="spellStart"/>
      <w:r w:rsidRPr="00F46944">
        <w:t>MedicineInsight</w:t>
      </w:r>
      <w:proofErr w:type="spellEnd"/>
      <w:r w:rsidRPr="00F46944">
        <w:t xml:space="preserve"> in relation to the analyses conducted for this report</w:t>
      </w:r>
      <w:r w:rsidR="006E3566" w:rsidRPr="00F46944">
        <w:t>.</w:t>
      </w:r>
    </w:p>
    <w:p w14:paraId="0F260D63" w14:textId="67251108" w:rsidR="006E3566" w:rsidRPr="00625242" w:rsidRDefault="00625242" w:rsidP="00625242">
      <w:pPr>
        <w:pStyle w:val="Captions"/>
        <w:rPr>
          <w:b w:val="0"/>
          <w:bCs w:val="0"/>
        </w:rPr>
      </w:pPr>
      <w:bookmarkStart w:id="45" w:name="_Toc121744364"/>
      <w:bookmarkStart w:id="46" w:name="_Toc121491304"/>
      <w:r>
        <w:t>Table</w:t>
      </w:r>
      <w:r w:rsidRPr="006938E2">
        <w:t> </w:t>
      </w:r>
      <w:fldSimple w:instr=" SEQ Table \* ARABIC ">
        <w:r w:rsidR="00F34DDD">
          <w:rPr>
            <w:noProof/>
          </w:rPr>
          <w:t>4</w:t>
        </w:r>
      </w:fldSimple>
      <w:r w:rsidR="006E3566" w:rsidRPr="006938E2">
        <w:t>:</w:t>
      </w:r>
      <w:r w:rsidR="00CC09FB" w:rsidRPr="00625242">
        <w:rPr>
          <w:b w:val="0"/>
          <w:bCs w:val="0"/>
        </w:rPr>
        <w:t> </w:t>
      </w:r>
      <w:r w:rsidR="006E3566" w:rsidRPr="00625242">
        <w:rPr>
          <w:b w:val="0"/>
          <w:bCs w:val="0"/>
        </w:rPr>
        <w:t xml:space="preserve">NPS </w:t>
      </w:r>
      <w:proofErr w:type="spellStart"/>
      <w:r w:rsidR="006E3566" w:rsidRPr="00625242">
        <w:rPr>
          <w:b w:val="0"/>
          <w:bCs w:val="0"/>
        </w:rPr>
        <w:t>Medicinewise</w:t>
      </w:r>
      <w:proofErr w:type="spellEnd"/>
      <w:r w:rsidR="006E3566" w:rsidRPr="00625242">
        <w:rPr>
          <w:b w:val="0"/>
          <w:bCs w:val="0"/>
        </w:rPr>
        <w:t xml:space="preserve"> </w:t>
      </w:r>
      <w:proofErr w:type="spellStart"/>
      <w:r w:rsidR="006E3566" w:rsidRPr="00625242">
        <w:rPr>
          <w:b w:val="0"/>
          <w:bCs w:val="0"/>
        </w:rPr>
        <w:t>MedicineInsight</w:t>
      </w:r>
      <w:proofErr w:type="spellEnd"/>
      <w:r w:rsidR="006E3566" w:rsidRPr="00625242">
        <w:rPr>
          <w:b w:val="0"/>
          <w:bCs w:val="0"/>
        </w:rPr>
        <w:t xml:space="preserve"> data definitions</w:t>
      </w:r>
      <w:bookmarkEnd w:id="45"/>
      <w:bookmarkEnd w:id="46"/>
    </w:p>
    <w:tbl>
      <w:tblPr>
        <w:tblStyle w:val="PlainTable2"/>
        <w:tblW w:w="9352" w:type="dxa"/>
        <w:tblLook w:val="04A0" w:firstRow="1" w:lastRow="0" w:firstColumn="1" w:lastColumn="0" w:noHBand="0" w:noVBand="1"/>
      </w:tblPr>
      <w:tblGrid>
        <w:gridCol w:w="2127"/>
        <w:gridCol w:w="7225"/>
      </w:tblGrid>
      <w:tr w:rsidR="00445A19" w:rsidRPr="00F46944" w14:paraId="0CD1EFE0" w14:textId="77777777" w:rsidTr="00096E45">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127" w:type="dxa"/>
            <w:shd w:val="clear" w:color="auto" w:fill="F1BBA8" w:themeFill="accent5" w:themeFillTint="66"/>
          </w:tcPr>
          <w:p w14:paraId="43895111" w14:textId="77777777" w:rsidR="00445A19" w:rsidRPr="00F46944" w:rsidRDefault="00445A19" w:rsidP="00A0288C">
            <w:pPr>
              <w:keepNext/>
              <w:spacing w:after="0"/>
              <w:rPr>
                <w:rFonts w:ascii="Arial" w:hAnsi="Arial" w:cs="Arial"/>
                <w:bCs w:val="0"/>
              </w:rPr>
            </w:pPr>
            <w:r w:rsidRPr="00F46944">
              <w:rPr>
                <w:rFonts w:ascii="Arial" w:hAnsi="Arial" w:cs="Arial"/>
              </w:rPr>
              <w:t>Term</w:t>
            </w:r>
          </w:p>
        </w:tc>
        <w:tc>
          <w:tcPr>
            <w:tcW w:w="7225" w:type="dxa"/>
            <w:shd w:val="clear" w:color="auto" w:fill="F1BBA8" w:themeFill="accent5" w:themeFillTint="66"/>
          </w:tcPr>
          <w:p w14:paraId="05F7C1C9" w14:textId="77777777" w:rsidR="00445A19" w:rsidRPr="00F46944" w:rsidRDefault="00445A19" w:rsidP="00A0288C">
            <w:pPr>
              <w:keepNext/>
              <w:spacing w:after="0"/>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F46944">
              <w:rPr>
                <w:rFonts w:ascii="Arial" w:hAnsi="Arial" w:cs="Arial"/>
              </w:rPr>
              <w:t>Definition</w:t>
            </w:r>
          </w:p>
        </w:tc>
      </w:tr>
      <w:tr w:rsidR="00445A19" w:rsidRPr="00F46944" w14:paraId="038CB240" w14:textId="77777777" w:rsidTr="00096E45">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2127" w:type="dxa"/>
          </w:tcPr>
          <w:p w14:paraId="6CEC0C29" w14:textId="77777777" w:rsidR="00445A19" w:rsidRPr="00F46944" w:rsidRDefault="00445A19" w:rsidP="00A0288C">
            <w:pPr>
              <w:spacing w:after="0"/>
              <w:rPr>
                <w:rFonts w:cs="Arial"/>
              </w:rPr>
            </w:pPr>
            <w:r w:rsidRPr="00F46944">
              <w:t>Clinical encounter</w:t>
            </w:r>
          </w:p>
        </w:tc>
        <w:tc>
          <w:tcPr>
            <w:tcW w:w="7225" w:type="dxa"/>
          </w:tcPr>
          <w:p w14:paraId="369B6C0B" w14:textId="77777777" w:rsidR="00445A19" w:rsidRPr="00F46944" w:rsidRDefault="00445A19" w:rsidP="00A0288C">
            <w:pPr>
              <w:spacing w:after="0"/>
              <w:cnfStyle w:val="000000100000" w:firstRow="0" w:lastRow="0" w:firstColumn="0" w:lastColumn="0" w:oddVBand="0" w:evenVBand="0" w:oddHBand="1" w:evenHBand="0" w:firstRowFirstColumn="0" w:firstRowLastColumn="0" w:lastRowFirstColumn="0" w:lastRowLastColumn="0"/>
            </w:pPr>
            <w:r w:rsidRPr="00F46944">
              <w:t xml:space="preserve">An encounter provided by a doctor, when the visit type is not administrative (that is, not ‘non-visit’, ‘practice admin’ or ‘email’). </w:t>
            </w:r>
          </w:p>
        </w:tc>
      </w:tr>
      <w:tr w:rsidR="00445A19" w:rsidRPr="00F46944" w14:paraId="0DE5FCD4" w14:textId="77777777" w:rsidTr="00096E45">
        <w:trPr>
          <w:trHeight w:val="1684"/>
        </w:trPr>
        <w:tc>
          <w:tcPr>
            <w:cnfStyle w:val="001000000000" w:firstRow="0" w:lastRow="0" w:firstColumn="1" w:lastColumn="0" w:oddVBand="0" w:evenVBand="0" w:oddHBand="0" w:evenHBand="0" w:firstRowFirstColumn="0" w:firstRowLastColumn="0" w:lastRowFirstColumn="0" w:lastRowLastColumn="0"/>
            <w:tcW w:w="2127" w:type="dxa"/>
          </w:tcPr>
          <w:p w14:paraId="479EE2F8" w14:textId="77777777" w:rsidR="00445A19" w:rsidRPr="00F46944" w:rsidRDefault="00445A19" w:rsidP="00A0288C">
            <w:pPr>
              <w:spacing w:after="0"/>
              <w:rPr>
                <w:rFonts w:cs="Arial"/>
              </w:rPr>
            </w:pPr>
            <w:r w:rsidRPr="00F46944">
              <w:t>Condition</w:t>
            </w:r>
          </w:p>
        </w:tc>
        <w:tc>
          <w:tcPr>
            <w:tcW w:w="7225" w:type="dxa"/>
          </w:tcPr>
          <w:p w14:paraId="357613E5" w14:textId="009A94E5" w:rsidR="00445A19" w:rsidRPr="00F46944" w:rsidRDefault="00445A19" w:rsidP="00A0288C">
            <w:pPr>
              <w:cnfStyle w:val="000000000000" w:firstRow="0" w:lastRow="0" w:firstColumn="0" w:lastColumn="0" w:oddVBand="0" w:evenVBand="0" w:oddHBand="0" w:evenHBand="0" w:firstRowFirstColumn="0" w:firstRowLastColumn="0" w:lastRowFirstColumn="0" w:lastRowLastColumn="0"/>
            </w:pPr>
            <w:r w:rsidRPr="00F46944">
              <w:t xml:space="preserve">Conditions are described using fields in the </w:t>
            </w:r>
            <w:r w:rsidR="00D6576C" w:rsidRPr="00F46944">
              <w:t>clinical information system (</w:t>
            </w:r>
            <w:r w:rsidRPr="00F46944">
              <w:t>CIS</w:t>
            </w:r>
            <w:r w:rsidR="00D6576C" w:rsidRPr="00F46944">
              <w:t>)</w:t>
            </w:r>
            <w:r w:rsidRPr="00F46944">
              <w:t xml:space="preserve"> that capture the patient’s medical history, reason for encounter and reason for prescription. The CIS uses coding systems, such as DOCLE in Medical Director or PYEFINCH in Best Practice, for data entered into the system. Medical, pharmaceutical, and other experts in the </w:t>
            </w:r>
            <w:proofErr w:type="spellStart"/>
            <w:r w:rsidRPr="00F46944">
              <w:t>MedicineInsight</w:t>
            </w:r>
            <w:proofErr w:type="spellEnd"/>
            <w:r w:rsidRPr="00F46944">
              <w:t xml:space="preserve"> team develop algorithms to identify specific conditions and measures of interest </w:t>
            </w:r>
            <w:r w:rsidR="00B860C8" w:rsidRPr="00F46944">
              <w:t>(such as remoteness and SEIFA dec</w:t>
            </w:r>
            <w:r w:rsidR="00A309D6" w:rsidRPr="00F46944">
              <w:t>i</w:t>
            </w:r>
            <w:r w:rsidR="00B860C8" w:rsidRPr="00F46944">
              <w:t xml:space="preserve">le) </w:t>
            </w:r>
            <w:r w:rsidRPr="00F46944">
              <w:t xml:space="preserve">in the </w:t>
            </w:r>
            <w:proofErr w:type="spellStart"/>
            <w:r w:rsidRPr="00F46944">
              <w:t>MedicineInsight</w:t>
            </w:r>
            <w:proofErr w:type="spellEnd"/>
            <w:r w:rsidRPr="00F46944">
              <w:t xml:space="preserve"> database, based on commonly accepted definitions. </w:t>
            </w:r>
          </w:p>
        </w:tc>
      </w:tr>
      <w:tr w:rsidR="00445A19" w:rsidRPr="00F46944" w14:paraId="70FD2C5F" w14:textId="77777777" w:rsidTr="00096E45">
        <w:trPr>
          <w:cnfStyle w:val="000000100000" w:firstRow="0" w:lastRow="0" w:firstColumn="0" w:lastColumn="0" w:oddVBand="0" w:evenVBand="0" w:oddHBand="1" w:evenHBand="0"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2127" w:type="dxa"/>
            <w:hideMark/>
          </w:tcPr>
          <w:p w14:paraId="4B21132D" w14:textId="77777777" w:rsidR="00445A19" w:rsidRPr="00F46944" w:rsidRDefault="00445A19" w:rsidP="00A0288C">
            <w:pPr>
              <w:spacing w:after="0"/>
              <w:rPr>
                <w:rFonts w:cs="Arial"/>
                <w:color w:val="414042"/>
              </w:rPr>
            </w:pPr>
            <w:r w:rsidRPr="00F46944">
              <w:t>General practice sites</w:t>
            </w:r>
          </w:p>
        </w:tc>
        <w:tc>
          <w:tcPr>
            <w:tcW w:w="7225" w:type="dxa"/>
            <w:hideMark/>
          </w:tcPr>
          <w:p w14:paraId="4EE98E19" w14:textId="0959C73B" w:rsidR="00445A19" w:rsidRPr="00F46944" w:rsidRDefault="00445A19" w:rsidP="00A0288C">
            <w:pPr>
              <w:spacing w:after="0"/>
              <w:cnfStyle w:val="000000100000" w:firstRow="0" w:lastRow="0" w:firstColumn="0" w:lastColumn="0" w:oddVBand="0" w:evenVBand="0" w:oddHBand="1" w:evenHBand="0" w:firstRowFirstColumn="0" w:firstRowLastColumn="0" w:lastRowFirstColumn="0" w:lastRowLastColumn="0"/>
              <w:rPr>
                <w:rFonts w:cs="Arial"/>
              </w:rPr>
            </w:pPr>
            <w:r w:rsidRPr="00F46944">
              <w:t xml:space="preserve">One or more practices that share the same </w:t>
            </w:r>
            <w:r w:rsidR="00D6576C" w:rsidRPr="00F46944">
              <w:t>CIS</w:t>
            </w:r>
            <w:r w:rsidRPr="00F46944">
              <w:t>. For example, a site may be one organisation that consists of a number of geographically diverse general practices that share the same CIS, or a site may be a single GP practice.</w:t>
            </w:r>
          </w:p>
        </w:tc>
      </w:tr>
      <w:tr w:rsidR="00445A19" w:rsidRPr="00F46944" w14:paraId="2428DF51" w14:textId="77777777" w:rsidTr="00BB3BAC">
        <w:trPr>
          <w:trHeight w:val="581"/>
        </w:trPr>
        <w:tc>
          <w:tcPr>
            <w:cnfStyle w:val="001000000000" w:firstRow="0" w:lastRow="0" w:firstColumn="1" w:lastColumn="0" w:oddVBand="0" w:evenVBand="0" w:oddHBand="0" w:evenHBand="0" w:firstRowFirstColumn="0" w:firstRowLastColumn="0" w:lastRowFirstColumn="0" w:lastRowLastColumn="0"/>
            <w:tcW w:w="2127" w:type="dxa"/>
          </w:tcPr>
          <w:p w14:paraId="3B9C29CE" w14:textId="77777777" w:rsidR="00445A19" w:rsidRPr="00F46944" w:rsidRDefault="00445A19" w:rsidP="00A0288C">
            <w:pPr>
              <w:spacing w:after="0"/>
              <w:rPr>
                <w:rFonts w:cs="Arial"/>
              </w:rPr>
            </w:pPr>
            <w:r w:rsidRPr="00F46944">
              <w:t>Indication</w:t>
            </w:r>
          </w:p>
        </w:tc>
        <w:tc>
          <w:tcPr>
            <w:tcW w:w="7225" w:type="dxa"/>
          </w:tcPr>
          <w:p w14:paraId="70FC8FE3" w14:textId="71001E2D" w:rsidR="00445A19" w:rsidRPr="00F46944" w:rsidRDefault="00445A19" w:rsidP="00A0288C">
            <w:pPr>
              <w:spacing w:after="0"/>
              <w:cnfStyle w:val="000000000000" w:firstRow="0" w:lastRow="0" w:firstColumn="0" w:lastColumn="0" w:oddVBand="0" w:evenVBand="0" w:oddHBand="0" w:evenHBand="0" w:firstRowFirstColumn="0" w:firstRowLastColumn="0" w:lastRowFirstColumn="0" w:lastRowLastColumn="0"/>
              <w:rPr>
                <w:rFonts w:cs="Arial"/>
              </w:rPr>
            </w:pPr>
            <w:r w:rsidRPr="00F46944">
              <w:t xml:space="preserve">Indications for prescribing are described using the ‘reason for prescription’ field in the first instance. </w:t>
            </w:r>
          </w:p>
        </w:tc>
      </w:tr>
      <w:tr w:rsidR="00445A19" w:rsidRPr="00F46944" w14:paraId="5F13ABD2" w14:textId="77777777" w:rsidTr="00096E45">
        <w:trPr>
          <w:cnfStyle w:val="000000100000" w:firstRow="0" w:lastRow="0" w:firstColumn="0" w:lastColumn="0" w:oddVBand="0" w:evenVBand="0" w:oddHBand="1"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2127" w:type="dxa"/>
          </w:tcPr>
          <w:p w14:paraId="4F0BF6F9" w14:textId="77777777" w:rsidR="00445A19" w:rsidRPr="00F46944" w:rsidRDefault="00445A19" w:rsidP="00A0288C">
            <w:pPr>
              <w:spacing w:after="0"/>
              <w:rPr>
                <w:rFonts w:cs="Arial"/>
              </w:rPr>
            </w:pPr>
            <w:r w:rsidRPr="00F46944">
              <w:t>Patients</w:t>
            </w:r>
          </w:p>
        </w:tc>
        <w:tc>
          <w:tcPr>
            <w:tcW w:w="7225" w:type="dxa"/>
          </w:tcPr>
          <w:p w14:paraId="190E926A" w14:textId="2C1CB395" w:rsidR="00445A19" w:rsidRPr="00F46944" w:rsidRDefault="00445A19" w:rsidP="00A0288C">
            <w:pPr>
              <w:spacing w:after="0"/>
              <w:cnfStyle w:val="000000100000" w:firstRow="0" w:lastRow="0" w:firstColumn="0" w:lastColumn="0" w:oddVBand="0" w:evenVBand="0" w:oddHBand="1" w:evenHBand="0" w:firstRowFirstColumn="0" w:firstRowLastColumn="0" w:lastRowFirstColumn="0" w:lastRowLastColumn="0"/>
              <w:rPr>
                <w:rFonts w:cs="Arial"/>
              </w:rPr>
            </w:pPr>
            <w:r w:rsidRPr="00F46944">
              <w:t>Patients who had at least one clinical encounter with a GP in the year of analysis, and were marked as active by the practices, and not recorded as deceased.</w:t>
            </w:r>
          </w:p>
        </w:tc>
      </w:tr>
      <w:tr w:rsidR="00445A19" w:rsidRPr="00F46944" w14:paraId="3C59BB8F" w14:textId="77777777" w:rsidTr="00BB3BAC">
        <w:trPr>
          <w:trHeight w:val="884"/>
        </w:trPr>
        <w:tc>
          <w:tcPr>
            <w:cnfStyle w:val="001000000000" w:firstRow="0" w:lastRow="0" w:firstColumn="1" w:lastColumn="0" w:oddVBand="0" w:evenVBand="0" w:oddHBand="0" w:evenHBand="0" w:firstRowFirstColumn="0" w:firstRowLastColumn="0" w:lastRowFirstColumn="0" w:lastRowLastColumn="0"/>
            <w:tcW w:w="2127" w:type="dxa"/>
          </w:tcPr>
          <w:p w14:paraId="10B383CA" w14:textId="77777777" w:rsidR="00445A19" w:rsidRPr="00F46944" w:rsidRDefault="00445A19" w:rsidP="00A0288C">
            <w:pPr>
              <w:spacing w:after="0"/>
              <w:rPr>
                <w:rFonts w:cs="Arial"/>
              </w:rPr>
            </w:pPr>
            <w:r w:rsidRPr="00F46944">
              <w:t>Systemic antimicrobial</w:t>
            </w:r>
          </w:p>
        </w:tc>
        <w:tc>
          <w:tcPr>
            <w:tcW w:w="7225" w:type="dxa"/>
          </w:tcPr>
          <w:p w14:paraId="51D39075" w14:textId="279184FE" w:rsidR="00445A19" w:rsidRPr="00F46944" w:rsidRDefault="00445A19" w:rsidP="00A0288C">
            <w:pPr>
              <w:spacing w:after="0"/>
              <w:cnfStyle w:val="000000000000" w:firstRow="0" w:lastRow="0" w:firstColumn="0" w:lastColumn="0" w:oddVBand="0" w:evenVBand="0" w:oddHBand="0" w:evenHBand="0" w:firstRowFirstColumn="0" w:firstRowLastColumn="0" w:lastRowFirstColumn="0" w:lastRowLastColumn="0"/>
              <w:rPr>
                <w:rFonts w:cs="Arial"/>
              </w:rPr>
            </w:pPr>
            <w:r w:rsidRPr="00F46944">
              <w:t>Antimicrobials with an ATC code of</w:t>
            </w:r>
            <w:r w:rsidR="00E27C81" w:rsidRPr="00F46944">
              <w:t> </w:t>
            </w:r>
            <w:r w:rsidRPr="00F46944">
              <w:t>J01. This excludes antimicrobials that act systemically but are part of a different ATC (such as A02BD – ‘</w:t>
            </w:r>
            <w:r w:rsidR="002972E3" w:rsidRPr="00F46944">
              <w:t>c</w:t>
            </w:r>
            <w:r w:rsidRPr="00F46944">
              <w:t xml:space="preserve">ombinations for eradication of </w:t>
            </w:r>
            <w:r w:rsidRPr="00F46944">
              <w:rPr>
                <w:i/>
                <w:iCs/>
              </w:rPr>
              <w:t>Helicobacter</w:t>
            </w:r>
            <w:r w:rsidR="0089371C" w:rsidRPr="00F46944">
              <w:rPr>
                <w:i/>
                <w:iCs/>
              </w:rPr>
              <w:t> </w:t>
            </w:r>
            <w:r w:rsidRPr="00F46944">
              <w:rPr>
                <w:i/>
                <w:iCs/>
              </w:rPr>
              <w:t>pylori’</w:t>
            </w:r>
            <w:r w:rsidRPr="00F46944">
              <w:t>).</w:t>
            </w:r>
          </w:p>
        </w:tc>
      </w:tr>
      <w:tr w:rsidR="00445A19" w:rsidRPr="00F46944" w14:paraId="4B750042" w14:textId="77777777" w:rsidTr="00096E45">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2127" w:type="dxa"/>
          </w:tcPr>
          <w:p w14:paraId="597D3BBB" w14:textId="77777777" w:rsidR="00445A19" w:rsidRPr="00F46944" w:rsidRDefault="00445A19" w:rsidP="00A0288C">
            <w:pPr>
              <w:spacing w:after="0"/>
              <w:rPr>
                <w:rFonts w:cs="Arial"/>
              </w:rPr>
            </w:pPr>
            <w:r w:rsidRPr="00F46944">
              <w:rPr>
                <w:rFonts w:cs="Arial"/>
              </w:rPr>
              <w:t>Telehealth</w:t>
            </w:r>
          </w:p>
        </w:tc>
        <w:tc>
          <w:tcPr>
            <w:tcW w:w="7225" w:type="dxa"/>
          </w:tcPr>
          <w:p w14:paraId="34696C85" w14:textId="25CA4B07" w:rsidR="00445A19" w:rsidRPr="00F46944" w:rsidRDefault="00445A19" w:rsidP="00A0288C">
            <w:pPr>
              <w:spacing w:after="0"/>
              <w:cnfStyle w:val="000000100000" w:firstRow="0" w:lastRow="0" w:firstColumn="0" w:lastColumn="0" w:oddVBand="0" w:evenVBand="0" w:oddHBand="1" w:evenHBand="0" w:firstRowFirstColumn="0" w:firstRowLastColumn="0" w:lastRowFirstColumn="0" w:lastRowLastColumn="0"/>
              <w:rPr>
                <w:rFonts w:cs="Arial"/>
              </w:rPr>
            </w:pPr>
            <w:r w:rsidRPr="00F46944">
              <w:rPr>
                <w:rFonts w:cs="Arial"/>
              </w:rPr>
              <w:t>The remote diagnosis and treatment of patients by means of telecommunications technology</w:t>
            </w:r>
            <w:r w:rsidR="00DB4131" w:rsidRPr="00F46944">
              <w:rPr>
                <w:rFonts w:cs="Arial"/>
              </w:rPr>
              <w:t>.</w:t>
            </w:r>
          </w:p>
        </w:tc>
      </w:tr>
    </w:tbl>
    <w:p w14:paraId="4E8BBAC2" w14:textId="77777777" w:rsidR="00FC4652" w:rsidRPr="00F46944" w:rsidRDefault="00FC4652" w:rsidP="00FC4652">
      <w:pPr>
        <w:spacing w:after="160" w:line="259" w:lineRule="auto"/>
      </w:pPr>
    </w:p>
    <w:p w14:paraId="16AE3F39" w14:textId="6AE515C1" w:rsidR="00FC4652" w:rsidRPr="00F46944" w:rsidRDefault="00886AE5" w:rsidP="00FC4652">
      <w:pPr>
        <w:pStyle w:val="Heading3"/>
        <w:rPr>
          <w:rFonts w:asciiTheme="majorHAnsi" w:hAnsiTheme="majorHAnsi"/>
        </w:rPr>
      </w:pPr>
      <w:bookmarkStart w:id="47" w:name="_Toc121826728"/>
      <w:r w:rsidRPr="00F46944">
        <w:rPr>
          <w:rFonts w:asciiTheme="majorHAnsi" w:hAnsiTheme="majorHAnsi"/>
        </w:rPr>
        <w:t>C</w:t>
      </w:r>
      <w:r w:rsidR="00FC4652" w:rsidRPr="00F46944">
        <w:rPr>
          <w:rFonts w:asciiTheme="majorHAnsi" w:hAnsiTheme="majorHAnsi"/>
        </w:rPr>
        <w:t>onsiderations</w:t>
      </w:r>
      <w:r w:rsidRPr="00F46944">
        <w:rPr>
          <w:rFonts w:asciiTheme="majorHAnsi" w:hAnsiTheme="majorHAnsi"/>
        </w:rPr>
        <w:t xml:space="preserve"> for interpreting data</w:t>
      </w:r>
      <w:bookmarkEnd w:id="47"/>
    </w:p>
    <w:p w14:paraId="0C7C4072" w14:textId="79395C1A" w:rsidR="00886AE5" w:rsidRPr="00F46944" w:rsidRDefault="00886AE5" w:rsidP="0016537F">
      <w:pPr>
        <w:pStyle w:val="Heading4"/>
        <w:rPr>
          <w:rFonts w:asciiTheme="majorHAnsi" w:hAnsiTheme="majorHAnsi" w:cstheme="majorHAnsi"/>
        </w:rPr>
      </w:pPr>
      <w:r w:rsidRPr="00F46944">
        <w:rPr>
          <w:rFonts w:asciiTheme="majorHAnsi" w:hAnsiTheme="majorHAnsi" w:cstheme="majorHAnsi"/>
        </w:rPr>
        <w:t>All data sources</w:t>
      </w:r>
    </w:p>
    <w:p w14:paraId="0FB79C9B" w14:textId="7C11D761" w:rsidR="00BD5443" w:rsidRPr="00F46944" w:rsidRDefault="00BD5443" w:rsidP="00BD5443">
      <w:r w:rsidRPr="00F46944">
        <w:rPr>
          <w:rFonts w:asciiTheme="majorHAnsi" w:hAnsiTheme="majorHAnsi" w:cstheme="majorHAnsi"/>
        </w:rPr>
        <w:t>Prescribing data presented in this report are an indication of the volume and appropriateness of prescribing. Prescribing data can differ from dispensing data because not all prescriptions are dispensed</w:t>
      </w:r>
      <w:r w:rsidR="000F1C5D" w:rsidRPr="00F46944">
        <w:rPr>
          <w:rFonts w:asciiTheme="majorHAnsi" w:hAnsiTheme="majorHAnsi" w:cstheme="majorHAnsi"/>
        </w:rPr>
        <w:t xml:space="preserve">, sometimes under the instruction of the treating doctor not to </w:t>
      </w:r>
      <w:r w:rsidR="006A717A" w:rsidRPr="00F46944">
        <w:rPr>
          <w:rFonts w:asciiTheme="majorHAnsi" w:hAnsiTheme="majorHAnsi" w:cstheme="majorHAnsi"/>
        </w:rPr>
        <w:t>have</w:t>
      </w:r>
      <w:r w:rsidR="000F1C5D" w:rsidRPr="00F46944">
        <w:rPr>
          <w:rFonts w:asciiTheme="majorHAnsi" w:hAnsiTheme="majorHAnsi" w:cstheme="majorHAnsi"/>
        </w:rPr>
        <w:t xml:space="preserve"> the prescription filled unless the condition worsens.</w:t>
      </w:r>
      <w:r w:rsidR="006A717A" w:rsidRPr="00F46944">
        <w:rPr>
          <w:rFonts w:asciiTheme="majorHAnsi" w:hAnsiTheme="majorHAnsi" w:cstheme="majorHAnsi"/>
        </w:rPr>
        <w:t xml:space="preserve"> Similarly, dispensing data may differ from consumption data because not all prescriptions dispensed are consumed</w:t>
      </w:r>
      <w:r w:rsidR="00F72CEB" w:rsidRPr="00F46944">
        <w:rPr>
          <w:rFonts w:asciiTheme="majorHAnsi" w:hAnsiTheme="majorHAnsi" w:cstheme="majorHAnsi"/>
        </w:rPr>
        <w:t>,</w:t>
      </w:r>
      <w:r w:rsidR="006A717A" w:rsidRPr="00F46944">
        <w:t xml:space="preserve"> as patients may not use </w:t>
      </w:r>
      <w:r w:rsidR="00F72CEB" w:rsidRPr="00F46944">
        <w:t xml:space="preserve">any or </w:t>
      </w:r>
      <w:r w:rsidR="006A717A" w:rsidRPr="00F46944">
        <w:t xml:space="preserve">all </w:t>
      </w:r>
      <w:r w:rsidR="00F72CEB" w:rsidRPr="00F46944">
        <w:t xml:space="preserve">of the </w:t>
      </w:r>
      <w:r w:rsidR="006A717A" w:rsidRPr="00F46944">
        <w:t>antimicrobials provided.</w:t>
      </w:r>
    </w:p>
    <w:p w14:paraId="0E999D43" w14:textId="7CDD388E" w:rsidR="00A11C9A" w:rsidRPr="00F46944" w:rsidRDefault="00A11C9A" w:rsidP="00BD5443">
      <w:pPr>
        <w:rPr>
          <w:rFonts w:asciiTheme="majorHAnsi" w:hAnsiTheme="majorHAnsi" w:cstheme="majorHAnsi"/>
        </w:rPr>
      </w:pPr>
      <w:r w:rsidRPr="00F46944">
        <w:t xml:space="preserve">In this report, prescribing data are captured by the </w:t>
      </w:r>
      <w:proofErr w:type="spellStart"/>
      <w:r w:rsidRPr="00F46944">
        <w:t>MedicineInsight</w:t>
      </w:r>
      <w:proofErr w:type="spellEnd"/>
      <w:r w:rsidRPr="00F46944">
        <w:t xml:space="preserve"> program and dispensing data are captured by PBS/RPBS. PBS/RPBS data includes a broader range of antimicrobials</w:t>
      </w:r>
      <w:r w:rsidR="004D1EAB" w:rsidRPr="00F46944">
        <w:t xml:space="preserve"> (ATC codes J01, </w:t>
      </w:r>
      <w:r w:rsidR="004D1EAB" w:rsidRPr="00F46944">
        <w:rPr>
          <w:rFonts w:ascii="Arial" w:hAnsi="Arial" w:cstheme="minorHAnsi"/>
          <w:color w:val="000000"/>
        </w:rPr>
        <w:t>A02BD, A07AA09, A07AA11, D06AX09, D06BA01, S01AA01, S01AA11, S01AA12, S01AE01, S01AE03, S02AA01, S02AA15, and S03AA</w:t>
      </w:r>
      <w:r w:rsidR="004D1EAB" w:rsidRPr="00F46944">
        <w:t>)</w:t>
      </w:r>
      <w:r w:rsidRPr="00F46944">
        <w:t xml:space="preserve"> than that included by </w:t>
      </w:r>
      <w:proofErr w:type="spellStart"/>
      <w:r w:rsidRPr="00F46944">
        <w:t>MedicineInsight</w:t>
      </w:r>
      <w:proofErr w:type="spellEnd"/>
      <w:r w:rsidR="0086134D" w:rsidRPr="00F46944">
        <w:t>,</w:t>
      </w:r>
      <w:r w:rsidR="00DB4131" w:rsidRPr="00F46944">
        <w:t xml:space="preserve"> </w:t>
      </w:r>
      <w:r w:rsidRPr="00F46944">
        <w:t xml:space="preserve">which captures data only on </w:t>
      </w:r>
      <w:proofErr w:type="spellStart"/>
      <w:r w:rsidRPr="00F46944">
        <w:t>antibacterials</w:t>
      </w:r>
      <w:proofErr w:type="spellEnd"/>
      <w:r w:rsidRPr="00F46944">
        <w:t xml:space="preserve"> for systemic use (</w:t>
      </w:r>
      <w:r w:rsidRPr="00F46944">
        <w:rPr>
          <w:rFonts w:cstheme="minorHAnsi"/>
        </w:rPr>
        <w:t>ATC code J01</w:t>
      </w:r>
      <w:r w:rsidRPr="00F46944">
        <w:t xml:space="preserve">). </w:t>
      </w:r>
    </w:p>
    <w:p w14:paraId="5759F035" w14:textId="78EE1B94" w:rsidR="00FC4652" w:rsidRPr="00F46944" w:rsidRDefault="00FC4652" w:rsidP="00FC4652">
      <w:r w:rsidRPr="00F46944">
        <w:t>Percentages and other data relating to 201</w:t>
      </w:r>
      <w:r w:rsidR="003E549F" w:rsidRPr="00F46944">
        <w:t>5</w:t>
      </w:r>
      <w:r w:rsidR="005871CC" w:rsidRPr="00F46944">
        <w:t xml:space="preserve"> to </w:t>
      </w:r>
      <w:r w:rsidRPr="00F46944">
        <w:t xml:space="preserve">2021 may have changed compared to previous reports as more data have become available. </w:t>
      </w:r>
    </w:p>
    <w:p w14:paraId="2F7549BE" w14:textId="5ED9542A" w:rsidR="00492E2F" w:rsidRPr="00F46944" w:rsidRDefault="00886AE5" w:rsidP="00BB143E">
      <w:r w:rsidRPr="00F46944">
        <w:lastRenderedPageBreak/>
        <w:t>Volumes of prescriptions are represented as original with repeats</w:t>
      </w:r>
      <w:r w:rsidR="00DA53BA" w:rsidRPr="00F46944">
        <w:t>,</w:t>
      </w:r>
      <w:r w:rsidRPr="00F46944">
        <w:t xml:space="preserve"> or </w:t>
      </w:r>
      <w:r w:rsidR="000F1C5D" w:rsidRPr="00F46944">
        <w:t>original only</w:t>
      </w:r>
      <w:r w:rsidR="00DA53BA" w:rsidRPr="00F46944">
        <w:t xml:space="preserve">, noting that repeat prescriptions may not have been supplied. </w:t>
      </w:r>
    </w:p>
    <w:p w14:paraId="527EB529" w14:textId="33671AEC" w:rsidR="00BA3D51" w:rsidRDefault="00BA3D51" w:rsidP="00BB143E">
      <w:pPr>
        <w:rPr>
          <w:rFonts w:asciiTheme="majorHAnsi" w:eastAsiaTheme="minorEastAsia" w:hAnsiTheme="majorHAnsi" w:cstheme="majorHAnsi"/>
        </w:rPr>
      </w:pPr>
      <w:bookmarkStart w:id="48" w:name="_Hlk117608122"/>
      <w:r w:rsidRPr="00F46944">
        <w:t xml:space="preserve">Appropriateness has been assessed by drug choice and indication whereby an appropriate antimicrobial is compliant with </w:t>
      </w:r>
      <w:r w:rsidRPr="00F46944">
        <w:rPr>
          <w:i/>
          <w:iCs/>
        </w:rPr>
        <w:t>Therapeutic Guidelines: Antibiotic</w:t>
      </w:r>
      <w:r w:rsidRPr="00F46944">
        <w:rPr>
          <w:rFonts w:asciiTheme="majorHAnsi" w:eastAsiaTheme="minorEastAsia" w:hAnsiTheme="majorHAnsi" w:cstheme="majorHAnsi"/>
        </w:rPr>
        <w:fldChar w:fldCharType="begin"/>
      </w:r>
      <w:r w:rsidR="00C16B8F">
        <w:rPr>
          <w:rFonts w:asciiTheme="majorHAnsi" w:eastAsiaTheme="minorEastAsia" w:hAnsiTheme="majorHAnsi" w:cstheme="majorHAnsi"/>
        </w:rPr>
        <w:instrText xml:space="preserve"> ADDIN EN.CITE &lt;EndNote&gt;&lt;Cite&gt;&lt;Author&gt;Antibiotic Expert Groups&lt;/Author&gt;&lt;Year&gt;2019&lt;/Year&gt;&lt;RecNum&gt;15&lt;/RecNum&gt;&lt;DisplayText&gt;&lt;style face="superscript"&gt;16&lt;/style&gt;&lt;/DisplayText&gt;&lt;record&gt;&lt;rec-number&gt;15&lt;/rec-number&gt;&lt;foreign-keys&gt;&lt;key app="EN" db-id="es9dr99ws90stoe5x2rp505nazvswdzppxa5" timestamp="1670810542"&gt;15&lt;/key&gt;&lt;/foreign-keys&gt;&lt;ref-type name="Aggregated Database"&gt;55&lt;/ref-type&gt;&lt;contributors&gt;&lt;authors&gt;&lt;author&gt;Antibiotic Expert Groups,&lt;/author&gt;&lt;/authors&gt;&lt;/contributors&gt;&lt;titles&gt;&lt;title&gt;Therapeutic guidelines: antibiotic&lt;/title&gt;&lt;/titles&gt;&lt;volume&gt;16&lt;/volume&gt;&lt;dates&gt;&lt;year&gt;2019&lt;/year&gt;&lt;/dates&gt;&lt;pub-location&gt;Melbourne&lt;/pub-location&gt;&lt;publisher&gt;Therapeutic Guidelines Limited&lt;/publisher&gt;&lt;urls&gt;&lt;/urls&gt;&lt;/record&gt;&lt;/Cite&gt;&lt;/EndNote&gt;</w:instrText>
      </w:r>
      <w:r w:rsidRPr="00F46944">
        <w:rPr>
          <w:rFonts w:asciiTheme="majorHAnsi" w:eastAsiaTheme="minorEastAsia" w:hAnsiTheme="majorHAnsi" w:cstheme="majorHAnsi"/>
        </w:rPr>
        <w:fldChar w:fldCharType="separate"/>
      </w:r>
      <w:r w:rsidR="00C16B8F" w:rsidRPr="00C16B8F">
        <w:rPr>
          <w:rFonts w:asciiTheme="majorHAnsi" w:eastAsiaTheme="minorEastAsia" w:hAnsiTheme="majorHAnsi" w:cstheme="majorHAnsi"/>
          <w:noProof/>
          <w:vertAlign w:val="superscript"/>
        </w:rPr>
        <w:t>16</w:t>
      </w:r>
      <w:r w:rsidRPr="00F46944">
        <w:rPr>
          <w:rFonts w:asciiTheme="majorHAnsi" w:eastAsiaTheme="minorEastAsia" w:hAnsiTheme="majorHAnsi" w:cstheme="majorHAnsi"/>
        </w:rPr>
        <w:fldChar w:fldCharType="end"/>
      </w:r>
      <w:r w:rsidR="00FF092B" w:rsidRPr="00F46944">
        <w:rPr>
          <w:rFonts w:asciiTheme="majorHAnsi" w:eastAsiaTheme="minorEastAsia" w:hAnsiTheme="majorHAnsi" w:cstheme="majorHAnsi"/>
        </w:rPr>
        <w:t xml:space="preserve"> </w:t>
      </w:r>
      <w:r w:rsidR="002160A1" w:rsidRPr="00F46944">
        <w:rPr>
          <w:rFonts w:asciiTheme="majorHAnsi" w:eastAsiaTheme="minorEastAsia" w:hAnsiTheme="majorHAnsi" w:cstheme="majorHAnsi"/>
        </w:rPr>
        <w:t>r</w:t>
      </w:r>
      <w:r w:rsidR="00FF092B" w:rsidRPr="00F46944">
        <w:rPr>
          <w:rFonts w:asciiTheme="majorHAnsi" w:eastAsiaTheme="minorEastAsia" w:hAnsiTheme="majorHAnsi" w:cstheme="majorHAnsi"/>
        </w:rPr>
        <w:t>ecommendations.</w:t>
      </w:r>
      <w:r w:rsidRPr="00F46944">
        <w:rPr>
          <w:rFonts w:asciiTheme="majorHAnsi" w:eastAsiaTheme="minorEastAsia" w:hAnsiTheme="majorHAnsi" w:cstheme="majorHAnsi"/>
        </w:rPr>
        <w:t xml:space="preserve"> </w:t>
      </w:r>
      <w:r w:rsidR="00FF092B" w:rsidRPr="00F46944">
        <w:rPr>
          <w:rFonts w:asciiTheme="majorHAnsi" w:eastAsiaTheme="minorEastAsia" w:hAnsiTheme="majorHAnsi" w:cstheme="majorHAnsi"/>
        </w:rPr>
        <w:t xml:space="preserve">Further </w:t>
      </w:r>
      <w:r w:rsidRPr="00F46944">
        <w:rPr>
          <w:rFonts w:asciiTheme="majorHAnsi" w:eastAsiaTheme="minorEastAsia" w:hAnsiTheme="majorHAnsi" w:cstheme="majorHAnsi"/>
        </w:rPr>
        <w:t xml:space="preserve">information on dose, frequency, duration and other prescribing parameters </w:t>
      </w:r>
      <w:r w:rsidR="00FF092B" w:rsidRPr="00F46944">
        <w:rPr>
          <w:rFonts w:asciiTheme="majorHAnsi" w:eastAsiaTheme="minorEastAsia" w:hAnsiTheme="majorHAnsi" w:cstheme="majorHAnsi"/>
        </w:rPr>
        <w:t xml:space="preserve">are not considered as they are not captured </w:t>
      </w:r>
      <w:r w:rsidR="00CF6287" w:rsidRPr="00F46944">
        <w:rPr>
          <w:rFonts w:asciiTheme="majorHAnsi" w:eastAsiaTheme="minorEastAsia" w:hAnsiTheme="majorHAnsi" w:cstheme="majorHAnsi"/>
        </w:rPr>
        <w:t>in</w:t>
      </w:r>
      <w:r w:rsidR="00FF092B" w:rsidRPr="00F46944">
        <w:rPr>
          <w:rFonts w:asciiTheme="majorHAnsi" w:eastAsiaTheme="minorEastAsia" w:hAnsiTheme="majorHAnsi" w:cstheme="majorHAnsi"/>
        </w:rPr>
        <w:t xml:space="preserve"> th</w:t>
      </w:r>
      <w:r w:rsidR="00E26F35">
        <w:rPr>
          <w:rFonts w:asciiTheme="majorHAnsi" w:eastAsiaTheme="minorEastAsia" w:hAnsiTheme="majorHAnsi" w:cstheme="majorHAnsi"/>
        </w:rPr>
        <w:t>ese</w:t>
      </w:r>
      <w:r w:rsidR="00FF092B" w:rsidRPr="00F46944">
        <w:rPr>
          <w:rFonts w:asciiTheme="majorHAnsi" w:eastAsiaTheme="minorEastAsia" w:hAnsiTheme="majorHAnsi" w:cstheme="majorHAnsi"/>
        </w:rPr>
        <w:t xml:space="preserve"> data.</w:t>
      </w:r>
      <w:bookmarkEnd w:id="48"/>
      <w:r w:rsidR="00FF092B" w:rsidRPr="00F46944">
        <w:rPr>
          <w:rFonts w:asciiTheme="majorHAnsi" w:eastAsiaTheme="minorEastAsia" w:hAnsiTheme="majorHAnsi" w:cstheme="majorHAnsi"/>
        </w:rPr>
        <w:t xml:space="preserve"> </w:t>
      </w:r>
    </w:p>
    <w:p w14:paraId="1EE4FE4C" w14:textId="320F4505" w:rsidR="00FC4652" w:rsidRPr="00F46944" w:rsidRDefault="00886AE5" w:rsidP="00E26F35">
      <w:pPr>
        <w:pStyle w:val="Heading4"/>
      </w:pPr>
      <w:r w:rsidRPr="00F46944">
        <w:t xml:space="preserve">Pharmaceutical Benefits Scheme (PBS) and Repatriation </w:t>
      </w:r>
      <w:r w:rsidR="00DA53BA" w:rsidRPr="00F46944">
        <w:t>Pharmaceutical Benefits Scheme (RPBS)</w:t>
      </w:r>
    </w:p>
    <w:p w14:paraId="0919673F" w14:textId="77777777" w:rsidR="00EF54B4" w:rsidRPr="00F46944" w:rsidRDefault="00EF54B4" w:rsidP="00FC4652">
      <w:r w:rsidRPr="00F46944">
        <w:t xml:space="preserve">Issues that need to be considered when interpreting PBS/RPBS data include the following: </w:t>
      </w:r>
    </w:p>
    <w:p w14:paraId="6199506D" w14:textId="15808D07" w:rsidR="003E4E41" w:rsidRPr="00F46944" w:rsidRDefault="001D0621" w:rsidP="003140B6">
      <w:pPr>
        <w:pStyle w:val="ListParagraph"/>
        <w:numPr>
          <w:ilvl w:val="0"/>
          <w:numId w:val="22"/>
        </w:numPr>
      </w:pPr>
      <w:r w:rsidRPr="00F46944">
        <w:t xml:space="preserve">The principal source of </w:t>
      </w:r>
      <w:r w:rsidR="00492E2F" w:rsidRPr="00F46944">
        <w:t>dispensing</w:t>
      </w:r>
      <w:r w:rsidRPr="00F46944">
        <w:t xml:space="preserve"> data in the community in Australia is the PBS/RPBS. Data on all antimicrobial prescriptions dispensed under the PBS/RPBS are recorded in a national database. </w:t>
      </w:r>
      <w:r w:rsidR="00A249B7">
        <w:t xml:space="preserve">Based on non-PBS/RPBS prescribing in </w:t>
      </w:r>
      <w:proofErr w:type="spellStart"/>
      <w:r w:rsidR="00A249B7">
        <w:t>MedicineInsight</w:t>
      </w:r>
      <w:proofErr w:type="spellEnd"/>
      <w:r w:rsidR="00A249B7">
        <w:t xml:space="preserve"> data, </w:t>
      </w:r>
      <w:r w:rsidRPr="00F46944">
        <w:t xml:space="preserve">PBS/RPBS data are estimated to capture more than 90% of all </w:t>
      </w:r>
      <w:r w:rsidR="0023029D" w:rsidRPr="00F46944">
        <w:t>antimicrobial</w:t>
      </w:r>
      <w:r w:rsidRPr="00F46944">
        <w:t xml:space="preserve"> prescriptions dispensed in the community</w:t>
      </w:r>
      <w:r w:rsidR="00A249B7">
        <w:fldChar w:fldCharType="begin"/>
      </w:r>
      <w:r w:rsidR="00412507">
        <w:instrText xml:space="preserve"> ADDIN EN.CITE &lt;EndNote&gt;&lt;Cite&gt;&lt;Author&gt;Care&lt;/Author&gt;&lt;Year&gt;2021&lt;/Year&gt;&lt;RecNum&gt;1&lt;/RecNum&gt;&lt;DisplayText&gt;&lt;style face="superscript"&gt;1&lt;/style&gt;&lt;/DisplayText&gt;&lt;record&gt;&lt;rec-number&gt;1&lt;/rec-number&gt;&lt;foreign-keys&gt;&lt;key app="EN" db-id="es9dr99ws90stoe5x2rp505nazvswdzppxa5" timestamp="1670810538"&gt;1&lt;/key&gt;&lt;/foreign-keys&gt;&lt;ref-type name="Report"&gt;27&lt;/ref-type&gt;&lt;contributors&gt;&lt;authors&gt;&lt;author&gt;Australian Commission on Safety and Quality in Health Care&lt;/author&gt;&lt;/authors&gt;&lt;/contributors&gt;&lt;titles&gt;&lt;title&gt;AURA 2021: fourth Australian report on antimicrobial use and resistance in human health&lt;/title&gt;&lt;/titles&gt;&lt;dates&gt;&lt;year&gt;2021&lt;/year&gt;&lt;/dates&gt;&lt;pub-location&gt;Sydney&lt;/pub-location&gt;&lt;publisher&gt;ACSQHC&lt;/publisher&gt;&lt;urls&gt;&lt;/urls&gt;&lt;/record&gt;&lt;/Cite&gt;&lt;/EndNote&gt;</w:instrText>
      </w:r>
      <w:r w:rsidR="00A249B7">
        <w:fldChar w:fldCharType="separate"/>
      </w:r>
      <w:r w:rsidR="00DB0DCB" w:rsidRPr="00DB0DCB">
        <w:rPr>
          <w:noProof/>
          <w:vertAlign w:val="superscript"/>
        </w:rPr>
        <w:t>1</w:t>
      </w:r>
      <w:r w:rsidR="00A249B7">
        <w:fldChar w:fldCharType="end"/>
      </w:r>
    </w:p>
    <w:p w14:paraId="3D913A12" w14:textId="79EC9FF2" w:rsidR="006868D5" w:rsidRPr="00F46944" w:rsidRDefault="006868D5" w:rsidP="003140B6">
      <w:pPr>
        <w:pStyle w:val="ListParagraph"/>
        <w:numPr>
          <w:ilvl w:val="0"/>
          <w:numId w:val="22"/>
        </w:numPr>
      </w:pPr>
      <w:r w:rsidRPr="00F46944">
        <w:t>PBS/RPBS listings for some antimicrobials changed to restrict the maximum quantity and number of repeats from April 2020</w:t>
      </w:r>
      <w:r w:rsidRPr="00F46944">
        <w:rPr>
          <w:rFonts w:asciiTheme="majorHAnsi" w:hAnsiTheme="majorHAnsi" w:cstheme="majorHAnsi"/>
        </w:rPr>
        <w:fldChar w:fldCharType="begin"/>
      </w:r>
      <w:r w:rsidR="00412507">
        <w:rPr>
          <w:rFonts w:asciiTheme="majorHAnsi" w:hAnsiTheme="majorHAnsi" w:cstheme="majorHAnsi"/>
        </w:rPr>
        <w:instrText xml:space="preserve"> ADDIN EN.CITE &lt;EndNote&gt;&lt;Cite&gt;&lt;Author&gt;Care&lt;/Author&gt;&lt;Year&gt;2020&lt;/Year&gt;&lt;RecNum&gt;13&lt;/RecNum&gt;&lt;DisplayText&gt;&lt;style face="superscript"&gt;14&lt;/style&gt;&lt;/DisplayText&gt;&lt;record&gt;&lt;rec-number&gt;13&lt;/rec-number&gt;&lt;foreign-keys&gt;&lt;key app="EN" db-id="es9dr99ws90stoe5x2rp505nazvswdzppxa5" timestamp="1670810541"&gt;13&lt;/key&gt;&lt;/foreign-keys&gt;&lt;ref-type name="Web Page"&gt;12&lt;/ref-type&gt;&lt;contributors&gt;&lt;authors&gt;&lt;author&gt;Australian Government Department of Health and Aged Care&lt;/author&gt;&lt;/authors&gt;&lt;/contributors&gt;&lt;titles&gt;&lt;title&gt;Revised PBS listings for Antibiotic use  &lt;/title&gt;&lt;/titles&gt;&lt;number&gt;May 2022&lt;/number&gt;&lt;dates&gt;&lt;year&gt;2020&lt;/year&gt;&lt;/dates&gt;&lt;urls&gt;&lt;related-urls&gt;&lt;url&gt;https://www.pbs.gov.au/news/2020/03/files/Antibiotics-factsheet-2020.pdf&lt;/url&gt;&lt;/related-urls&gt;&lt;/urls&gt;&lt;/record&gt;&lt;/Cite&gt;&lt;/EndNote&gt;</w:instrText>
      </w:r>
      <w:r w:rsidRPr="00F46944">
        <w:rPr>
          <w:rFonts w:asciiTheme="majorHAnsi" w:hAnsiTheme="majorHAnsi" w:cstheme="majorHAnsi"/>
        </w:rPr>
        <w:fldChar w:fldCharType="separate"/>
      </w:r>
      <w:r w:rsidR="00C16B8F" w:rsidRPr="00C16B8F">
        <w:rPr>
          <w:rFonts w:asciiTheme="majorHAnsi" w:hAnsiTheme="majorHAnsi" w:cstheme="majorHAnsi"/>
          <w:noProof/>
          <w:vertAlign w:val="superscript"/>
        </w:rPr>
        <w:t>14</w:t>
      </w:r>
      <w:r w:rsidRPr="00F46944">
        <w:rPr>
          <w:rFonts w:asciiTheme="majorHAnsi" w:hAnsiTheme="majorHAnsi" w:cstheme="majorHAnsi"/>
        </w:rPr>
        <w:fldChar w:fldCharType="end"/>
      </w:r>
    </w:p>
    <w:p w14:paraId="01C9C39B" w14:textId="05C10639" w:rsidR="003E4E41" w:rsidRPr="00F46944" w:rsidRDefault="003E4E41" w:rsidP="003140B6">
      <w:pPr>
        <w:pStyle w:val="ListParagraph"/>
        <w:numPr>
          <w:ilvl w:val="0"/>
          <w:numId w:val="22"/>
        </w:numPr>
      </w:pPr>
      <w:r w:rsidRPr="00F46944">
        <w:t>Antimicrobials dispensed from most inpatient and some outpatient services, some community health services, and some Aboriginal and Torres Strait Islander health services may not be captured in the dataset</w:t>
      </w:r>
      <w:r w:rsidR="00E26F35">
        <w:t>. This may impact findings between states and territories as a</w:t>
      </w:r>
      <w:r w:rsidR="00D56D4A" w:rsidRPr="00F46944">
        <w:t>pproximately 30% of the Northern Territory population identify as Aboriginal or Torres Strait Islander, compared to approximately 5% or less in other states and territories</w:t>
      </w:r>
      <w:r w:rsidR="00D56D4A" w:rsidRPr="00F46944">
        <w:fldChar w:fldCharType="begin"/>
      </w:r>
      <w:r w:rsidR="00C16B8F">
        <w:instrText xml:space="preserve"> ADDIN EN.CITE &lt;EndNote&gt;&lt;Cite&gt;&lt;Author&gt;Australian Bureau of Statistics&lt;/Author&gt;&lt;Year&gt;2020&lt;/Year&gt;&lt;RecNum&gt;17&lt;/RecNum&gt;&lt;DisplayText&gt;&lt;style face="superscript"&gt;18&lt;/style&gt;&lt;/DisplayText&gt;&lt;record&gt;&lt;rec-number&gt;17&lt;/rec-number&gt;&lt;foreign-keys&gt;&lt;key app="EN" db-id="es9dr99ws90stoe5x2rp505nazvswdzppxa5" timestamp="1670810543"&gt;17&lt;/key&gt;&lt;/foreign-keys&gt;&lt;ref-type name="Web Page"&gt;12&lt;/ref-type&gt;&lt;contributors&gt;&lt;authors&gt;&lt;author&gt;Australian Bureau of Statistics,&lt;/author&gt;&lt;/authors&gt;&lt;/contributors&gt;&lt;titles&gt;&lt;title&gt;Estimates of Aboriginal and Torres Strait Islander Australians&lt;/title&gt;&lt;/titles&gt;&lt;number&gt;May 2022&lt;/number&gt;&lt;dates&gt;&lt;year&gt;2020&lt;/year&gt;&lt;/dates&gt;&lt;pub-location&gt;Canberra&lt;/pub-location&gt;&lt;publisher&gt;ABS&lt;/publisher&gt;&lt;urls&gt;&lt;related-urls&gt;&lt;url&gt;https://www.abs.gov.au/statistics/people/aboriginal-and-torres-strait-islander-peoples/estimates-aboriginal-and-torres-strait-islander-australians/latest-release&lt;/url&gt;&lt;/related-urls&gt;&lt;/urls&gt;&lt;/record&gt;&lt;/Cite&gt;&lt;/EndNote&gt;</w:instrText>
      </w:r>
      <w:r w:rsidR="00D56D4A" w:rsidRPr="00F46944">
        <w:fldChar w:fldCharType="separate"/>
      </w:r>
      <w:r w:rsidR="00C16B8F" w:rsidRPr="00C16B8F">
        <w:rPr>
          <w:noProof/>
          <w:vertAlign w:val="superscript"/>
        </w:rPr>
        <w:t>18</w:t>
      </w:r>
      <w:r w:rsidR="00D56D4A" w:rsidRPr="00F46944">
        <w:fldChar w:fldCharType="end"/>
      </w:r>
    </w:p>
    <w:p w14:paraId="6A82AB33" w14:textId="77777777" w:rsidR="00D56D4A" w:rsidRDefault="003E4E41" w:rsidP="003140B6">
      <w:pPr>
        <w:pStyle w:val="ListParagraph"/>
        <w:numPr>
          <w:ilvl w:val="0"/>
          <w:numId w:val="22"/>
        </w:numPr>
      </w:pPr>
      <w:r w:rsidRPr="00F46944">
        <w:t xml:space="preserve">PBS/RPBS </w:t>
      </w:r>
      <w:r w:rsidR="00EF54B4" w:rsidRPr="00F46944">
        <w:t>data do not indicate the diagnosis or condition of the patient</w:t>
      </w:r>
    </w:p>
    <w:p w14:paraId="57FCCFAB" w14:textId="78494624" w:rsidR="003E4E41" w:rsidRPr="00F46944" w:rsidRDefault="00D56D4A" w:rsidP="003140B6">
      <w:pPr>
        <w:pStyle w:val="ListParagraph"/>
        <w:numPr>
          <w:ilvl w:val="0"/>
          <w:numId w:val="22"/>
        </w:numPr>
      </w:pPr>
      <w:r>
        <w:t xml:space="preserve">Antimicrobials prescribed by health practitioners other than medical practitioners, dental practitioners, nurse practitioners and optometrists </w:t>
      </w:r>
      <w:r w:rsidRPr="00D56D4A">
        <w:t>may not be subsidised under the PBS/RPBS and are not captured in this dataset.</w:t>
      </w:r>
      <w:r w:rsidR="00EF54B4" w:rsidRPr="00F46944">
        <w:t xml:space="preserve"> </w:t>
      </w:r>
    </w:p>
    <w:p w14:paraId="678B84AF" w14:textId="4215AF5A" w:rsidR="00EF54B4" w:rsidRPr="00F46944" w:rsidRDefault="00EE19B0" w:rsidP="003E4E41">
      <w:r w:rsidRPr="00F46944">
        <w:t>Other prescriptions may be dispensed privately</w:t>
      </w:r>
      <w:r w:rsidR="00E7771C" w:rsidRPr="00F46944">
        <w:t xml:space="preserve"> or are non-PBS/RPBS</w:t>
      </w:r>
      <w:r w:rsidRPr="00F46944">
        <w:t xml:space="preserve">, meaning that the PBS/RPBS does not subsidise the cost of the medicine. </w:t>
      </w:r>
      <w:r w:rsidR="00EF54B4" w:rsidRPr="00F46944">
        <w:t xml:space="preserve">The reasons for </w:t>
      </w:r>
      <w:r w:rsidR="004D2FDA" w:rsidRPr="00F46944">
        <w:t>antimicrobial</w:t>
      </w:r>
      <w:r w:rsidR="00EF54B4" w:rsidRPr="00F46944">
        <w:t>s being dispensed privately may include</w:t>
      </w:r>
      <w:r w:rsidR="00F32F60" w:rsidRPr="00F46944">
        <w:t xml:space="preserve"> that the prescriber wishes to prescribe</w:t>
      </w:r>
      <w:r w:rsidR="00EF54B4" w:rsidRPr="00F46944">
        <w:t xml:space="preserve">: </w:t>
      </w:r>
    </w:p>
    <w:p w14:paraId="58B7016E" w14:textId="5B6D126D" w:rsidR="006620C9" w:rsidRPr="00F46944" w:rsidRDefault="00F32F60" w:rsidP="003140B6">
      <w:pPr>
        <w:pStyle w:val="ListParagraph"/>
        <w:numPr>
          <w:ilvl w:val="0"/>
          <w:numId w:val="23"/>
        </w:numPr>
        <w:ind w:left="284" w:hanging="284"/>
      </w:pPr>
      <w:r w:rsidRPr="00F46944">
        <w:t>A</w:t>
      </w:r>
      <w:r w:rsidR="00EF54B4" w:rsidRPr="00F46944">
        <w:t xml:space="preserve">n </w:t>
      </w:r>
      <w:r w:rsidR="004D2FDA" w:rsidRPr="00F46944">
        <w:t>antimicrobial</w:t>
      </w:r>
      <w:r w:rsidR="00EF54B4" w:rsidRPr="00F46944">
        <w:t xml:space="preserve"> for a non-subsidised indication </w:t>
      </w:r>
      <w:r w:rsidR="00644A15" w:rsidRPr="00F46944">
        <w:t>or for travel</w:t>
      </w:r>
    </w:p>
    <w:p w14:paraId="7175FB09" w14:textId="0268D7A3" w:rsidR="00EF54B4" w:rsidRPr="00F46944" w:rsidRDefault="00F32F60" w:rsidP="003140B6">
      <w:pPr>
        <w:pStyle w:val="ListParagraph"/>
        <w:numPr>
          <w:ilvl w:val="0"/>
          <w:numId w:val="23"/>
        </w:numPr>
        <w:ind w:left="284" w:hanging="284"/>
      </w:pPr>
      <w:r w:rsidRPr="00F46944">
        <w:t>A</w:t>
      </w:r>
      <w:r w:rsidR="00EF54B4" w:rsidRPr="00F46944">
        <w:t xml:space="preserve"> quantity that exceeds the PBS</w:t>
      </w:r>
      <w:r w:rsidR="006A717A" w:rsidRPr="00F46944">
        <w:t>/RPBS</w:t>
      </w:r>
      <w:r w:rsidR="00EF54B4" w:rsidRPr="00F46944">
        <w:t xml:space="preserve"> limit. </w:t>
      </w:r>
    </w:p>
    <w:p w14:paraId="420CB03A" w14:textId="23E35035" w:rsidR="00944B22" w:rsidRPr="00F46944" w:rsidRDefault="00EF54B4" w:rsidP="00EF54B4">
      <w:r w:rsidRPr="00F46944">
        <w:t>Further information on the PBS</w:t>
      </w:r>
      <w:r w:rsidR="001C78C2" w:rsidRPr="00F46944">
        <w:t>/RPBS</w:t>
      </w:r>
      <w:r w:rsidRPr="00F46944">
        <w:t xml:space="preserve"> can be found on the PBS website.</w:t>
      </w:r>
      <w:r w:rsidR="00310179" w:rsidRPr="00F46944">
        <w:fldChar w:fldCharType="begin"/>
      </w:r>
      <w:r w:rsidR="00412507">
        <w:instrText xml:space="preserve"> ADDIN EN.CITE &lt;EndNote&gt;&lt;Cite&gt;&lt;Author&gt;Care&lt;/Author&gt;&lt;Year&gt;2022&lt;/Year&gt;&lt;RecNum&gt;18&lt;/RecNum&gt;&lt;DisplayText&gt;&lt;style face="superscript"&gt;19&lt;/style&gt;&lt;/DisplayText&gt;&lt;record&gt;&lt;rec-number&gt;18&lt;/rec-number&gt;&lt;foreign-keys&gt;&lt;key app="EN" db-id="es9dr99ws90stoe5x2rp505nazvswdzppxa5" timestamp="1670810543"&gt;18&lt;/key&gt;&lt;/foreign-keys&gt;&lt;ref-type name="Web Page"&gt;12&lt;/ref-type&gt;&lt;contributors&gt;&lt;authors&gt;&lt;author&gt;Australian Government Department of Health and Aged Care&lt;/author&gt;&lt;/authors&gt;&lt;/contributors&gt;&lt;titles&gt;&lt;title&gt;Pharmaceutical Benefits Scheme (PBS)&lt;/title&gt;&lt;/titles&gt;&lt;number&gt;May 2022&lt;/number&gt;&lt;dates&gt;&lt;year&gt;2022&lt;/year&gt;&lt;/dates&gt;&lt;urls&gt;&lt;related-urls&gt;&lt;url&gt;https://www.pbs.gov.au/pbs/home&lt;/url&gt;&lt;/related-urls&gt;&lt;/urls&gt;&lt;/record&gt;&lt;/Cite&gt;&lt;/EndNote&gt;</w:instrText>
      </w:r>
      <w:r w:rsidR="00310179" w:rsidRPr="00F46944">
        <w:fldChar w:fldCharType="separate"/>
      </w:r>
      <w:r w:rsidR="00C16B8F" w:rsidRPr="00C16B8F">
        <w:rPr>
          <w:noProof/>
          <w:vertAlign w:val="superscript"/>
        </w:rPr>
        <w:t>19</w:t>
      </w:r>
      <w:r w:rsidR="00310179" w:rsidRPr="00F46944">
        <w:fldChar w:fldCharType="end"/>
      </w:r>
      <w:r w:rsidR="00DE5AE9" w:rsidRPr="00F46944">
        <w:rPr>
          <w:rStyle w:val="CommentReference"/>
          <w:rFonts w:ascii="Times New Roman" w:hAnsi="Times New Roman"/>
          <w:color w:val="000000"/>
        </w:rPr>
        <w:t xml:space="preserve"> </w:t>
      </w:r>
      <w:r w:rsidR="00DE5AE9" w:rsidRPr="00F46944">
        <w:t xml:space="preserve">A </w:t>
      </w:r>
      <w:r w:rsidR="00E7771C" w:rsidRPr="00F46944">
        <w:t xml:space="preserve">more accurate estimate of the proportion of dispensing through the PBS/RPBS will provide a more complete picture of dispensing in Australia. In the interim, an indication of the proportion of these non-PBS/RPBS prescriptions is provided in the </w:t>
      </w:r>
      <w:proofErr w:type="spellStart"/>
      <w:r w:rsidR="00E7771C" w:rsidRPr="00F46944">
        <w:t>MedicineInsight</w:t>
      </w:r>
      <w:proofErr w:type="spellEnd"/>
      <w:r w:rsidR="00E7771C" w:rsidRPr="00F46944">
        <w:t xml:space="preserve"> section.</w:t>
      </w:r>
    </w:p>
    <w:p w14:paraId="1BA5D00F" w14:textId="66D956A2" w:rsidR="00BB143E" w:rsidRPr="00F46944" w:rsidRDefault="00944B22" w:rsidP="00EF54B4">
      <w:r w:rsidRPr="00F46944">
        <w:t xml:space="preserve">For analysis of </w:t>
      </w:r>
      <w:r w:rsidR="00492E2F" w:rsidRPr="00F46944">
        <w:t xml:space="preserve">the effect of the COVID-19 pandemic on </w:t>
      </w:r>
      <w:r w:rsidRPr="00F46944">
        <w:t xml:space="preserve">PBS/RPBS data, it was not possible to test the statistical effect of lockdowns </w:t>
      </w:r>
      <w:r w:rsidR="00DB4131" w:rsidRPr="00F46944">
        <w:t>from</w:t>
      </w:r>
      <w:r w:rsidRPr="00F46944">
        <w:t xml:space="preserve"> July 2021 (in New South Wales) and August 2021 (in Victoria and the Australian Capital Territory). </w:t>
      </w:r>
      <w:r w:rsidR="00FB082A" w:rsidRPr="00F46944">
        <w:t xml:space="preserve">This </w:t>
      </w:r>
      <w:r w:rsidR="00492E2F" w:rsidRPr="00F46944">
        <w:t>was</w:t>
      </w:r>
      <w:r w:rsidR="00FB082A" w:rsidRPr="00F46944">
        <w:t xml:space="preserve"> because the time post an event needs to include at least 12 data points</w:t>
      </w:r>
      <w:r w:rsidR="00DE5AE9" w:rsidRPr="00F46944">
        <w:t xml:space="preserve"> </w:t>
      </w:r>
      <w:r w:rsidR="00D217C3">
        <w:t>–</w:t>
      </w:r>
      <w:r w:rsidR="00DE5AE9" w:rsidRPr="00F46944">
        <w:t xml:space="preserve"> </w:t>
      </w:r>
      <w:r w:rsidR="00FB082A" w:rsidRPr="00F46944">
        <w:t>months in this case</w:t>
      </w:r>
      <w:r w:rsidR="00DE5AE9" w:rsidRPr="00F46944">
        <w:t xml:space="preserve"> </w:t>
      </w:r>
      <w:r w:rsidR="00D217C3">
        <w:t>–</w:t>
      </w:r>
      <w:r w:rsidR="00DE5AE9" w:rsidRPr="00F46944">
        <w:t xml:space="preserve"> </w:t>
      </w:r>
      <w:r w:rsidR="00FB082A" w:rsidRPr="00F46944">
        <w:t>for statistical testing using segmented regression</w:t>
      </w:r>
      <w:r w:rsidR="00E23E48" w:rsidRPr="00F46944">
        <w:t>, which was not available at the time of analysis</w:t>
      </w:r>
      <w:r w:rsidR="00FB082A" w:rsidRPr="00F46944">
        <w:t xml:space="preserve">. </w:t>
      </w:r>
    </w:p>
    <w:p w14:paraId="6C4827B0" w14:textId="13FED2D2" w:rsidR="00886AE5" w:rsidRPr="00F46944" w:rsidRDefault="00886AE5" w:rsidP="0016537F">
      <w:pPr>
        <w:pStyle w:val="Heading4"/>
        <w:rPr>
          <w:rFonts w:asciiTheme="majorHAnsi" w:hAnsiTheme="majorHAnsi" w:cstheme="majorHAnsi"/>
        </w:rPr>
      </w:pPr>
      <w:r w:rsidRPr="00F46944">
        <w:rPr>
          <w:rFonts w:asciiTheme="majorHAnsi" w:hAnsiTheme="majorHAnsi" w:cstheme="majorHAnsi"/>
        </w:rPr>
        <w:t xml:space="preserve">NPS MedicineWise </w:t>
      </w:r>
      <w:proofErr w:type="spellStart"/>
      <w:r w:rsidRPr="00F46944">
        <w:rPr>
          <w:rFonts w:asciiTheme="majorHAnsi" w:hAnsiTheme="majorHAnsi" w:cstheme="majorHAnsi"/>
        </w:rPr>
        <w:t>MedicineInsight</w:t>
      </w:r>
      <w:proofErr w:type="spellEnd"/>
      <w:r w:rsidR="00C33DF0">
        <w:rPr>
          <w:rFonts w:asciiTheme="majorHAnsi" w:hAnsiTheme="majorHAnsi" w:cstheme="majorHAnsi"/>
        </w:rPr>
        <w:t xml:space="preserve"> program</w:t>
      </w:r>
    </w:p>
    <w:p w14:paraId="5FF0076C" w14:textId="6A378816" w:rsidR="001F647C" w:rsidRPr="00F46944" w:rsidRDefault="00083C34" w:rsidP="009C0E25">
      <w:r w:rsidRPr="00F46944">
        <w:rPr>
          <w:rFonts w:asciiTheme="majorHAnsi" w:eastAsiaTheme="minorEastAsia" w:hAnsiTheme="majorHAnsi" w:cstheme="majorHAnsi"/>
        </w:rPr>
        <w:t xml:space="preserve">The </w:t>
      </w:r>
      <w:proofErr w:type="spellStart"/>
      <w:r w:rsidR="001F647C" w:rsidRPr="00F46944">
        <w:t>MedicineInsight</w:t>
      </w:r>
      <w:proofErr w:type="spellEnd"/>
      <w:r w:rsidR="001F647C" w:rsidRPr="00F46944">
        <w:t xml:space="preserve"> program relies on voluntary participation and submission of data from general practices. Due to the voluntary nature of the program, the proportion of participating practices in each state and territory varies from month</w:t>
      </w:r>
      <w:r w:rsidR="00B378B7">
        <w:t>-</w:t>
      </w:r>
      <w:r w:rsidR="001F647C" w:rsidRPr="00F46944">
        <w:t>to</w:t>
      </w:r>
      <w:r w:rsidR="00B378B7">
        <w:t>-</w:t>
      </w:r>
      <w:r w:rsidR="001F647C" w:rsidRPr="00F46944">
        <w:t>month, resulting in non-random sampling, connection, practice involvement and other issues</w:t>
      </w:r>
      <w:r w:rsidR="00F32F60" w:rsidRPr="00F46944">
        <w:t xml:space="preserve">. Therefore, </w:t>
      </w:r>
      <w:r w:rsidR="001F647C" w:rsidRPr="00F46944">
        <w:t>comparisons between different states and territories should be interpreted carefully.</w:t>
      </w:r>
    </w:p>
    <w:p w14:paraId="1CD20BB8" w14:textId="77777777" w:rsidR="00452378" w:rsidRPr="00F46944" w:rsidRDefault="001F647C" w:rsidP="009C0E25">
      <w:r w:rsidRPr="00F46944">
        <w:t xml:space="preserve">General practices that participate in the </w:t>
      </w:r>
      <w:proofErr w:type="spellStart"/>
      <w:r w:rsidRPr="00F46944">
        <w:t>MedicineInsight</w:t>
      </w:r>
      <w:proofErr w:type="spellEnd"/>
      <w:r w:rsidRPr="00F46944">
        <w:t xml:space="preserve"> program may be more likely to focus on quality use of medicines in their practice. </w:t>
      </w:r>
    </w:p>
    <w:p w14:paraId="4118561B" w14:textId="3FE9C05C" w:rsidR="00452378" w:rsidRPr="00F46944" w:rsidRDefault="00452378" w:rsidP="00452378">
      <w:pPr>
        <w:spacing w:after="80"/>
      </w:pPr>
      <w:r w:rsidRPr="00F46944">
        <w:lastRenderedPageBreak/>
        <w:t xml:space="preserve">NPS MedicineWise made several changes to </w:t>
      </w:r>
      <w:proofErr w:type="spellStart"/>
      <w:r w:rsidRPr="00F46944">
        <w:t>MedicineInsight</w:t>
      </w:r>
      <w:proofErr w:type="spellEnd"/>
      <w:r w:rsidRPr="00F46944">
        <w:t xml:space="preserve"> </w:t>
      </w:r>
      <w:r w:rsidR="00247988">
        <w:t>after</w:t>
      </w:r>
      <w:r w:rsidR="00492E2F" w:rsidRPr="00F46944">
        <w:t xml:space="preserve"> </w:t>
      </w:r>
      <w:r w:rsidRPr="00F46944">
        <w:t>20</w:t>
      </w:r>
      <w:r w:rsidR="00492E2F" w:rsidRPr="00F46944">
        <w:t>19</w:t>
      </w:r>
      <w:r w:rsidR="00EA1B73">
        <w:fldChar w:fldCharType="begin"/>
      </w:r>
      <w:r w:rsidR="00C16B8F">
        <w:instrText xml:space="preserve"> ADDIN EN.CITE &lt;EndNote&gt;&lt;Cite&gt;&lt;Author&gt;NPS MedicineWise&lt;/Author&gt;&lt;Year&gt;2018&lt;/Year&gt;&lt;RecNum&gt;19&lt;/RecNum&gt;&lt;DisplayText&gt;&lt;style face="superscript"&gt;20&lt;/style&gt;&lt;/DisplayText&gt;&lt;record&gt;&lt;rec-number&gt;19&lt;/rec-number&gt;&lt;foreign-keys&gt;&lt;key app="EN" db-id="es9dr99ws90stoe5x2rp505nazvswdzppxa5" timestamp="1670810543"&gt;19&lt;/key&gt;&lt;/foreign-keys&gt;&lt;ref-type name="Web Page"&gt;12&lt;/ref-type&gt;&lt;contributors&gt;&lt;authors&gt;&lt;author&gt;NPS MedicineWise,&lt;/author&gt;&lt;/authors&gt;&lt;/contributors&gt;&lt;titles&gt;&lt;title&gt;MedicineInsight&lt;/title&gt;&lt;/titles&gt;&lt;volume&gt;2021&lt;/volume&gt;&lt;number&gt;10 March 2021&lt;/number&gt;&lt;dates&gt;&lt;year&gt;2018&lt;/year&gt;&lt;/dates&gt;&lt;pub-location&gt;Sydney&lt;/pub-location&gt;&lt;publisher&gt;NPS MedicineWise&lt;/publisher&gt;&lt;urls&gt;&lt;related-urls&gt;&lt;url&gt;&lt;style face="underline" font="default" size="100%"&gt;https://www.nps.org.au/medicine-insight&lt;/style&gt;&lt;/url&gt;&lt;/related-urls&gt;&lt;/urls&gt;&lt;/record&gt;&lt;/Cite&gt;&lt;/EndNote&gt;</w:instrText>
      </w:r>
      <w:r w:rsidR="00EA1B73">
        <w:fldChar w:fldCharType="separate"/>
      </w:r>
      <w:r w:rsidR="00C16B8F" w:rsidRPr="00C16B8F">
        <w:rPr>
          <w:noProof/>
          <w:vertAlign w:val="superscript"/>
        </w:rPr>
        <w:t>20</w:t>
      </w:r>
      <w:r w:rsidR="00EA1B73">
        <w:fldChar w:fldCharType="end"/>
      </w:r>
      <w:r w:rsidRPr="00F46944">
        <w:t xml:space="preserve">, including </w:t>
      </w:r>
      <w:r w:rsidR="002379EB">
        <w:t xml:space="preserve">to </w:t>
      </w:r>
      <w:r w:rsidRPr="00F46944">
        <w:t>some of the rules and algorithms used for data analysis. These included:</w:t>
      </w:r>
    </w:p>
    <w:p w14:paraId="5DAC0F7E" w14:textId="3ADD83EE" w:rsidR="00452378" w:rsidRPr="00F46944" w:rsidRDefault="00452378" w:rsidP="003140B6">
      <w:pPr>
        <w:pStyle w:val="ListParagraph"/>
        <w:numPr>
          <w:ilvl w:val="0"/>
          <w:numId w:val="17"/>
        </w:numPr>
        <w:spacing w:after="80"/>
        <w:ind w:left="360"/>
      </w:pPr>
      <w:r w:rsidRPr="00F46944">
        <w:t xml:space="preserve">An ability to select antimicrobials by ATC code, rather than active ingredient alone to allow systemic antimicrobials to be identified as a group (J01) and as specific antimicrobials of interest  </w:t>
      </w:r>
    </w:p>
    <w:p w14:paraId="2CDB2BC4" w14:textId="77777777" w:rsidR="00452378" w:rsidRPr="00F46944" w:rsidRDefault="00452378" w:rsidP="003140B6">
      <w:pPr>
        <w:pStyle w:val="ListParagraph"/>
        <w:numPr>
          <w:ilvl w:val="0"/>
          <w:numId w:val="17"/>
        </w:numPr>
        <w:spacing w:after="80"/>
        <w:ind w:left="360"/>
      </w:pPr>
      <w:r w:rsidRPr="00F46944">
        <w:t xml:space="preserve">Restricting the patient count to those who attended the GP practice in the year of analysis, rather than also including the previous year </w:t>
      </w:r>
    </w:p>
    <w:p w14:paraId="160B2E0A" w14:textId="77777777" w:rsidR="00644A15" w:rsidRPr="00F46944" w:rsidRDefault="00644A15" w:rsidP="003140B6">
      <w:pPr>
        <w:pStyle w:val="ListParagraph"/>
        <w:numPr>
          <w:ilvl w:val="0"/>
          <w:numId w:val="17"/>
        </w:numPr>
        <w:spacing w:after="80"/>
        <w:ind w:left="360"/>
      </w:pPr>
      <w:r w:rsidRPr="00F46944">
        <w:t>Restricting reporting on prescribing rates for conditions of interest to prescriptions issued on the same day as the condition being recorded.</w:t>
      </w:r>
    </w:p>
    <w:p w14:paraId="1D9AF1E0" w14:textId="46AF4993" w:rsidR="00DC5D5F" w:rsidRPr="00F46944" w:rsidRDefault="00DC5D5F" w:rsidP="00452378">
      <w:pPr>
        <w:spacing w:before="120" w:after="120"/>
        <w:rPr>
          <w:lang w:eastAsia="en-US"/>
        </w:rPr>
      </w:pPr>
      <w:r w:rsidRPr="00F46944">
        <w:rPr>
          <w:lang w:eastAsia="en-US"/>
        </w:rPr>
        <w:t>NPS MedicineWise regard</w:t>
      </w:r>
      <w:r w:rsidR="00247988">
        <w:rPr>
          <w:lang w:eastAsia="en-US"/>
        </w:rPr>
        <w:t>ed</w:t>
      </w:r>
      <w:r w:rsidRPr="00F46944">
        <w:rPr>
          <w:lang w:eastAsia="en-US"/>
        </w:rPr>
        <w:t xml:space="preserve"> the methodology described above as providing a more accurate picture of appropriateness of prescribing in participating practices.</w:t>
      </w:r>
    </w:p>
    <w:p w14:paraId="0E3E1717" w14:textId="68C09BFE" w:rsidR="00452378" w:rsidRPr="00F46944" w:rsidRDefault="00BB3BAC" w:rsidP="00BB3BAC">
      <w:pPr>
        <w:spacing w:before="120" w:after="120"/>
        <w:rPr>
          <w:lang w:eastAsia="en-US"/>
        </w:rPr>
      </w:pPr>
      <w:r w:rsidRPr="00F46944">
        <w:rPr>
          <w:lang w:eastAsia="en-US"/>
        </w:rPr>
        <w:t xml:space="preserve">Clinical encounters were classified as being </w:t>
      </w:r>
      <w:r w:rsidR="00452378" w:rsidRPr="00F46944">
        <w:rPr>
          <w:lang w:eastAsia="en-US"/>
        </w:rPr>
        <w:t>face-to-face or</w:t>
      </w:r>
      <w:r w:rsidRPr="00F46944">
        <w:rPr>
          <w:lang w:eastAsia="en-US"/>
        </w:rPr>
        <w:t xml:space="preserve"> </w:t>
      </w:r>
      <w:r w:rsidR="00452378" w:rsidRPr="00F46944">
        <w:rPr>
          <w:lang w:eastAsia="en-US"/>
        </w:rPr>
        <w:t>telehealth</w:t>
      </w:r>
      <w:r w:rsidRPr="00F46944">
        <w:rPr>
          <w:lang w:eastAsia="en-US"/>
        </w:rPr>
        <w:t xml:space="preserve"> using MBS item numbers recorded in the billing section of the CIS. </w:t>
      </w:r>
    </w:p>
    <w:p w14:paraId="210C2C46" w14:textId="0A8BF1D5" w:rsidR="00ED7324" w:rsidRPr="00F46944" w:rsidRDefault="00452378" w:rsidP="00ED7324">
      <w:pPr>
        <w:spacing w:before="120" w:after="120"/>
        <w:rPr>
          <w:lang w:eastAsia="en-US"/>
        </w:rPr>
      </w:pPr>
      <w:r w:rsidRPr="00F46944">
        <w:rPr>
          <w:lang w:eastAsia="en-US"/>
        </w:rPr>
        <w:t xml:space="preserve">Not all </w:t>
      </w:r>
      <w:proofErr w:type="spellStart"/>
      <w:r w:rsidRPr="00F46944">
        <w:rPr>
          <w:lang w:eastAsia="en-US"/>
        </w:rPr>
        <w:t>MedicineInsight</w:t>
      </w:r>
      <w:proofErr w:type="spellEnd"/>
      <w:r w:rsidRPr="00F46944">
        <w:rPr>
          <w:lang w:eastAsia="en-US"/>
        </w:rPr>
        <w:t xml:space="preserve"> practices have billing software that is compatible with their </w:t>
      </w:r>
      <w:r w:rsidR="006A2755" w:rsidRPr="00F46944">
        <w:rPr>
          <w:lang w:eastAsia="en-US"/>
        </w:rPr>
        <w:t>CIS</w:t>
      </w:r>
      <w:r w:rsidRPr="00F46944">
        <w:rPr>
          <w:lang w:eastAsia="en-US"/>
        </w:rPr>
        <w:t xml:space="preserve">. Therefore, analyses that require billing data </w:t>
      </w:r>
      <w:r w:rsidR="00C20571" w:rsidRPr="00F46944">
        <w:rPr>
          <w:lang w:eastAsia="en-US"/>
        </w:rPr>
        <w:t xml:space="preserve">do </w:t>
      </w:r>
      <w:r w:rsidRPr="00F46944">
        <w:rPr>
          <w:lang w:eastAsia="en-US"/>
        </w:rPr>
        <w:t xml:space="preserve">not include all </w:t>
      </w:r>
      <w:r w:rsidR="00ED7324" w:rsidRPr="00F46944">
        <w:rPr>
          <w:lang w:eastAsia="en-US"/>
        </w:rPr>
        <w:t>practices</w:t>
      </w:r>
      <w:r w:rsidR="00C20571" w:rsidRPr="00F46944">
        <w:rPr>
          <w:lang w:eastAsia="en-US"/>
        </w:rPr>
        <w:t>. For the analysis included in this report</w:t>
      </w:r>
      <w:r w:rsidR="005763D4" w:rsidRPr="00F46944">
        <w:t xml:space="preserve">, </w:t>
      </w:r>
      <w:r w:rsidR="005763D4" w:rsidRPr="00F46944">
        <w:rPr>
          <w:lang w:eastAsia="en-US"/>
        </w:rPr>
        <w:t>484</w:t>
      </w:r>
      <w:r w:rsidR="009D1AD2" w:rsidRPr="00F46944">
        <w:rPr>
          <w:lang w:eastAsia="en-US"/>
        </w:rPr>
        <w:t> </w:t>
      </w:r>
      <w:r w:rsidR="00BB3BAC" w:rsidRPr="00F46944">
        <w:rPr>
          <w:lang w:eastAsia="en-US"/>
        </w:rPr>
        <w:t xml:space="preserve">practices </w:t>
      </w:r>
      <w:r w:rsidR="005763D4" w:rsidRPr="00F46944">
        <w:rPr>
          <w:lang w:eastAsia="en-US"/>
        </w:rPr>
        <w:t>had compatible billing software out of a potential 503</w:t>
      </w:r>
      <w:r w:rsidR="009D1AD2" w:rsidRPr="00F46944">
        <w:rPr>
          <w:lang w:eastAsia="en-US"/>
        </w:rPr>
        <w:t> </w:t>
      </w:r>
      <w:r w:rsidR="005763D4" w:rsidRPr="00F46944">
        <w:rPr>
          <w:lang w:eastAsia="en-US"/>
        </w:rPr>
        <w:t>practices in 2020 and 504</w:t>
      </w:r>
      <w:r w:rsidR="009D1AD2" w:rsidRPr="00F46944">
        <w:rPr>
          <w:lang w:eastAsia="en-US"/>
        </w:rPr>
        <w:t> </w:t>
      </w:r>
      <w:r w:rsidR="005763D4" w:rsidRPr="00F46944">
        <w:rPr>
          <w:lang w:eastAsia="en-US"/>
        </w:rPr>
        <w:t>practices in 2021</w:t>
      </w:r>
      <w:r w:rsidR="00FA5C67" w:rsidRPr="00F46944">
        <w:rPr>
          <w:lang w:eastAsia="en-US"/>
        </w:rPr>
        <w:t>.</w:t>
      </w:r>
      <w:r w:rsidR="00ED7324" w:rsidRPr="00F46944">
        <w:rPr>
          <w:lang w:eastAsia="en-US"/>
        </w:rPr>
        <w:t xml:space="preserve"> </w:t>
      </w:r>
    </w:p>
    <w:p w14:paraId="5A5EA5BE" w14:textId="346A1A80" w:rsidR="0016537F" w:rsidRPr="00F46944" w:rsidRDefault="00452378" w:rsidP="00452378">
      <w:pPr>
        <w:spacing w:before="120" w:after="120"/>
        <w:rPr>
          <w:lang w:eastAsia="en-US"/>
        </w:rPr>
      </w:pPr>
      <w:r w:rsidRPr="00F46944">
        <w:rPr>
          <w:lang w:eastAsia="en-US"/>
        </w:rPr>
        <w:t xml:space="preserve">To support comparison of antimicrobial prescribing rates for face-to-face encounters, the search for MBS items in the </w:t>
      </w:r>
      <w:proofErr w:type="spellStart"/>
      <w:r w:rsidRPr="00F46944">
        <w:rPr>
          <w:lang w:eastAsia="en-US"/>
        </w:rPr>
        <w:t>MedicineInsight</w:t>
      </w:r>
      <w:proofErr w:type="spellEnd"/>
      <w:r w:rsidRPr="00F46944">
        <w:rPr>
          <w:lang w:eastAsia="en-US"/>
        </w:rPr>
        <w:t xml:space="preserve"> database was restricted to telehealth MBS item numbers that directly correlate to face-to-face MBS items as per the MBS changes online fact</w:t>
      </w:r>
      <w:r w:rsidR="00DA53BA" w:rsidRPr="00F46944">
        <w:rPr>
          <w:lang w:eastAsia="en-US"/>
        </w:rPr>
        <w:t xml:space="preserve"> </w:t>
      </w:r>
      <w:r w:rsidRPr="00F46944">
        <w:rPr>
          <w:lang w:eastAsia="en-US"/>
        </w:rPr>
        <w:t>sheet</w:t>
      </w:r>
      <w:r w:rsidR="00DB4131" w:rsidRPr="00F46944">
        <w:rPr>
          <w:lang w:eastAsia="en-US"/>
        </w:rPr>
        <w:t>,</w:t>
      </w:r>
      <w:r w:rsidRPr="00F46944">
        <w:rPr>
          <w:lang w:eastAsia="en-US"/>
        </w:rPr>
        <w:t xml:space="preserve"> </w:t>
      </w:r>
      <w:r w:rsidR="00E23E48" w:rsidRPr="00F46944">
        <w:rPr>
          <w:i/>
          <w:iCs/>
        </w:rPr>
        <w:t xml:space="preserve">Continuing MBS </w:t>
      </w:r>
      <w:r w:rsidR="00A70B58">
        <w:rPr>
          <w:i/>
          <w:iCs/>
        </w:rPr>
        <w:t>T</w:t>
      </w:r>
      <w:r w:rsidR="00A70B58" w:rsidRPr="00F46944">
        <w:rPr>
          <w:i/>
          <w:iCs/>
        </w:rPr>
        <w:t xml:space="preserve">elehealth </w:t>
      </w:r>
      <w:r w:rsidR="00E23E48" w:rsidRPr="00F46944">
        <w:rPr>
          <w:i/>
          <w:iCs/>
        </w:rPr>
        <w:t>Services</w:t>
      </w:r>
      <w:r w:rsidR="00310179" w:rsidRPr="00F46944">
        <w:rPr>
          <w:lang w:eastAsia="en-US"/>
        </w:rPr>
        <w:t>.</w:t>
      </w:r>
      <w:r w:rsidR="00310179" w:rsidRPr="00F46944">
        <w:rPr>
          <w:lang w:eastAsia="en-US"/>
        </w:rPr>
        <w:fldChar w:fldCharType="begin"/>
      </w:r>
      <w:r w:rsidR="00412507">
        <w:rPr>
          <w:lang w:eastAsia="en-US"/>
        </w:rPr>
        <w:instrText xml:space="preserve"> ADDIN EN.CITE &lt;EndNote&gt;&lt;Cite&gt;&lt;Author&gt;Care&lt;/Author&gt;&lt;Year&gt;2022&lt;/Year&gt;&lt;RecNum&gt;16&lt;/RecNum&gt;&lt;DisplayText&gt;&lt;style face="superscript"&gt;17&lt;/style&gt;&lt;/DisplayText&gt;&lt;record&gt;&lt;rec-number&gt;16&lt;/rec-number&gt;&lt;foreign-keys&gt;&lt;key app="EN" db-id="es9dr99ws90stoe5x2rp505nazvswdzppxa5" timestamp="1670810542"&gt;16&lt;/key&gt;&lt;/foreign-keys&gt;&lt;ref-type name="Web Page"&gt;12&lt;/ref-type&gt;&lt;contributors&gt;&lt;authors&gt;&lt;author&gt;Australian Government Department of Health and Aged Care&lt;/author&gt;&lt;/authors&gt;&lt;/contributors&gt;&lt;titles&gt;&lt;title&gt;MBS changes factsheet&lt;/title&gt;&lt;/titles&gt;&lt;number&gt;May 2022&lt;/number&gt;&lt;dates&gt;&lt;year&gt;2022&lt;/year&gt;&lt;/dates&gt;&lt;urls&gt;&lt;related-urls&gt;&lt;url&gt;http://www.mbsonline.gov.au/internet/mbsonline/publishing.nsf/Content/2211355D5611CA3DCA2587A70006FF09/$File/Factsheet-telehealth-GPs-OMP.v.13.04.22.pdf&lt;/url&gt;&lt;/related-urls&gt;&lt;/urls&gt;&lt;/record&gt;&lt;/Cite&gt;&lt;/EndNote&gt;</w:instrText>
      </w:r>
      <w:r w:rsidR="00310179" w:rsidRPr="00F46944">
        <w:rPr>
          <w:lang w:eastAsia="en-US"/>
        </w:rPr>
        <w:fldChar w:fldCharType="separate"/>
      </w:r>
      <w:r w:rsidR="00C16B8F" w:rsidRPr="00C16B8F">
        <w:rPr>
          <w:noProof/>
          <w:vertAlign w:val="superscript"/>
          <w:lang w:eastAsia="en-US"/>
        </w:rPr>
        <w:t>17</w:t>
      </w:r>
      <w:r w:rsidR="00310179" w:rsidRPr="00F46944">
        <w:rPr>
          <w:lang w:eastAsia="en-US"/>
        </w:rPr>
        <w:fldChar w:fldCharType="end"/>
      </w:r>
    </w:p>
    <w:p w14:paraId="05F269A8" w14:textId="0D5A403A" w:rsidR="00452378" w:rsidRPr="00F46944" w:rsidRDefault="00452378" w:rsidP="00452378">
      <w:pPr>
        <w:spacing w:before="120" w:after="120"/>
        <w:rPr>
          <w:lang w:eastAsia="en-US"/>
        </w:rPr>
      </w:pPr>
      <w:r w:rsidRPr="00F46944">
        <w:rPr>
          <w:lang w:eastAsia="en-US"/>
        </w:rPr>
        <w:t>It is important to note that:</w:t>
      </w:r>
    </w:p>
    <w:p w14:paraId="3FCC00B6" w14:textId="620BCB56" w:rsidR="00452378" w:rsidRPr="00F46944" w:rsidRDefault="00452378" w:rsidP="003140B6">
      <w:pPr>
        <w:pStyle w:val="ListParagraph"/>
        <w:numPr>
          <w:ilvl w:val="0"/>
          <w:numId w:val="31"/>
        </w:numPr>
        <w:spacing w:before="120" w:after="120"/>
        <w:ind w:left="360"/>
        <w:rPr>
          <w:lang w:eastAsia="en-US"/>
        </w:rPr>
      </w:pPr>
      <w:r w:rsidRPr="00F46944">
        <w:rPr>
          <w:lang w:eastAsia="en-US"/>
        </w:rPr>
        <w:t xml:space="preserve">Telehealth MBS items changed during the </w:t>
      </w:r>
      <w:r w:rsidR="00DE27C5" w:rsidRPr="00F46944">
        <w:rPr>
          <w:lang w:eastAsia="en-US"/>
        </w:rPr>
        <w:t xml:space="preserve">COVID-19 </w:t>
      </w:r>
      <w:r w:rsidRPr="00F46944">
        <w:rPr>
          <w:lang w:eastAsia="en-US"/>
        </w:rPr>
        <w:t xml:space="preserve">pandemic, so </w:t>
      </w:r>
      <w:r w:rsidR="00DE27C5" w:rsidRPr="00F46944">
        <w:rPr>
          <w:lang w:eastAsia="en-US"/>
        </w:rPr>
        <w:t xml:space="preserve">that </w:t>
      </w:r>
      <w:r w:rsidRPr="00F46944">
        <w:rPr>
          <w:lang w:eastAsia="en-US"/>
        </w:rPr>
        <w:t>both current and obsolete MBS telehealth items were included</w:t>
      </w:r>
    </w:p>
    <w:p w14:paraId="1044262E" w14:textId="77777777" w:rsidR="00452378" w:rsidRPr="00F46944" w:rsidRDefault="00452378" w:rsidP="003140B6">
      <w:pPr>
        <w:pStyle w:val="ListParagraph"/>
        <w:numPr>
          <w:ilvl w:val="0"/>
          <w:numId w:val="31"/>
        </w:numPr>
        <w:spacing w:before="120" w:after="120"/>
        <w:ind w:left="360"/>
        <w:rPr>
          <w:lang w:eastAsia="en-US"/>
        </w:rPr>
      </w:pPr>
      <w:r w:rsidRPr="00F46944">
        <w:rPr>
          <w:lang w:eastAsia="en-US"/>
        </w:rPr>
        <w:t>Items were excluded for health assessments for Aboriginal and Torres Strait Islander patients (small numbers), pregnancy support counselling, autism and eating disorders. All other telehealth MBS items were included (including the blood-borne virus, sexual and reproductive health items added in July 2021)</w:t>
      </w:r>
    </w:p>
    <w:p w14:paraId="217960F2" w14:textId="6B5F5A60" w:rsidR="00452378" w:rsidRPr="00F46944" w:rsidRDefault="00452378" w:rsidP="003140B6">
      <w:pPr>
        <w:pStyle w:val="ListParagraph"/>
        <w:numPr>
          <w:ilvl w:val="0"/>
          <w:numId w:val="31"/>
        </w:numPr>
        <w:spacing w:before="120" w:after="120"/>
        <w:ind w:left="360"/>
        <w:rPr>
          <w:lang w:eastAsia="en-US"/>
        </w:rPr>
      </w:pPr>
      <w:r w:rsidRPr="00F46944">
        <w:rPr>
          <w:lang w:eastAsia="en-US"/>
        </w:rPr>
        <w:t xml:space="preserve">There are many more MBS items </w:t>
      </w:r>
      <w:r w:rsidR="00BB3BAC" w:rsidRPr="00F46944">
        <w:rPr>
          <w:lang w:eastAsia="en-US"/>
        </w:rPr>
        <w:t xml:space="preserve">for consultations </w:t>
      </w:r>
      <w:r w:rsidRPr="00F46944">
        <w:rPr>
          <w:lang w:eastAsia="en-US"/>
        </w:rPr>
        <w:t>than listed in the fact</w:t>
      </w:r>
      <w:r w:rsidR="00DA53BA" w:rsidRPr="00F46944">
        <w:rPr>
          <w:lang w:eastAsia="en-US"/>
        </w:rPr>
        <w:t xml:space="preserve"> </w:t>
      </w:r>
      <w:r w:rsidRPr="00F46944">
        <w:rPr>
          <w:lang w:eastAsia="en-US"/>
        </w:rPr>
        <w:t>sheet. Some of these are likely to be face-to-face MBS items. As there is no identifiable direct correlation between the</w:t>
      </w:r>
      <w:r w:rsidR="00D217C3">
        <w:rPr>
          <w:lang w:eastAsia="en-US"/>
        </w:rPr>
        <w:t xml:space="preserve"> above</w:t>
      </w:r>
      <w:r w:rsidRPr="00F46944">
        <w:rPr>
          <w:lang w:eastAsia="en-US"/>
        </w:rPr>
        <w:t xml:space="preserve"> MBS and the telehealth items, the</w:t>
      </w:r>
      <w:r w:rsidR="00D217C3">
        <w:rPr>
          <w:lang w:eastAsia="en-US"/>
        </w:rPr>
        <w:t xml:space="preserve"> above</w:t>
      </w:r>
      <w:r w:rsidRPr="00F46944">
        <w:rPr>
          <w:lang w:eastAsia="en-US"/>
        </w:rPr>
        <w:t xml:space="preserve"> MBS items were not included in the data extract. </w:t>
      </w:r>
    </w:p>
    <w:p w14:paraId="5C2D45D6" w14:textId="7E0B914C" w:rsidR="00445A19" w:rsidRPr="00F46944" w:rsidRDefault="00445A19" w:rsidP="009C0E25">
      <w:pPr>
        <w:rPr>
          <w:rFonts w:asciiTheme="majorHAnsi" w:hAnsiTheme="majorHAnsi" w:cstheme="majorHAnsi"/>
        </w:rPr>
      </w:pPr>
      <w:r w:rsidRPr="00F46944">
        <w:br w:type="page"/>
      </w:r>
    </w:p>
    <w:p w14:paraId="04168A4D" w14:textId="21E3E585" w:rsidR="00502A3D" w:rsidRPr="00F46944" w:rsidRDefault="00D52FD5" w:rsidP="00720718">
      <w:pPr>
        <w:pStyle w:val="Heading1"/>
        <w:rPr>
          <w:rFonts w:asciiTheme="majorHAnsi" w:hAnsiTheme="majorHAnsi" w:cstheme="majorHAnsi"/>
          <w:color w:val="595959" w:themeColor="text1" w:themeTint="A6"/>
        </w:rPr>
      </w:pPr>
      <w:bookmarkStart w:id="49" w:name="_Toc121826729"/>
      <w:r w:rsidRPr="00F46944">
        <w:rPr>
          <w:rFonts w:asciiTheme="majorHAnsi" w:hAnsiTheme="majorHAnsi" w:cstheme="majorHAnsi"/>
          <w:color w:val="595959" w:themeColor="text1" w:themeTint="A6"/>
        </w:rPr>
        <w:lastRenderedPageBreak/>
        <w:t xml:space="preserve">Results and </w:t>
      </w:r>
      <w:r w:rsidR="00C20571" w:rsidRPr="00F46944">
        <w:rPr>
          <w:rFonts w:asciiTheme="majorHAnsi" w:hAnsiTheme="majorHAnsi" w:cstheme="majorHAnsi"/>
          <w:color w:val="595959" w:themeColor="text1" w:themeTint="A6"/>
        </w:rPr>
        <w:t>d</w:t>
      </w:r>
      <w:r w:rsidRPr="00F46944">
        <w:rPr>
          <w:rFonts w:asciiTheme="majorHAnsi" w:hAnsiTheme="majorHAnsi" w:cstheme="majorHAnsi"/>
          <w:color w:val="595959" w:themeColor="text1" w:themeTint="A6"/>
        </w:rPr>
        <w:t xml:space="preserve">escriptive </w:t>
      </w:r>
      <w:r w:rsidR="00C20571" w:rsidRPr="00F46944">
        <w:rPr>
          <w:rFonts w:asciiTheme="majorHAnsi" w:hAnsiTheme="majorHAnsi" w:cstheme="majorHAnsi"/>
          <w:color w:val="595959" w:themeColor="text1" w:themeTint="A6"/>
        </w:rPr>
        <w:t>a</w:t>
      </w:r>
      <w:r w:rsidRPr="00F46944">
        <w:rPr>
          <w:rFonts w:asciiTheme="majorHAnsi" w:hAnsiTheme="majorHAnsi" w:cstheme="majorHAnsi"/>
          <w:color w:val="595959" w:themeColor="text1" w:themeTint="A6"/>
        </w:rPr>
        <w:t>nalyses</w:t>
      </w:r>
      <w:bookmarkEnd w:id="49"/>
    </w:p>
    <w:p w14:paraId="2AC0724E" w14:textId="074DCDDA" w:rsidR="00CB733F" w:rsidRPr="00F46944" w:rsidRDefault="001A3903" w:rsidP="009424A5">
      <w:pPr>
        <w:pStyle w:val="Heading3"/>
        <w:rPr>
          <w:rFonts w:asciiTheme="majorHAnsi" w:hAnsiTheme="majorHAnsi"/>
        </w:rPr>
      </w:pPr>
      <w:bookmarkStart w:id="50" w:name="_Toc121826730"/>
      <w:bookmarkStart w:id="51" w:name="_Hlk98852892"/>
      <w:bookmarkEnd w:id="26"/>
      <w:r w:rsidRPr="00F46944">
        <w:rPr>
          <w:rFonts w:asciiTheme="majorHAnsi" w:hAnsiTheme="majorHAnsi"/>
        </w:rPr>
        <w:t>Pharmaceutical Benefits Scheme</w:t>
      </w:r>
      <w:r w:rsidR="00A66614" w:rsidRPr="00F46944">
        <w:rPr>
          <w:rFonts w:asciiTheme="majorHAnsi" w:hAnsiTheme="majorHAnsi"/>
        </w:rPr>
        <w:t xml:space="preserve"> </w:t>
      </w:r>
      <w:r w:rsidRPr="00F46944">
        <w:rPr>
          <w:rFonts w:asciiTheme="majorHAnsi" w:hAnsiTheme="majorHAnsi"/>
        </w:rPr>
        <w:t>and</w:t>
      </w:r>
      <w:r w:rsidR="00D62C5C">
        <w:rPr>
          <w:rFonts w:asciiTheme="majorHAnsi" w:hAnsiTheme="majorHAnsi"/>
        </w:rPr>
        <w:t xml:space="preserve"> </w:t>
      </w:r>
      <w:r w:rsidR="00E26F35">
        <w:rPr>
          <w:rFonts w:asciiTheme="majorHAnsi" w:hAnsiTheme="majorHAnsi"/>
        </w:rPr>
        <w:br/>
      </w:r>
      <w:r w:rsidRPr="00F46944">
        <w:rPr>
          <w:rFonts w:asciiTheme="majorHAnsi" w:hAnsiTheme="majorHAnsi"/>
        </w:rPr>
        <w:t>Repatriation Pharmaceutical Benefits Scheme</w:t>
      </w:r>
      <w:bookmarkEnd w:id="50"/>
    </w:p>
    <w:bookmarkEnd w:id="51"/>
    <w:p w14:paraId="20739633" w14:textId="121A430D" w:rsidR="001A3903" w:rsidRPr="00F46944" w:rsidRDefault="001A3903" w:rsidP="001A3903">
      <w:pPr>
        <w:pStyle w:val="Heading4"/>
        <w:rPr>
          <w:rFonts w:asciiTheme="majorHAnsi" w:hAnsiTheme="majorHAnsi" w:cstheme="majorHAnsi"/>
        </w:rPr>
      </w:pPr>
      <w:r w:rsidRPr="00F46944">
        <w:rPr>
          <w:rFonts w:asciiTheme="majorHAnsi" w:hAnsiTheme="majorHAnsi" w:cstheme="majorHAnsi"/>
        </w:rPr>
        <w:t>Prescription volume</w:t>
      </w:r>
    </w:p>
    <w:p w14:paraId="5878FA71" w14:textId="532FFB5B" w:rsidR="00233672" w:rsidRPr="00F46944" w:rsidRDefault="00233672" w:rsidP="00233672">
      <w:r w:rsidRPr="00F46944">
        <w:t>In 2020, there were 20,095,926 antimicrobial prescriptions supplied under the PBS/RPBS (</w:t>
      </w:r>
      <w:r w:rsidRPr="00A249B7">
        <w:t>Table</w:t>
      </w:r>
      <w:r w:rsidR="00EC277F">
        <w:t> </w:t>
      </w:r>
      <w:r w:rsidRPr="00A249B7">
        <w:t>5</w:t>
      </w:r>
      <w:r w:rsidRPr="00F46944">
        <w:t xml:space="preserve">). This was a </w:t>
      </w:r>
      <w:r w:rsidR="00ED5908">
        <w:t>24.6</w:t>
      </w:r>
      <w:r w:rsidRPr="00F46944">
        <w:t>% decrease compared to the number of PBS/RPBS antimicrobial prescriptions supplied in 2019 (</w:t>
      </w:r>
      <w:r w:rsidRPr="00F46944">
        <w:rPr>
          <w:i/>
          <w:iCs/>
        </w:rPr>
        <w:t>n </w:t>
      </w:r>
      <w:r w:rsidRPr="00F46944">
        <w:t xml:space="preserve">= 26,669,561). </w:t>
      </w:r>
    </w:p>
    <w:p w14:paraId="342CB6C4" w14:textId="1F9B6E71" w:rsidR="00233672" w:rsidRDefault="00233672" w:rsidP="00233672">
      <w:r w:rsidRPr="00F46944">
        <w:t>In 2021, there were 19,931,271 antimicrobial prescriptions supplied under the PBS/RPBS, which was a 0.8% decrease compared to 2020</w:t>
      </w:r>
      <w:r w:rsidR="00536CA1">
        <w:t>, and a 25.3% decrease compared to 2019</w:t>
      </w:r>
      <w:r w:rsidRPr="00F46944">
        <w:t xml:space="preserve">. </w:t>
      </w:r>
    </w:p>
    <w:p w14:paraId="326C3E64" w14:textId="27B432AF" w:rsidR="00233672" w:rsidRPr="00F46944" w:rsidRDefault="00233672" w:rsidP="00233672">
      <w:r w:rsidRPr="00F46944">
        <w:t xml:space="preserve">The decrease in antimicrobial use observed in 2020 and 2021 </w:t>
      </w:r>
      <w:r w:rsidR="00E0396F">
        <w:t xml:space="preserve">compared to 2019 </w:t>
      </w:r>
      <w:r w:rsidRPr="00F46944">
        <w:t>was seen across all Australian states and territories.</w:t>
      </w:r>
    </w:p>
    <w:p w14:paraId="7DA25D36" w14:textId="66408DEC" w:rsidR="00233672" w:rsidRPr="00F46944" w:rsidRDefault="00233672" w:rsidP="00233672">
      <w:r w:rsidRPr="00F46944">
        <w:t>In 2020, 32.1% (</w:t>
      </w:r>
      <w:r w:rsidRPr="00F46944">
        <w:rPr>
          <w:i/>
          <w:iCs/>
        </w:rPr>
        <w:t>n</w:t>
      </w:r>
      <w:r w:rsidRPr="00F46944">
        <w:t> = 8,234,276) of the Australian population had at least one antimicrobial supplied under the PBS/RPBS, compared to 40.3% (</w:t>
      </w:r>
      <w:r w:rsidRPr="00F46944">
        <w:rPr>
          <w:i/>
          <w:iCs/>
        </w:rPr>
        <w:t>n</w:t>
      </w:r>
      <w:r w:rsidRPr="00F46944">
        <w:t> = 10,227,693) in 2019 (</w:t>
      </w:r>
      <w:r>
        <w:t>19.5</w:t>
      </w:r>
      <w:r w:rsidRPr="00F46944">
        <w:t xml:space="preserve">% decrease). </w:t>
      </w:r>
    </w:p>
    <w:p w14:paraId="58DEED7B" w14:textId="27FCED39" w:rsidR="00233672" w:rsidRPr="00F46944" w:rsidRDefault="00233672" w:rsidP="00233672">
      <w:r w:rsidRPr="00F46944">
        <w:t>In 2021, 32.9% (</w:t>
      </w:r>
      <w:r w:rsidRPr="00F46944">
        <w:rPr>
          <w:i/>
          <w:iCs/>
        </w:rPr>
        <w:t>n</w:t>
      </w:r>
      <w:r w:rsidRPr="00F46944">
        <w:t> = 8,468,093) of the Australian population had at least one antimicrobial supplied under the PBS/RPBS, which was a slight increase of 2.</w:t>
      </w:r>
      <w:r>
        <w:t>8</w:t>
      </w:r>
      <w:r w:rsidRPr="00F46944">
        <w:t xml:space="preserve">% compared </w:t>
      </w:r>
      <w:r w:rsidR="00E775A2">
        <w:t>to</w:t>
      </w:r>
      <w:r w:rsidRPr="00F46944">
        <w:t xml:space="preserve"> 2020. </w:t>
      </w:r>
    </w:p>
    <w:p w14:paraId="7B49741A" w14:textId="5B686A98" w:rsidR="00233672" w:rsidRPr="00F46944" w:rsidRDefault="00233672" w:rsidP="00233672">
      <w:r w:rsidRPr="00F46944">
        <w:t xml:space="preserve">There was also a small decrease in the number of prescriptions </w:t>
      </w:r>
      <w:r w:rsidR="00632333">
        <w:t xml:space="preserve">supplied </w:t>
      </w:r>
      <w:r w:rsidRPr="00F46944">
        <w:t>per person among people who received antimicrobials during this time: there were 2.61 antimicrobial prescriptions per person in 2019 compared to 2.44 in 2020 and 2.35 in 2021</w:t>
      </w:r>
      <w:r>
        <w:t xml:space="preserve"> (data not shown)</w:t>
      </w:r>
      <w:r w:rsidRPr="00F46944">
        <w:t>.</w:t>
      </w:r>
    </w:p>
    <w:p w14:paraId="676E0340" w14:textId="39BD3BEA" w:rsidR="00233672" w:rsidRDefault="00632333" w:rsidP="00233672">
      <w:r>
        <w:t>T</w:t>
      </w:r>
      <w:r w:rsidR="00233672" w:rsidRPr="00F46944">
        <w:t xml:space="preserve">here was a slight increase in the number of Australians who had an antimicrobial dispensed under the PBS/RPBS between 2020 and 2021, </w:t>
      </w:r>
      <w:r>
        <w:t xml:space="preserve">however </w:t>
      </w:r>
      <w:r w:rsidR="00233672" w:rsidRPr="00F46944">
        <w:t xml:space="preserve">the number of antimicrobial prescriptions supplied per person decreased in the same period. These changes were small compared to the differences observed between 2019 and 2020. </w:t>
      </w:r>
    </w:p>
    <w:p w14:paraId="1D8132EC" w14:textId="0DCB5736" w:rsidR="00CE4872" w:rsidRDefault="00233672" w:rsidP="00233672">
      <w:pPr>
        <w:rPr>
          <w:rFonts w:cstheme="minorHAnsi"/>
        </w:rPr>
      </w:pPr>
      <w:r w:rsidRPr="00F46944">
        <w:rPr>
          <w:rFonts w:cstheme="minorHAnsi"/>
        </w:rPr>
        <w:t>In 2015, non-J01 </w:t>
      </w:r>
      <w:r w:rsidRPr="00F46944">
        <w:t>antimicrobials</w:t>
      </w:r>
      <w:r w:rsidRPr="00F46944">
        <w:rPr>
          <w:rFonts w:cstheme="minorHAnsi"/>
        </w:rPr>
        <w:t xml:space="preserve"> comprised 8.4% of all prescriptions dispensed (</w:t>
      </w:r>
      <w:r w:rsidRPr="00E0396F">
        <w:rPr>
          <w:rFonts w:cstheme="minorHAnsi"/>
        </w:rPr>
        <w:t>Table</w:t>
      </w:r>
      <w:r w:rsidRPr="00EA1E2A">
        <w:rPr>
          <w:rFonts w:cstheme="minorHAnsi"/>
        </w:rPr>
        <w:t> </w:t>
      </w:r>
      <w:r w:rsidRPr="00E0396F">
        <w:rPr>
          <w:rFonts w:cstheme="minorHAnsi"/>
        </w:rPr>
        <w:t>5</w:t>
      </w:r>
      <w:r w:rsidRPr="00F46944">
        <w:rPr>
          <w:rFonts w:cstheme="minorHAnsi"/>
        </w:rPr>
        <w:t xml:space="preserve">). However, in 2016, chloramphenicol eye drops were rescheduled to become available over the counter without a prescription, resulting in a substantial drop in the total volume of non-J01 prescriptions. </w:t>
      </w:r>
    </w:p>
    <w:p w14:paraId="46455CF2" w14:textId="2BB04684" w:rsidR="00233672" w:rsidRPr="00F46944" w:rsidRDefault="00233672" w:rsidP="00233672">
      <w:pPr>
        <w:rPr>
          <w:rFonts w:cstheme="minorHAnsi"/>
        </w:rPr>
      </w:pPr>
      <w:r w:rsidRPr="00F46944">
        <w:rPr>
          <w:rFonts w:cstheme="minorHAnsi"/>
        </w:rPr>
        <w:t>The proportion of prescriptions dispensed for non-J01 </w:t>
      </w:r>
      <w:r w:rsidRPr="00F46944">
        <w:t>antimicrobials</w:t>
      </w:r>
      <w:r w:rsidRPr="00F46944">
        <w:rPr>
          <w:rFonts w:cstheme="minorHAnsi"/>
        </w:rPr>
        <w:t xml:space="preserve"> has increased steadily since 2016, and these </w:t>
      </w:r>
      <w:r w:rsidRPr="00F46944">
        <w:t>antimicrobials</w:t>
      </w:r>
      <w:r w:rsidRPr="00F46944">
        <w:rPr>
          <w:rFonts w:cstheme="minorHAnsi"/>
        </w:rPr>
        <w:t xml:space="preserve"> accounted for 3.3% of prescriptions in 2020 and 3.6% of prescriptions in 2021. There are no data available for topical </w:t>
      </w:r>
      <w:r w:rsidRPr="00F46944">
        <w:t>antimicrobials</w:t>
      </w:r>
      <w:r w:rsidRPr="00F46944">
        <w:rPr>
          <w:rFonts w:cstheme="minorHAnsi"/>
        </w:rPr>
        <w:t xml:space="preserve"> that are provided over the counter.</w:t>
      </w:r>
    </w:p>
    <w:p w14:paraId="4BF80347" w14:textId="6E0B90A5" w:rsidR="00233672" w:rsidRPr="00F46944" w:rsidRDefault="00233672" w:rsidP="00233672"/>
    <w:p w14:paraId="72104677" w14:textId="77777777" w:rsidR="00233672" w:rsidRDefault="00233672">
      <w:pPr>
        <w:spacing w:after="80"/>
        <w:rPr>
          <w:rStyle w:val="figurenumber"/>
          <w:rFonts w:asciiTheme="majorHAnsi" w:hAnsiTheme="majorHAnsi" w:cstheme="majorHAnsi"/>
          <w:b/>
          <w:bCs/>
          <w:color w:val="000000"/>
          <w:szCs w:val="21"/>
        </w:rPr>
      </w:pPr>
      <w:r>
        <w:rPr>
          <w:rStyle w:val="figurenumber"/>
          <w:rFonts w:asciiTheme="majorHAnsi" w:hAnsiTheme="majorHAnsi" w:cstheme="majorHAnsi"/>
        </w:rPr>
        <w:br w:type="page"/>
      </w:r>
    </w:p>
    <w:p w14:paraId="04A2A21F" w14:textId="2BAED26C" w:rsidR="00233672" w:rsidRPr="00625242" w:rsidRDefault="00625242" w:rsidP="003C4A56">
      <w:pPr>
        <w:pStyle w:val="Captions"/>
        <w:rPr>
          <w:b w:val="0"/>
          <w:bCs w:val="0"/>
        </w:rPr>
      </w:pPr>
      <w:bookmarkStart w:id="52" w:name="_Toc121744365"/>
      <w:bookmarkStart w:id="53" w:name="_Toc121491305"/>
      <w:r>
        <w:lastRenderedPageBreak/>
        <w:t>Table</w:t>
      </w:r>
      <w:r w:rsidRPr="00EA1E2A">
        <w:t> </w:t>
      </w:r>
      <w:fldSimple w:instr=" SEQ Table \* ARABIC ">
        <w:r w:rsidR="00F34DDD">
          <w:rPr>
            <w:noProof/>
          </w:rPr>
          <w:t>5</w:t>
        </w:r>
      </w:fldSimple>
      <w:r w:rsidR="00233672" w:rsidRPr="00EA1E2A">
        <w:t>:</w:t>
      </w:r>
      <w:r w:rsidR="00233672" w:rsidRPr="00625242">
        <w:rPr>
          <w:b w:val="0"/>
          <w:bCs w:val="0"/>
        </w:rPr>
        <w:t> Number of PBS/RPBS antimicrobial prescriptions dispensed, 2015–2021</w:t>
      </w:r>
      <w:bookmarkEnd w:id="52"/>
      <w:bookmarkEnd w:id="53"/>
    </w:p>
    <w:tbl>
      <w:tblPr>
        <w:tblStyle w:val="PlainTable2"/>
        <w:tblW w:w="9474" w:type="dxa"/>
        <w:tblLayout w:type="fixed"/>
        <w:tblLook w:val="04A0" w:firstRow="1" w:lastRow="0" w:firstColumn="1" w:lastColumn="0" w:noHBand="0" w:noVBand="1"/>
      </w:tblPr>
      <w:tblGrid>
        <w:gridCol w:w="851"/>
        <w:gridCol w:w="2268"/>
        <w:gridCol w:w="2410"/>
        <w:gridCol w:w="1984"/>
        <w:gridCol w:w="1961"/>
      </w:tblGrid>
      <w:tr w:rsidR="002379EB" w:rsidRPr="00D34887" w14:paraId="16849813" w14:textId="77777777" w:rsidTr="002379EB">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851" w:type="dxa"/>
            <w:shd w:val="clear" w:color="auto" w:fill="F1BBA8" w:themeFill="accent5" w:themeFillTint="66"/>
            <w:vAlign w:val="center"/>
          </w:tcPr>
          <w:p w14:paraId="6E32453E" w14:textId="77777777" w:rsidR="00233672" w:rsidRPr="002379EB" w:rsidRDefault="00233672" w:rsidP="00D77422">
            <w:pPr>
              <w:rPr>
                <w:rFonts w:cstheme="minorHAnsi"/>
                <w:sz w:val="20"/>
                <w:szCs w:val="20"/>
              </w:rPr>
            </w:pPr>
            <w:r w:rsidRPr="002379EB">
              <w:rPr>
                <w:rFonts w:cstheme="minorHAnsi"/>
                <w:sz w:val="20"/>
                <w:szCs w:val="20"/>
              </w:rPr>
              <w:t>Year</w:t>
            </w:r>
          </w:p>
        </w:tc>
        <w:tc>
          <w:tcPr>
            <w:tcW w:w="2268" w:type="dxa"/>
            <w:shd w:val="clear" w:color="auto" w:fill="F1BBA8" w:themeFill="accent5" w:themeFillTint="66"/>
            <w:vAlign w:val="center"/>
          </w:tcPr>
          <w:p w14:paraId="19974E64" w14:textId="77777777" w:rsidR="00233672" w:rsidRPr="002379EB" w:rsidRDefault="00233672" w:rsidP="00D77422">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2379EB">
              <w:rPr>
                <w:rFonts w:cstheme="minorHAnsi"/>
                <w:sz w:val="20"/>
                <w:szCs w:val="20"/>
              </w:rPr>
              <w:t>All antimicrobials (</w:t>
            </w:r>
            <w:r w:rsidRPr="002379EB">
              <w:rPr>
                <w:rFonts w:cstheme="minorHAnsi"/>
                <w:i/>
                <w:iCs/>
                <w:sz w:val="20"/>
                <w:szCs w:val="20"/>
              </w:rPr>
              <w:t>n</w:t>
            </w:r>
            <w:r w:rsidRPr="002379EB">
              <w:rPr>
                <w:rFonts w:cstheme="minorHAnsi"/>
                <w:sz w:val="20"/>
                <w:szCs w:val="20"/>
              </w:rPr>
              <w:t xml:space="preserve">) </w:t>
            </w:r>
          </w:p>
        </w:tc>
        <w:tc>
          <w:tcPr>
            <w:tcW w:w="2410" w:type="dxa"/>
            <w:shd w:val="clear" w:color="auto" w:fill="F1BBA8" w:themeFill="accent5" w:themeFillTint="66"/>
            <w:vAlign w:val="center"/>
          </w:tcPr>
          <w:p w14:paraId="5CA71756" w14:textId="77777777" w:rsidR="00233672" w:rsidRPr="002379EB" w:rsidRDefault="00233672" w:rsidP="00D77422">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2379EB">
              <w:rPr>
                <w:rFonts w:cstheme="minorHAnsi"/>
                <w:sz w:val="20"/>
                <w:szCs w:val="20"/>
              </w:rPr>
              <w:t>J01 antimicrobials (</w:t>
            </w:r>
            <w:r w:rsidRPr="002379EB">
              <w:rPr>
                <w:rFonts w:cstheme="minorHAnsi"/>
                <w:i/>
                <w:iCs/>
                <w:sz w:val="20"/>
                <w:szCs w:val="20"/>
              </w:rPr>
              <w:t>n</w:t>
            </w:r>
            <w:r w:rsidRPr="002379EB">
              <w:rPr>
                <w:rFonts w:cstheme="minorHAnsi"/>
                <w:sz w:val="20"/>
                <w:szCs w:val="20"/>
              </w:rPr>
              <w:t xml:space="preserve">) </w:t>
            </w:r>
          </w:p>
        </w:tc>
        <w:tc>
          <w:tcPr>
            <w:tcW w:w="1984" w:type="dxa"/>
            <w:shd w:val="clear" w:color="auto" w:fill="F1BBA8" w:themeFill="accent5" w:themeFillTint="66"/>
            <w:vAlign w:val="center"/>
          </w:tcPr>
          <w:p w14:paraId="11372340" w14:textId="77777777" w:rsidR="00233672" w:rsidRPr="002379EB" w:rsidRDefault="00233672" w:rsidP="00D77422">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2379EB">
              <w:rPr>
                <w:rFonts w:cstheme="minorHAnsi"/>
                <w:sz w:val="20"/>
                <w:szCs w:val="20"/>
              </w:rPr>
              <w:t>Non-J01 antimicrobials (</w:t>
            </w:r>
            <w:r w:rsidRPr="002379EB">
              <w:rPr>
                <w:rFonts w:cstheme="minorHAnsi"/>
                <w:i/>
                <w:iCs/>
                <w:sz w:val="20"/>
                <w:szCs w:val="20"/>
              </w:rPr>
              <w:t>n</w:t>
            </w:r>
            <w:r w:rsidRPr="002379EB">
              <w:rPr>
                <w:rFonts w:cstheme="minorHAnsi"/>
                <w:sz w:val="20"/>
                <w:szCs w:val="20"/>
              </w:rPr>
              <w:t xml:space="preserve">) </w:t>
            </w:r>
          </w:p>
        </w:tc>
        <w:tc>
          <w:tcPr>
            <w:tcW w:w="1961" w:type="dxa"/>
            <w:shd w:val="clear" w:color="auto" w:fill="F1BBA8" w:themeFill="accent5" w:themeFillTint="66"/>
            <w:vAlign w:val="center"/>
          </w:tcPr>
          <w:p w14:paraId="0B4FFC09" w14:textId="77777777" w:rsidR="00233672" w:rsidRPr="002379EB" w:rsidRDefault="00233672" w:rsidP="00D77422">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2379EB">
              <w:rPr>
                <w:rFonts w:cstheme="minorHAnsi"/>
                <w:sz w:val="20"/>
                <w:szCs w:val="20"/>
              </w:rPr>
              <w:t>Non-J01 antimicrobials (%)</w:t>
            </w:r>
          </w:p>
        </w:tc>
      </w:tr>
      <w:tr w:rsidR="00233672" w:rsidRPr="00D34887" w14:paraId="56616195" w14:textId="77777777" w:rsidTr="002379EB">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51" w:type="dxa"/>
          </w:tcPr>
          <w:p w14:paraId="77CACA38" w14:textId="77777777" w:rsidR="00233672" w:rsidRPr="002379EB" w:rsidRDefault="00233672" w:rsidP="00D77422">
            <w:pPr>
              <w:rPr>
                <w:rFonts w:cstheme="minorHAnsi"/>
                <w:sz w:val="20"/>
                <w:szCs w:val="20"/>
              </w:rPr>
            </w:pPr>
            <w:r w:rsidRPr="002379EB">
              <w:rPr>
                <w:rFonts w:cstheme="minorHAnsi"/>
                <w:color w:val="000000"/>
                <w:sz w:val="20"/>
                <w:szCs w:val="20"/>
              </w:rPr>
              <w:t>2015</w:t>
            </w:r>
          </w:p>
        </w:tc>
        <w:tc>
          <w:tcPr>
            <w:tcW w:w="2268" w:type="dxa"/>
          </w:tcPr>
          <w:p w14:paraId="39BCC4D3" w14:textId="77777777" w:rsidR="00233672" w:rsidRPr="002379EB" w:rsidRDefault="00233672" w:rsidP="002379EB">
            <w:pPr>
              <w:ind w:left="283"/>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379EB">
              <w:rPr>
                <w:rFonts w:cstheme="minorHAnsi"/>
                <w:color w:val="000000"/>
                <w:sz w:val="20"/>
                <w:szCs w:val="20"/>
              </w:rPr>
              <w:t>29,264,932</w:t>
            </w:r>
          </w:p>
        </w:tc>
        <w:tc>
          <w:tcPr>
            <w:tcW w:w="2410" w:type="dxa"/>
          </w:tcPr>
          <w:p w14:paraId="19D79D82" w14:textId="77777777" w:rsidR="00233672" w:rsidRPr="002379EB" w:rsidRDefault="00233672" w:rsidP="002379EB">
            <w:pPr>
              <w:ind w:left="283"/>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379EB">
              <w:rPr>
                <w:rFonts w:cstheme="minorHAnsi"/>
                <w:color w:val="000000"/>
                <w:sz w:val="20"/>
                <w:szCs w:val="20"/>
              </w:rPr>
              <w:t>26,813,587</w:t>
            </w:r>
          </w:p>
        </w:tc>
        <w:tc>
          <w:tcPr>
            <w:tcW w:w="1984" w:type="dxa"/>
          </w:tcPr>
          <w:p w14:paraId="7FC2494F" w14:textId="77777777" w:rsidR="00233672" w:rsidRPr="002379EB" w:rsidRDefault="00233672" w:rsidP="002379EB">
            <w:pPr>
              <w:ind w:left="283"/>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379EB">
              <w:rPr>
                <w:rFonts w:cstheme="minorHAnsi"/>
                <w:color w:val="000000"/>
                <w:sz w:val="20"/>
                <w:szCs w:val="20"/>
              </w:rPr>
              <w:t>2,451,345</w:t>
            </w:r>
          </w:p>
        </w:tc>
        <w:tc>
          <w:tcPr>
            <w:tcW w:w="1961" w:type="dxa"/>
          </w:tcPr>
          <w:p w14:paraId="5B8347AB" w14:textId="77777777" w:rsidR="00233672" w:rsidRPr="002379EB" w:rsidRDefault="00233672" w:rsidP="002379EB">
            <w:pPr>
              <w:ind w:left="283"/>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379EB">
              <w:rPr>
                <w:rFonts w:cstheme="minorHAnsi"/>
                <w:color w:val="000000"/>
                <w:sz w:val="20"/>
                <w:szCs w:val="20"/>
              </w:rPr>
              <w:t>8.4%</w:t>
            </w:r>
          </w:p>
        </w:tc>
      </w:tr>
      <w:tr w:rsidR="00233672" w:rsidRPr="00D34887" w14:paraId="2B6BAF7A" w14:textId="77777777" w:rsidTr="002379EB">
        <w:trPr>
          <w:trHeight w:val="484"/>
        </w:trPr>
        <w:tc>
          <w:tcPr>
            <w:cnfStyle w:val="001000000000" w:firstRow="0" w:lastRow="0" w:firstColumn="1" w:lastColumn="0" w:oddVBand="0" w:evenVBand="0" w:oddHBand="0" w:evenHBand="0" w:firstRowFirstColumn="0" w:firstRowLastColumn="0" w:lastRowFirstColumn="0" w:lastRowLastColumn="0"/>
            <w:tcW w:w="851" w:type="dxa"/>
          </w:tcPr>
          <w:p w14:paraId="70E971A2" w14:textId="77777777" w:rsidR="00233672" w:rsidRPr="002379EB" w:rsidRDefault="00233672" w:rsidP="00D77422">
            <w:pPr>
              <w:rPr>
                <w:rFonts w:cstheme="minorHAnsi"/>
                <w:sz w:val="20"/>
                <w:szCs w:val="20"/>
              </w:rPr>
            </w:pPr>
            <w:r w:rsidRPr="002379EB">
              <w:rPr>
                <w:rFonts w:cstheme="minorHAnsi"/>
                <w:color w:val="000000"/>
                <w:sz w:val="20"/>
                <w:szCs w:val="20"/>
              </w:rPr>
              <w:t>2016</w:t>
            </w:r>
          </w:p>
        </w:tc>
        <w:tc>
          <w:tcPr>
            <w:tcW w:w="2268" w:type="dxa"/>
          </w:tcPr>
          <w:p w14:paraId="46B95241" w14:textId="77777777" w:rsidR="00233672" w:rsidRPr="002379EB" w:rsidRDefault="00233672" w:rsidP="002379EB">
            <w:pPr>
              <w:ind w:left="283"/>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379EB">
              <w:rPr>
                <w:rFonts w:cstheme="minorHAnsi"/>
                <w:color w:val="000000"/>
                <w:sz w:val="20"/>
                <w:szCs w:val="20"/>
              </w:rPr>
              <w:t>27,324,648</w:t>
            </w:r>
          </w:p>
        </w:tc>
        <w:tc>
          <w:tcPr>
            <w:tcW w:w="2410" w:type="dxa"/>
          </w:tcPr>
          <w:p w14:paraId="4E9571F0" w14:textId="77777777" w:rsidR="00233672" w:rsidRPr="002379EB" w:rsidRDefault="00233672" w:rsidP="002379EB">
            <w:pPr>
              <w:ind w:left="283"/>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379EB">
              <w:rPr>
                <w:rFonts w:cstheme="minorHAnsi"/>
                <w:color w:val="000000"/>
                <w:sz w:val="20"/>
                <w:szCs w:val="20"/>
              </w:rPr>
              <w:t>26,926,933</w:t>
            </w:r>
          </w:p>
        </w:tc>
        <w:tc>
          <w:tcPr>
            <w:tcW w:w="1984" w:type="dxa"/>
          </w:tcPr>
          <w:p w14:paraId="5640D45C" w14:textId="77777777" w:rsidR="00233672" w:rsidRPr="002379EB" w:rsidRDefault="00233672" w:rsidP="002379EB">
            <w:pPr>
              <w:ind w:left="283"/>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379EB">
              <w:rPr>
                <w:rFonts w:cstheme="minorHAnsi"/>
                <w:color w:val="000000"/>
                <w:sz w:val="20"/>
                <w:szCs w:val="20"/>
              </w:rPr>
              <w:t>397,715</w:t>
            </w:r>
          </w:p>
        </w:tc>
        <w:tc>
          <w:tcPr>
            <w:tcW w:w="1961" w:type="dxa"/>
          </w:tcPr>
          <w:p w14:paraId="101FB4E7" w14:textId="77777777" w:rsidR="00233672" w:rsidRPr="002379EB" w:rsidRDefault="00233672" w:rsidP="002379EB">
            <w:pPr>
              <w:ind w:left="283"/>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379EB">
              <w:rPr>
                <w:rFonts w:cstheme="minorHAnsi"/>
                <w:color w:val="000000"/>
                <w:sz w:val="20"/>
                <w:szCs w:val="20"/>
              </w:rPr>
              <w:t>1.5%</w:t>
            </w:r>
          </w:p>
        </w:tc>
      </w:tr>
      <w:tr w:rsidR="00233672" w:rsidRPr="00D34887" w14:paraId="2ACB82E9" w14:textId="77777777" w:rsidTr="002379EB">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51" w:type="dxa"/>
          </w:tcPr>
          <w:p w14:paraId="5D379F94" w14:textId="77777777" w:rsidR="00233672" w:rsidRPr="002379EB" w:rsidRDefault="00233672" w:rsidP="00D77422">
            <w:pPr>
              <w:rPr>
                <w:rFonts w:cstheme="minorHAnsi"/>
                <w:sz w:val="20"/>
                <w:szCs w:val="20"/>
              </w:rPr>
            </w:pPr>
            <w:r w:rsidRPr="002379EB">
              <w:rPr>
                <w:rFonts w:cstheme="minorHAnsi"/>
                <w:color w:val="000000"/>
                <w:sz w:val="20"/>
                <w:szCs w:val="20"/>
              </w:rPr>
              <w:t>2017</w:t>
            </w:r>
          </w:p>
        </w:tc>
        <w:tc>
          <w:tcPr>
            <w:tcW w:w="2268" w:type="dxa"/>
          </w:tcPr>
          <w:p w14:paraId="39F1DCD0" w14:textId="77777777" w:rsidR="00233672" w:rsidRPr="002379EB" w:rsidRDefault="00233672" w:rsidP="002379EB">
            <w:pPr>
              <w:ind w:left="283"/>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379EB">
              <w:rPr>
                <w:rFonts w:cstheme="minorHAnsi"/>
                <w:color w:val="000000"/>
                <w:sz w:val="20"/>
                <w:szCs w:val="20"/>
              </w:rPr>
              <w:t>26,553,451</w:t>
            </w:r>
          </w:p>
        </w:tc>
        <w:tc>
          <w:tcPr>
            <w:tcW w:w="2410" w:type="dxa"/>
          </w:tcPr>
          <w:p w14:paraId="0EB0EE8F" w14:textId="77777777" w:rsidR="00233672" w:rsidRPr="002379EB" w:rsidRDefault="00233672" w:rsidP="002379EB">
            <w:pPr>
              <w:ind w:left="283"/>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379EB">
              <w:rPr>
                <w:rFonts w:cstheme="minorHAnsi"/>
                <w:color w:val="000000"/>
                <w:sz w:val="20"/>
                <w:szCs w:val="20"/>
              </w:rPr>
              <w:t>25,924,324</w:t>
            </w:r>
          </w:p>
        </w:tc>
        <w:tc>
          <w:tcPr>
            <w:tcW w:w="1984" w:type="dxa"/>
          </w:tcPr>
          <w:p w14:paraId="34BC9301" w14:textId="77777777" w:rsidR="00233672" w:rsidRPr="002379EB" w:rsidRDefault="00233672" w:rsidP="002379EB">
            <w:pPr>
              <w:ind w:left="283"/>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379EB">
              <w:rPr>
                <w:rFonts w:cstheme="minorHAnsi"/>
                <w:color w:val="000000"/>
                <w:sz w:val="20"/>
                <w:szCs w:val="20"/>
              </w:rPr>
              <w:t>629,127</w:t>
            </w:r>
          </w:p>
        </w:tc>
        <w:tc>
          <w:tcPr>
            <w:tcW w:w="1961" w:type="dxa"/>
          </w:tcPr>
          <w:p w14:paraId="416069E6" w14:textId="77777777" w:rsidR="00233672" w:rsidRPr="002379EB" w:rsidRDefault="00233672" w:rsidP="002379EB">
            <w:pPr>
              <w:ind w:left="283"/>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379EB">
              <w:rPr>
                <w:rFonts w:cstheme="minorHAnsi"/>
                <w:color w:val="000000"/>
                <w:sz w:val="20"/>
                <w:szCs w:val="20"/>
              </w:rPr>
              <w:t>2.4%</w:t>
            </w:r>
          </w:p>
        </w:tc>
      </w:tr>
      <w:tr w:rsidR="00233672" w:rsidRPr="00D34887" w14:paraId="72E601E7" w14:textId="77777777" w:rsidTr="002379EB">
        <w:trPr>
          <w:trHeight w:val="484"/>
        </w:trPr>
        <w:tc>
          <w:tcPr>
            <w:cnfStyle w:val="001000000000" w:firstRow="0" w:lastRow="0" w:firstColumn="1" w:lastColumn="0" w:oddVBand="0" w:evenVBand="0" w:oddHBand="0" w:evenHBand="0" w:firstRowFirstColumn="0" w:firstRowLastColumn="0" w:lastRowFirstColumn="0" w:lastRowLastColumn="0"/>
            <w:tcW w:w="851" w:type="dxa"/>
          </w:tcPr>
          <w:p w14:paraId="5C69DCC4" w14:textId="77777777" w:rsidR="00233672" w:rsidRPr="002379EB" w:rsidRDefault="00233672" w:rsidP="00D77422">
            <w:pPr>
              <w:rPr>
                <w:rFonts w:cstheme="minorHAnsi"/>
                <w:sz w:val="20"/>
                <w:szCs w:val="20"/>
              </w:rPr>
            </w:pPr>
            <w:r w:rsidRPr="002379EB">
              <w:rPr>
                <w:rFonts w:cstheme="minorHAnsi"/>
                <w:color w:val="000000"/>
                <w:sz w:val="20"/>
                <w:szCs w:val="20"/>
              </w:rPr>
              <w:t>2018</w:t>
            </w:r>
          </w:p>
        </w:tc>
        <w:tc>
          <w:tcPr>
            <w:tcW w:w="2268" w:type="dxa"/>
          </w:tcPr>
          <w:p w14:paraId="644726EA" w14:textId="77777777" w:rsidR="00233672" w:rsidRPr="002379EB" w:rsidRDefault="00233672" w:rsidP="002379EB">
            <w:pPr>
              <w:ind w:left="283"/>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379EB">
              <w:rPr>
                <w:rFonts w:cstheme="minorHAnsi"/>
                <w:color w:val="000000"/>
                <w:sz w:val="20"/>
                <w:szCs w:val="20"/>
              </w:rPr>
              <w:t>26,229,366</w:t>
            </w:r>
          </w:p>
        </w:tc>
        <w:tc>
          <w:tcPr>
            <w:tcW w:w="2410" w:type="dxa"/>
          </w:tcPr>
          <w:p w14:paraId="18ACC570" w14:textId="77777777" w:rsidR="00233672" w:rsidRPr="002379EB" w:rsidRDefault="00233672" w:rsidP="002379EB">
            <w:pPr>
              <w:ind w:left="283"/>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379EB">
              <w:rPr>
                <w:rFonts w:cstheme="minorHAnsi"/>
                <w:color w:val="000000"/>
                <w:sz w:val="20"/>
                <w:szCs w:val="20"/>
              </w:rPr>
              <w:t>25,427,786</w:t>
            </w:r>
          </w:p>
        </w:tc>
        <w:tc>
          <w:tcPr>
            <w:tcW w:w="1984" w:type="dxa"/>
          </w:tcPr>
          <w:p w14:paraId="371F18C7" w14:textId="77777777" w:rsidR="00233672" w:rsidRPr="002379EB" w:rsidRDefault="00233672" w:rsidP="002379EB">
            <w:pPr>
              <w:ind w:left="283"/>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379EB">
              <w:rPr>
                <w:rFonts w:cstheme="minorHAnsi"/>
                <w:color w:val="000000"/>
                <w:sz w:val="20"/>
                <w:szCs w:val="20"/>
              </w:rPr>
              <w:t>801,580</w:t>
            </w:r>
          </w:p>
        </w:tc>
        <w:tc>
          <w:tcPr>
            <w:tcW w:w="1961" w:type="dxa"/>
          </w:tcPr>
          <w:p w14:paraId="3F0661E2" w14:textId="77777777" w:rsidR="00233672" w:rsidRPr="002379EB" w:rsidRDefault="00233672" w:rsidP="002379EB">
            <w:pPr>
              <w:ind w:left="283"/>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379EB">
              <w:rPr>
                <w:rFonts w:cstheme="minorHAnsi"/>
                <w:color w:val="000000"/>
                <w:sz w:val="20"/>
                <w:szCs w:val="20"/>
              </w:rPr>
              <w:t>3.1%</w:t>
            </w:r>
          </w:p>
        </w:tc>
      </w:tr>
      <w:tr w:rsidR="00233672" w:rsidRPr="00D34887" w14:paraId="3F73C613" w14:textId="77777777" w:rsidTr="002379EB">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51" w:type="dxa"/>
          </w:tcPr>
          <w:p w14:paraId="7CE3DCD9" w14:textId="77777777" w:rsidR="00233672" w:rsidRPr="002379EB" w:rsidRDefault="00233672" w:rsidP="00D77422">
            <w:pPr>
              <w:rPr>
                <w:rFonts w:cstheme="minorHAnsi"/>
                <w:sz w:val="20"/>
                <w:szCs w:val="20"/>
              </w:rPr>
            </w:pPr>
            <w:r w:rsidRPr="002379EB">
              <w:rPr>
                <w:rFonts w:cstheme="minorHAnsi"/>
                <w:color w:val="000000"/>
                <w:sz w:val="20"/>
                <w:szCs w:val="20"/>
              </w:rPr>
              <w:t>2019</w:t>
            </w:r>
          </w:p>
        </w:tc>
        <w:tc>
          <w:tcPr>
            <w:tcW w:w="2268" w:type="dxa"/>
          </w:tcPr>
          <w:p w14:paraId="4C9C5A41" w14:textId="77777777" w:rsidR="00233672" w:rsidRPr="002379EB" w:rsidRDefault="00233672" w:rsidP="002379EB">
            <w:pPr>
              <w:ind w:left="283"/>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379EB">
              <w:rPr>
                <w:rFonts w:cstheme="minorHAnsi"/>
                <w:color w:val="000000"/>
                <w:sz w:val="20"/>
                <w:szCs w:val="20"/>
              </w:rPr>
              <w:t>26,669,561</w:t>
            </w:r>
          </w:p>
        </w:tc>
        <w:tc>
          <w:tcPr>
            <w:tcW w:w="2410" w:type="dxa"/>
          </w:tcPr>
          <w:p w14:paraId="253F5F55" w14:textId="77777777" w:rsidR="00233672" w:rsidRPr="002379EB" w:rsidRDefault="00233672" w:rsidP="002379EB">
            <w:pPr>
              <w:ind w:left="283"/>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379EB">
              <w:rPr>
                <w:rFonts w:cstheme="minorHAnsi"/>
                <w:color w:val="000000"/>
                <w:sz w:val="20"/>
                <w:szCs w:val="20"/>
              </w:rPr>
              <w:t>25,871,075</w:t>
            </w:r>
          </w:p>
        </w:tc>
        <w:tc>
          <w:tcPr>
            <w:tcW w:w="1984" w:type="dxa"/>
          </w:tcPr>
          <w:p w14:paraId="0B39130E" w14:textId="77777777" w:rsidR="00233672" w:rsidRPr="002379EB" w:rsidRDefault="00233672" w:rsidP="002379EB">
            <w:pPr>
              <w:ind w:left="283"/>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379EB">
              <w:rPr>
                <w:rFonts w:cstheme="minorHAnsi"/>
                <w:color w:val="000000"/>
                <w:sz w:val="20"/>
                <w:szCs w:val="20"/>
              </w:rPr>
              <w:t>798,486</w:t>
            </w:r>
          </w:p>
        </w:tc>
        <w:tc>
          <w:tcPr>
            <w:tcW w:w="1961" w:type="dxa"/>
          </w:tcPr>
          <w:p w14:paraId="279CA507" w14:textId="77777777" w:rsidR="00233672" w:rsidRPr="002379EB" w:rsidRDefault="00233672" w:rsidP="002379EB">
            <w:pPr>
              <w:ind w:left="283"/>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379EB">
              <w:rPr>
                <w:rFonts w:cstheme="minorHAnsi"/>
                <w:color w:val="000000"/>
                <w:sz w:val="20"/>
                <w:szCs w:val="20"/>
              </w:rPr>
              <w:t>3.0%</w:t>
            </w:r>
          </w:p>
        </w:tc>
      </w:tr>
      <w:tr w:rsidR="00233672" w:rsidRPr="00D34887" w14:paraId="6B534D22" w14:textId="77777777" w:rsidTr="002379EB">
        <w:trPr>
          <w:trHeight w:val="484"/>
        </w:trPr>
        <w:tc>
          <w:tcPr>
            <w:cnfStyle w:val="001000000000" w:firstRow="0" w:lastRow="0" w:firstColumn="1" w:lastColumn="0" w:oddVBand="0" w:evenVBand="0" w:oddHBand="0" w:evenHBand="0" w:firstRowFirstColumn="0" w:firstRowLastColumn="0" w:lastRowFirstColumn="0" w:lastRowLastColumn="0"/>
            <w:tcW w:w="851" w:type="dxa"/>
          </w:tcPr>
          <w:p w14:paraId="57829A26" w14:textId="77777777" w:rsidR="00233672" w:rsidRPr="002379EB" w:rsidRDefault="00233672" w:rsidP="00D77422">
            <w:pPr>
              <w:rPr>
                <w:rFonts w:cstheme="minorHAnsi"/>
                <w:sz w:val="20"/>
                <w:szCs w:val="20"/>
              </w:rPr>
            </w:pPr>
            <w:r w:rsidRPr="002379EB">
              <w:rPr>
                <w:rFonts w:cstheme="minorHAnsi"/>
                <w:color w:val="000000"/>
                <w:sz w:val="20"/>
                <w:szCs w:val="20"/>
              </w:rPr>
              <w:t>2020</w:t>
            </w:r>
          </w:p>
        </w:tc>
        <w:tc>
          <w:tcPr>
            <w:tcW w:w="2268" w:type="dxa"/>
          </w:tcPr>
          <w:p w14:paraId="48607613" w14:textId="77777777" w:rsidR="00233672" w:rsidRPr="002379EB" w:rsidRDefault="00233672" w:rsidP="002379EB">
            <w:pPr>
              <w:ind w:left="283"/>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379EB">
              <w:rPr>
                <w:rFonts w:cstheme="minorHAnsi"/>
                <w:color w:val="000000"/>
                <w:sz w:val="20"/>
                <w:szCs w:val="20"/>
              </w:rPr>
              <w:t>20,095,926</w:t>
            </w:r>
          </w:p>
        </w:tc>
        <w:tc>
          <w:tcPr>
            <w:tcW w:w="2410" w:type="dxa"/>
          </w:tcPr>
          <w:p w14:paraId="379EA1AD" w14:textId="77777777" w:rsidR="00233672" w:rsidRPr="002379EB" w:rsidRDefault="00233672" w:rsidP="002379EB">
            <w:pPr>
              <w:ind w:left="283"/>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379EB">
              <w:rPr>
                <w:rFonts w:cstheme="minorHAnsi"/>
                <w:color w:val="000000"/>
                <w:sz w:val="20"/>
                <w:szCs w:val="20"/>
              </w:rPr>
              <w:t>19,425,518</w:t>
            </w:r>
          </w:p>
        </w:tc>
        <w:tc>
          <w:tcPr>
            <w:tcW w:w="1984" w:type="dxa"/>
          </w:tcPr>
          <w:p w14:paraId="5BAD3D77" w14:textId="77777777" w:rsidR="00233672" w:rsidRPr="002379EB" w:rsidRDefault="00233672" w:rsidP="002379EB">
            <w:pPr>
              <w:ind w:left="283"/>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379EB">
              <w:rPr>
                <w:rFonts w:cstheme="minorHAnsi"/>
                <w:color w:val="000000"/>
                <w:sz w:val="20"/>
                <w:szCs w:val="20"/>
              </w:rPr>
              <w:t>670,408</w:t>
            </w:r>
          </w:p>
        </w:tc>
        <w:tc>
          <w:tcPr>
            <w:tcW w:w="1961" w:type="dxa"/>
          </w:tcPr>
          <w:p w14:paraId="201BF358" w14:textId="77777777" w:rsidR="00233672" w:rsidRPr="002379EB" w:rsidRDefault="00233672" w:rsidP="002379EB">
            <w:pPr>
              <w:ind w:left="283"/>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379EB">
              <w:rPr>
                <w:rFonts w:cstheme="minorHAnsi"/>
                <w:color w:val="000000"/>
                <w:sz w:val="20"/>
                <w:szCs w:val="20"/>
              </w:rPr>
              <w:t>3.3%</w:t>
            </w:r>
          </w:p>
        </w:tc>
      </w:tr>
      <w:tr w:rsidR="00233672" w:rsidRPr="00D34887" w14:paraId="431D7C77" w14:textId="77777777" w:rsidTr="002379EB">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851" w:type="dxa"/>
          </w:tcPr>
          <w:p w14:paraId="75C30D34" w14:textId="77777777" w:rsidR="00233672" w:rsidRPr="002379EB" w:rsidRDefault="00233672" w:rsidP="00D77422">
            <w:pPr>
              <w:rPr>
                <w:rFonts w:cstheme="minorHAnsi"/>
                <w:sz w:val="20"/>
                <w:szCs w:val="20"/>
              </w:rPr>
            </w:pPr>
            <w:r w:rsidRPr="002379EB">
              <w:rPr>
                <w:rFonts w:cstheme="minorHAnsi"/>
                <w:color w:val="000000"/>
                <w:sz w:val="20"/>
                <w:szCs w:val="20"/>
              </w:rPr>
              <w:t>2021</w:t>
            </w:r>
          </w:p>
        </w:tc>
        <w:tc>
          <w:tcPr>
            <w:tcW w:w="2268" w:type="dxa"/>
          </w:tcPr>
          <w:p w14:paraId="56DE8DD5" w14:textId="77777777" w:rsidR="00233672" w:rsidRPr="002379EB" w:rsidRDefault="00233672" w:rsidP="002379EB">
            <w:pPr>
              <w:ind w:left="283"/>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379EB">
              <w:rPr>
                <w:rFonts w:cstheme="minorHAnsi"/>
                <w:color w:val="000000"/>
                <w:sz w:val="20"/>
                <w:szCs w:val="20"/>
              </w:rPr>
              <w:t>19,931,271</w:t>
            </w:r>
          </w:p>
        </w:tc>
        <w:tc>
          <w:tcPr>
            <w:tcW w:w="2410" w:type="dxa"/>
          </w:tcPr>
          <w:p w14:paraId="32F40DA7" w14:textId="77777777" w:rsidR="00233672" w:rsidRPr="002379EB" w:rsidRDefault="00233672" w:rsidP="002379EB">
            <w:pPr>
              <w:ind w:left="283"/>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379EB">
              <w:rPr>
                <w:rFonts w:cstheme="minorHAnsi"/>
                <w:color w:val="000000"/>
                <w:sz w:val="20"/>
                <w:szCs w:val="20"/>
              </w:rPr>
              <w:t>19,208,986</w:t>
            </w:r>
          </w:p>
        </w:tc>
        <w:tc>
          <w:tcPr>
            <w:tcW w:w="1984" w:type="dxa"/>
          </w:tcPr>
          <w:p w14:paraId="57BCA160" w14:textId="77777777" w:rsidR="00233672" w:rsidRPr="002379EB" w:rsidRDefault="00233672" w:rsidP="002379EB">
            <w:pPr>
              <w:ind w:left="283"/>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379EB">
              <w:rPr>
                <w:rFonts w:cstheme="minorHAnsi"/>
                <w:color w:val="000000"/>
                <w:sz w:val="20"/>
                <w:szCs w:val="20"/>
              </w:rPr>
              <w:t>722,285</w:t>
            </w:r>
          </w:p>
        </w:tc>
        <w:tc>
          <w:tcPr>
            <w:tcW w:w="1961" w:type="dxa"/>
          </w:tcPr>
          <w:p w14:paraId="7A87B451" w14:textId="77777777" w:rsidR="00233672" w:rsidRPr="002379EB" w:rsidRDefault="00233672" w:rsidP="002379EB">
            <w:pPr>
              <w:ind w:left="283"/>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379EB">
              <w:rPr>
                <w:rFonts w:cstheme="minorHAnsi"/>
                <w:color w:val="000000"/>
                <w:sz w:val="20"/>
                <w:szCs w:val="20"/>
              </w:rPr>
              <w:t>3.6%</w:t>
            </w:r>
          </w:p>
        </w:tc>
      </w:tr>
    </w:tbl>
    <w:p w14:paraId="510D2F95" w14:textId="32C18656" w:rsidR="00233672" w:rsidRDefault="00EC277F" w:rsidP="00E7797A">
      <w:pPr>
        <w:rPr>
          <w:rFonts w:cstheme="minorHAnsi"/>
          <w:sz w:val="16"/>
          <w:szCs w:val="16"/>
        </w:rPr>
      </w:pPr>
      <w:r w:rsidRPr="009457F4">
        <w:rPr>
          <w:rFonts w:cstheme="minorHAnsi"/>
          <w:sz w:val="16"/>
          <w:szCs w:val="16"/>
        </w:rPr>
        <w:t>J01</w:t>
      </w:r>
      <w:r>
        <w:rPr>
          <w:rFonts w:cstheme="minorHAnsi"/>
          <w:sz w:val="16"/>
          <w:szCs w:val="16"/>
        </w:rPr>
        <w:t xml:space="preserve"> = </w:t>
      </w:r>
      <w:proofErr w:type="spellStart"/>
      <w:r>
        <w:rPr>
          <w:rFonts w:cstheme="minorHAnsi"/>
          <w:sz w:val="16"/>
          <w:szCs w:val="16"/>
        </w:rPr>
        <w:t>a</w:t>
      </w:r>
      <w:r w:rsidRPr="009457F4">
        <w:rPr>
          <w:rFonts w:cstheme="minorHAnsi"/>
          <w:sz w:val="16"/>
          <w:szCs w:val="16"/>
        </w:rPr>
        <w:t>ntibacterials</w:t>
      </w:r>
      <w:proofErr w:type="spellEnd"/>
      <w:r w:rsidRPr="009457F4">
        <w:rPr>
          <w:rFonts w:cstheme="minorHAnsi"/>
          <w:sz w:val="16"/>
          <w:szCs w:val="16"/>
        </w:rPr>
        <w:t xml:space="preserve"> for systemic use</w:t>
      </w:r>
      <w:r>
        <w:rPr>
          <w:rFonts w:cstheme="minorHAnsi"/>
          <w:sz w:val="16"/>
          <w:szCs w:val="16"/>
        </w:rPr>
        <w:t>;</w:t>
      </w:r>
      <w:r w:rsidRPr="00F46944">
        <w:rPr>
          <w:rFonts w:cstheme="minorHAnsi"/>
          <w:sz w:val="16"/>
          <w:szCs w:val="16"/>
        </w:rPr>
        <w:t xml:space="preserve"> </w:t>
      </w:r>
      <w:r w:rsidR="00233672" w:rsidRPr="00F46944">
        <w:rPr>
          <w:rFonts w:cstheme="minorHAnsi"/>
          <w:sz w:val="16"/>
          <w:szCs w:val="16"/>
        </w:rPr>
        <w:t>PBS = Pharmaceutical Benefits Scheme; RPBS = Repatriation Pharmaceutical Benefits Scheme</w:t>
      </w:r>
      <w:r w:rsidR="00233672" w:rsidRPr="00F46944">
        <w:rPr>
          <w:rFonts w:cstheme="minorHAnsi"/>
          <w:sz w:val="16"/>
          <w:szCs w:val="16"/>
        </w:rPr>
        <w:br/>
        <w:t>Source: Gadzhanova, Roughead</w:t>
      </w:r>
      <w:r w:rsidR="00233672" w:rsidRPr="00F46944">
        <w:rPr>
          <w:rFonts w:cstheme="minorHAnsi"/>
          <w:sz w:val="16"/>
          <w:szCs w:val="16"/>
        </w:rPr>
        <w:fldChar w:fldCharType="begin"/>
      </w:r>
      <w:r w:rsidR="00DB0DCB">
        <w:rPr>
          <w:rFonts w:cstheme="minorHAnsi"/>
          <w:sz w:val="16"/>
          <w:szCs w:val="16"/>
        </w:rPr>
        <w:instrText xml:space="preserve"> ADDIN EN.CITE &lt;EndNote&gt;&lt;Cite&gt;&lt;Author&gt;Gadzhanova&lt;/Author&gt;&lt;RecNum&gt;5&lt;/RecNum&gt;&lt;DisplayText&gt;&lt;style face="superscript"&gt;5&lt;/style&gt;&lt;/DisplayText&gt;&lt;record&gt;&lt;rec-number&gt;5&lt;/rec-number&gt;&lt;foreign-keys&gt;&lt;key app="EN" db-id="es9dr99ws90stoe5x2rp505nazvswdzppxa5" timestamp="1670810539"&gt;5&lt;/key&gt;&lt;/foreign-keys&gt;&lt;ref-type name="Unpublished Work"&gt;34&lt;/ref-type&gt;&lt;contributors&gt;&lt;authors&gt;&lt;author&gt;Gadzhanova, S.&lt;/author&gt;&lt;author&gt;Roughead, E.&lt;/author&gt;&lt;/authors&gt;&lt;/contributors&gt;&lt;titles&gt;&lt;title&gt;Analysis of 2015–2021 PBS data for the National Report on Antimicrobial Use and Resistance (unpublished)&lt;/title&gt;&lt;/titles&gt;&lt;dates&gt;&lt;/dates&gt;&lt;pub-location&gt;Sydney &lt;/pub-location&gt;&lt;publisher&gt;ACSQHC &lt;/publisher&gt;&lt;urls&gt;&lt;/urls&gt;&lt;/record&gt;&lt;/Cite&gt;&lt;/EndNote&gt;</w:instrText>
      </w:r>
      <w:r w:rsidR="00233672" w:rsidRPr="00F46944">
        <w:rPr>
          <w:rFonts w:cstheme="minorHAnsi"/>
          <w:sz w:val="16"/>
          <w:szCs w:val="16"/>
        </w:rPr>
        <w:fldChar w:fldCharType="separate"/>
      </w:r>
      <w:r w:rsidR="001C0A42" w:rsidRPr="001C0A42">
        <w:rPr>
          <w:rFonts w:cstheme="minorHAnsi"/>
          <w:noProof/>
          <w:sz w:val="16"/>
          <w:szCs w:val="16"/>
          <w:vertAlign w:val="superscript"/>
        </w:rPr>
        <w:t>5</w:t>
      </w:r>
      <w:r w:rsidR="00233672" w:rsidRPr="00F46944">
        <w:rPr>
          <w:rFonts w:cstheme="minorHAnsi"/>
          <w:sz w:val="16"/>
          <w:szCs w:val="16"/>
        </w:rPr>
        <w:fldChar w:fldCharType="end"/>
      </w:r>
    </w:p>
    <w:p w14:paraId="590600A4" w14:textId="0C7E5318" w:rsidR="007C2B94" w:rsidRPr="00F46944" w:rsidRDefault="007C2B94" w:rsidP="007C2B94">
      <w:pPr>
        <w:rPr>
          <w:rFonts w:cstheme="minorHAnsi"/>
        </w:rPr>
      </w:pPr>
      <w:r w:rsidRPr="00F46944">
        <w:rPr>
          <w:rFonts w:cstheme="minorHAnsi"/>
        </w:rPr>
        <w:t>The crude and age-standardised rates of PBS/RPBS antimicrobial prescriptions supplied per 1,000 people in Australia declined since 2015 and was relatively stable between 2017 and 2019. These rates declined further in 2020 and declined slightly into 2021 (</w:t>
      </w:r>
      <w:r w:rsidRPr="001F01CB">
        <w:rPr>
          <w:rFonts w:cstheme="minorHAnsi"/>
        </w:rPr>
        <w:t>Figure 1</w:t>
      </w:r>
      <w:r w:rsidRPr="00F46944">
        <w:rPr>
          <w:rFonts w:cstheme="minorHAnsi"/>
        </w:rPr>
        <w:t xml:space="preserve">). </w:t>
      </w:r>
    </w:p>
    <w:p w14:paraId="0C3E34DA" w14:textId="0EBB7759" w:rsidR="00EC7F9A" w:rsidRPr="00EA1E2A" w:rsidRDefault="00625242" w:rsidP="00625242">
      <w:pPr>
        <w:pStyle w:val="Captions"/>
      </w:pPr>
      <w:bookmarkStart w:id="54" w:name="_Toc121491313"/>
      <w:bookmarkStart w:id="55" w:name="_Toc121840885"/>
      <w:r>
        <w:t>Figure</w:t>
      </w:r>
      <w:r w:rsidRPr="00EA1E2A">
        <w:t> </w:t>
      </w:r>
      <w:fldSimple w:instr=" SEQ Figure \* ARABIC ">
        <w:r w:rsidR="00F34DDD">
          <w:rPr>
            <w:noProof/>
          </w:rPr>
          <w:t>1</w:t>
        </w:r>
      </w:fldSimple>
      <w:r w:rsidR="00EC7F9A" w:rsidRPr="00EA1E2A">
        <w:t>:</w:t>
      </w:r>
      <w:r w:rsidR="00EC7F9A" w:rsidRPr="003061AF">
        <w:rPr>
          <w:b w:val="0"/>
          <w:bCs w:val="0"/>
        </w:rPr>
        <w:t> Number of PBS/RPBS antimicrobial* prescriptions dispensed per 1,000 people, crude and age-standardised rates, 2015–2021</w:t>
      </w:r>
      <w:bookmarkEnd w:id="54"/>
      <w:bookmarkEnd w:id="55"/>
    </w:p>
    <w:p w14:paraId="497E46A4" w14:textId="3FC4BB29" w:rsidR="00EC7F9A" w:rsidRDefault="002564A9" w:rsidP="00D42FFA">
      <w:pPr>
        <w:spacing w:after="0"/>
        <w:jc w:val="center"/>
      </w:pPr>
      <w:r>
        <w:rPr>
          <w:noProof/>
        </w:rPr>
        <w:drawing>
          <wp:inline distT="0" distB="0" distL="0" distR="0" wp14:anchorId="47BD579E" wp14:editId="5F35692C">
            <wp:extent cx="5986780" cy="3657600"/>
            <wp:effectExtent l="0" t="0" r="0" b="0"/>
            <wp:docPr id="38" name="Picture 38" descr="Figure 1: Number of PBS/RPBS antimicrobial prescriptions dispensed per 1,000 people, crude and age-standardised rates, 2015–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Figure 1: Number of PBS/RPBS antimicrobial prescriptions dispensed per 1,000 people, crude and age-standardised rates, 2015–20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6780" cy="3657600"/>
                    </a:xfrm>
                    <a:prstGeom prst="rect">
                      <a:avLst/>
                    </a:prstGeom>
                    <a:noFill/>
                  </pic:spPr>
                </pic:pic>
              </a:graphicData>
            </a:graphic>
          </wp:inline>
        </w:drawing>
      </w:r>
    </w:p>
    <w:p w14:paraId="1EC0E03F" w14:textId="305E76D4" w:rsidR="007C7107" w:rsidRPr="004820F0" w:rsidRDefault="00EC7F9A" w:rsidP="0076762C">
      <w:pPr>
        <w:tabs>
          <w:tab w:val="left" w:pos="142"/>
        </w:tabs>
        <w:rPr>
          <w:sz w:val="16"/>
          <w:szCs w:val="16"/>
        </w:rPr>
      </w:pPr>
      <w:r w:rsidRPr="00F46944">
        <w:rPr>
          <w:sz w:val="16"/>
          <w:szCs w:val="16"/>
        </w:rPr>
        <w:t>PBS = Pharmaceutical Benefits Scheme; RPBS = Repatriation Pharmaceutical Benefits Scheme</w:t>
      </w:r>
      <w:r w:rsidRPr="00F46944">
        <w:rPr>
          <w:sz w:val="16"/>
          <w:szCs w:val="16"/>
        </w:rPr>
        <w:br/>
        <w:t>*</w:t>
      </w:r>
      <w:r w:rsidR="00112691">
        <w:rPr>
          <w:sz w:val="16"/>
          <w:szCs w:val="16"/>
        </w:rPr>
        <w:tab/>
      </w:r>
      <w:proofErr w:type="spellStart"/>
      <w:r w:rsidRPr="00F46944">
        <w:rPr>
          <w:sz w:val="16"/>
          <w:szCs w:val="16"/>
        </w:rPr>
        <w:t>Antibacterials</w:t>
      </w:r>
      <w:proofErr w:type="spellEnd"/>
      <w:r w:rsidRPr="00F46944">
        <w:rPr>
          <w:sz w:val="16"/>
          <w:szCs w:val="16"/>
        </w:rPr>
        <w:t xml:space="preserve"> for systemic use (</w:t>
      </w:r>
      <w:r w:rsidR="00D6375D">
        <w:rPr>
          <w:sz w:val="16"/>
          <w:szCs w:val="16"/>
        </w:rPr>
        <w:t xml:space="preserve">ATC code </w:t>
      </w:r>
      <w:r w:rsidRPr="00F46944">
        <w:rPr>
          <w:sz w:val="16"/>
          <w:szCs w:val="16"/>
        </w:rPr>
        <w:t xml:space="preserve">J01) and combinations for eradication of </w:t>
      </w:r>
      <w:r w:rsidRPr="00F46944">
        <w:rPr>
          <w:i/>
          <w:iCs/>
          <w:sz w:val="16"/>
          <w:szCs w:val="16"/>
        </w:rPr>
        <w:t>Helicobacter pylori</w:t>
      </w:r>
      <w:r w:rsidRPr="00F46944">
        <w:rPr>
          <w:sz w:val="16"/>
          <w:szCs w:val="16"/>
        </w:rPr>
        <w:t xml:space="preserve"> (A02BD)</w:t>
      </w:r>
      <w:r w:rsidRPr="00F46944">
        <w:rPr>
          <w:sz w:val="16"/>
          <w:szCs w:val="16"/>
        </w:rPr>
        <w:br/>
      </w:r>
      <w:r w:rsidRPr="00F46944">
        <w:rPr>
          <w:rFonts w:cstheme="minorHAnsi"/>
          <w:sz w:val="16"/>
          <w:szCs w:val="16"/>
        </w:rPr>
        <w:t>Source: Gadzhanova, Roughead</w:t>
      </w:r>
      <w:r w:rsidRPr="00F46944">
        <w:rPr>
          <w:rFonts w:cstheme="minorHAnsi"/>
          <w:sz w:val="16"/>
          <w:szCs w:val="16"/>
        </w:rPr>
        <w:fldChar w:fldCharType="begin"/>
      </w:r>
      <w:r w:rsidR="00DB0DCB">
        <w:rPr>
          <w:rFonts w:cstheme="minorHAnsi"/>
          <w:sz w:val="16"/>
          <w:szCs w:val="16"/>
        </w:rPr>
        <w:instrText xml:space="preserve"> ADDIN EN.CITE &lt;EndNote&gt;&lt;Cite&gt;&lt;Author&gt;Gadzhanova&lt;/Author&gt;&lt;RecNum&gt;5&lt;/RecNum&gt;&lt;DisplayText&gt;&lt;style face="superscript"&gt;5&lt;/style&gt;&lt;/DisplayText&gt;&lt;record&gt;&lt;rec-number&gt;5&lt;/rec-number&gt;&lt;foreign-keys&gt;&lt;key app="EN" db-id="es9dr99ws90stoe5x2rp505nazvswdzppxa5" timestamp="1670810539"&gt;5&lt;/key&gt;&lt;/foreign-keys&gt;&lt;ref-type name="Unpublished Work"&gt;34&lt;/ref-type&gt;&lt;contributors&gt;&lt;authors&gt;&lt;author&gt;Gadzhanova, S.&lt;/author&gt;&lt;author&gt;Roughead, E.&lt;/author&gt;&lt;/authors&gt;&lt;/contributors&gt;&lt;titles&gt;&lt;title&gt;Analysis of 2015–2021 PBS data for the National Report on Antimicrobial Use and Resistance (unpublished)&lt;/title&gt;&lt;/titles&gt;&lt;dates&gt;&lt;/dates&gt;&lt;pub-location&gt;Sydney &lt;/pub-location&gt;&lt;publisher&gt;ACSQHC &lt;/publisher&gt;&lt;urls&gt;&lt;/urls&gt;&lt;/record&gt;&lt;/Cite&gt;&lt;/EndNote&gt;</w:instrText>
      </w:r>
      <w:r w:rsidRPr="00F46944">
        <w:rPr>
          <w:rFonts w:cstheme="minorHAnsi"/>
          <w:sz w:val="16"/>
          <w:szCs w:val="16"/>
        </w:rPr>
        <w:fldChar w:fldCharType="separate"/>
      </w:r>
      <w:r w:rsidR="001C0A42" w:rsidRPr="001C0A42">
        <w:rPr>
          <w:rFonts w:cstheme="minorHAnsi"/>
          <w:noProof/>
          <w:sz w:val="16"/>
          <w:szCs w:val="16"/>
          <w:vertAlign w:val="superscript"/>
        </w:rPr>
        <w:t>5</w:t>
      </w:r>
      <w:r w:rsidRPr="00F46944">
        <w:rPr>
          <w:rFonts w:cstheme="minorHAnsi"/>
          <w:sz w:val="16"/>
          <w:szCs w:val="16"/>
        </w:rPr>
        <w:fldChar w:fldCharType="end"/>
      </w:r>
    </w:p>
    <w:p w14:paraId="201230E8" w14:textId="78909575" w:rsidR="008B2E5D" w:rsidRPr="00F46944" w:rsidRDefault="008B2E5D" w:rsidP="008B2E5D">
      <w:pPr>
        <w:tabs>
          <w:tab w:val="left" w:pos="0"/>
        </w:tabs>
        <w:rPr>
          <w:rFonts w:cstheme="minorHAnsi"/>
        </w:rPr>
      </w:pPr>
      <w:r w:rsidRPr="00F46944">
        <w:rPr>
          <w:rFonts w:cstheme="minorHAnsi"/>
        </w:rPr>
        <w:lastRenderedPageBreak/>
        <w:t xml:space="preserve">Antimicrobial use </w:t>
      </w:r>
      <w:r w:rsidR="00D90042" w:rsidRPr="00F46944">
        <w:rPr>
          <w:rFonts w:cstheme="minorHAnsi"/>
        </w:rPr>
        <w:t xml:space="preserve">in the community </w:t>
      </w:r>
      <w:r w:rsidRPr="00F46944">
        <w:rPr>
          <w:rFonts w:cstheme="minorHAnsi"/>
        </w:rPr>
        <w:t xml:space="preserve">decreased slightly between 2020 (17.6 DDD/1,000 people/day) and 2021 (17.5 DDD/1,000 people/day). The volume in 2020 and 2021 </w:t>
      </w:r>
      <w:r w:rsidR="00427663">
        <w:rPr>
          <w:rFonts w:cstheme="minorHAnsi"/>
        </w:rPr>
        <w:t xml:space="preserve">showed a </w:t>
      </w:r>
      <w:r w:rsidRPr="00F46944">
        <w:rPr>
          <w:rFonts w:cstheme="minorHAnsi"/>
        </w:rPr>
        <w:t>23</w:t>
      </w:r>
      <w:r w:rsidR="00D34887">
        <w:rPr>
          <w:rFonts w:cstheme="minorHAnsi"/>
        </w:rPr>
        <w:t>.4</w:t>
      </w:r>
      <w:r w:rsidRPr="00F46944">
        <w:rPr>
          <w:rFonts w:cstheme="minorHAnsi"/>
        </w:rPr>
        <w:t>% decrease compared to 2019 (22.9 DDD/1,000 people/day) (</w:t>
      </w:r>
      <w:r w:rsidRPr="0076762C">
        <w:rPr>
          <w:rFonts w:cstheme="minorHAnsi"/>
        </w:rPr>
        <w:t>Figure 2</w:t>
      </w:r>
      <w:r w:rsidRPr="00F46944">
        <w:rPr>
          <w:rFonts w:cstheme="minorHAnsi"/>
        </w:rPr>
        <w:t>).</w:t>
      </w:r>
    </w:p>
    <w:p w14:paraId="7868FEB2" w14:textId="13E7FF16" w:rsidR="00D90042" w:rsidRPr="003061AF" w:rsidRDefault="003061AF" w:rsidP="003061AF">
      <w:pPr>
        <w:pStyle w:val="Captions"/>
        <w:rPr>
          <w:b w:val="0"/>
          <w:bCs w:val="0"/>
        </w:rPr>
      </w:pPr>
      <w:bookmarkStart w:id="56" w:name="_Toc121491314"/>
      <w:bookmarkStart w:id="57" w:name="_Toc121840886"/>
      <w:r>
        <w:t>Figure</w:t>
      </w:r>
      <w:r w:rsidRPr="00EA1E2A">
        <w:t> </w:t>
      </w:r>
      <w:fldSimple w:instr=" SEQ Figure \* ARABIC ">
        <w:r w:rsidR="00F34DDD">
          <w:rPr>
            <w:noProof/>
          </w:rPr>
          <w:t>2</w:t>
        </w:r>
      </w:fldSimple>
      <w:r w:rsidR="00D90042" w:rsidRPr="00EA1E2A">
        <w:t>:</w:t>
      </w:r>
      <w:r w:rsidR="00D90042" w:rsidRPr="003061AF">
        <w:rPr>
          <w:b w:val="0"/>
          <w:bCs w:val="0"/>
        </w:rPr>
        <w:t> Quantity of PBS/RPBS antimicrobial* prescriptions dispensed (DDD/1,000 people/day), 2015–2021</w:t>
      </w:r>
      <w:bookmarkEnd w:id="56"/>
      <w:bookmarkEnd w:id="57"/>
    </w:p>
    <w:p w14:paraId="3D4059EC" w14:textId="64C28DC4" w:rsidR="008B2E5D" w:rsidRPr="00F46944" w:rsidRDefault="002564A9" w:rsidP="00160004">
      <w:pPr>
        <w:tabs>
          <w:tab w:val="left" w:pos="0"/>
        </w:tabs>
        <w:spacing w:after="0"/>
        <w:jc w:val="center"/>
        <w:rPr>
          <w:rStyle w:val="figurenumber"/>
          <w:rFonts w:asciiTheme="minorHAnsi" w:hAnsiTheme="minorHAnsi" w:cstheme="minorHAnsi"/>
        </w:rPr>
      </w:pPr>
      <w:r>
        <w:rPr>
          <w:rStyle w:val="figurenumber"/>
          <w:rFonts w:asciiTheme="minorHAnsi" w:hAnsiTheme="minorHAnsi" w:cstheme="minorHAnsi"/>
          <w:noProof/>
        </w:rPr>
        <w:drawing>
          <wp:inline distT="0" distB="0" distL="0" distR="0" wp14:anchorId="7DC0D0EC" wp14:editId="090EA26C">
            <wp:extent cx="5633085" cy="3420110"/>
            <wp:effectExtent l="0" t="0" r="5715" b="8890"/>
            <wp:docPr id="42" name="Picture 42" descr="Figure 2: Quantity of PBS/RPBS antimicrobial prescriptions dispensed (DDD/1,000 people/day), 2015–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igure 2: Quantity of PBS/RPBS antimicrobial prescriptions dispensed (DDD/1,000 people/day), 2015–20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3085" cy="3420110"/>
                    </a:xfrm>
                    <a:prstGeom prst="rect">
                      <a:avLst/>
                    </a:prstGeom>
                    <a:noFill/>
                  </pic:spPr>
                </pic:pic>
              </a:graphicData>
            </a:graphic>
          </wp:inline>
        </w:drawing>
      </w:r>
    </w:p>
    <w:p w14:paraId="7D1678AB" w14:textId="3301822D" w:rsidR="008B2E5D" w:rsidRPr="00F46944" w:rsidRDefault="002F74D3" w:rsidP="0076762C">
      <w:pPr>
        <w:tabs>
          <w:tab w:val="left" w:pos="142"/>
        </w:tabs>
        <w:rPr>
          <w:i/>
          <w:iCs/>
          <w:sz w:val="16"/>
          <w:szCs w:val="16"/>
        </w:rPr>
      </w:pPr>
      <w:r w:rsidRPr="00F46944">
        <w:rPr>
          <w:sz w:val="16"/>
          <w:szCs w:val="16"/>
        </w:rPr>
        <w:t>DDD = defined daily dose; PBS = Pharmaceutical Benefits Scheme; RPBS = Repatriation Pharmaceutical Benefits Scheme</w:t>
      </w:r>
      <w:r w:rsidRPr="00F46944">
        <w:rPr>
          <w:sz w:val="16"/>
          <w:szCs w:val="16"/>
        </w:rPr>
        <w:br/>
        <w:t>*</w:t>
      </w:r>
      <w:r w:rsidR="00112691">
        <w:rPr>
          <w:sz w:val="16"/>
          <w:szCs w:val="16"/>
        </w:rPr>
        <w:tab/>
      </w:r>
      <w:proofErr w:type="spellStart"/>
      <w:r w:rsidR="008E69DE" w:rsidRPr="00F46944">
        <w:rPr>
          <w:sz w:val="16"/>
          <w:szCs w:val="16"/>
        </w:rPr>
        <w:t>Antibacterials</w:t>
      </w:r>
      <w:proofErr w:type="spellEnd"/>
      <w:r w:rsidR="008E69DE" w:rsidRPr="00F46944">
        <w:rPr>
          <w:sz w:val="16"/>
          <w:szCs w:val="16"/>
        </w:rPr>
        <w:t xml:space="preserve"> for systemic use (</w:t>
      </w:r>
      <w:r w:rsidR="00E0396F">
        <w:rPr>
          <w:sz w:val="16"/>
          <w:szCs w:val="16"/>
        </w:rPr>
        <w:t xml:space="preserve">ATC </w:t>
      </w:r>
      <w:r w:rsidR="00B87B79">
        <w:rPr>
          <w:sz w:val="16"/>
          <w:szCs w:val="16"/>
        </w:rPr>
        <w:t>c</w:t>
      </w:r>
      <w:r w:rsidR="00E0396F">
        <w:rPr>
          <w:sz w:val="16"/>
          <w:szCs w:val="16"/>
        </w:rPr>
        <w:t xml:space="preserve">ode </w:t>
      </w:r>
      <w:r w:rsidR="008E69DE" w:rsidRPr="00F46944">
        <w:rPr>
          <w:sz w:val="16"/>
          <w:szCs w:val="16"/>
        </w:rPr>
        <w:t>J01)</w:t>
      </w:r>
      <w:r w:rsidRPr="00F46944">
        <w:rPr>
          <w:sz w:val="16"/>
          <w:szCs w:val="16"/>
        </w:rPr>
        <w:br/>
      </w:r>
      <w:r w:rsidR="008B2E5D" w:rsidRPr="00F46944">
        <w:rPr>
          <w:rFonts w:cstheme="minorHAnsi"/>
          <w:sz w:val="16"/>
          <w:szCs w:val="16"/>
        </w:rPr>
        <w:t>Source: Gadzhanova, Roughead</w:t>
      </w:r>
      <w:r w:rsidR="008B2E5D" w:rsidRPr="00F46944">
        <w:rPr>
          <w:rFonts w:cstheme="minorHAnsi"/>
          <w:sz w:val="16"/>
          <w:szCs w:val="16"/>
        </w:rPr>
        <w:fldChar w:fldCharType="begin"/>
      </w:r>
      <w:r w:rsidR="00DB0DCB">
        <w:rPr>
          <w:rFonts w:cstheme="minorHAnsi"/>
          <w:sz w:val="16"/>
          <w:szCs w:val="16"/>
        </w:rPr>
        <w:instrText xml:space="preserve"> ADDIN EN.CITE &lt;EndNote&gt;&lt;Cite&gt;&lt;Author&gt;Gadzhanova&lt;/Author&gt;&lt;RecNum&gt;5&lt;/RecNum&gt;&lt;DisplayText&gt;&lt;style face="superscript"&gt;5&lt;/style&gt;&lt;/DisplayText&gt;&lt;record&gt;&lt;rec-number&gt;5&lt;/rec-number&gt;&lt;foreign-keys&gt;&lt;key app="EN" db-id="es9dr99ws90stoe5x2rp505nazvswdzppxa5" timestamp="1670810539"&gt;5&lt;/key&gt;&lt;/foreign-keys&gt;&lt;ref-type name="Unpublished Work"&gt;34&lt;/ref-type&gt;&lt;contributors&gt;&lt;authors&gt;&lt;author&gt;Gadzhanova, S.&lt;/author&gt;&lt;author&gt;Roughead, E.&lt;/author&gt;&lt;/authors&gt;&lt;/contributors&gt;&lt;titles&gt;&lt;title&gt;Analysis of 2015–2021 PBS data for the National Report on Antimicrobial Use and Resistance (unpublished)&lt;/title&gt;&lt;/titles&gt;&lt;dates&gt;&lt;/dates&gt;&lt;pub-location&gt;Sydney &lt;/pub-location&gt;&lt;publisher&gt;ACSQHC &lt;/publisher&gt;&lt;urls&gt;&lt;/urls&gt;&lt;/record&gt;&lt;/Cite&gt;&lt;/EndNote&gt;</w:instrText>
      </w:r>
      <w:r w:rsidR="008B2E5D" w:rsidRPr="00F46944">
        <w:rPr>
          <w:rFonts w:cstheme="minorHAnsi"/>
          <w:sz w:val="16"/>
          <w:szCs w:val="16"/>
        </w:rPr>
        <w:fldChar w:fldCharType="separate"/>
      </w:r>
      <w:r w:rsidR="001C0A42" w:rsidRPr="001C0A42">
        <w:rPr>
          <w:rFonts w:cstheme="minorHAnsi"/>
          <w:noProof/>
          <w:sz w:val="16"/>
          <w:szCs w:val="16"/>
          <w:vertAlign w:val="superscript"/>
        </w:rPr>
        <w:t>5</w:t>
      </w:r>
      <w:r w:rsidR="008B2E5D" w:rsidRPr="00F46944">
        <w:rPr>
          <w:rFonts w:cstheme="minorHAnsi"/>
          <w:sz w:val="16"/>
          <w:szCs w:val="16"/>
        </w:rPr>
        <w:fldChar w:fldCharType="end"/>
      </w:r>
    </w:p>
    <w:p w14:paraId="5C483F3B" w14:textId="25FDA0FA" w:rsidR="000E7932" w:rsidRPr="00F46944" w:rsidRDefault="000E7932" w:rsidP="000E7932">
      <w:r w:rsidRPr="00F46944">
        <w:t>Lower rates of antimicrobial use observed nationally (</w:t>
      </w:r>
      <w:r w:rsidRPr="00E0396F">
        <w:t>Figures</w:t>
      </w:r>
      <w:r w:rsidRPr="00EA1E2A">
        <w:t> 1</w:t>
      </w:r>
      <w:r w:rsidRPr="00F46944">
        <w:t> and </w:t>
      </w:r>
      <w:r w:rsidRPr="00EA1E2A">
        <w:t>2</w:t>
      </w:r>
      <w:r w:rsidRPr="00F46944">
        <w:t>), were also observed across all states and territories (</w:t>
      </w:r>
      <w:r w:rsidRPr="0076762C">
        <w:t>Figure 3</w:t>
      </w:r>
      <w:r w:rsidRPr="00F46944">
        <w:t xml:space="preserve">). While a similar pattern of decline </w:t>
      </w:r>
      <w:r w:rsidR="00427663">
        <w:t>was</w:t>
      </w:r>
      <w:r w:rsidR="00427663" w:rsidRPr="00F46944">
        <w:t xml:space="preserve"> </w:t>
      </w:r>
      <w:r w:rsidRPr="00F46944">
        <w:t xml:space="preserve">observed from 2015 to 2021 </w:t>
      </w:r>
      <w:r w:rsidR="00427663">
        <w:t>(</w:t>
      </w:r>
      <w:r w:rsidRPr="00E0396F">
        <w:t>Figures</w:t>
      </w:r>
      <w:r w:rsidRPr="00EA1E2A">
        <w:t> </w:t>
      </w:r>
      <w:r w:rsidRPr="00E0396F">
        <w:t>1</w:t>
      </w:r>
      <w:r w:rsidR="001F01CB">
        <w:t xml:space="preserve"> to</w:t>
      </w:r>
      <w:r w:rsidRPr="00E0396F">
        <w:t> 3</w:t>
      </w:r>
      <w:r w:rsidR="00427663">
        <w:t>)</w:t>
      </w:r>
      <w:r w:rsidRPr="00F46944">
        <w:t>, rates of supply of antimicrobials varied between states and territories</w:t>
      </w:r>
      <w:r w:rsidR="00564C4B">
        <w:t xml:space="preserve"> (</w:t>
      </w:r>
      <w:r w:rsidR="00564C4B" w:rsidRPr="0076762C">
        <w:t>Figure</w:t>
      </w:r>
      <w:r w:rsidR="00564C4B" w:rsidRPr="00DE5D78">
        <w:t> </w:t>
      </w:r>
      <w:r w:rsidR="00564C4B" w:rsidRPr="0076762C">
        <w:t>3)</w:t>
      </w:r>
      <w:r w:rsidRPr="00DE5D78">
        <w:t>.</w:t>
      </w:r>
      <w:r w:rsidRPr="00F46944">
        <w:t xml:space="preserve"> </w:t>
      </w:r>
    </w:p>
    <w:p w14:paraId="5AAE99D1" w14:textId="2BCB1B9D" w:rsidR="000E7932" w:rsidRPr="00F46944" w:rsidRDefault="000E7932" w:rsidP="000E7932">
      <w:r w:rsidRPr="00F46944">
        <w:t>In 2019, age-standardised antimicrobial use was highest in Queensland (1,104 prescriptions/1,000 people), New South Wales (1,102 prescriptions/1,000 people), and Victoria (1,023 prescriptions/1,000 people), and lowest in the Northern Territory (717 prescriptions/1,000 people) (</w:t>
      </w:r>
      <w:r w:rsidRPr="00E0396F">
        <w:t>Figure</w:t>
      </w:r>
      <w:r w:rsidRPr="00EA1E2A">
        <w:t> </w:t>
      </w:r>
      <w:r w:rsidRPr="00E0396F">
        <w:t>3</w:t>
      </w:r>
      <w:r w:rsidRPr="00F46944">
        <w:t>).</w:t>
      </w:r>
    </w:p>
    <w:p w14:paraId="774FC987" w14:textId="4D69CB30" w:rsidR="000E7932" w:rsidRPr="00F46944" w:rsidRDefault="000E7932" w:rsidP="000E7932">
      <w:r w:rsidRPr="00F46944">
        <w:t>In 2020, age-standardised antimicrobial use was highest in Queensland (852 prescriptions/1,000 people), New South Wales (812 prescriptions/1,000 people), and South Australia (762 prescriptions/1,000 people), and lowest in the Northern Territory (615 prescriptions/1,000 people) (</w:t>
      </w:r>
      <w:r w:rsidRPr="00E0396F">
        <w:t>Figure</w:t>
      </w:r>
      <w:r w:rsidRPr="00EA1E2A">
        <w:t> </w:t>
      </w:r>
      <w:r w:rsidRPr="00E0396F">
        <w:t>3</w:t>
      </w:r>
      <w:r w:rsidRPr="00F46944">
        <w:t>).</w:t>
      </w:r>
    </w:p>
    <w:p w14:paraId="4AF341BE" w14:textId="52EBCDE0" w:rsidR="00FF0EFE" w:rsidRDefault="000E7932" w:rsidP="000E7932">
      <w:r w:rsidRPr="00F46944">
        <w:t>In 2021, age-standardised antimicrobial use was highest in Queensland (838 prescriptions/1,000 people), Western Australia (748 prescriptions/1,000 people), and South Australia (731 prescriptions/1,000 people), and lowest in the Northern Territory (542 prescriptions/1,000 people) (</w:t>
      </w:r>
      <w:r w:rsidRPr="00E0396F">
        <w:t>Figure</w:t>
      </w:r>
      <w:r w:rsidRPr="00EA1E2A">
        <w:t> </w:t>
      </w:r>
      <w:r w:rsidRPr="00E0396F">
        <w:t>3</w:t>
      </w:r>
      <w:r w:rsidRPr="00F46944">
        <w:t>).</w:t>
      </w:r>
    </w:p>
    <w:p w14:paraId="3B45F1DA" w14:textId="77777777" w:rsidR="00FF0EFE" w:rsidRDefault="00FF0EFE">
      <w:pPr>
        <w:spacing w:after="80"/>
      </w:pPr>
      <w:r>
        <w:br w:type="page"/>
      </w:r>
    </w:p>
    <w:p w14:paraId="4BCA6EC0" w14:textId="2DC263B7" w:rsidR="00D90042" w:rsidRDefault="004A61B4" w:rsidP="0076762C">
      <w:pPr>
        <w:pStyle w:val="Captions"/>
        <w:rPr>
          <w:b w:val="0"/>
          <w:bCs w:val="0"/>
        </w:rPr>
      </w:pPr>
      <w:bookmarkStart w:id="58" w:name="_Toc121491315"/>
      <w:bookmarkStart w:id="59" w:name="_Toc121840887"/>
      <w:r>
        <w:lastRenderedPageBreak/>
        <w:t>Figure</w:t>
      </w:r>
      <w:r w:rsidRPr="00EA1E2A">
        <w:t> </w:t>
      </w:r>
      <w:fldSimple w:instr=" SEQ Figure \* ARABIC ">
        <w:r w:rsidR="00F34DDD">
          <w:rPr>
            <w:noProof/>
          </w:rPr>
          <w:t>3</w:t>
        </w:r>
      </w:fldSimple>
      <w:r w:rsidR="00D90042" w:rsidRPr="00EA1E2A">
        <w:t>:</w:t>
      </w:r>
      <w:r w:rsidR="00D90042" w:rsidRPr="004A61B4">
        <w:rPr>
          <w:b w:val="0"/>
          <w:bCs w:val="0"/>
        </w:rPr>
        <w:t> Age-standardised rate of the number of PBS/RPBS antimicrobial* prescriptions dispensed per 1,000 people, by state and territory, 2015–2021</w:t>
      </w:r>
      <w:bookmarkEnd w:id="58"/>
      <w:bookmarkEnd w:id="59"/>
    </w:p>
    <w:p w14:paraId="124C590F" w14:textId="0C808ED1" w:rsidR="007C2B94" w:rsidRPr="00BE2366" w:rsidRDefault="002564A9" w:rsidP="00160004">
      <w:pPr>
        <w:pStyle w:val="Captions"/>
        <w:spacing w:after="0"/>
      </w:pPr>
      <w:r>
        <w:rPr>
          <w:noProof/>
        </w:rPr>
        <w:drawing>
          <wp:inline distT="0" distB="0" distL="0" distR="0" wp14:anchorId="64F067D9" wp14:editId="7203146C">
            <wp:extent cx="6017260" cy="4700270"/>
            <wp:effectExtent l="0" t="0" r="2540" b="5080"/>
            <wp:docPr id="46" name="Picture 46" descr="Figure 3: Age-standardised rate of the number of PBS/RPBS antimicrobial prescriptions dispensed per 1,000 people, by state and territory, 2015–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igure 3: Age-standardised rate of the number of PBS/RPBS antimicrobial prescriptions dispensed per 1,000 people, by state and territory, 2015–20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7260" cy="4700270"/>
                    </a:xfrm>
                    <a:prstGeom prst="rect">
                      <a:avLst/>
                    </a:prstGeom>
                    <a:noFill/>
                  </pic:spPr>
                </pic:pic>
              </a:graphicData>
            </a:graphic>
          </wp:inline>
        </w:drawing>
      </w:r>
    </w:p>
    <w:p w14:paraId="28A574AD" w14:textId="7F19A20E" w:rsidR="002C6DE5" w:rsidRPr="00F46944" w:rsidRDefault="00147072" w:rsidP="0076762C">
      <w:pPr>
        <w:tabs>
          <w:tab w:val="left" w:pos="142"/>
        </w:tabs>
        <w:rPr>
          <w:rFonts w:cstheme="minorHAnsi"/>
          <w:sz w:val="16"/>
          <w:szCs w:val="16"/>
        </w:rPr>
      </w:pPr>
      <w:r w:rsidRPr="00F46944">
        <w:rPr>
          <w:sz w:val="16"/>
          <w:szCs w:val="16"/>
        </w:rPr>
        <w:t>PBS = Pharmaceutical Benefits Scheme; RPBS = Repatriation Pharmaceutical Benefits Scheme</w:t>
      </w:r>
      <w:r w:rsidRPr="00F46944">
        <w:rPr>
          <w:sz w:val="16"/>
          <w:szCs w:val="16"/>
        </w:rPr>
        <w:br/>
        <w:t>*</w:t>
      </w:r>
      <w:r w:rsidR="00112691">
        <w:rPr>
          <w:sz w:val="16"/>
          <w:szCs w:val="16"/>
        </w:rPr>
        <w:tab/>
      </w:r>
      <w:r w:rsidRPr="00F46944">
        <w:rPr>
          <w:sz w:val="16"/>
          <w:szCs w:val="16"/>
        </w:rPr>
        <w:t>All antimicrobials</w:t>
      </w:r>
      <w:r w:rsidRPr="00F46944">
        <w:rPr>
          <w:sz w:val="16"/>
          <w:szCs w:val="16"/>
        </w:rPr>
        <w:br/>
      </w:r>
      <w:r w:rsidR="00202D52" w:rsidRPr="00F46944">
        <w:rPr>
          <w:rFonts w:cstheme="minorHAnsi"/>
          <w:sz w:val="16"/>
          <w:szCs w:val="16"/>
        </w:rPr>
        <w:t>Source: Gadzhanova, Roughead</w:t>
      </w:r>
      <w:r w:rsidR="00202D52" w:rsidRPr="00F46944">
        <w:rPr>
          <w:rFonts w:cstheme="minorHAnsi"/>
          <w:sz w:val="16"/>
          <w:szCs w:val="16"/>
        </w:rPr>
        <w:fldChar w:fldCharType="begin"/>
      </w:r>
      <w:r w:rsidR="00DB0DCB">
        <w:rPr>
          <w:rFonts w:cstheme="minorHAnsi"/>
          <w:sz w:val="16"/>
          <w:szCs w:val="16"/>
        </w:rPr>
        <w:instrText xml:space="preserve"> ADDIN EN.CITE &lt;EndNote&gt;&lt;Cite&gt;&lt;Author&gt;Gadzhanova&lt;/Author&gt;&lt;RecNum&gt;5&lt;/RecNum&gt;&lt;DisplayText&gt;&lt;style face="superscript"&gt;5&lt;/style&gt;&lt;/DisplayText&gt;&lt;record&gt;&lt;rec-number&gt;5&lt;/rec-number&gt;&lt;foreign-keys&gt;&lt;key app="EN" db-id="es9dr99ws90stoe5x2rp505nazvswdzppxa5" timestamp="1670810539"&gt;5&lt;/key&gt;&lt;/foreign-keys&gt;&lt;ref-type name="Unpublished Work"&gt;34&lt;/ref-type&gt;&lt;contributors&gt;&lt;authors&gt;&lt;author&gt;Gadzhanova, S.&lt;/author&gt;&lt;author&gt;Roughead, E.&lt;/author&gt;&lt;/authors&gt;&lt;/contributors&gt;&lt;titles&gt;&lt;title&gt;Analysis of 2015–2021 PBS data for the National Report on Antimicrobial Use and Resistance (unpublished)&lt;/title&gt;&lt;/titles&gt;&lt;dates&gt;&lt;/dates&gt;&lt;pub-location&gt;Sydney &lt;/pub-location&gt;&lt;publisher&gt;ACSQHC &lt;/publisher&gt;&lt;urls&gt;&lt;/urls&gt;&lt;/record&gt;&lt;/Cite&gt;&lt;/EndNote&gt;</w:instrText>
      </w:r>
      <w:r w:rsidR="00202D52" w:rsidRPr="00F46944">
        <w:rPr>
          <w:rFonts w:cstheme="minorHAnsi"/>
          <w:sz w:val="16"/>
          <w:szCs w:val="16"/>
        </w:rPr>
        <w:fldChar w:fldCharType="separate"/>
      </w:r>
      <w:r w:rsidR="001C0A42" w:rsidRPr="001C0A42">
        <w:rPr>
          <w:rFonts w:cstheme="minorHAnsi"/>
          <w:noProof/>
          <w:sz w:val="16"/>
          <w:szCs w:val="16"/>
          <w:vertAlign w:val="superscript"/>
        </w:rPr>
        <w:t>5</w:t>
      </w:r>
      <w:r w:rsidR="00202D52" w:rsidRPr="00F46944">
        <w:rPr>
          <w:rFonts w:cstheme="minorHAnsi"/>
          <w:sz w:val="16"/>
          <w:szCs w:val="16"/>
        </w:rPr>
        <w:fldChar w:fldCharType="end"/>
      </w:r>
    </w:p>
    <w:p w14:paraId="6D7C07FF" w14:textId="7E294124" w:rsidR="008B2E5D" w:rsidRPr="00F46944" w:rsidRDefault="008B2E5D" w:rsidP="008B2E5D">
      <w:pPr>
        <w:rPr>
          <w:rFonts w:ascii="Times New Roman" w:hAnsi="Times New Roman"/>
          <w:sz w:val="24"/>
          <w:szCs w:val="24"/>
        </w:rPr>
      </w:pPr>
      <w:r w:rsidRPr="00E0396F">
        <w:rPr>
          <w:rFonts w:cstheme="minorHAnsi"/>
        </w:rPr>
        <w:t>Figure 3</w:t>
      </w:r>
      <w:r w:rsidRPr="00F46944">
        <w:rPr>
          <w:rFonts w:cstheme="minorHAnsi"/>
        </w:rPr>
        <w:t xml:space="preserve"> and </w:t>
      </w:r>
      <w:r w:rsidRPr="00E0396F">
        <w:rPr>
          <w:rFonts w:cstheme="minorHAnsi"/>
        </w:rPr>
        <w:t>Table 6</w:t>
      </w:r>
      <w:r w:rsidRPr="00F46944">
        <w:rPr>
          <w:rFonts w:cstheme="minorHAnsi"/>
        </w:rPr>
        <w:t xml:space="preserve"> show comparatively lower rates of antimicrobial dispensing in the Northern Territory</w:t>
      </w:r>
      <w:r w:rsidR="00E70980">
        <w:rPr>
          <w:rFonts w:cstheme="minorHAnsi"/>
        </w:rPr>
        <w:t xml:space="preserve"> than the other states</w:t>
      </w:r>
      <w:r w:rsidR="0076762C">
        <w:rPr>
          <w:rFonts w:cstheme="minorHAnsi"/>
        </w:rPr>
        <w:t xml:space="preserve"> and the Australian Capital Territory</w:t>
      </w:r>
      <w:r w:rsidRPr="00F46944">
        <w:rPr>
          <w:rFonts w:cstheme="minorHAnsi"/>
        </w:rPr>
        <w:t xml:space="preserve">. This </w:t>
      </w:r>
      <w:r w:rsidRPr="00F46944">
        <w:t xml:space="preserve">likely reflects access to antimicrobial supply through sources other than the PBS/RPBS. </w:t>
      </w:r>
    </w:p>
    <w:p w14:paraId="6B295F99" w14:textId="77E4C750" w:rsidR="00154F4D" w:rsidRPr="00F46944" w:rsidRDefault="00FC5067" w:rsidP="00751D3E">
      <w:pPr>
        <w:rPr>
          <w:rFonts w:cstheme="minorHAnsi"/>
        </w:rPr>
      </w:pPr>
      <w:r w:rsidRPr="00E0396F">
        <w:rPr>
          <w:rFonts w:cstheme="minorHAnsi"/>
        </w:rPr>
        <w:t>Table 6</w:t>
      </w:r>
      <w:r w:rsidRPr="00F46944">
        <w:rPr>
          <w:rFonts w:cstheme="minorHAnsi"/>
        </w:rPr>
        <w:t xml:space="preserve"> shows </w:t>
      </w:r>
      <w:r w:rsidR="00D6375D">
        <w:rPr>
          <w:rFonts w:cstheme="minorHAnsi"/>
        </w:rPr>
        <w:t xml:space="preserve">that </w:t>
      </w:r>
      <w:r w:rsidRPr="00F46944">
        <w:rPr>
          <w:rFonts w:cstheme="minorHAnsi"/>
        </w:rPr>
        <w:t>d</w:t>
      </w:r>
      <w:r w:rsidR="00393122" w:rsidRPr="00F46944">
        <w:rPr>
          <w:rFonts w:cstheme="minorHAnsi"/>
        </w:rPr>
        <w:t xml:space="preserve">ispensing rates vary by </w:t>
      </w:r>
      <w:r w:rsidR="00156130" w:rsidRPr="00F46944">
        <w:rPr>
          <w:rFonts w:cstheme="minorHAnsi"/>
        </w:rPr>
        <w:t xml:space="preserve">region (as defined by </w:t>
      </w:r>
      <w:r w:rsidR="00393122" w:rsidRPr="00F46944">
        <w:rPr>
          <w:rFonts w:cstheme="minorHAnsi"/>
        </w:rPr>
        <w:t>local SA3</w:t>
      </w:r>
      <w:r w:rsidR="00156130" w:rsidRPr="00F46944">
        <w:rPr>
          <w:rFonts w:cstheme="minorHAnsi"/>
        </w:rPr>
        <w:t>)</w:t>
      </w:r>
      <w:r w:rsidR="00393122" w:rsidRPr="00F46944">
        <w:rPr>
          <w:rFonts w:cstheme="minorHAnsi"/>
        </w:rPr>
        <w:t>.</w:t>
      </w:r>
      <w:r w:rsidR="00080C33" w:rsidRPr="00F46944">
        <w:rPr>
          <w:rFonts w:cstheme="minorHAnsi"/>
        </w:rPr>
        <w:t xml:space="preserve"> The highest and lowest </w:t>
      </w:r>
      <w:r w:rsidR="009D3FE7" w:rsidRPr="00F46944">
        <w:t>antimicrobial</w:t>
      </w:r>
      <w:r w:rsidR="009D3FE7" w:rsidRPr="00F46944">
        <w:rPr>
          <w:rFonts w:cstheme="minorHAnsi"/>
        </w:rPr>
        <w:t xml:space="preserve"> </w:t>
      </w:r>
      <w:r w:rsidR="002B42FD" w:rsidRPr="00F46944">
        <w:rPr>
          <w:rFonts w:cstheme="minorHAnsi"/>
        </w:rPr>
        <w:t xml:space="preserve">dispensing </w:t>
      </w:r>
      <w:r w:rsidR="00080C33" w:rsidRPr="00F46944">
        <w:rPr>
          <w:rFonts w:cstheme="minorHAnsi"/>
        </w:rPr>
        <w:t xml:space="preserve">rates remained consistent </w:t>
      </w:r>
      <w:r w:rsidR="00E70980">
        <w:rPr>
          <w:rFonts w:cstheme="minorHAnsi"/>
        </w:rPr>
        <w:t>from</w:t>
      </w:r>
      <w:r w:rsidR="00E70980" w:rsidRPr="00F46944">
        <w:rPr>
          <w:rFonts w:cstheme="minorHAnsi"/>
        </w:rPr>
        <w:t xml:space="preserve"> </w:t>
      </w:r>
      <w:r w:rsidR="00154F4D" w:rsidRPr="00F46944">
        <w:rPr>
          <w:rFonts w:cstheme="minorHAnsi"/>
        </w:rPr>
        <w:t xml:space="preserve">2019 to </w:t>
      </w:r>
      <w:r w:rsidR="00080C33" w:rsidRPr="00F46944">
        <w:rPr>
          <w:rFonts w:cstheme="minorHAnsi"/>
        </w:rPr>
        <w:t>2021 for all states and territories</w:t>
      </w:r>
      <w:r w:rsidR="00E70980">
        <w:rPr>
          <w:rFonts w:cstheme="minorHAnsi"/>
        </w:rPr>
        <w:t xml:space="preserve">, </w:t>
      </w:r>
      <w:r w:rsidR="00154F4D" w:rsidRPr="00F46944">
        <w:rPr>
          <w:rFonts w:cstheme="minorHAnsi"/>
        </w:rPr>
        <w:t>except for the SA3 region with the highest rate of antimicrobial dispensing in Victoria in 2019 and the Northern Territory in 2021.</w:t>
      </w:r>
    </w:p>
    <w:p w14:paraId="7B13E5BF" w14:textId="1EBF3B74" w:rsidR="00154F4D" w:rsidRPr="00F46944" w:rsidRDefault="00154F4D" w:rsidP="00751D3E">
      <w:pPr>
        <w:rPr>
          <w:rFonts w:cstheme="minorHAnsi"/>
        </w:rPr>
      </w:pPr>
      <w:r w:rsidRPr="00F46944">
        <w:rPr>
          <w:rFonts w:cstheme="minorHAnsi"/>
        </w:rPr>
        <w:t>It is noticeable that the area with the lowest dispensing rate is often near to</w:t>
      </w:r>
      <w:r w:rsidR="00FB1162" w:rsidRPr="00F46944">
        <w:rPr>
          <w:rFonts w:cstheme="minorHAnsi"/>
        </w:rPr>
        <w:t xml:space="preserve">, </w:t>
      </w:r>
      <w:r w:rsidRPr="00F46944">
        <w:rPr>
          <w:rFonts w:cstheme="minorHAnsi"/>
        </w:rPr>
        <w:t xml:space="preserve">or contiguous with the area with the highest dispensing rate. This </w:t>
      </w:r>
      <w:r w:rsidR="00E70980">
        <w:rPr>
          <w:rFonts w:cstheme="minorHAnsi"/>
        </w:rPr>
        <w:t xml:space="preserve">may </w:t>
      </w:r>
      <w:r w:rsidRPr="00F46944">
        <w:rPr>
          <w:rFonts w:cstheme="minorHAnsi"/>
        </w:rPr>
        <w:t xml:space="preserve">suggest that local physician preference is a major influence on </w:t>
      </w:r>
      <w:r w:rsidRPr="00F46944">
        <w:t xml:space="preserve">antimicrobial </w:t>
      </w:r>
      <w:r w:rsidRPr="00F46944">
        <w:rPr>
          <w:rFonts w:cstheme="minorHAnsi"/>
        </w:rPr>
        <w:t xml:space="preserve">use. </w:t>
      </w:r>
    </w:p>
    <w:p w14:paraId="47770C79" w14:textId="77777777" w:rsidR="001F01CB" w:rsidRDefault="001F01CB">
      <w:pPr>
        <w:spacing w:after="80"/>
        <w:rPr>
          <w:b/>
          <w:bCs/>
        </w:rPr>
      </w:pPr>
      <w:r>
        <w:br w:type="page"/>
      </w:r>
    </w:p>
    <w:p w14:paraId="581547D3" w14:textId="7246000C" w:rsidR="001A3903" w:rsidRPr="004A61B4" w:rsidRDefault="004A61B4" w:rsidP="004A61B4">
      <w:pPr>
        <w:pStyle w:val="Captions"/>
        <w:rPr>
          <w:b w:val="0"/>
          <w:bCs w:val="0"/>
        </w:rPr>
      </w:pPr>
      <w:bookmarkStart w:id="60" w:name="_Toc121744366"/>
      <w:bookmarkStart w:id="61" w:name="_Toc121491306"/>
      <w:r>
        <w:lastRenderedPageBreak/>
        <w:t>Table</w:t>
      </w:r>
      <w:r w:rsidRPr="00EA1E2A">
        <w:t> </w:t>
      </w:r>
      <w:fldSimple w:instr=" SEQ Table \* ARABIC ">
        <w:r w:rsidR="00F34DDD">
          <w:rPr>
            <w:noProof/>
          </w:rPr>
          <w:t>6</w:t>
        </w:r>
      </w:fldSimple>
      <w:r w:rsidR="001A3903" w:rsidRPr="00EA1E2A">
        <w:t>:</w:t>
      </w:r>
      <w:r w:rsidR="001A3903" w:rsidRPr="004A61B4">
        <w:rPr>
          <w:b w:val="0"/>
          <w:bCs w:val="0"/>
        </w:rPr>
        <w:t xml:space="preserve"> Highest and lowest </w:t>
      </w:r>
      <w:r w:rsidR="002075BB" w:rsidRPr="004A61B4">
        <w:rPr>
          <w:b w:val="0"/>
          <w:bCs w:val="0"/>
        </w:rPr>
        <w:t>PBS/RPBS</w:t>
      </w:r>
      <w:r w:rsidR="00147072" w:rsidRPr="004A61B4">
        <w:rPr>
          <w:b w:val="0"/>
          <w:bCs w:val="0"/>
        </w:rPr>
        <w:t xml:space="preserve"> antimicrobial*</w:t>
      </w:r>
      <w:r w:rsidR="002075BB" w:rsidRPr="004A61B4">
        <w:rPr>
          <w:b w:val="0"/>
          <w:bCs w:val="0"/>
        </w:rPr>
        <w:t xml:space="preserve"> </w:t>
      </w:r>
      <w:r w:rsidR="001A3903" w:rsidRPr="004A61B4">
        <w:rPr>
          <w:b w:val="0"/>
          <w:bCs w:val="0"/>
        </w:rPr>
        <w:t>dispensing rates per 1,000 people, age standardised,</w:t>
      </w:r>
      <w:r w:rsidR="00EC39EE" w:rsidRPr="004A61B4">
        <w:rPr>
          <w:b w:val="0"/>
          <w:bCs w:val="0"/>
        </w:rPr>
        <w:t xml:space="preserve"> </w:t>
      </w:r>
      <w:r w:rsidR="001A3903" w:rsidRPr="004A61B4">
        <w:rPr>
          <w:b w:val="0"/>
          <w:bCs w:val="0"/>
        </w:rPr>
        <w:t xml:space="preserve">by </w:t>
      </w:r>
      <w:r w:rsidR="000E6C71" w:rsidRPr="004A61B4">
        <w:rPr>
          <w:b w:val="0"/>
          <w:bCs w:val="0"/>
        </w:rPr>
        <w:t>SA3</w:t>
      </w:r>
      <w:r w:rsidR="001A3903" w:rsidRPr="004A61B4">
        <w:rPr>
          <w:b w:val="0"/>
          <w:bCs w:val="0"/>
        </w:rPr>
        <w:t xml:space="preserve">, </w:t>
      </w:r>
      <w:r w:rsidR="00A66614" w:rsidRPr="004A61B4">
        <w:rPr>
          <w:b w:val="0"/>
          <w:bCs w:val="0"/>
        </w:rPr>
        <w:t>20</w:t>
      </w:r>
      <w:r w:rsidR="0010778A" w:rsidRPr="004A61B4">
        <w:rPr>
          <w:b w:val="0"/>
          <w:bCs w:val="0"/>
        </w:rPr>
        <w:t>19–</w:t>
      </w:r>
      <w:r w:rsidR="00A042C9" w:rsidRPr="004A61B4">
        <w:rPr>
          <w:b w:val="0"/>
          <w:bCs w:val="0"/>
        </w:rPr>
        <w:t>2021</w:t>
      </w:r>
      <w:bookmarkEnd w:id="60"/>
      <w:bookmarkEnd w:id="61"/>
    </w:p>
    <w:tbl>
      <w:tblPr>
        <w:tblStyle w:val="PlainTable2"/>
        <w:tblW w:w="9530" w:type="dxa"/>
        <w:jc w:val="center"/>
        <w:tblLook w:val="04A0" w:firstRow="1" w:lastRow="0" w:firstColumn="1" w:lastColumn="0" w:noHBand="0" w:noVBand="1"/>
      </w:tblPr>
      <w:tblGrid>
        <w:gridCol w:w="830"/>
        <w:gridCol w:w="987"/>
        <w:gridCol w:w="512"/>
        <w:gridCol w:w="847"/>
        <w:gridCol w:w="528"/>
        <w:gridCol w:w="987"/>
        <w:gridCol w:w="512"/>
        <w:gridCol w:w="847"/>
        <w:gridCol w:w="528"/>
        <w:gridCol w:w="987"/>
        <w:gridCol w:w="512"/>
        <w:gridCol w:w="925"/>
        <w:gridCol w:w="528"/>
      </w:tblGrid>
      <w:tr w:rsidR="00AA69A5" w:rsidRPr="00F46944" w14:paraId="4DE615EF" w14:textId="77777777" w:rsidTr="00147072">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830" w:type="dxa"/>
            <w:vMerge w:val="restart"/>
            <w:shd w:val="clear" w:color="auto" w:fill="F1BBA8" w:themeFill="accent5" w:themeFillTint="66"/>
            <w:vAlign w:val="bottom"/>
          </w:tcPr>
          <w:p w14:paraId="5ADFA49C" w14:textId="4EB5E620" w:rsidR="00154F4D" w:rsidRPr="00F46944" w:rsidRDefault="00154F4D" w:rsidP="00373269">
            <w:pPr>
              <w:ind w:right="-69"/>
              <w:rPr>
                <w:rFonts w:cstheme="minorHAnsi"/>
                <w:sz w:val="14"/>
                <w:szCs w:val="14"/>
              </w:rPr>
            </w:pPr>
            <w:r w:rsidRPr="00F46944">
              <w:rPr>
                <w:rFonts w:cstheme="minorHAnsi"/>
                <w:sz w:val="16"/>
                <w:szCs w:val="16"/>
              </w:rPr>
              <w:t>State or territory</w:t>
            </w:r>
          </w:p>
        </w:tc>
        <w:tc>
          <w:tcPr>
            <w:tcW w:w="2874" w:type="dxa"/>
            <w:gridSpan w:val="4"/>
            <w:shd w:val="clear" w:color="auto" w:fill="F1BBA8" w:themeFill="accent5" w:themeFillTint="66"/>
            <w:vAlign w:val="center"/>
          </w:tcPr>
          <w:p w14:paraId="364BBDE5" w14:textId="7B86C974" w:rsidR="00154F4D" w:rsidRPr="00F46944" w:rsidRDefault="0010778A" w:rsidP="00087595">
            <w:pPr>
              <w:jc w:val="center"/>
              <w:cnfStyle w:val="100000000000" w:firstRow="1" w:lastRow="0" w:firstColumn="0" w:lastColumn="0" w:oddVBand="0" w:evenVBand="0" w:oddHBand="0" w:evenHBand="0" w:firstRowFirstColumn="0" w:firstRowLastColumn="0" w:lastRowFirstColumn="0" w:lastRowLastColumn="0"/>
              <w:rPr>
                <w:rFonts w:cstheme="minorHAnsi"/>
                <w:bCs w:val="0"/>
                <w:sz w:val="20"/>
                <w:szCs w:val="16"/>
              </w:rPr>
            </w:pPr>
            <w:r w:rsidRPr="00F46944">
              <w:rPr>
                <w:rFonts w:cstheme="minorHAnsi"/>
                <w:sz w:val="20"/>
                <w:szCs w:val="16"/>
              </w:rPr>
              <w:t>2019</w:t>
            </w:r>
          </w:p>
        </w:tc>
        <w:tc>
          <w:tcPr>
            <w:tcW w:w="2874" w:type="dxa"/>
            <w:gridSpan w:val="4"/>
            <w:shd w:val="clear" w:color="auto" w:fill="F1BBA8" w:themeFill="accent5" w:themeFillTint="66"/>
            <w:vAlign w:val="center"/>
          </w:tcPr>
          <w:p w14:paraId="2DA852CD" w14:textId="732E884F" w:rsidR="00154F4D" w:rsidRPr="00F46944" w:rsidRDefault="00154F4D" w:rsidP="00087595">
            <w:pPr>
              <w:jc w:val="center"/>
              <w:cnfStyle w:val="100000000000" w:firstRow="1" w:lastRow="0" w:firstColumn="0" w:lastColumn="0" w:oddVBand="0" w:evenVBand="0" w:oddHBand="0" w:evenHBand="0" w:firstRowFirstColumn="0" w:firstRowLastColumn="0" w:lastRowFirstColumn="0" w:lastRowLastColumn="0"/>
              <w:rPr>
                <w:rFonts w:cstheme="minorHAnsi"/>
                <w:bCs w:val="0"/>
                <w:sz w:val="20"/>
                <w:szCs w:val="16"/>
              </w:rPr>
            </w:pPr>
            <w:r w:rsidRPr="00F46944">
              <w:rPr>
                <w:rFonts w:cstheme="minorHAnsi"/>
                <w:sz w:val="20"/>
                <w:szCs w:val="16"/>
              </w:rPr>
              <w:t>2020</w:t>
            </w:r>
          </w:p>
        </w:tc>
        <w:tc>
          <w:tcPr>
            <w:tcW w:w="2952" w:type="dxa"/>
            <w:gridSpan w:val="4"/>
            <w:shd w:val="clear" w:color="auto" w:fill="F1BBA8" w:themeFill="accent5" w:themeFillTint="66"/>
            <w:vAlign w:val="center"/>
          </w:tcPr>
          <w:p w14:paraId="241828E8" w14:textId="0D99FD0C" w:rsidR="00154F4D" w:rsidRPr="00F46944" w:rsidRDefault="00154F4D" w:rsidP="00087595">
            <w:pPr>
              <w:jc w:val="center"/>
              <w:cnfStyle w:val="100000000000" w:firstRow="1" w:lastRow="0" w:firstColumn="0" w:lastColumn="0" w:oddVBand="0" w:evenVBand="0" w:oddHBand="0" w:evenHBand="0" w:firstRowFirstColumn="0" w:firstRowLastColumn="0" w:lastRowFirstColumn="0" w:lastRowLastColumn="0"/>
              <w:rPr>
                <w:rFonts w:cstheme="minorHAnsi"/>
                <w:bCs w:val="0"/>
                <w:sz w:val="20"/>
                <w:szCs w:val="16"/>
              </w:rPr>
            </w:pPr>
            <w:r w:rsidRPr="00F46944">
              <w:rPr>
                <w:rFonts w:cstheme="minorHAnsi"/>
                <w:sz w:val="20"/>
                <w:szCs w:val="16"/>
              </w:rPr>
              <w:t>2021</w:t>
            </w:r>
          </w:p>
        </w:tc>
      </w:tr>
      <w:tr w:rsidR="00C1249F" w:rsidRPr="00F46944" w14:paraId="3B68867B" w14:textId="77777777" w:rsidTr="00147072">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830" w:type="dxa"/>
            <w:vMerge/>
            <w:shd w:val="clear" w:color="auto" w:fill="F1BBA8" w:themeFill="accent5" w:themeFillTint="66"/>
          </w:tcPr>
          <w:p w14:paraId="3F65AC90" w14:textId="77777777" w:rsidR="00502863" w:rsidRPr="00F46944" w:rsidRDefault="00502863" w:rsidP="00502863">
            <w:pPr>
              <w:rPr>
                <w:rFonts w:cstheme="minorHAnsi"/>
                <w:sz w:val="14"/>
                <w:szCs w:val="14"/>
              </w:rPr>
            </w:pPr>
          </w:p>
        </w:tc>
        <w:tc>
          <w:tcPr>
            <w:tcW w:w="987" w:type="dxa"/>
            <w:shd w:val="clear" w:color="auto" w:fill="F1BBA8" w:themeFill="accent5" w:themeFillTint="66"/>
            <w:vAlign w:val="center"/>
          </w:tcPr>
          <w:p w14:paraId="6AEC07FF" w14:textId="09AD6479" w:rsidR="00502863" w:rsidRPr="00F46944" w:rsidRDefault="00502863" w:rsidP="00373269">
            <w:pPr>
              <w:ind w:right="-74"/>
              <w:cnfStyle w:val="000000100000" w:firstRow="0" w:lastRow="0" w:firstColumn="0" w:lastColumn="0" w:oddVBand="0" w:evenVBand="0" w:oddHBand="1" w:evenHBand="0" w:firstRowFirstColumn="0" w:firstRowLastColumn="0" w:lastRowFirstColumn="0" w:lastRowLastColumn="0"/>
              <w:rPr>
                <w:rFonts w:cstheme="minorHAnsi"/>
                <w:bCs/>
                <w:sz w:val="14"/>
                <w:szCs w:val="14"/>
              </w:rPr>
            </w:pPr>
            <w:r w:rsidRPr="00F46944">
              <w:rPr>
                <w:rFonts w:cstheme="minorHAnsi"/>
                <w:bCs/>
                <w:sz w:val="14"/>
                <w:szCs w:val="14"/>
              </w:rPr>
              <w:t>Lowest SA3 region</w:t>
            </w:r>
          </w:p>
        </w:tc>
        <w:tc>
          <w:tcPr>
            <w:tcW w:w="512" w:type="dxa"/>
            <w:shd w:val="clear" w:color="auto" w:fill="F1BBA8" w:themeFill="accent5" w:themeFillTint="66"/>
            <w:vAlign w:val="center"/>
          </w:tcPr>
          <w:p w14:paraId="7BFBB912" w14:textId="5BF42922" w:rsidR="00502863" w:rsidRPr="00F46944" w:rsidRDefault="00502863" w:rsidP="00502863">
            <w:pPr>
              <w:cnfStyle w:val="000000100000" w:firstRow="0" w:lastRow="0" w:firstColumn="0" w:lastColumn="0" w:oddVBand="0" w:evenVBand="0" w:oddHBand="1" w:evenHBand="0" w:firstRowFirstColumn="0" w:firstRowLastColumn="0" w:lastRowFirstColumn="0" w:lastRowLastColumn="0"/>
              <w:rPr>
                <w:rFonts w:cstheme="minorHAnsi"/>
                <w:bCs/>
                <w:sz w:val="14"/>
                <w:szCs w:val="14"/>
              </w:rPr>
            </w:pPr>
            <w:r w:rsidRPr="00F46944">
              <w:rPr>
                <w:rFonts w:cstheme="minorHAnsi"/>
                <w:bCs/>
                <w:sz w:val="14"/>
                <w:szCs w:val="14"/>
              </w:rPr>
              <w:t>Rate</w:t>
            </w:r>
          </w:p>
        </w:tc>
        <w:tc>
          <w:tcPr>
            <w:tcW w:w="847" w:type="dxa"/>
            <w:shd w:val="clear" w:color="auto" w:fill="F1BBA8" w:themeFill="accent5" w:themeFillTint="66"/>
            <w:vAlign w:val="center"/>
          </w:tcPr>
          <w:p w14:paraId="02F7D610" w14:textId="40DAD983" w:rsidR="00502863" w:rsidRPr="00F46944" w:rsidRDefault="00502863" w:rsidP="00502863">
            <w:pPr>
              <w:cnfStyle w:val="000000100000" w:firstRow="0" w:lastRow="0" w:firstColumn="0" w:lastColumn="0" w:oddVBand="0" w:evenVBand="0" w:oddHBand="1" w:evenHBand="0" w:firstRowFirstColumn="0" w:firstRowLastColumn="0" w:lastRowFirstColumn="0" w:lastRowLastColumn="0"/>
              <w:rPr>
                <w:rFonts w:cstheme="minorHAnsi"/>
                <w:bCs/>
                <w:sz w:val="14"/>
                <w:szCs w:val="14"/>
              </w:rPr>
            </w:pPr>
            <w:r w:rsidRPr="00F46944">
              <w:rPr>
                <w:rFonts w:cstheme="minorHAnsi"/>
                <w:bCs/>
                <w:sz w:val="14"/>
                <w:szCs w:val="14"/>
              </w:rPr>
              <w:t>Highest SA3 region</w:t>
            </w:r>
          </w:p>
        </w:tc>
        <w:tc>
          <w:tcPr>
            <w:tcW w:w="528" w:type="dxa"/>
            <w:shd w:val="clear" w:color="auto" w:fill="F1BBA8" w:themeFill="accent5" w:themeFillTint="66"/>
            <w:vAlign w:val="center"/>
          </w:tcPr>
          <w:p w14:paraId="78DBD44A" w14:textId="26D76077" w:rsidR="00502863" w:rsidRPr="00F46944" w:rsidRDefault="00502863" w:rsidP="00502863">
            <w:pPr>
              <w:cnfStyle w:val="000000100000" w:firstRow="0" w:lastRow="0" w:firstColumn="0" w:lastColumn="0" w:oddVBand="0" w:evenVBand="0" w:oddHBand="1" w:evenHBand="0" w:firstRowFirstColumn="0" w:firstRowLastColumn="0" w:lastRowFirstColumn="0" w:lastRowLastColumn="0"/>
              <w:rPr>
                <w:rFonts w:cstheme="minorHAnsi"/>
                <w:bCs/>
                <w:sz w:val="14"/>
                <w:szCs w:val="14"/>
              </w:rPr>
            </w:pPr>
            <w:r w:rsidRPr="00F46944">
              <w:rPr>
                <w:rFonts w:cstheme="minorHAnsi"/>
                <w:bCs/>
                <w:sz w:val="14"/>
                <w:szCs w:val="14"/>
              </w:rPr>
              <w:t>Rate</w:t>
            </w:r>
          </w:p>
        </w:tc>
        <w:tc>
          <w:tcPr>
            <w:tcW w:w="987" w:type="dxa"/>
            <w:shd w:val="clear" w:color="auto" w:fill="F1BBA8" w:themeFill="accent5" w:themeFillTint="66"/>
            <w:vAlign w:val="center"/>
          </w:tcPr>
          <w:p w14:paraId="246C08BB" w14:textId="2F9C81F5" w:rsidR="00502863" w:rsidRPr="00F46944" w:rsidRDefault="00502863" w:rsidP="00502863">
            <w:pPr>
              <w:cnfStyle w:val="000000100000" w:firstRow="0" w:lastRow="0" w:firstColumn="0" w:lastColumn="0" w:oddVBand="0" w:evenVBand="0" w:oddHBand="1" w:evenHBand="0" w:firstRowFirstColumn="0" w:firstRowLastColumn="0" w:lastRowFirstColumn="0" w:lastRowLastColumn="0"/>
              <w:rPr>
                <w:rFonts w:cstheme="minorHAnsi"/>
                <w:bCs/>
                <w:sz w:val="14"/>
                <w:szCs w:val="14"/>
              </w:rPr>
            </w:pPr>
            <w:r w:rsidRPr="00F46944">
              <w:rPr>
                <w:rFonts w:cstheme="minorHAnsi"/>
                <w:bCs/>
                <w:sz w:val="14"/>
                <w:szCs w:val="14"/>
              </w:rPr>
              <w:t>Lowest SA3 region</w:t>
            </w:r>
          </w:p>
        </w:tc>
        <w:tc>
          <w:tcPr>
            <w:tcW w:w="512" w:type="dxa"/>
            <w:shd w:val="clear" w:color="auto" w:fill="F1BBA8" w:themeFill="accent5" w:themeFillTint="66"/>
            <w:vAlign w:val="center"/>
          </w:tcPr>
          <w:p w14:paraId="5F97C36D" w14:textId="22326DD8" w:rsidR="00502863" w:rsidRPr="00F46944" w:rsidRDefault="00502863" w:rsidP="00502863">
            <w:pPr>
              <w:cnfStyle w:val="000000100000" w:firstRow="0" w:lastRow="0" w:firstColumn="0" w:lastColumn="0" w:oddVBand="0" w:evenVBand="0" w:oddHBand="1" w:evenHBand="0" w:firstRowFirstColumn="0" w:firstRowLastColumn="0" w:lastRowFirstColumn="0" w:lastRowLastColumn="0"/>
              <w:rPr>
                <w:rFonts w:cstheme="minorHAnsi"/>
                <w:bCs/>
                <w:sz w:val="14"/>
                <w:szCs w:val="14"/>
              </w:rPr>
            </w:pPr>
            <w:r w:rsidRPr="00F46944">
              <w:rPr>
                <w:rFonts w:cstheme="minorHAnsi"/>
                <w:bCs/>
                <w:sz w:val="14"/>
                <w:szCs w:val="14"/>
              </w:rPr>
              <w:t>Rate</w:t>
            </w:r>
          </w:p>
        </w:tc>
        <w:tc>
          <w:tcPr>
            <w:tcW w:w="847" w:type="dxa"/>
            <w:shd w:val="clear" w:color="auto" w:fill="F1BBA8" w:themeFill="accent5" w:themeFillTint="66"/>
            <w:vAlign w:val="center"/>
          </w:tcPr>
          <w:p w14:paraId="5C31101A" w14:textId="40C649BC" w:rsidR="00502863" w:rsidRPr="00F46944" w:rsidRDefault="00502863" w:rsidP="00502863">
            <w:pPr>
              <w:cnfStyle w:val="000000100000" w:firstRow="0" w:lastRow="0" w:firstColumn="0" w:lastColumn="0" w:oddVBand="0" w:evenVBand="0" w:oddHBand="1" w:evenHBand="0" w:firstRowFirstColumn="0" w:firstRowLastColumn="0" w:lastRowFirstColumn="0" w:lastRowLastColumn="0"/>
              <w:rPr>
                <w:rFonts w:cstheme="minorHAnsi"/>
                <w:bCs/>
                <w:sz w:val="14"/>
                <w:szCs w:val="14"/>
              </w:rPr>
            </w:pPr>
            <w:r w:rsidRPr="00F46944">
              <w:rPr>
                <w:rFonts w:cstheme="minorHAnsi"/>
                <w:bCs/>
                <w:sz w:val="14"/>
                <w:szCs w:val="14"/>
              </w:rPr>
              <w:t>Highest SA3 region</w:t>
            </w:r>
          </w:p>
        </w:tc>
        <w:tc>
          <w:tcPr>
            <w:tcW w:w="528" w:type="dxa"/>
            <w:shd w:val="clear" w:color="auto" w:fill="F1BBA8" w:themeFill="accent5" w:themeFillTint="66"/>
            <w:vAlign w:val="center"/>
          </w:tcPr>
          <w:p w14:paraId="614397AD" w14:textId="16AD4378" w:rsidR="00502863" w:rsidRPr="00F46944" w:rsidRDefault="00502863" w:rsidP="00502863">
            <w:pPr>
              <w:cnfStyle w:val="000000100000" w:firstRow="0" w:lastRow="0" w:firstColumn="0" w:lastColumn="0" w:oddVBand="0" w:evenVBand="0" w:oddHBand="1" w:evenHBand="0" w:firstRowFirstColumn="0" w:firstRowLastColumn="0" w:lastRowFirstColumn="0" w:lastRowLastColumn="0"/>
              <w:rPr>
                <w:rFonts w:cstheme="minorHAnsi"/>
                <w:bCs/>
                <w:sz w:val="14"/>
                <w:szCs w:val="14"/>
              </w:rPr>
            </w:pPr>
            <w:r w:rsidRPr="00F46944">
              <w:rPr>
                <w:rFonts w:cstheme="minorHAnsi"/>
                <w:bCs/>
                <w:sz w:val="14"/>
                <w:szCs w:val="14"/>
              </w:rPr>
              <w:t>Rate</w:t>
            </w:r>
          </w:p>
        </w:tc>
        <w:tc>
          <w:tcPr>
            <w:tcW w:w="987" w:type="dxa"/>
            <w:shd w:val="clear" w:color="auto" w:fill="F1BBA8" w:themeFill="accent5" w:themeFillTint="66"/>
            <w:vAlign w:val="center"/>
          </w:tcPr>
          <w:p w14:paraId="791EA6B4" w14:textId="7C85FD7C" w:rsidR="00502863" w:rsidRPr="00F46944" w:rsidRDefault="00502863" w:rsidP="00502863">
            <w:pPr>
              <w:cnfStyle w:val="000000100000" w:firstRow="0" w:lastRow="0" w:firstColumn="0" w:lastColumn="0" w:oddVBand="0" w:evenVBand="0" w:oddHBand="1" w:evenHBand="0" w:firstRowFirstColumn="0" w:firstRowLastColumn="0" w:lastRowFirstColumn="0" w:lastRowLastColumn="0"/>
              <w:rPr>
                <w:rFonts w:cstheme="minorHAnsi"/>
                <w:bCs/>
                <w:sz w:val="14"/>
                <w:szCs w:val="14"/>
              </w:rPr>
            </w:pPr>
            <w:r w:rsidRPr="00F46944">
              <w:rPr>
                <w:rFonts w:cstheme="minorHAnsi"/>
                <w:bCs/>
                <w:sz w:val="14"/>
                <w:szCs w:val="14"/>
              </w:rPr>
              <w:t>Lowest SA3 region</w:t>
            </w:r>
          </w:p>
        </w:tc>
        <w:tc>
          <w:tcPr>
            <w:tcW w:w="512" w:type="dxa"/>
            <w:shd w:val="clear" w:color="auto" w:fill="F1BBA8" w:themeFill="accent5" w:themeFillTint="66"/>
            <w:vAlign w:val="center"/>
          </w:tcPr>
          <w:p w14:paraId="27EE45F2" w14:textId="3B5A7017" w:rsidR="00502863" w:rsidRPr="00F46944" w:rsidRDefault="00502863" w:rsidP="00502863">
            <w:pPr>
              <w:cnfStyle w:val="000000100000" w:firstRow="0" w:lastRow="0" w:firstColumn="0" w:lastColumn="0" w:oddVBand="0" w:evenVBand="0" w:oddHBand="1" w:evenHBand="0" w:firstRowFirstColumn="0" w:firstRowLastColumn="0" w:lastRowFirstColumn="0" w:lastRowLastColumn="0"/>
              <w:rPr>
                <w:rFonts w:cstheme="minorHAnsi"/>
                <w:bCs/>
                <w:sz w:val="14"/>
                <w:szCs w:val="14"/>
              </w:rPr>
            </w:pPr>
            <w:r w:rsidRPr="00F46944">
              <w:rPr>
                <w:rFonts w:cstheme="minorHAnsi"/>
                <w:bCs/>
                <w:sz w:val="14"/>
                <w:szCs w:val="14"/>
              </w:rPr>
              <w:t>Rate</w:t>
            </w:r>
          </w:p>
        </w:tc>
        <w:tc>
          <w:tcPr>
            <w:tcW w:w="925" w:type="dxa"/>
            <w:shd w:val="clear" w:color="auto" w:fill="F1BBA8" w:themeFill="accent5" w:themeFillTint="66"/>
            <w:vAlign w:val="center"/>
          </w:tcPr>
          <w:p w14:paraId="7AFE26CF" w14:textId="178AE784" w:rsidR="00502863" w:rsidRPr="00F46944" w:rsidRDefault="00502863" w:rsidP="00502863">
            <w:pPr>
              <w:cnfStyle w:val="000000100000" w:firstRow="0" w:lastRow="0" w:firstColumn="0" w:lastColumn="0" w:oddVBand="0" w:evenVBand="0" w:oddHBand="1" w:evenHBand="0" w:firstRowFirstColumn="0" w:firstRowLastColumn="0" w:lastRowFirstColumn="0" w:lastRowLastColumn="0"/>
              <w:rPr>
                <w:rFonts w:cstheme="minorHAnsi"/>
                <w:bCs/>
                <w:sz w:val="14"/>
                <w:szCs w:val="14"/>
              </w:rPr>
            </w:pPr>
            <w:r w:rsidRPr="00F46944">
              <w:rPr>
                <w:rFonts w:cstheme="minorHAnsi"/>
                <w:bCs/>
                <w:sz w:val="14"/>
                <w:szCs w:val="14"/>
              </w:rPr>
              <w:t>Highest SA3 region</w:t>
            </w:r>
          </w:p>
        </w:tc>
        <w:tc>
          <w:tcPr>
            <w:tcW w:w="528" w:type="dxa"/>
            <w:shd w:val="clear" w:color="auto" w:fill="F1BBA8" w:themeFill="accent5" w:themeFillTint="66"/>
            <w:vAlign w:val="center"/>
          </w:tcPr>
          <w:p w14:paraId="3A99DAB8" w14:textId="46E07F88" w:rsidR="00502863" w:rsidRPr="00F46944" w:rsidRDefault="00502863" w:rsidP="00502863">
            <w:pPr>
              <w:cnfStyle w:val="000000100000" w:firstRow="0" w:lastRow="0" w:firstColumn="0" w:lastColumn="0" w:oddVBand="0" w:evenVBand="0" w:oddHBand="1" w:evenHBand="0" w:firstRowFirstColumn="0" w:firstRowLastColumn="0" w:lastRowFirstColumn="0" w:lastRowLastColumn="0"/>
              <w:rPr>
                <w:rFonts w:cstheme="minorHAnsi"/>
                <w:bCs/>
                <w:sz w:val="14"/>
                <w:szCs w:val="14"/>
              </w:rPr>
            </w:pPr>
            <w:r w:rsidRPr="00F46944">
              <w:rPr>
                <w:rFonts w:cstheme="minorHAnsi"/>
                <w:bCs/>
                <w:sz w:val="14"/>
                <w:szCs w:val="14"/>
              </w:rPr>
              <w:t>Rate</w:t>
            </w:r>
          </w:p>
        </w:tc>
      </w:tr>
      <w:tr w:rsidR="00373269" w:rsidRPr="00F46944" w14:paraId="588A0053" w14:textId="77777777" w:rsidTr="00147072">
        <w:trPr>
          <w:trHeight w:val="651"/>
          <w:jc w:val="center"/>
        </w:trPr>
        <w:tc>
          <w:tcPr>
            <w:cnfStyle w:val="001000000000" w:firstRow="0" w:lastRow="0" w:firstColumn="1" w:lastColumn="0" w:oddVBand="0" w:evenVBand="0" w:oddHBand="0" w:evenHBand="0" w:firstRowFirstColumn="0" w:firstRowLastColumn="0" w:lastRowFirstColumn="0" w:lastRowLastColumn="0"/>
            <w:tcW w:w="830" w:type="dxa"/>
            <w:shd w:val="clear" w:color="auto" w:fill="F1BBA8" w:themeFill="accent5" w:themeFillTint="66"/>
          </w:tcPr>
          <w:p w14:paraId="21DA2BE4" w14:textId="7934B5A1" w:rsidR="00154F4D" w:rsidRPr="00F46944" w:rsidRDefault="00154F4D" w:rsidP="00154F4D">
            <w:pPr>
              <w:rPr>
                <w:rFonts w:cstheme="minorHAnsi"/>
                <w:sz w:val="14"/>
                <w:szCs w:val="10"/>
              </w:rPr>
            </w:pPr>
            <w:r w:rsidRPr="00F46944">
              <w:rPr>
                <w:rFonts w:cstheme="minorHAnsi"/>
                <w:sz w:val="14"/>
                <w:szCs w:val="10"/>
              </w:rPr>
              <w:t>NSW</w:t>
            </w:r>
          </w:p>
        </w:tc>
        <w:tc>
          <w:tcPr>
            <w:tcW w:w="987" w:type="dxa"/>
          </w:tcPr>
          <w:p w14:paraId="3751A87B" w14:textId="77777777" w:rsidR="00154F4D" w:rsidRPr="00F46944" w:rsidRDefault="00154F4D" w:rsidP="00154F4D">
            <w:pPr>
              <w:spacing w:after="0"/>
              <w:cnfStyle w:val="000000000000" w:firstRow="0" w:lastRow="0" w:firstColumn="0" w:lastColumn="0" w:oddVBand="0" w:evenVBand="0" w:oddHBand="0" w:evenHBand="0" w:firstRowFirstColumn="0" w:firstRowLastColumn="0" w:lastRowFirstColumn="0" w:lastRowLastColumn="0"/>
              <w:rPr>
                <w:rFonts w:cstheme="minorHAnsi"/>
                <w:sz w:val="14"/>
                <w:szCs w:val="10"/>
              </w:rPr>
            </w:pPr>
            <w:r w:rsidRPr="00F46944">
              <w:rPr>
                <w:rFonts w:cstheme="minorHAnsi"/>
                <w:sz w:val="14"/>
                <w:szCs w:val="10"/>
              </w:rPr>
              <w:t>Hawkesbury</w:t>
            </w:r>
          </w:p>
          <w:p w14:paraId="49D2803A" w14:textId="77777777" w:rsidR="00154F4D" w:rsidRPr="00F46944" w:rsidRDefault="00154F4D" w:rsidP="00154F4D">
            <w:pPr>
              <w:cnfStyle w:val="000000000000" w:firstRow="0" w:lastRow="0" w:firstColumn="0" w:lastColumn="0" w:oddVBand="0" w:evenVBand="0" w:oddHBand="0" w:evenHBand="0" w:firstRowFirstColumn="0" w:firstRowLastColumn="0" w:lastRowFirstColumn="0" w:lastRowLastColumn="0"/>
              <w:rPr>
                <w:rFonts w:cstheme="minorHAnsi"/>
                <w:sz w:val="14"/>
                <w:szCs w:val="10"/>
              </w:rPr>
            </w:pPr>
          </w:p>
        </w:tc>
        <w:tc>
          <w:tcPr>
            <w:tcW w:w="512" w:type="dxa"/>
          </w:tcPr>
          <w:p w14:paraId="2B8E05F7" w14:textId="76F015E8" w:rsidR="00154F4D" w:rsidRPr="00F46944" w:rsidRDefault="00154F4D" w:rsidP="00154F4D">
            <w:pPr>
              <w:cnfStyle w:val="000000000000" w:firstRow="0" w:lastRow="0" w:firstColumn="0" w:lastColumn="0" w:oddVBand="0" w:evenVBand="0" w:oddHBand="0" w:evenHBand="0" w:firstRowFirstColumn="0" w:firstRowLastColumn="0" w:lastRowFirstColumn="0" w:lastRowLastColumn="0"/>
              <w:rPr>
                <w:rFonts w:cstheme="minorHAnsi"/>
                <w:sz w:val="14"/>
                <w:szCs w:val="10"/>
              </w:rPr>
            </w:pPr>
            <w:r w:rsidRPr="00F46944">
              <w:rPr>
                <w:rFonts w:cstheme="minorHAnsi"/>
                <w:sz w:val="14"/>
                <w:szCs w:val="10"/>
              </w:rPr>
              <w:t>514</w:t>
            </w:r>
          </w:p>
        </w:tc>
        <w:tc>
          <w:tcPr>
            <w:tcW w:w="847" w:type="dxa"/>
            <w:shd w:val="clear" w:color="auto" w:fill="F8DDD3" w:themeFill="accent5" w:themeFillTint="33"/>
          </w:tcPr>
          <w:p w14:paraId="2A41B721" w14:textId="77777777" w:rsidR="00154F4D" w:rsidRPr="00F46944" w:rsidRDefault="00154F4D" w:rsidP="00154F4D">
            <w:pPr>
              <w:spacing w:after="0"/>
              <w:cnfStyle w:val="000000000000" w:firstRow="0" w:lastRow="0" w:firstColumn="0" w:lastColumn="0" w:oddVBand="0" w:evenVBand="0" w:oddHBand="0" w:evenHBand="0" w:firstRowFirstColumn="0" w:firstRowLastColumn="0" w:lastRowFirstColumn="0" w:lastRowLastColumn="0"/>
              <w:rPr>
                <w:rFonts w:cstheme="minorHAnsi"/>
                <w:sz w:val="14"/>
                <w:szCs w:val="10"/>
              </w:rPr>
            </w:pPr>
            <w:r w:rsidRPr="00F46944">
              <w:rPr>
                <w:rFonts w:cstheme="minorHAnsi"/>
                <w:sz w:val="14"/>
                <w:szCs w:val="10"/>
              </w:rPr>
              <w:t>Richmond - Windsor</w:t>
            </w:r>
          </w:p>
          <w:p w14:paraId="0287A6DB" w14:textId="77777777" w:rsidR="00154F4D" w:rsidRPr="00F46944" w:rsidRDefault="00154F4D" w:rsidP="00154F4D">
            <w:pPr>
              <w:cnfStyle w:val="000000000000" w:firstRow="0" w:lastRow="0" w:firstColumn="0" w:lastColumn="0" w:oddVBand="0" w:evenVBand="0" w:oddHBand="0" w:evenHBand="0" w:firstRowFirstColumn="0" w:firstRowLastColumn="0" w:lastRowFirstColumn="0" w:lastRowLastColumn="0"/>
              <w:rPr>
                <w:rFonts w:cstheme="minorHAnsi"/>
                <w:sz w:val="14"/>
                <w:szCs w:val="10"/>
              </w:rPr>
            </w:pPr>
          </w:p>
        </w:tc>
        <w:tc>
          <w:tcPr>
            <w:tcW w:w="528" w:type="dxa"/>
            <w:shd w:val="clear" w:color="auto" w:fill="F8DDD3" w:themeFill="accent5" w:themeFillTint="33"/>
          </w:tcPr>
          <w:p w14:paraId="2918D608" w14:textId="6B99549D" w:rsidR="00154F4D" w:rsidRPr="00F46944" w:rsidRDefault="00154F4D" w:rsidP="00154F4D">
            <w:pPr>
              <w:cnfStyle w:val="000000000000" w:firstRow="0" w:lastRow="0" w:firstColumn="0" w:lastColumn="0" w:oddVBand="0" w:evenVBand="0" w:oddHBand="0" w:evenHBand="0" w:firstRowFirstColumn="0" w:firstRowLastColumn="0" w:lastRowFirstColumn="0" w:lastRowLastColumn="0"/>
              <w:rPr>
                <w:rFonts w:cstheme="minorHAnsi"/>
                <w:sz w:val="14"/>
                <w:szCs w:val="10"/>
              </w:rPr>
            </w:pPr>
            <w:r w:rsidRPr="00F46944">
              <w:rPr>
                <w:rFonts w:cstheme="minorHAnsi"/>
                <w:sz w:val="14"/>
                <w:szCs w:val="10"/>
              </w:rPr>
              <w:t>2030</w:t>
            </w:r>
          </w:p>
        </w:tc>
        <w:tc>
          <w:tcPr>
            <w:tcW w:w="987" w:type="dxa"/>
          </w:tcPr>
          <w:p w14:paraId="1E1284DB" w14:textId="77777777" w:rsidR="00154F4D" w:rsidRPr="00F46944" w:rsidRDefault="00154F4D" w:rsidP="00154F4D">
            <w:pPr>
              <w:spacing w:after="0"/>
              <w:cnfStyle w:val="000000000000" w:firstRow="0" w:lastRow="0" w:firstColumn="0" w:lastColumn="0" w:oddVBand="0" w:evenVBand="0" w:oddHBand="0" w:evenHBand="0" w:firstRowFirstColumn="0" w:firstRowLastColumn="0" w:lastRowFirstColumn="0" w:lastRowLastColumn="0"/>
              <w:rPr>
                <w:rFonts w:cstheme="minorHAnsi"/>
                <w:sz w:val="14"/>
                <w:szCs w:val="10"/>
              </w:rPr>
            </w:pPr>
            <w:r w:rsidRPr="00F46944">
              <w:rPr>
                <w:rFonts w:cstheme="minorHAnsi"/>
                <w:sz w:val="14"/>
                <w:szCs w:val="10"/>
              </w:rPr>
              <w:t>Hawkesbury</w:t>
            </w:r>
          </w:p>
          <w:p w14:paraId="38D7CCC5" w14:textId="77777777" w:rsidR="00154F4D" w:rsidRPr="00F46944" w:rsidRDefault="00154F4D" w:rsidP="00154F4D">
            <w:pPr>
              <w:cnfStyle w:val="000000000000" w:firstRow="0" w:lastRow="0" w:firstColumn="0" w:lastColumn="0" w:oddVBand="0" w:evenVBand="0" w:oddHBand="0" w:evenHBand="0" w:firstRowFirstColumn="0" w:firstRowLastColumn="0" w:lastRowFirstColumn="0" w:lastRowLastColumn="0"/>
              <w:rPr>
                <w:rFonts w:cstheme="minorHAnsi"/>
                <w:sz w:val="14"/>
                <w:szCs w:val="10"/>
              </w:rPr>
            </w:pPr>
          </w:p>
        </w:tc>
        <w:tc>
          <w:tcPr>
            <w:tcW w:w="512" w:type="dxa"/>
          </w:tcPr>
          <w:p w14:paraId="49D78692" w14:textId="477F8A58" w:rsidR="00154F4D" w:rsidRPr="00F46944" w:rsidRDefault="00154F4D" w:rsidP="00154F4D">
            <w:pPr>
              <w:cnfStyle w:val="000000000000" w:firstRow="0" w:lastRow="0" w:firstColumn="0" w:lastColumn="0" w:oddVBand="0" w:evenVBand="0" w:oddHBand="0" w:evenHBand="0" w:firstRowFirstColumn="0" w:firstRowLastColumn="0" w:lastRowFirstColumn="0" w:lastRowLastColumn="0"/>
              <w:rPr>
                <w:rFonts w:cstheme="minorHAnsi"/>
                <w:sz w:val="14"/>
                <w:szCs w:val="10"/>
              </w:rPr>
            </w:pPr>
            <w:r w:rsidRPr="00F46944">
              <w:rPr>
                <w:rFonts w:cstheme="minorHAnsi"/>
                <w:sz w:val="14"/>
                <w:szCs w:val="10"/>
              </w:rPr>
              <w:t>407</w:t>
            </w:r>
          </w:p>
        </w:tc>
        <w:tc>
          <w:tcPr>
            <w:tcW w:w="847" w:type="dxa"/>
            <w:shd w:val="clear" w:color="auto" w:fill="F8DDD3" w:themeFill="accent5" w:themeFillTint="33"/>
          </w:tcPr>
          <w:p w14:paraId="02EB2212" w14:textId="77777777" w:rsidR="00154F4D" w:rsidRPr="00F46944" w:rsidRDefault="00154F4D" w:rsidP="00154F4D">
            <w:pPr>
              <w:spacing w:after="0"/>
              <w:cnfStyle w:val="000000000000" w:firstRow="0" w:lastRow="0" w:firstColumn="0" w:lastColumn="0" w:oddVBand="0" w:evenVBand="0" w:oddHBand="0" w:evenHBand="0" w:firstRowFirstColumn="0" w:firstRowLastColumn="0" w:lastRowFirstColumn="0" w:lastRowLastColumn="0"/>
              <w:rPr>
                <w:rFonts w:cstheme="minorHAnsi"/>
                <w:sz w:val="14"/>
                <w:szCs w:val="10"/>
              </w:rPr>
            </w:pPr>
            <w:r w:rsidRPr="00F46944">
              <w:rPr>
                <w:rFonts w:cstheme="minorHAnsi"/>
                <w:sz w:val="14"/>
                <w:szCs w:val="10"/>
              </w:rPr>
              <w:t>Richmond - Windsor</w:t>
            </w:r>
          </w:p>
          <w:p w14:paraId="6C52632E" w14:textId="77777777" w:rsidR="00154F4D" w:rsidRPr="00F46944" w:rsidRDefault="00154F4D" w:rsidP="00154F4D">
            <w:pPr>
              <w:cnfStyle w:val="000000000000" w:firstRow="0" w:lastRow="0" w:firstColumn="0" w:lastColumn="0" w:oddVBand="0" w:evenVBand="0" w:oddHBand="0" w:evenHBand="0" w:firstRowFirstColumn="0" w:firstRowLastColumn="0" w:lastRowFirstColumn="0" w:lastRowLastColumn="0"/>
              <w:rPr>
                <w:rFonts w:cstheme="minorHAnsi"/>
                <w:sz w:val="14"/>
                <w:szCs w:val="10"/>
              </w:rPr>
            </w:pPr>
          </w:p>
        </w:tc>
        <w:tc>
          <w:tcPr>
            <w:tcW w:w="528" w:type="dxa"/>
            <w:shd w:val="clear" w:color="auto" w:fill="F8DDD3" w:themeFill="accent5" w:themeFillTint="33"/>
          </w:tcPr>
          <w:p w14:paraId="2FB3DB3D" w14:textId="1186C6B0" w:rsidR="00154F4D" w:rsidRPr="00F46944" w:rsidRDefault="00154F4D" w:rsidP="00154F4D">
            <w:pPr>
              <w:cnfStyle w:val="000000000000" w:firstRow="0" w:lastRow="0" w:firstColumn="0" w:lastColumn="0" w:oddVBand="0" w:evenVBand="0" w:oddHBand="0" w:evenHBand="0" w:firstRowFirstColumn="0" w:firstRowLastColumn="0" w:lastRowFirstColumn="0" w:lastRowLastColumn="0"/>
              <w:rPr>
                <w:rFonts w:cstheme="minorHAnsi"/>
                <w:sz w:val="14"/>
                <w:szCs w:val="10"/>
              </w:rPr>
            </w:pPr>
            <w:r w:rsidRPr="00F46944">
              <w:rPr>
                <w:rFonts w:cstheme="minorHAnsi"/>
                <w:sz w:val="14"/>
                <w:szCs w:val="10"/>
              </w:rPr>
              <w:t>1503</w:t>
            </w:r>
          </w:p>
        </w:tc>
        <w:tc>
          <w:tcPr>
            <w:tcW w:w="987" w:type="dxa"/>
          </w:tcPr>
          <w:p w14:paraId="7A80FF9D" w14:textId="77777777" w:rsidR="00154F4D" w:rsidRPr="00F46944" w:rsidRDefault="00154F4D" w:rsidP="00154F4D">
            <w:pPr>
              <w:spacing w:after="0"/>
              <w:cnfStyle w:val="000000000000" w:firstRow="0" w:lastRow="0" w:firstColumn="0" w:lastColumn="0" w:oddVBand="0" w:evenVBand="0" w:oddHBand="0" w:evenHBand="0" w:firstRowFirstColumn="0" w:firstRowLastColumn="0" w:lastRowFirstColumn="0" w:lastRowLastColumn="0"/>
              <w:rPr>
                <w:rFonts w:cstheme="minorHAnsi"/>
                <w:sz w:val="14"/>
                <w:szCs w:val="10"/>
              </w:rPr>
            </w:pPr>
            <w:r w:rsidRPr="00F46944">
              <w:rPr>
                <w:rFonts w:cstheme="minorHAnsi"/>
                <w:sz w:val="14"/>
                <w:szCs w:val="10"/>
              </w:rPr>
              <w:t>Hawkesbury</w:t>
            </w:r>
          </w:p>
          <w:p w14:paraId="6ACE3B62" w14:textId="77777777" w:rsidR="00154F4D" w:rsidRPr="00F46944" w:rsidRDefault="00154F4D" w:rsidP="00154F4D">
            <w:pPr>
              <w:cnfStyle w:val="000000000000" w:firstRow="0" w:lastRow="0" w:firstColumn="0" w:lastColumn="0" w:oddVBand="0" w:evenVBand="0" w:oddHBand="0" w:evenHBand="0" w:firstRowFirstColumn="0" w:firstRowLastColumn="0" w:lastRowFirstColumn="0" w:lastRowLastColumn="0"/>
              <w:rPr>
                <w:rFonts w:cstheme="minorHAnsi"/>
                <w:sz w:val="14"/>
                <w:szCs w:val="10"/>
              </w:rPr>
            </w:pPr>
          </w:p>
        </w:tc>
        <w:tc>
          <w:tcPr>
            <w:tcW w:w="512" w:type="dxa"/>
          </w:tcPr>
          <w:p w14:paraId="31C7C65B" w14:textId="41DB2B49" w:rsidR="00154F4D" w:rsidRPr="00F46944" w:rsidRDefault="00154F4D" w:rsidP="00154F4D">
            <w:pPr>
              <w:cnfStyle w:val="000000000000" w:firstRow="0" w:lastRow="0" w:firstColumn="0" w:lastColumn="0" w:oddVBand="0" w:evenVBand="0" w:oddHBand="0" w:evenHBand="0" w:firstRowFirstColumn="0" w:firstRowLastColumn="0" w:lastRowFirstColumn="0" w:lastRowLastColumn="0"/>
              <w:rPr>
                <w:rFonts w:cstheme="minorHAnsi"/>
                <w:sz w:val="14"/>
                <w:szCs w:val="10"/>
              </w:rPr>
            </w:pPr>
            <w:r w:rsidRPr="00F46944">
              <w:rPr>
                <w:rFonts w:cstheme="minorHAnsi"/>
                <w:sz w:val="14"/>
                <w:szCs w:val="10"/>
              </w:rPr>
              <w:t>342</w:t>
            </w:r>
          </w:p>
        </w:tc>
        <w:tc>
          <w:tcPr>
            <w:tcW w:w="925" w:type="dxa"/>
            <w:shd w:val="clear" w:color="auto" w:fill="F8DDD3" w:themeFill="accent5" w:themeFillTint="33"/>
          </w:tcPr>
          <w:p w14:paraId="1018761A" w14:textId="77777777" w:rsidR="00154F4D" w:rsidRPr="00F46944" w:rsidRDefault="00154F4D" w:rsidP="00154F4D">
            <w:pPr>
              <w:spacing w:after="0"/>
              <w:cnfStyle w:val="000000000000" w:firstRow="0" w:lastRow="0" w:firstColumn="0" w:lastColumn="0" w:oddVBand="0" w:evenVBand="0" w:oddHBand="0" w:evenHBand="0" w:firstRowFirstColumn="0" w:firstRowLastColumn="0" w:lastRowFirstColumn="0" w:lastRowLastColumn="0"/>
              <w:rPr>
                <w:rFonts w:cstheme="minorHAnsi"/>
                <w:sz w:val="14"/>
                <w:szCs w:val="10"/>
              </w:rPr>
            </w:pPr>
            <w:r w:rsidRPr="00F46944">
              <w:rPr>
                <w:rFonts w:cstheme="minorHAnsi"/>
                <w:sz w:val="14"/>
                <w:szCs w:val="10"/>
              </w:rPr>
              <w:t>Richmond - Windsor</w:t>
            </w:r>
          </w:p>
          <w:p w14:paraId="48D04A24" w14:textId="77777777" w:rsidR="00154F4D" w:rsidRPr="00F46944" w:rsidRDefault="00154F4D" w:rsidP="00154F4D">
            <w:pPr>
              <w:cnfStyle w:val="000000000000" w:firstRow="0" w:lastRow="0" w:firstColumn="0" w:lastColumn="0" w:oddVBand="0" w:evenVBand="0" w:oddHBand="0" w:evenHBand="0" w:firstRowFirstColumn="0" w:firstRowLastColumn="0" w:lastRowFirstColumn="0" w:lastRowLastColumn="0"/>
              <w:rPr>
                <w:rFonts w:cstheme="minorHAnsi"/>
                <w:sz w:val="14"/>
                <w:szCs w:val="10"/>
              </w:rPr>
            </w:pPr>
          </w:p>
        </w:tc>
        <w:tc>
          <w:tcPr>
            <w:tcW w:w="528" w:type="dxa"/>
            <w:shd w:val="clear" w:color="auto" w:fill="F8DDD3" w:themeFill="accent5" w:themeFillTint="33"/>
          </w:tcPr>
          <w:p w14:paraId="21EE92FF" w14:textId="15776A1C" w:rsidR="00154F4D" w:rsidRPr="00F46944" w:rsidRDefault="00154F4D" w:rsidP="00154F4D">
            <w:pPr>
              <w:cnfStyle w:val="000000000000" w:firstRow="0" w:lastRow="0" w:firstColumn="0" w:lastColumn="0" w:oddVBand="0" w:evenVBand="0" w:oddHBand="0" w:evenHBand="0" w:firstRowFirstColumn="0" w:firstRowLastColumn="0" w:lastRowFirstColumn="0" w:lastRowLastColumn="0"/>
              <w:rPr>
                <w:rFonts w:cstheme="minorHAnsi"/>
                <w:sz w:val="14"/>
                <w:szCs w:val="10"/>
              </w:rPr>
            </w:pPr>
            <w:r w:rsidRPr="00F46944">
              <w:rPr>
                <w:rFonts w:cstheme="minorHAnsi"/>
                <w:sz w:val="14"/>
                <w:szCs w:val="10"/>
              </w:rPr>
              <w:t>1328</w:t>
            </w:r>
          </w:p>
        </w:tc>
      </w:tr>
      <w:tr w:rsidR="00B56E31" w:rsidRPr="00F46944" w14:paraId="3513334F" w14:textId="77777777" w:rsidTr="00147072">
        <w:trPr>
          <w:cnfStyle w:val="000000100000" w:firstRow="0" w:lastRow="0" w:firstColumn="0" w:lastColumn="0" w:oddVBand="0" w:evenVBand="0" w:oddHBand="1" w:evenHBand="0" w:firstRowFirstColumn="0" w:firstRowLastColumn="0" w:lastRowFirstColumn="0" w:lastRowLastColumn="0"/>
          <w:trHeight w:val="651"/>
          <w:jc w:val="center"/>
        </w:trPr>
        <w:tc>
          <w:tcPr>
            <w:cnfStyle w:val="001000000000" w:firstRow="0" w:lastRow="0" w:firstColumn="1" w:lastColumn="0" w:oddVBand="0" w:evenVBand="0" w:oddHBand="0" w:evenHBand="0" w:firstRowFirstColumn="0" w:firstRowLastColumn="0" w:lastRowFirstColumn="0" w:lastRowLastColumn="0"/>
            <w:tcW w:w="830" w:type="dxa"/>
            <w:shd w:val="clear" w:color="auto" w:fill="F1BBA8" w:themeFill="accent5" w:themeFillTint="66"/>
          </w:tcPr>
          <w:p w14:paraId="54911391" w14:textId="781E5F52" w:rsidR="00B56E31" w:rsidRPr="00F46944" w:rsidRDefault="00B56E31" w:rsidP="00B56E31">
            <w:pPr>
              <w:rPr>
                <w:rFonts w:cstheme="minorHAnsi"/>
                <w:sz w:val="14"/>
                <w:szCs w:val="10"/>
              </w:rPr>
            </w:pPr>
            <w:r w:rsidRPr="00F46944">
              <w:rPr>
                <w:rFonts w:cstheme="minorHAnsi"/>
                <w:sz w:val="14"/>
                <w:szCs w:val="10"/>
              </w:rPr>
              <w:t>Vic</w:t>
            </w:r>
          </w:p>
        </w:tc>
        <w:tc>
          <w:tcPr>
            <w:tcW w:w="987" w:type="dxa"/>
          </w:tcPr>
          <w:p w14:paraId="403BC8F2" w14:textId="77777777" w:rsidR="00B56E31" w:rsidRPr="00F46944" w:rsidRDefault="00B56E31" w:rsidP="00B56E31">
            <w:pPr>
              <w:spacing w:after="0"/>
              <w:cnfStyle w:val="000000100000" w:firstRow="0" w:lastRow="0" w:firstColumn="0" w:lastColumn="0" w:oddVBand="0" w:evenVBand="0" w:oddHBand="1" w:evenHBand="0" w:firstRowFirstColumn="0" w:firstRowLastColumn="0" w:lastRowFirstColumn="0" w:lastRowLastColumn="0"/>
              <w:rPr>
                <w:rFonts w:cstheme="minorHAnsi"/>
                <w:sz w:val="14"/>
                <w:szCs w:val="10"/>
              </w:rPr>
            </w:pPr>
            <w:r w:rsidRPr="00F46944">
              <w:rPr>
                <w:rFonts w:cstheme="minorHAnsi"/>
                <w:sz w:val="14"/>
                <w:szCs w:val="10"/>
              </w:rPr>
              <w:t>Melbourne City</w:t>
            </w:r>
          </w:p>
          <w:p w14:paraId="5CA88075" w14:textId="77777777" w:rsidR="00B56E31" w:rsidRPr="00F46944" w:rsidRDefault="00B56E31" w:rsidP="00B56E31">
            <w:pPr>
              <w:spacing w:after="0"/>
              <w:cnfStyle w:val="000000100000" w:firstRow="0" w:lastRow="0" w:firstColumn="0" w:lastColumn="0" w:oddVBand="0" w:evenVBand="0" w:oddHBand="1" w:evenHBand="0" w:firstRowFirstColumn="0" w:firstRowLastColumn="0" w:lastRowFirstColumn="0" w:lastRowLastColumn="0"/>
              <w:rPr>
                <w:rFonts w:cstheme="minorHAnsi"/>
                <w:sz w:val="14"/>
                <w:szCs w:val="10"/>
              </w:rPr>
            </w:pPr>
          </w:p>
        </w:tc>
        <w:tc>
          <w:tcPr>
            <w:tcW w:w="512" w:type="dxa"/>
          </w:tcPr>
          <w:p w14:paraId="47550017" w14:textId="5098C501" w:rsidR="00B56E31" w:rsidRPr="00F46944" w:rsidRDefault="00B56E31" w:rsidP="00B56E31">
            <w:pPr>
              <w:cnfStyle w:val="000000100000" w:firstRow="0" w:lastRow="0" w:firstColumn="0" w:lastColumn="0" w:oddVBand="0" w:evenVBand="0" w:oddHBand="1" w:evenHBand="0" w:firstRowFirstColumn="0" w:firstRowLastColumn="0" w:lastRowFirstColumn="0" w:lastRowLastColumn="0"/>
              <w:rPr>
                <w:rFonts w:cstheme="minorHAnsi"/>
                <w:sz w:val="14"/>
                <w:szCs w:val="10"/>
              </w:rPr>
            </w:pPr>
            <w:r w:rsidRPr="00F46944">
              <w:rPr>
                <w:rFonts w:cstheme="minorHAnsi"/>
                <w:sz w:val="14"/>
                <w:szCs w:val="10"/>
              </w:rPr>
              <w:t>552</w:t>
            </w:r>
          </w:p>
        </w:tc>
        <w:tc>
          <w:tcPr>
            <w:tcW w:w="847" w:type="dxa"/>
            <w:shd w:val="clear" w:color="auto" w:fill="F8DDD3" w:themeFill="accent5" w:themeFillTint="33"/>
          </w:tcPr>
          <w:p w14:paraId="22F1484D" w14:textId="0FCA9015" w:rsidR="00B56E31" w:rsidRPr="00F46944" w:rsidRDefault="00B56E31" w:rsidP="00B56E31">
            <w:pPr>
              <w:spacing w:after="0"/>
              <w:cnfStyle w:val="000000100000" w:firstRow="0" w:lastRow="0" w:firstColumn="0" w:lastColumn="0" w:oddVBand="0" w:evenVBand="0" w:oddHBand="1" w:evenHBand="0" w:firstRowFirstColumn="0" w:firstRowLastColumn="0" w:lastRowFirstColumn="0" w:lastRowLastColumn="0"/>
              <w:rPr>
                <w:rFonts w:cstheme="minorHAnsi"/>
                <w:sz w:val="14"/>
                <w:szCs w:val="10"/>
              </w:rPr>
            </w:pPr>
            <w:r w:rsidRPr="00F46944">
              <w:rPr>
                <w:rFonts w:cstheme="minorHAnsi"/>
                <w:sz w:val="14"/>
                <w:szCs w:val="10"/>
              </w:rPr>
              <w:t>Melton - Bacchus Marsh</w:t>
            </w:r>
          </w:p>
        </w:tc>
        <w:tc>
          <w:tcPr>
            <w:tcW w:w="528" w:type="dxa"/>
            <w:shd w:val="clear" w:color="auto" w:fill="F8DDD3" w:themeFill="accent5" w:themeFillTint="33"/>
          </w:tcPr>
          <w:p w14:paraId="1D6F7290" w14:textId="69062B80" w:rsidR="00B56E31" w:rsidRPr="00F46944" w:rsidRDefault="00B56E31" w:rsidP="00B56E31">
            <w:pPr>
              <w:cnfStyle w:val="000000100000" w:firstRow="0" w:lastRow="0" w:firstColumn="0" w:lastColumn="0" w:oddVBand="0" w:evenVBand="0" w:oddHBand="1" w:evenHBand="0" w:firstRowFirstColumn="0" w:firstRowLastColumn="0" w:lastRowFirstColumn="0" w:lastRowLastColumn="0"/>
              <w:rPr>
                <w:rFonts w:cstheme="minorHAnsi"/>
                <w:sz w:val="14"/>
                <w:szCs w:val="10"/>
              </w:rPr>
            </w:pPr>
            <w:r w:rsidRPr="00F46944">
              <w:rPr>
                <w:rFonts w:cstheme="minorHAnsi"/>
                <w:sz w:val="14"/>
                <w:szCs w:val="10"/>
              </w:rPr>
              <w:t>1374</w:t>
            </w:r>
          </w:p>
        </w:tc>
        <w:tc>
          <w:tcPr>
            <w:tcW w:w="987" w:type="dxa"/>
          </w:tcPr>
          <w:p w14:paraId="2CBFBE58" w14:textId="77777777" w:rsidR="00B56E31" w:rsidRPr="00F46944" w:rsidRDefault="00B56E31" w:rsidP="00B56E31">
            <w:pPr>
              <w:spacing w:after="0"/>
              <w:cnfStyle w:val="000000100000" w:firstRow="0" w:lastRow="0" w:firstColumn="0" w:lastColumn="0" w:oddVBand="0" w:evenVBand="0" w:oddHBand="1" w:evenHBand="0" w:firstRowFirstColumn="0" w:firstRowLastColumn="0" w:lastRowFirstColumn="0" w:lastRowLastColumn="0"/>
              <w:rPr>
                <w:rFonts w:cstheme="minorHAnsi"/>
                <w:sz w:val="14"/>
                <w:szCs w:val="10"/>
              </w:rPr>
            </w:pPr>
            <w:r w:rsidRPr="00F46944">
              <w:rPr>
                <w:rFonts w:cstheme="minorHAnsi"/>
                <w:sz w:val="14"/>
                <w:szCs w:val="10"/>
              </w:rPr>
              <w:t>Melbourne City</w:t>
            </w:r>
          </w:p>
          <w:p w14:paraId="578AC7D1" w14:textId="77777777" w:rsidR="00B56E31" w:rsidRPr="00F46944" w:rsidRDefault="00B56E31" w:rsidP="00B56E31">
            <w:pPr>
              <w:spacing w:after="0"/>
              <w:cnfStyle w:val="000000100000" w:firstRow="0" w:lastRow="0" w:firstColumn="0" w:lastColumn="0" w:oddVBand="0" w:evenVBand="0" w:oddHBand="1" w:evenHBand="0" w:firstRowFirstColumn="0" w:firstRowLastColumn="0" w:lastRowFirstColumn="0" w:lastRowLastColumn="0"/>
              <w:rPr>
                <w:rFonts w:cstheme="minorHAnsi"/>
                <w:sz w:val="14"/>
                <w:szCs w:val="10"/>
              </w:rPr>
            </w:pPr>
          </w:p>
        </w:tc>
        <w:tc>
          <w:tcPr>
            <w:tcW w:w="512" w:type="dxa"/>
          </w:tcPr>
          <w:p w14:paraId="02207E09" w14:textId="52F5FE93" w:rsidR="00B56E31" w:rsidRPr="00F46944" w:rsidRDefault="00B56E31" w:rsidP="00B56E31">
            <w:pPr>
              <w:cnfStyle w:val="000000100000" w:firstRow="0" w:lastRow="0" w:firstColumn="0" w:lastColumn="0" w:oddVBand="0" w:evenVBand="0" w:oddHBand="1" w:evenHBand="0" w:firstRowFirstColumn="0" w:firstRowLastColumn="0" w:lastRowFirstColumn="0" w:lastRowLastColumn="0"/>
              <w:rPr>
                <w:rFonts w:cstheme="minorHAnsi"/>
                <w:sz w:val="14"/>
                <w:szCs w:val="10"/>
              </w:rPr>
            </w:pPr>
            <w:r w:rsidRPr="00F46944">
              <w:rPr>
                <w:rFonts w:cstheme="minorHAnsi"/>
                <w:sz w:val="14"/>
                <w:szCs w:val="10"/>
              </w:rPr>
              <w:t>378</w:t>
            </w:r>
          </w:p>
        </w:tc>
        <w:tc>
          <w:tcPr>
            <w:tcW w:w="847" w:type="dxa"/>
            <w:shd w:val="clear" w:color="auto" w:fill="F8DDD3" w:themeFill="accent5" w:themeFillTint="33"/>
          </w:tcPr>
          <w:p w14:paraId="4234279E" w14:textId="77777777" w:rsidR="00B56E31" w:rsidRPr="00F46944" w:rsidRDefault="00B56E31" w:rsidP="00B56E31">
            <w:pPr>
              <w:spacing w:after="0"/>
              <w:cnfStyle w:val="000000100000" w:firstRow="0" w:lastRow="0" w:firstColumn="0" w:lastColumn="0" w:oddVBand="0" w:evenVBand="0" w:oddHBand="1" w:evenHBand="0" w:firstRowFirstColumn="0" w:firstRowLastColumn="0" w:lastRowFirstColumn="0" w:lastRowLastColumn="0"/>
              <w:rPr>
                <w:rFonts w:cstheme="minorHAnsi"/>
                <w:sz w:val="14"/>
                <w:szCs w:val="10"/>
              </w:rPr>
            </w:pPr>
            <w:r w:rsidRPr="00F46944">
              <w:rPr>
                <w:rFonts w:cstheme="minorHAnsi"/>
                <w:sz w:val="14"/>
                <w:szCs w:val="10"/>
              </w:rPr>
              <w:t>Casey - South</w:t>
            </w:r>
          </w:p>
          <w:p w14:paraId="338FE255" w14:textId="77777777" w:rsidR="00B56E31" w:rsidRPr="00F46944" w:rsidRDefault="00B56E31" w:rsidP="00B56E31">
            <w:pPr>
              <w:spacing w:after="0"/>
              <w:cnfStyle w:val="000000100000" w:firstRow="0" w:lastRow="0" w:firstColumn="0" w:lastColumn="0" w:oddVBand="0" w:evenVBand="0" w:oddHBand="1" w:evenHBand="0" w:firstRowFirstColumn="0" w:firstRowLastColumn="0" w:lastRowFirstColumn="0" w:lastRowLastColumn="0"/>
              <w:rPr>
                <w:rFonts w:cstheme="minorHAnsi"/>
                <w:sz w:val="14"/>
                <w:szCs w:val="10"/>
              </w:rPr>
            </w:pPr>
          </w:p>
        </w:tc>
        <w:tc>
          <w:tcPr>
            <w:tcW w:w="528" w:type="dxa"/>
            <w:shd w:val="clear" w:color="auto" w:fill="F8DDD3" w:themeFill="accent5" w:themeFillTint="33"/>
          </w:tcPr>
          <w:p w14:paraId="31EAA02A" w14:textId="65E0A68C" w:rsidR="00B56E31" w:rsidRPr="00F46944" w:rsidRDefault="00B56E31" w:rsidP="00B56E31">
            <w:pPr>
              <w:cnfStyle w:val="000000100000" w:firstRow="0" w:lastRow="0" w:firstColumn="0" w:lastColumn="0" w:oddVBand="0" w:evenVBand="0" w:oddHBand="1" w:evenHBand="0" w:firstRowFirstColumn="0" w:firstRowLastColumn="0" w:lastRowFirstColumn="0" w:lastRowLastColumn="0"/>
              <w:rPr>
                <w:rFonts w:cstheme="minorHAnsi"/>
                <w:sz w:val="14"/>
                <w:szCs w:val="10"/>
              </w:rPr>
            </w:pPr>
            <w:r w:rsidRPr="00F46944">
              <w:rPr>
                <w:rFonts w:cstheme="minorHAnsi"/>
                <w:sz w:val="14"/>
                <w:szCs w:val="10"/>
              </w:rPr>
              <w:t>951</w:t>
            </w:r>
          </w:p>
        </w:tc>
        <w:tc>
          <w:tcPr>
            <w:tcW w:w="987" w:type="dxa"/>
          </w:tcPr>
          <w:p w14:paraId="76623401" w14:textId="77777777" w:rsidR="00B56E31" w:rsidRPr="00F46944" w:rsidRDefault="00B56E31" w:rsidP="00B56E31">
            <w:pPr>
              <w:spacing w:after="0"/>
              <w:cnfStyle w:val="000000100000" w:firstRow="0" w:lastRow="0" w:firstColumn="0" w:lastColumn="0" w:oddVBand="0" w:evenVBand="0" w:oddHBand="1" w:evenHBand="0" w:firstRowFirstColumn="0" w:firstRowLastColumn="0" w:lastRowFirstColumn="0" w:lastRowLastColumn="0"/>
              <w:rPr>
                <w:rFonts w:cstheme="minorHAnsi"/>
                <w:sz w:val="14"/>
                <w:szCs w:val="10"/>
              </w:rPr>
            </w:pPr>
            <w:r w:rsidRPr="00F46944">
              <w:rPr>
                <w:rFonts w:cstheme="minorHAnsi"/>
                <w:sz w:val="14"/>
                <w:szCs w:val="10"/>
              </w:rPr>
              <w:t>Melbourne City</w:t>
            </w:r>
          </w:p>
          <w:p w14:paraId="110F281A" w14:textId="77777777" w:rsidR="00B56E31" w:rsidRPr="00F46944" w:rsidRDefault="00B56E31" w:rsidP="00B56E31">
            <w:pPr>
              <w:spacing w:after="0"/>
              <w:cnfStyle w:val="000000100000" w:firstRow="0" w:lastRow="0" w:firstColumn="0" w:lastColumn="0" w:oddVBand="0" w:evenVBand="0" w:oddHBand="1" w:evenHBand="0" w:firstRowFirstColumn="0" w:firstRowLastColumn="0" w:lastRowFirstColumn="0" w:lastRowLastColumn="0"/>
              <w:rPr>
                <w:rFonts w:cstheme="minorHAnsi"/>
                <w:sz w:val="14"/>
                <w:szCs w:val="10"/>
              </w:rPr>
            </w:pPr>
          </w:p>
        </w:tc>
        <w:tc>
          <w:tcPr>
            <w:tcW w:w="512" w:type="dxa"/>
          </w:tcPr>
          <w:p w14:paraId="0D8233CE" w14:textId="307200D4" w:rsidR="00B56E31" w:rsidRPr="00F46944" w:rsidRDefault="00B56E31" w:rsidP="00B56E31">
            <w:pPr>
              <w:cnfStyle w:val="000000100000" w:firstRow="0" w:lastRow="0" w:firstColumn="0" w:lastColumn="0" w:oddVBand="0" w:evenVBand="0" w:oddHBand="1" w:evenHBand="0" w:firstRowFirstColumn="0" w:firstRowLastColumn="0" w:lastRowFirstColumn="0" w:lastRowLastColumn="0"/>
              <w:rPr>
                <w:rFonts w:cstheme="minorHAnsi"/>
                <w:sz w:val="14"/>
                <w:szCs w:val="10"/>
              </w:rPr>
            </w:pPr>
            <w:r w:rsidRPr="00F46944">
              <w:rPr>
                <w:rFonts w:cstheme="minorHAnsi"/>
                <w:sz w:val="14"/>
                <w:szCs w:val="10"/>
              </w:rPr>
              <w:t>375</w:t>
            </w:r>
          </w:p>
        </w:tc>
        <w:tc>
          <w:tcPr>
            <w:tcW w:w="925" w:type="dxa"/>
            <w:shd w:val="clear" w:color="auto" w:fill="F8DDD3" w:themeFill="accent5" w:themeFillTint="33"/>
          </w:tcPr>
          <w:p w14:paraId="20967F3D" w14:textId="77777777" w:rsidR="00B56E31" w:rsidRPr="00F46944" w:rsidRDefault="00B56E31" w:rsidP="00B56E31">
            <w:pPr>
              <w:spacing w:after="0"/>
              <w:cnfStyle w:val="000000100000" w:firstRow="0" w:lastRow="0" w:firstColumn="0" w:lastColumn="0" w:oddVBand="0" w:evenVBand="0" w:oddHBand="1" w:evenHBand="0" w:firstRowFirstColumn="0" w:firstRowLastColumn="0" w:lastRowFirstColumn="0" w:lastRowLastColumn="0"/>
              <w:rPr>
                <w:rFonts w:cstheme="minorHAnsi"/>
                <w:sz w:val="14"/>
                <w:szCs w:val="10"/>
              </w:rPr>
            </w:pPr>
            <w:r w:rsidRPr="00F46944">
              <w:rPr>
                <w:rFonts w:cstheme="minorHAnsi"/>
                <w:sz w:val="14"/>
                <w:szCs w:val="10"/>
              </w:rPr>
              <w:t>Casey - South</w:t>
            </w:r>
          </w:p>
          <w:p w14:paraId="570A2ED1" w14:textId="77777777" w:rsidR="00B56E31" w:rsidRPr="00F46944" w:rsidRDefault="00B56E31" w:rsidP="00B56E31">
            <w:pPr>
              <w:spacing w:after="0"/>
              <w:cnfStyle w:val="000000100000" w:firstRow="0" w:lastRow="0" w:firstColumn="0" w:lastColumn="0" w:oddVBand="0" w:evenVBand="0" w:oddHBand="1" w:evenHBand="0" w:firstRowFirstColumn="0" w:firstRowLastColumn="0" w:lastRowFirstColumn="0" w:lastRowLastColumn="0"/>
              <w:rPr>
                <w:rFonts w:cstheme="minorHAnsi"/>
                <w:sz w:val="14"/>
                <w:szCs w:val="10"/>
              </w:rPr>
            </w:pPr>
          </w:p>
        </w:tc>
        <w:tc>
          <w:tcPr>
            <w:tcW w:w="528" w:type="dxa"/>
            <w:shd w:val="clear" w:color="auto" w:fill="F8DDD3" w:themeFill="accent5" w:themeFillTint="33"/>
          </w:tcPr>
          <w:p w14:paraId="3CB2DE9E" w14:textId="489BFFCE" w:rsidR="00B56E31" w:rsidRPr="00F46944" w:rsidRDefault="00B56E31" w:rsidP="00B56E31">
            <w:pPr>
              <w:cnfStyle w:val="000000100000" w:firstRow="0" w:lastRow="0" w:firstColumn="0" w:lastColumn="0" w:oddVBand="0" w:evenVBand="0" w:oddHBand="1" w:evenHBand="0" w:firstRowFirstColumn="0" w:firstRowLastColumn="0" w:lastRowFirstColumn="0" w:lastRowLastColumn="0"/>
              <w:rPr>
                <w:rFonts w:cstheme="minorHAnsi"/>
                <w:sz w:val="14"/>
                <w:szCs w:val="10"/>
              </w:rPr>
            </w:pPr>
            <w:r w:rsidRPr="00F46944">
              <w:rPr>
                <w:rFonts w:cstheme="minorHAnsi"/>
                <w:sz w:val="14"/>
                <w:szCs w:val="10"/>
              </w:rPr>
              <w:t>983</w:t>
            </w:r>
          </w:p>
        </w:tc>
      </w:tr>
      <w:tr w:rsidR="00B56E31" w:rsidRPr="00F46944" w14:paraId="289BE60C" w14:textId="77777777" w:rsidTr="00147072">
        <w:trPr>
          <w:trHeight w:val="651"/>
          <w:jc w:val="center"/>
        </w:trPr>
        <w:tc>
          <w:tcPr>
            <w:cnfStyle w:val="001000000000" w:firstRow="0" w:lastRow="0" w:firstColumn="1" w:lastColumn="0" w:oddVBand="0" w:evenVBand="0" w:oddHBand="0" w:evenHBand="0" w:firstRowFirstColumn="0" w:firstRowLastColumn="0" w:lastRowFirstColumn="0" w:lastRowLastColumn="0"/>
            <w:tcW w:w="830" w:type="dxa"/>
            <w:shd w:val="clear" w:color="auto" w:fill="F1BBA8" w:themeFill="accent5" w:themeFillTint="66"/>
          </w:tcPr>
          <w:p w14:paraId="72B327FB" w14:textId="568B80EA" w:rsidR="00B56E31" w:rsidRPr="00F46944" w:rsidRDefault="00B56E31" w:rsidP="00B56E31">
            <w:pPr>
              <w:rPr>
                <w:rFonts w:cstheme="minorHAnsi"/>
                <w:sz w:val="14"/>
                <w:szCs w:val="10"/>
              </w:rPr>
            </w:pPr>
            <w:r w:rsidRPr="00F46944">
              <w:rPr>
                <w:rFonts w:cstheme="minorHAnsi"/>
                <w:sz w:val="14"/>
                <w:szCs w:val="10"/>
              </w:rPr>
              <w:t>Qld</w:t>
            </w:r>
          </w:p>
        </w:tc>
        <w:tc>
          <w:tcPr>
            <w:tcW w:w="987" w:type="dxa"/>
          </w:tcPr>
          <w:p w14:paraId="40DD6BAC" w14:textId="77777777" w:rsidR="00B56E31" w:rsidRPr="00F46944" w:rsidRDefault="00B56E31" w:rsidP="00B56E31">
            <w:pPr>
              <w:spacing w:after="0"/>
              <w:cnfStyle w:val="000000000000" w:firstRow="0" w:lastRow="0" w:firstColumn="0" w:lastColumn="0" w:oddVBand="0" w:evenVBand="0" w:oddHBand="0" w:evenHBand="0" w:firstRowFirstColumn="0" w:firstRowLastColumn="0" w:lastRowFirstColumn="0" w:lastRowLastColumn="0"/>
              <w:rPr>
                <w:rFonts w:cstheme="minorHAnsi"/>
                <w:sz w:val="14"/>
                <w:szCs w:val="10"/>
              </w:rPr>
            </w:pPr>
            <w:r w:rsidRPr="00F46944">
              <w:rPr>
                <w:rFonts w:cstheme="minorHAnsi"/>
                <w:sz w:val="14"/>
                <w:szCs w:val="10"/>
              </w:rPr>
              <w:t>Jimboomba</w:t>
            </w:r>
          </w:p>
          <w:p w14:paraId="5E11B61A" w14:textId="77777777" w:rsidR="00B56E31" w:rsidRPr="00F46944" w:rsidRDefault="00B56E31" w:rsidP="00B56E31">
            <w:pPr>
              <w:spacing w:after="0"/>
              <w:cnfStyle w:val="000000000000" w:firstRow="0" w:lastRow="0" w:firstColumn="0" w:lastColumn="0" w:oddVBand="0" w:evenVBand="0" w:oddHBand="0" w:evenHBand="0" w:firstRowFirstColumn="0" w:firstRowLastColumn="0" w:lastRowFirstColumn="0" w:lastRowLastColumn="0"/>
              <w:rPr>
                <w:rFonts w:cstheme="minorHAnsi"/>
                <w:sz w:val="14"/>
                <w:szCs w:val="10"/>
              </w:rPr>
            </w:pPr>
          </w:p>
        </w:tc>
        <w:tc>
          <w:tcPr>
            <w:tcW w:w="512" w:type="dxa"/>
          </w:tcPr>
          <w:p w14:paraId="6883EF44" w14:textId="09787716" w:rsidR="00B56E31" w:rsidRPr="00F46944" w:rsidRDefault="00B56E31" w:rsidP="00B56E31">
            <w:pPr>
              <w:cnfStyle w:val="000000000000" w:firstRow="0" w:lastRow="0" w:firstColumn="0" w:lastColumn="0" w:oddVBand="0" w:evenVBand="0" w:oddHBand="0" w:evenHBand="0" w:firstRowFirstColumn="0" w:firstRowLastColumn="0" w:lastRowFirstColumn="0" w:lastRowLastColumn="0"/>
              <w:rPr>
                <w:rFonts w:cstheme="minorHAnsi"/>
                <w:sz w:val="14"/>
                <w:szCs w:val="10"/>
              </w:rPr>
            </w:pPr>
            <w:r w:rsidRPr="00F46944">
              <w:rPr>
                <w:rFonts w:cstheme="minorHAnsi"/>
                <w:sz w:val="14"/>
                <w:szCs w:val="10"/>
              </w:rPr>
              <w:t>380</w:t>
            </w:r>
          </w:p>
        </w:tc>
        <w:tc>
          <w:tcPr>
            <w:tcW w:w="847" w:type="dxa"/>
            <w:shd w:val="clear" w:color="auto" w:fill="F8DDD3" w:themeFill="accent5" w:themeFillTint="33"/>
          </w:tcPr>
          <w:p w14:paraId="6D7D330C" w14:textId="77777777" w:rsidR="00B56E31" w:rsidRPr="00F46944" w:rsidRDefault="00B56E31" w:rsidP="00B56E31">
            <w:pPr>
              <w:spacing w:after="0"/>
              <w:cnfStyle w:val="000000000000" w:firstRow="0" w:lastRow="0" w:firstColumn="0" w:lastColumn="0" w:oddVBand="0" w:evenVBand="0" w:oddHBand="0" w:evenHBand="0" w:firstRowFirstColumn="0" w:firstRowLastColumn="0" w:lastRowFirstColumn="0" w:lastRowLastColumn="0"/>
              <w:rPr>
                <w:rFonts w:cstheme="minorHAnsi"/>
                <w:sz w:val="14"/>
                <w:szCs w:val="10"/>
              </w:rPr>
            </w:pPr>
            <w:r w:rsidRPr="00F46944">
              <w:rPr>
                <w:rFonts w:cstheme="minorHAnsi"/>
                <w:sz w:val="14"/>
                <w:szCs w:val="10"/>
              </w:rPr>
              <w:t>Beenleigh</w:t>
            </w:r>
          </w:p>
          <w:p w14:paraId="287EEC28" w14:textId="77777777" w:rsidR="00B56E31" w:rsidRPr="00F46944" w:rsidRDefault="00B56E31" w:rsidP="00B56E31">
            <w:pPr>
              <w:spacing w:after="0"/>
              <w:cnfStyle w:val="000000000000" w:firstRow="0" w:lastRow="0" w:firstColumn="0" w:lastColumn="0" w:oddVBand="0" w:evenVBand="0" w:oddHBand="0" w:evenHBand="0" w:firstRowFirstColumn="0" w:firstRowLastColumn="0" w:lastRowFirstColumn="0" w:lastRowLastColumn="0"/>
              <w:rPr>
                <w:rFonts w:cstheme="minorHAnsi"/>
                <w:sz w:val="14"/>
                <w:szCs w:val="10"/>
              </w:rPr>
            </w:pPr>
          </w:p>
        </w:tc>
        <w:tc>
          <w:tcPr>
            <w:tcW w:w="528" w:type="dxa"/>
            <w:shd w:val="clear" w:color="auto" w:fill="F8DDD3" w:themeFill="accent5" w:themeFillTint="33"/>
          </w:tcPr>
          <w:p w14:paraId="283675F3" w14:textId="771C4C11" w:rsidR="00B56E31" w:rsidRPr="00F46944" w:rsidRDefault="00B56E31" w:rsidP="00B56E31">
            <w:pPr>
              <w:cnfStyle w:val="000000000000" w:firstRow="0" w:lastRow="0" w:firstColumn="0" w:lastColumn="0" w:oddVBand="0" w:evenVBand="0" w:oddHBand="0" w:evenHBand="0" w:firstRowFirstColumn="0" w:firstRowLastColumn="0" w:lastRowFirstColumn="0" w:lastRowLastColumn="0"/>
              <w:rPr>
                <w:rFonts w:cstheme="minorHAnsi"/>
                <w:sz w:val="14"/>
                <w:szCs w:val="10"/>
              </w:rPr>
            </w:pPr>
            <w:r w:rsidRPr="00F46944">
              <w:rPr>
                <w:rFonts w:cstheme="minorHAnsi"/>
                <w:sz w:val="14"/>
                <w:szCs w:val="10"/>
              </w:rPr>
              <w:t>1727</w:t>
            </w:r>
          </w:p>
        </w:tc>
        <w:tc>
          <w:tcPr>
            <w:tcW w:w="987" w:type="dxa"/>
          </w:tcPr>
          <w:p w14:paraId="139F19FF" w14:textId="77777777" w:rsidR="00B56E31" w:rsidRPr="00F46944" w:rsidRDefault="00B56E31" w:rsidP="00B56E31">
            <w:pPr>
              <w:spacing w:after="0"/>
              <w:cnfStyle w:val="000000000000" w:firstRow="0" w:lastRow="0" w:firstColumn="0" w:lastColumn="0" w:oddVBand="0" w:evenVBand="0" w:oddHBand="0" w:evenHBand="0" w:firstRowFirstColumn="0" w:firstRowLastColumn="0" w:lastRowFirstColumn="0" w:lastRowLastColumn="0"/>
              <w:rPr>
                <w:rFonts w:cstheme="minorHAnsi"/>
                <w:sz w:val="14"/>
                <w:szCs w:val="10"/>
              </w:rPr>
            </w:pPr>
            <w:r w:rsidRPr="00F46944">
              <w:rPr>
                <w:rFonts w:cstheme="minorHAnsi"/>
                <w:sz w:val="14"/>
                <w:szCs w:val="10"/>
              </w:rPr>
              <w:t>Jimboomba</w:t>
            </w:r>
          </w:p>
          <w:p w14:paraId="4C57C6B0" w14:textId="77777777" w:rsidR="00B56E31" w:rsidRPr="00F46944" w:rsidRDefault="00B56E31" w:rsidP="00B56E31">
            <w:pPr>
              <w:spacing w:after="0"/>
              <w:cnfStyle w:val="000000000000" w:firstRow="0" w:lastRow="0" w:firstColumn="0" w:lastColumn="0" w:oddVBand="0" w:evenVBand="0" w:oddHBand="0" w:evenHBand="0" w:firstRowFirstColumn="0" w:firstRowLastColumn="0" w:lastRowFirstColumn="0" w:lastRowLastColumn="0"/>
              <w:rPr>
                <w:rFonts w:cstheme="minorHAnsi"/>
                <w:sz w:val="14"/>
                <w:szCs w:val="10"/>
              </w:rPr>
            </w:pPr>
          </w:p>
        </w:tc>
        <w:tc>
          <w:tcPr>
            <w:tcW w:w="512" w:type="dxa"/>
          </w:tcPr>
          <w:p w14:paraId="5E6E3EDA" w14:textId="59B4FBD0" w:rsidR="00B56E31" w:rsidRPr="00F46944" w:rsidRDefault="00B56E31" w:rsidP="00B56E31">
            <w:pPr>
              <w:cnfStyle w:val="000000000000" w:firstRow="0" w:lastRow="0" w:firstColumn="0" w:lastColumn="0" w:oddVBand="0" w:evenVBand="0" w:oddHBand="0" w:evenHBand="0" w:firstRowFirstColumn="0" w:firstRowLastColumn="0" w:lastRowFirstColumn="0" w:lastRowLastColumn="0"/>
              <w:rPr>
                <w:rFonts w:cstheme="minorHAnsi"/>
                <w:sz w:val="14"/>
                <w:szCs w:val="10"/>
              </w:rPr>
            </w:pPr>
            <w:r w:rsidRPr="00F46944">
              <w:rPr>
                <w:rFonts w:cstheme="minorHAnsi"/>
                <w:sz w:val="14"/>
                <w:szCs w:val="10"/>
              </w:rPr>
              <w:t>299</w:t>
            </w:r>
          </w:p>
        </w:tc>
        <w:tc>
          <w:tcPr>
            <w:tcW w:w="847" w:type="dxa"/>
            <w:shd w:val="clear" w:color="auto" w:fill="F8DDD3" w:themeFill="accent5" w:themeFillTint="33"/>
          </w:tcPr>
          <w:p w14:paraId="0F2D52E7" w14:textId="77777777" w:rsidR="00B56E31" w:rsidRPr="00F46944" w:rsidRDefault="00B56E31" w:rsidP="00B56E31">
            <w:pPr>
              <w:spacing w:after="0"/>
              <w:cnfStyle w:val="000000000000" w:firstRow="0" w:lastRow="0" w:firstColumn="0" w:lastColumn="0" w:oddVBand="0" w:evenVBand="0" w:oddHBand="0" w:evenHBand="0" w:firstRowFirstColumn="0" w:firstRowLastColumn="0" w:lastRowFirstColumn="0" w:lastRowLastColumn="0"/>
              <w:rPr>
                <w:rFonts w:cstheme="minorHAnsi"/>
                <w:sz w:val="14"/>
                <w:szCs w:val="10"/>
              </w:rPr>
            </w:pPr>
            <w:r w:rsidRPr="00F46944">
              <w:rPr>
                <w:rFonts w:cstheme="minorHAnsi"/>
                <w:sz w:val="14"/>
                <w:szCs w:val="10"/>
              </w:rPr>
              <w:t>Beenleigh</w:t>
            </w:r>
          </w:p>
          <w:p w14:paraId="466E2722" w14:textId="77777777" w:rsidR="00B56E31" w:rsidRPr="00F46944" w:rsidRDefault="00B56E31" w:rsidP="00B56E31">
            <w:pPr>
              <w:spacing w:after="0"/>
              <w:cnfStyle w:val="000000000000" w:firstRow="0" w:lastRow="0" w:firstColumn="0" w:lastColumn="0" w:oddVBand="0" w:evenVBand="0" w:oddHBand="0" w:evenHBand="0" w:firstRowFirstColumn="0" w:firstRowLastColumn="0" w:lastRowFirstColumn="0" w:lastRowLastColumn="0"/>
              <w:rPr>
                <w:rFonts w:cstheme="minorHAnsi"/>
                <w:sz w:val="14"/>
                <w:szCs w:val="10"/>
              </w:rPr>
            </w:pPr>
          </w:p>
        </w:tc>
        <w:tc>
          <w:tcPr>
            <w:tcW w:w="528" w:type="dxa"/>
            <w:shd w:val="clear" w:color="auto" w:fill="F8DDD3" w:themeFill="accent5" w:themeFillTint="33"/>
          </w:tcPr>
          <w:p w14:paraId="0AE01973" w14:textId="58D21074" w:rsidR="00B56E31" w:rsidRPr="00F46944" w:rsidRDefault="00B56E31" w:rsidP="00B56E31">
            <w:pPr>
              <w:cnfStyle w:val="000000000000" w:firstRow="0" w:lastRow="0" w:firstColumn="0" w:lastColumn="0" w:oddVBand="0" w:evenVBand="0" w:oddHBand="0" w:evenHBand="0" w:firstRowFirstColumn="0" w:firstRowLastColumn="0" w:lastRowFirstColumn="0" w:lastRowLastColumn="0"/>
              <w:rPr>
                <w:rFonts w:cstheme="minorHAnsi"/>
                <w:sz w:val="14"/>
                <w:szCs w:val="10"/>
              </w:rPr>
            </w:pPr>
            <w:r w:rsidRPr="00F46944">
              <w:rPr>
                <w:rFonts w:cstheme="minorHAnsi"/>
                <w:sz w:val="14"/>
                <w:szCs w:val="10"/>
              </w:rPr>
              <w:t>1404</w:t>
            </w:r>
          </w:p>
        </w:tc>
        <w:tc>
          <w:tcPr>
            <w:tcW w:w="987" w:type="dxa"/>
          </w:tcPr>
          <w:p w14:paraId="0DCE1640" w14:textId="77777777" w:rsidR="00B56E31" w:rsidRPr="00F46944" w:rsidRDefault="00B56E31" w:rsidP="00B56E31">
            <w:pPr>
              <w:spacing w:after="0"/>
              <w:cnfStyle w:val="000000000000" w:firstRow="0" w:lastRow="0" w:firstColumn="0" w:lastColumn="0" w:oddVBand="0" w:evenVBand="0" w:oddHBand="0" w:evenHBand="0" w:firstRowFirstColumn="0" w:firstRowLastColumn="0" w:lastRowFirstColumn="0" w:lastRowLastColumn="0"/>
              <w:rPr>
                <w:rFonts w:cstheme="minorHAnsi"/>
                <w:sz w:val="14"/>
                <w:szCs w:val="10"/>
              </w:rPr>
            </w:pPr>
            <w:r w:rsidRPr="00F46944">
              <w:rPr>
                <w:rFonts w:cstheme="minorHAnsi"/>
                <w:sz w:val="14"/>
                <w:szCs w:val="10"/>
              </w:rPr>
              <w:t>Jimboomba</w:t>
            </w:r>
          </w:p>
          <w:p w14:paraId="523CF8F0" w14:textId="77777777" w:rsidR="00B56E31" w:rsidRPr="00F46944" w:rsidRDefault="00B56E31" w:rsidP="00B56E31">
            <w:pPr>
              <w:spacing w:after="0"/>
              <w:cnfStyle w:val="000000000000" w:firstRow="0" w:lastRow="0" w:firstColumn="0" w:lastColumn="0" w:oddVBand="0" w:evenVBand="0" w:oddHBand="0" w:evenHBand="0" w:firstRowFirstColumn="0" w:firstRowLastColumn="0" w:lastRowFirstColumn="0" w:lastRowLastColumn="0"/>
              <w:rPr>
                <w:rFonts w:cstheme="minorHAnsi"/>
                <w:sz w:val="14"/>
                <w:szCs w:val="10"/>
              </w:rPr>
            </w:pPr>
          </w:p>
        </w:tc>
        <w:tc>
          <w:tcPr>
            <w:tcW w:w="512" w:type="dxa"/>
          </w:tcPr>
          <w:p w14:paraId="0826F6D1" w14:textId="36383C24" w:rsidR="00B56E31" w:rsidRPr="00F46944" w:rsidRDefault="00B56E31" w:rsidP="00B56E31">
            <w:pPr>
              <w:cnfStyle w:val="000000000000" w:firstRow="0" w:lastRow="0" w:firstColumn="0" w:lastColumn="0" w:oddVBand="0" w:evenVBand="0" w:oddHBand="0" w:evenHBand="0" w:firstRowFirstColumn="0" w:firstRowLastColumn="0" w:lastRowFirstColumn="0" w:lastRowLastColumn="0"/>
              <w:rPr>
                <w:rFonts w:cstheme="minorHAnsi"/>
                <w:sz w:val="14"/>
                <w:szCs w:val="10"/>
              </w:rPr>
            </w:pPr>
            <w:r w:rsidRPr="00F46944">
              <w:rPr>
                <w:rFonts w:cstheme="minorHAnsi"/>
                <w:sz w:val="14"/>
                <w:szCs w:val="10"/>
              </w:rPr>
              <w:t>295</w:t>
            </w:r>
          </w:p>
        </w:tc>
        <w:tc>
          <w:tcPr>
            <w:tcW w:w="925" w:type="dxa"/>
            <w:shd w:val="clear" w:color="auto" w:fill="F8DDD3" w:themeFill="accent5" w:themeFillTint="33"/>
          </w:tcPr>
          <w:p w14:paraId="2667EEF9" w14:textId="77777777" w:rsidR="00B56E31" w:rsidRPr="00F46944" w:rsidRDefault="00B56E31" w:rsidP="00B56E31">
            <w:pPr>
              <w:spacing w:after="0"/>
              <w:cnfStyle w:val="000000000000" w:firstRow="0" w:lastRow="0" w:firstColumn="0" w:lastColumn="0" w:oddVBand="0" w:evenVBand="0" w:oddHBand="0" w:evenHBand="0" w:firstRowFirstColumn="0" w:firstRowLastColumn="0" w:lastRowFirstColumn="0" w:lastRowLastColumn="0"/>
              <w:rPr>
                <w:rFonts w:cstheme="minorHAnsi"/>
                <w:sz w:val="14"/>
                <w:szCs w:val="10"/>
              </w:rPr>
            </w:pPr>
            <w:r w:rsidRPr="00F46944">
              <w:rPr>
                <w:rFonts w:cstheme="minorHAnsi"/>
                <w:sz w:val="14"/>
                <w:szCs w:val="10"/>
              </w:rPr>
              <w:t>Beenleigh</w:t>
            </w:r>
          </w:p>
          <w:p w14:paraId="59D76B6B" w14:textId="77777777" w:rsidR="00B56E31" w:rsidRPr="00F46944" w:rsidRDefault="00B56E31" w:rsidP="00B56E31">
            <w:pPr>
              <w:spacing w:after="0"/>
              <w:cnfStyle w:val="000000000000" w:firstRow="0" w:lastRow="0" w:firstColumn="0" w:lastColumn="0" w:oddVBand="0" w:evenVBand="0" w:oddHBand="0" w:evenHBand="0" w:firstRowFirstColumn="0" w:firstRowLastColumn="0" w:lastRowFirstColumn="0" w:lastRowLastColumn="0"/>
              <w:rPr>
                <w:rFonts w:cstheme="minorHAnsi"/>
                <w:sz w:val="14"/>
                <w:szCs w:val="10"/>
              </w:rPr>
            </w:pPr>
          </w:p>
        </w:tc>
        <w:tc>
          <w:tcPr>
            <w:tcW w:w="528" w:type="dxa"/>
            <w:shd w:val="clear" w:color="auto" w:fill="F8DDD3" w:themeFill="accent5" w:themeFillTint="33"/>
          </w:tcPr>
          <w:p w14:paraId="3840CA41" w14:textId="7C477B47" w:rsidR="00B56E31" w:rsidRPr="00F46944" w:rsidRDefault="00B56E31" w:rsidP="00B56E31">
            <w:pPr>
              <w:cnfStyle w:val="000000000000" w:firstRow="0" w:lastRow="0" w:firstColumn="0" w:lastColumn="0" w:oddVBand="0" w:evenVBand="0" w:oddHBand="0" w:evenHBand="0" w:firstRowFirstColumn="0" w:firstRowLastColumn="0" w:lastRowFirstColumn="0" w:lastRowLastColumn="0"/>
              <w:rPr>
                <w:rFonts w:cstheme="minorHAnsi"/>
                <w:sz w:val="14"/>
                <w:szCs w:val="10"/>
              </w:rPr>
            </w:pPr>
            <w:r w:rsidRPr="00F46944">
              <w:rPr>
                <w:rFonts w:cstheme="minorHAnsi"/>
                <w:sz w:val="14"/>
                <w:szCs w:val="10"/>
              </w:rPr>
              <w:t>1414</w:t>
            </w:r>
          </w:p>
        </w:tc>
      </w:tr>
      <w:tr w:rsidR="00B56E31" w:rsidRPr="00F46944" w14:paraId="6A16FF4B" w14:textId="77777777" w:rsidTr="00147072">
        <w:trPr>
          <w:cnfStyle w:val="000000100000" w:firstRow="0" w:lastRow="0" w:firstColumn="0" w:lastColumn="0" w:oddVBand="0" w:evenVBand="0" w:oddHBand="1" w:evenHBand="0" w:firstRowFirstColumn="0" w:firstRowLastColumn="0" w:lastRowFirstColumn="0" w:lastRowLastColumn="0"/>
          <w:trHeight w:val="651"/>
          <w:jc w:val="center"/>
        </w:trPr>
        <w:tc>
          <w:tcPr>
            <w:cnfStyle w:val="001000000000" w:firstRow="0" w:lastRow="0" w:firstColumn="1" w:lastColumn="0" w:oddVBand="0" w:evenVBand="0" w:oddHBand="0" w:evenHBand="0" w:firstRowFirstColumn="0" w:firstRowLastColumn="0" w:lastRowFirstColumn="0" w:lastRowLastColumn="0"/>
            <w:tcW w:w="830" w:type="dxa"/>
            <w:shd w:val="clear" w:color="auto" w:fill="F1BBA8" w:themeFill="accent5" w:themeFillTint="66"/>
          </w:tcPr>
          <w:p w14:paraId="6695F9EC" w14:textId="611C2F18" w:rsidR="00B56E31" w:rsidRPr="00F46944" w:rsidRDefault="00B56E31" w:rsidP="00B56E31">
            <w:pPr>
              <w:rPr>
                <w:rFonts w:cstheme="minorHAnsi"/>
                <w:sz w:val="14"/>
                <w:szCs w:val="10"/>
              </w:rPr>
            </w:pPr>
            <w:r w:rsidRPr="00F46944">
              <w:rPr>
                <w:rFonts w:cstheme="minorHAnsi"/>
                <w:sz w:val="14"/>
                <w:szCs w:val="10"/>
              </w:rPr>
              <w:t>SA</w:t>
            </w:r>
          </w:p>
        </w:tc>
        <w:tc>
          <w:tcPr>
            <w:tcW w:w="987" w:type="dxa"/>
          </w:tcPr>
          <w:p w14:paraId="11479C7D" w14:textId="77777777" w:rsidR="00B56E31" w:rsidRPr="00F46944" w:rsidRDefault="00B56E31" w:rsidP="00B56E31">
            <w:pPr>
              <w:spacing w:after="0"/>
              <w:cnfStyle w:val="000000100000" w:firstRow="0" w:lastRow="0" w:firstColumn="0" w:lastColumn="0" w:oddVBand="0" w:evenVBand="0" w:oddHBand="1" w:evenHBand="0" w:firstRowFirstColumn="0" w:firstRowLastColumn="0" w:lastRowFirstColumn="0" w:lastRowLastColumn="0"/>
              <w:rPr>
                <w:rFonts w:cstheme="minorHAnsi"/>
                <w:sz w:val="14"/>
                <w:szCs w:val="10"/>
              </w:rPr>
            </w:pPr>
            <w:r w:rsidRPr="00F46944">
              <w:rPr>
                <w:rFonts w:cstheme="minorHAnsi"/>
                <w:sz w:val="14"/>
                <w:szCs w:val="10"/>
              </w:rPr>
              <w:t>Adelaide City</w:t>
            </w:r>
          </w:p>
          <w:p w14:paraId="22A1BCFC" w14:textId="77777777" w:rsidR="00B56E31" w:rsidRPr="00F46944" w:rsidRDefault="00B56E31" w:rsidP="00B56E31">
            <w:pPr>
              <w:spacing w:after="0"/>
              <w:cnfStyle w:val="000000100000" w:firstRow="0" w:lastRow="0" w:firstColumn="0" w:lastColumn="0" w:oddVBand="0" w:evenVBand="0" w:oddHBand="1" w:evenHBand="0" w:firstRowFirstColumn="0" w:firstRowLastColumn="0" w:lastRowFirstColumn="0" w:lastRowLastColumn="0"/>
              <w:rPr>
                <w:rFonts w:cstheme="minorHAnsi"/>
                <w:sz w:val="14"/>
                <w:szCs w:val="10"/>
              </w:rPr>
            </w:pPr>
          </w:p>
        </w:tc>
        <w:tc>
          <w:tcPr>
            <w:tcW w:w="512" w:type="dxa"/>
          </w:tcPr>
          <w:p w14:paraId="31DBD8C1" w14:textId="034B290D" w:rsidR="00B56E31" w:rsidRPr="00F46944" w:rsidRDefault="00B56E31" w:rsidP="00B56E31">
            <w:pPr>
              <w:cnfStyle w:val="000000100000" w:firstRow="0" w:lastRow="0" w:firstColumn="0" w:lastColumn="0" w:oddVBand="0" w:evenVBand="0" w:oddHBand="1" w:evenHBand="0" w:firstRowFirstColumn="0" w:firstRowLastColumn="0" w:lastRowFirstColumn="0" w:lastRowLastColumn="0"/>
              <w:rPr>
                <w:rFonts w:cstheme="minorHAnsi"/>
                <w:sz w:val="14"/>
                <w:szCs w:val="10"/>
              </w:rPr>
            </w:pPr>
            <w:r w:rsidRPr="00F46944">
              <w:rPr>
                <w:rFonts w:cstheme="minorHAnsi"/>
                <w:sz w:val="14"/>
                <w:szCs w:val="10"/>
              </w:rPr>
              <w:t>666</w:t>
            </w:r>
          </w:p>
        </w:tc>
        <w:tc>
          <w:tcPr>
            <w:tcW w:w="847" w:type="dxa"/>
            <w:shd w:val="clear" w:color="auto" w:fill="F8DDD3" w:themeFill="accent5" w:themeFillTint="33"/>
          </w:tcPr>
          <w:p w14:paraId="5A172959" w14:textId="75728FB1" w:rsidR="00B56E31" w:rsidRPr="00F46944" w:rsidRDefault="00B56E31" w:rsidP="00B56E31">
            <w:pPr>
              <w:spacing w:after="0"/>
              <w:cnfStyle w:val="000000100000" w:firstRow="0" w:lastRow="0" w:firstColumn="0" w:lastColumn="0" w:oddVBand="0" w:evenVBand="0" w:oddHBand="1" w:evenHBand="0" w:firstRowFirstColumn="0" w:firstRowLastColumn="0" w:lastRowFirstColumn="0" w:lastRowLastColumn="0"/>
              <w:rPr>
                <w:rFonts w:cstheme="minorHAnsi"/>
                <w:sz w:val="14"/>
                <w:szCs w:val="10"/>
              </w:rPr>
            </w:pPr>
            <w:r w:rsidRPr="00F46944">
              <w:rPr>
                <w:rFonts w:cstheme="minorHAnsi"/>
                <w:sz w:val="14"/>
                <w:szCs w:val="10"/>
              </w:rPr>
              <w:t>Playford</w:t>
            </w:r>
          </w:p>
        </w:tc>
        <w:tc>
          <w:tcPr>
            <w:tcW w:w="528" w:type="dxa"/>
            <w:shd w:val="clear" w:color="auto" w:fill="F8DDD3" w:themeFill="accent5" w:themeFillTint="33"/>
          </w:tcPr>
          <w:p w14:paraId="459A0EE1" w14:textId="46FF6D71" w:rsidR="00B56E31" w:rsidRPr="00F46944" w:rsidRDefault="00B56E31" w:rsidP="00B56E31">
            <w:pPr>
              <w:cnfStyle w:val="000000100000" w:firstRow="0" w:lastRow="0" w:firstColumn="0" w:lastColumn="0" w:oddVBand="0" w:evenVBand="0" w:oddHBand="1" w:evenHBand="0" w:firstRowFirstColumn="0" w:firstRowLastColumn="0" w:lastRowFirstColumn="0" w:lastRowLastColumn="0"/>
              <w:rPr>
                <w:rFonts w:cstheme="minorHAnsi"/>
                <w:sz w:val="14"/>
                <w:szCs w:val="10"/>
              </w:rPr>
            </w:pPr>
            <w:r w:rsidRPr="00F46944">
              <w:rPr>
                <w:rFonts w:cstheme="minorHAnsi"/>
                <w:sz w:val="14"/>
                <w:szCs w:val="10"/>
              </w:rPr>
              <w:t>1200</w:t>
            </w:r>
          </w:p>
        </w:tc>
        <w:tc>
          <w:tcPr>
            <w:tcW w:w="987" w:type="dxa"/>
          </w:tcPr>
          <w:p w14:paraId="5016676F" w14:textId="77777777" w:rsidR="00B56E31" w:rsidRPr="00F46944" w:rsidRDefault="00B56E31" w:rsidP="00B56E31">
            <w:pPr>
              <w:spacing w:after="0"/>
              <w:cnfStyle w:val="000000100000" w:firstRow="0" w:lastRow="0" w:firstColumn="0" w:lastColumn="0" w:oddVBand="0" w:evenVBand="0" w:oddHBand="1" w:evenHBand="0" w:firstRowFirstColumn="0" w:firstRowLastColumn="0" w:lastRowFirstColumn="0" w:lastRowLastColumn="0"/>
              <w:rPr>
                <w:rFonts w:cstheme="minorHAnsi"/>
                <w:sz w:val="14"/>
                <w:szCs w:val="10"/>
              </w:rPr>
            </w:pPr>
            <w:r w:rsidRPr="00F46944">
              <w:rPr>
                <w:rFonts w:cstheme="minorHAnsi"/>
                <w:sz w:val="14"/>
                <w:szCs w:val="10"/>
              </w:rPr>
              <w:t>Adelaide City</w:t>
            </w:r>
          </w:p>
          <w:p w14:paraId="42399585" w14:textId="77777777" w:rsidR="00B56E31" w:rsidRPr="00F46944" w:rsidRDefault="00B56E31" w:rsidP="00B56E31">
            <w:pPr>
              <w:spacing w:after="0"/>
              <w:cnfStyle w:val="000000100000" w:firstRow="0" w:lastRow="0" w:firstColumn="0" w:lastColumn="0" w:oddVBand="0" w:evenVBand="0" w:oddHBand="1" w:evenHBand="0" w:firstRowFirstColumn="0" w:firstRowLastColumn="0" w:lastRowFirstColumn="0" w:lastRowLastColumn="0"/>
              <w:rPr>
                <w:rFonts w:cstheme="minorHAnsi"/>
                <w:sz w:val="14"/>
                <w:szCs w:val="10"/>
              </w:rPr>
            </w:pPr>
          </w:p>
        </w:tc>
        <w:tc>
          <w:tcPr>
            <w:tcW w:w="512" w:type="dxa"/>
          </w:tcPr>
          <w:p w14:paraId="3629E99B" w14:textId="068AEFEF" w:rsidR="00B56E31" w:rsidRPr="00F46944" w:rsidRDefault="00B56E31" w:rsidP="00B56E31">
            <w:pPr>
              <w:cnfStyle w:val="000000100000" w:firstRow="0" w:lastRow="0" w:firstColumn="0" w:lastColumn="0" w:oddVBand="0" w:evenVBand="0" w:oddHBand="1" w:evenHBand="0" w:firstRowFirstColumn="0" w:firstRowLastColumn="0" w:lastRowFirstColumn="0" w:lastRowLastColumn="0"/>
              <w:rPr>
                <w:rFonts w:cstheme="minorHAnsi"/>
                <w:sz w:val="14"/>
                <w:szCs w:val="10"/>
              </w:rPr>
            </w:pPr>
            <w:r w:rsidRPr="00F46944">
              <w:rPr>
                <w:rFonts w:cstheme="minorHAnsi"/>
                <w:sz w:val="14"/>
                <w:szCs w:val="10"/>
              </w:rPr>
              <w:t>514</w:t>
            </w:r>
          </w:p>
        </w:tc>
        <w:tc>
          <w:tcPr>
            <w:tcW w:w="847" w:type="dxa"/>
            <w:shd w:val="clear" w:color="auto" w:fill="F8DDD3" w:themeFill="accent5" w:themeFillTint="33"/>
          </w:tcPr>
          <w:p w14:paraId="00F3B46E" w14:textId="1B2358CD" w:rsidR="00B56E31" w:rsidRPr="00F46944" w:rsidRDefault="00B56E31" w:rsidP="00B56E31">
            <w:pPr>
              <w:spacing w:after="0"/>
              <w:cnfStyle w:val="000000100000" w:firstRow="0" w:lastRow="0" w:firstColumn="0" w:lastColumn="0" w:oddVBand="0" w:evenVBand="0" w:oddHBand="1" w:evenHBand="0" w:firstRowFirstColumn="0" w:firstRowLastColumn="0" w:lastRowFirstColumn="0" w:lastRowLastColumn="0"/>
              <w:rPr>
                <w:rFonts w:cstheme="minorHAnsi"/>
                <w:sz w:val="14"/>
                <w:szCs w:val="10"/>
              </w:rPr>
            </w:pPr>
            <w:r w:rsidRPr="00F46944">
              <w:rPr>
                <w:rFonts w:cstheme="minorHAnsi"/>
                <w:sz w:val="14"/>
                <w:szCs w:val="10"/>
              </w:rPr>
              <w:t>Playford</w:t>
            </w:r>
          </w:p>
        </w:tc>
        <w:tc>
          <w:tcPr>
            <w:tcW w:w="528" w:type="dxa"/>
            <w:shd w:val="clear" w:color="auto" w:fill="F8DDD3" w:themeFill="accent5" w:themeFillTint="33"/>
          </w:tcPr>
          <w:p w14:paraId="205DA0A0" w14:textId="3612740F" w:rsidR="00B56E31" w:rsidRPr="00F46944" w:rsidRDefault="00B56E31" w:rsidP="00B56E31">
            <w:pPr>
              <w:cnfStyle w:val="000000100000" w:firstRow="0" w:lastRow="0" w:firstColumn="0" w:lastColumn="0" w:oddVBand="0" w:evenVBand="0" w:oddHBand="1" w:evenHBand="0" w:firstRowFirstColumn="0" w:firstRowLastColumn="0" w:lastRowFirstColumn="0" w:lastRowLastColumn="0"/>
              <w:rPr>
                <w:rFonts w:cstheme="minorHAnsi"/>
                <w:sz w:val="14"/>
                <w:szCs w:val="10"/>
              </w:rPr>
            </w:pPr>
            <w:r w:rsidRPr="00F46944">
              <w:rPr>
                <w:rFonts w:cstheme="minorHAnsi"/>
                <w:sz w:val="14"/>
                <w:szCs w:val="10"/>
              </w:rPr>
              <w:t>958</w:t>
            </w:r>
          </w:p>
        </w:tc>
        <w:tc>
          <w:tcPr>
            <w:tcW w:w="987" w:type="dxa"/>
          </w:tcPr>
          <w:p w14:paraId="7CFB3724" w14:textId="77777777" w:rsidR="00B56E31" w:rsidRPr="00F46944" w:rsidRDefault="00B56E31" w:rsidP="00B56E31">
            <w:pPr>
              <w:spacing w:after="0"/>
              <w:cnfStyle w:val="000000100000" w:firstRow="0" w:lastRow="0" w:firstColumn="0" w:lastColumn="0" w:oddVBand="0" w:evenVBand="0" w:oddHBand="1" w:evenHBand="0" w:firstRowFirstColumn="0" w:firstRowLastColumn="0" w:lastRowFirstColumn="0" w:lastRowLastColumn="0"/>
              <w:rPr>
                <w:rFonts w:cstheme="minorHAnsi"/>
                <w:sz w:val="14"/>
                <w:szCs w:val="10"/>
              </w:rPr>
            </w:pPr>
            <w:r w:rsidRPr="00F46944">
              <w:rPr>
                <w:rFonts w:cstheme="minorHAnsi"/>
                <w:sz w:val="14"/>
                <w:szCs w:val="10"/>
              </w:rPr>
              <w:t>Adelaide City</w:t>
            </w:r>
          </w:p>
          <w:p w14:paraId="42E7EA99" w14:textId="77777777" w:rsidR="00B56E31" w:rsidRPr="00F46944" w:rsidRDefault="00B56E31" w:rsidP="00B56E31">
            <w:pPr>
              <w:spacing w:after="0"/>
              <w:cnfStyle w:val="000000100000" w:firstRow="0" w:lastRow="0" w:firstColumn="0" w:lastColumn="0" w:oddVBand="0" w:evenVBand="0" w:oddHBand="1" w:evenHBand="0" w:firstRowFirstColumn="0" w:firstRowLastColumn="0" w:lastRowFirstColumn="0" w:lastRowLastColumn="0"/>
              <w:rPr>
                <w:rFonts w:cstheme="minorHAnsi"/>
                <w:sz w:val="14"/>
                <w:szCs w:val="10"/>
              </w:rPr>
            </w:pPr>
          </w:p>
        </w:tc>
        <w:tc>
          <w:tcPr>
            <w:tcW w:w="512" w:type="dxa"/>
          </w:tcPr>
          <w:p w14:paraId="561FD812" w14:textId="4C7F5C29" w:rsidR="00B56E31" w:rsidRPr="00F46944" w:rsidRDefault="00B56E31" w:rsidP="00B56E31">
            <w:pPr>
              <w:cnfStyle w:val="000000100000" w:firstRow="0" w:lastRow="0" w:firstColumn="0" w:lastColumn="0" w:oddVBand="0" w:evenVBand="0" w:oddHBand="1" w:evenHBand="0" w:firstRowFirstColumn="0" w:firstRowLastColumn="0" w:lastRowFirstColumn="0" w:lastRowLastColumn="0"/>
              <w:rPr>
                <w:rFonts w:cstheme="minorHAnsi"/>
                <w:sz w:val="14"/>
                <w:szCs w:val="10"/>
              </w:rPr>
            </w:pPr>
            <w:r w:rsidRPr="00F46944">
              <w:rPr>
                <w:rFonts w:cstheme="minorHAnsi"/>
                <w:sz w:val="14"/>
                <w:szCs w:val="10"/>
              </w:rPr>
              <w:t>497</w:t>
            </w:r>
          </w:p>
        </w:tc>
        <w:tc>
          <w:tcPr>
            <w:tcW w:w="925" w:type="dxa"/>
            <w:shd w:val="clear" w:color="auto" w:fill="F8DDD3" w:themeFill="accent5" w:themeFillTint="33"/>
          </w:tcPr>
          <w:p w14:paraId="1EB0FCAA" w14:textId="4CFF62F1" w:rsidR="00B56E31" w:rsidRPr="00F46944" w:rsidRDefault="00B56E31" w:rsidP="00B56E31">
            <w:pPr>
              <w:spacing w:after="0"/>
              <w:cnfStyle w:val="000000100000" w:firstRow="0" w:lastRow="0" w:firstColumn="0" w:lastColumn="0" w:oddVBand="0" w:evenVBand="0" w:oddHBand="1" w:evenHBand="0" w:firstRowFirstColumn="0" w:firstRowLastColumn="0" w:lastRowFirstColumn="0" w:lastRowLastColumn="0"/>
              <w:rPr>
                <w:rFonts w:cstheme="minorHAnsi"/>
                <w:sz w:val="14"/>
                <w:szCs w:val="10"/>
              </w:rPr>
            </w:pPr>
            <w:r w:rsidRPr="00F46944">
              <w:rPr>
                <w:rFonts w:cstheme="minorHAnsi"/>
                <w:sz w:val="14"/>
                <w:szCs w:val="10"/>
              </w:rPr>
              <w:t>Playford</w:t>
            </w:r>
          </w:p>
        </w:tc>
        <w:tc>
          <w:tcPr>
            <w:tcW w:w="528" w:type="dxa"/>
            <w:shd w:val="clear" w:color="auto" w:fill="F8DDD3" w:themeFill="accent5" w:themeFillTint="33"/>
          </w:tcPr>
          <w:p w14:paraId="06D9BC3C" w14:textId="7C838D6A" w:rsidR="00B56E31" w:rsidRPr="00F46944" w:rsidRDefault="00B56E31" w:rsidP="00B56E31">
            <w:pPr>
              <w:cnfStyle w:val="000000100000" w:firstRow="0" w:lastRow="0" w:firstColumn="0" w:lastColumn="0" w:oddVBand="0" w:evenVBand="0" w:oddHBand="1" w:evenHBand="0" w:firstRowFirstColumn="0" w:firstRowLastColumn="0" w:lastRowFirstColumn="0" w:lastRowLastColumn="0"/>
              <w:rPr>
                <w:rFonts w:cstheme="minorHAnsi"/>
                <w:sz w:val="14"/>
                <w:szCs w:val="10"/>
              </w:rPr>
            </w:pPr>
            <w:r w:rsidRPr="00F46944">
              <w:rPr>
                <w:rFonts w:cstheme="minorHAnsi"/>
                <w:sz w:val="14"/>
                <w:szCs w:val="10"/>
              </w:rPr>
              <w:t>934</w:t>
            </w:r>
          </w:p>
        </w:tc>
      </w:tr>
      <w:tr w:rsidR="00B56E31" w:rsidRPr="00F46944" w14:paraId="765AFAB2" w14:textId="77777777" w:rsidTr="00147072">
        <w:trPr>
          <w:trHeight w:val="651"/>
          <w:jc w:val="center"/>
        </w:trPr>
        <w:tc>
          <w:tcPr>
            <w:cnfStyle w:val="001000000000" w:firstRow="0" w:lastRow="0" w:firstColumn="1" w:lastColumn="0" w:oddVBand="0" w:evenVBand="0" w:oddHBand="0" w:evenHBand="0" w:firstRowFirstColumn="0" w:firstRowLastColumn="0" w:lastRowFirstColumn="0" w:lastRowLastColumn="0"/>
            <w:tcW w:w="830" w:type="dxa"/>
            <w:shd w:val="clear" w:color="auto" w:fill="F1BBA8" w:themeFill="accent5" w:themeFillTint="66"/>
          </w:tcPr>
          <w:p w14:paraId="3C611246" w14:textId="0C3D9DA2" w:rsidR="00B56E31" w:rsidRPr="00F46944" w:rsidRDefault="00B56E31" w:rsidP="00B56E31">
            <w:pPr>
              <w:rPr>
                <w:rFonts w:cstheme="minorHAnsi"/>
                <w:sz w:val="14"/>
                <w:szCs w:val="10"/>
              </w:rPr>
            </w:pPr>
            <w:r w:rsidRPr="00F46944">
              <w:rPr>
                <w:rFonts w:cstheme="minorHAnsi"/>
                <w:sz w:val="14"/>
                <w:szCs w:val="10"/>
              </w:rPr>
              <w:t>WA</w:t>
            </w:r>
          </w:p>
        </w:tc>
        <w:tc>
          <w:tcPr>
            <w:tcW w:w="987" w:type="dxa"/>
          </w:tcPr>
          <w:p w14:paraId="7306E71C" w14:textId="32D511A4" w:rsidR="00B56E31" w:rsidRPr="00F46944" w:rsidRDefault="00B56E31" w:rsidP="00B56E31">
            <w:pPr>
              <w:spacing w:after="0"/>
              <w:cnfStyle w:val="000000000000" w:firstRow="0" w:lastRow="0" w:firstColumn="0" w:lastColumn="0" w:oddVBand="0" w:evenVBand="0" w:oddHBand="0" w:evenHBand="0" w:firstRowFirstColumn="0" w:firstRowLastColumn="0" w:lastRowFirstColumn="0" w:lastRowLastColumn="0"/>
              <w:rPr>
                <w:rFonts w:cstheme="minorHAnsi"/>
                <w:sz w:val="14"/>
                <w:szCs w:val="10"/>
              </w:rPr>
            </w:pPr>
            <w:r w:rsidRPr="00F46944">
              <w:rPr>
                <w:rFonts w:cstheme="minorHAnsi"/>
                <w:sz w:val="14"/>
                <w:szCs w:val="10"/>
              </w:rPr>
              <w:t>Augusta - Margaret River - Busselton</w:t>
            </w:r>
          </w:p>
        </w:tc>
        <w:tc>
          <w:tcPr>
            <w:tcW w:w="512" w:type="dxa"/>
          </w:tcPr>
          <w:p w14:paraId="3312867D" w14:textId="77777777" w:rsidR="00B56E31" w:rsidRPr="00F46944" w:rsidRDefault="00B56E31" w:rsidP="00B56E31">
            <w:pPr>
              <w:spacing w:after="0"/>
              <w:cnfStyle w:val="000000000000" w:firstRow="0" w:lastRow="0" w:firstColumn="0" w:lastColumn="0" w:oddVBand="0" w:evenVBand="0" w:oddHBand="0" w:evenHBand="0" w:firstRowFirstColumn="0" w:firstRowLastColumn="0" w:lastRowFirstColumn="0" w:lastRowLastColumn="0"/>
              <w:rPr>
                <w:rFonts w:cstheme="minorHAnsi"/>
                <w:sz w:val="14"/>
                <w:szCs w:val="10"/>
              </w:rPr>
            </w:pPr>
            <w:r w:rsidRPr="00F46944">
              <w:rPr>
                <w:rFonts w:cstheme="minorHAnsi"/>
                <w:sz w:val="14"/>
                <w:szCs w:val="10"/>
              </w:rPr>
              <w:t>273</w:t>
            </w:r>
          </w:p>
          <w:p w14:paraId="6ADD1BA6" w14:textId="77777777" w:rsidR="00B56E31" w:rsidRPr="00F46944" w:rsidRDefault="00B56E31" w:rsidP="00B56E31">
            <w:pPr>
              <w:cnfStyle w:val="000000000000" w:firstRow="0" w:lastRow="0" w:firstColumn="0" w:lastColumn="0" w:oddVBand="0" w:evenVBand="0" w:oddHBand="0" w:evenHBand="0" w:firstRowFirstColumn="0" w:firstRowLastColumn="0" w:lastRowFirstColumn="0" w:lastRowLastColumn="0"/>
              <w:rPr>
                <w:rFonts w:cstheme="minorHAnsi"/>
                <w:sz w:val="14"/>
                <w:szCs w:val="10"/>
              </w:rPr>
            </w:pPr>
          </w:p>
        </w:tc>
        <w:tc>
          <w:tcPr>
            <w:tcW w:w="847" w:type="dxa"/>
            <w:shd w:val="clear" w:color="auto" w:fill="F8DDD3" w:themeFill="accent5" w:themeFillTint="33"/>
          </w:tcPr>
          <w:p w14:paraId="68BE2EF1" w14:textId="77777777" w:rsidR="00B56E31" w:rsidRPr="00F46944" w:rsidRDefault="00B56E31" w:rsidP="00B56E31">
            <w:pPr>
              <w:spacing w:after="0"/>
              <w:cnfStyle w:val="000000000000" w:firstRow="0" w:lastRow="0" w:firstColumn="0" w:lastColumn="0" w:oddVBand="0" w:evenVBand="0" w:oddHBand="0" w:evenHBand="0" w:firstRowFirstColumn="0" w:firstRowLastColumn="0" w:lastRowFirstColumn="0" w:lastRowLastColumn="0"/>
              <w:rPr>
                <w:rFonts w:cstheme="minorHAnsi"/>
                <w:sz w:val="14"/>
                <w:szCs w:val="10"/>
              </w:rPr>
            </w:pPr>
            <w:r w:rsidRPr="00F46944">
              <w:rPr>
                <w:rFonts w:cstheme="minorHAnsi"/>
                <w:sz w:val="14"/>
                <w:szCs w:val="10"/>
              </w:rPr>
              <w:t>Canning</w:t>
            </w:r>
          </w:p>
          <w:p w14:paraId="3F7AA086" w14:textId="77777777" w:rsidR="00B56E31" w:rsidRPr="00F46944" w:rsidRDefault="00B56E31" w:rsidP="00B56E31">
            <w:pPr>
              <w:spacing w:after="0"/>
              <w:cnfStyle w:val="000000000000" w:firstRow="0" w:lastRow="0" w:firstColumn="0" w:lastColumn="0" w:oddVBand="0" w:evenVBand="0" w:oddHBand="0" w:evenHBand="0" w:firstRowFirstColumn="0" w:firstRowLastColumn="0" w:lastRowFirstColumn="0" w:lastRowLastColumn="0"/>
              <w:rPr>
                <w:rFonts w:cstheme="minorHAnsi"/>
                <w:sz w:val="14"/>
                <w:szCs w:val="10"/>
              </w:rPr>
            </w:pPr>
          </w:p>
        </w:tc>
        <w:tc>
          <w:tcPr>
            <w:tcW w:w="528" w:type="dxa"/>
            <w:shd w:val="clear" w:color="auto" w:fill="F8DDD3" w:themeFill="accent5" w:themeFillTint="33"/>
          </w:tcPr>
          <w:p w14:paraId="5E6CF9D6" w14:textId="631BC2F8" w:rsidR="00B56E31" w:rsidRPr="00F46944" w:rsidRDefault="00B56E31" w:rsidP="00B56E31">
            <w:pPr>
              <w:cnfStyle w:val="000000000000" w:firstRow="0" w:lastRow="0" w:firstColumn="0" w:lastColumn="0" w:oddVBand="0" w:evenVBand="0" w:oddHBand="0" w:evenHBand="0" w:firstRowFirstColumn="0" w:firstRowLastColumn="0" w:lastRowFirstColumn="0" w:lastRowLastColumn="0"/>
              <w:rPr>
                <w:rFonts w:cstheme="minorHAnsi"/>
                <w:sz w:val="14"/>
                <w:szCs w:val="10"/>
              </w:rPr>
            </w:pPr>
            <w:r w:rsidRPr="00F46944">
              <w:rPr>
                <w:rFonts w:cstheme="minorHAnsi"/>
                <w:sz w:val="14"/>
                <w:szCs w:val="10"/>
              </w:rPr>
              <w:t>1302</w:t>
            </w:r>
          </w:p>
        </w:tc>
        <w:tc>
          <w:tcPr>
            <w:tcW w:w="987" w:type="dxa"/>
          </w:tcPr>
          <w:p w14:paraId="15B979AF" w14:textId="3B1381C1" w:rsidR="00B56E31" w:rsidRPr="00F46944" w:rsidRDefault="00B56E31" w:rsidP="00B56E31">
            <w:pPr>
              <w:spacing w:after="0"/>
              <w:cnfStyle w:val="000000000000" w:firstRow="0" w:lastRow="0" w:firstColumn="0" w:lastColumn="0" w:oddVBand="0" w:evenVBand="0" w:oddHBand="0" w:evenHBand="0" w:firstRowFirstColumn="0" w:firstRowLastColumn="0" w:lastRowFirstColumn="0" w:lastRowLastColumn="0"/>
              <w:rPr>
                <w:rFonts w:cstheme="minorHAnsi"/>
                <w:sz w:val="14"/>
                <w:szCs w:val="10"/>
              </w:rPr>
            </w:pPr>
            <w:r w:rsidRPr="00F46944">
              <w:rPr>
                <w:rFonts w:cstheme="minorHAnsi"/>
                <w:sz w:val="14"/>
                <w:szCs w:val="10"/>
              </w:rPr>
              <w:t>Augusta - Margaret River - Busselton</w:t>
            </w:r>
          </w:p>
        </w:tc>
        <w:tc>
          <w:tcPr>
            <w:tcW w:w="512" w:type="dxa"/>
          </w:tcPr>
          <w:p w14:paraId="7665A4E6" w14:textId="77777777" w:rsidR="00B56E31" w:rsidRPr="00F46944" w:rsidRDefault="00B56E31" w:rsidP="00B56E31">
            <w:pPr>
              <w:spacing w:after="0"/>
              <w:cnfStyle w:val="000000000000" w:firstRow="0" w:lastRow="0" w:firstColumn="0" w:lastColumn="0" w:oddVBand="0" w:evenVBand="0" w:oddHBand="0" w:evenHBand="0" w:firstRowFirstColumn="0" w:firstRowLastColumn="0" w:lastRowFirstColumn="0" w:lastRowLastColumn="0"/>
              <w:rPr>
                <w:rFonts w:cstheme="minorHAnsi"/>
                <w:sz w:val="14"/>
                <w:szCs w:val="10"/>
              </w:rPr>
            </w:pPr>
            <w:r w:rsidRPr="00F46944">
              <w:rPr>
                <w:rFonts w:cstheme="minorHAnsi"/>
                <w:sz w:val="14"/>
                <w:szCs w:val="10"/>
              </w:rPr>
              <w:t>229</w:t>
            </w:r>
          </w:p>
          <w:p w14:paraId="077DFA7B" w14:textId="77777777" w:rsidR="00B56E31" w:rsidRPr="00F46944" w:rsidRDefault="00B56E31" w:rsidP="00B56E31">
            <w:pPr>
              <w:cnfStyle w:val="000000000000" w:firstRow="0" w:lastRow="0" w:firstColumn="0" w:lastColumn="0" w:oddVBand="0" w:evenVBand="0" w:oddHBand="0" w:evenHBand="0" w:firstRowFirstColumn="0" w:firstRowLastColumn="0" w:lastRowFirstColumn="0" w:lastRowLastColumn="0"/>
              <w:rPr>
                <w:rFonts w:cstheme="minorHAnsi"/>
                <w:sz w:val="14"/>
                <w:szCs w:val="10"/>
              </w:rPr>
            </w:pPr>
          </w:p>
        </w:tc>
        <w:tc>
          <w:tcPr>
            <w:tcW w:w="847" w:type="dxa"/>
            <w:shd w:val="clear" w:color="auto" w:fill="F8DDD3" w:themeFill="accent5" w:themeFillTint="33"/>
          </w:tcPr>
          <w:p w14:paraId="3473F8F3" w14:textId="77777777" w:rsidR="00B56E31" w:rsidRPr="00F46944" w:rsidRDefault="00B56E31" w:rsidP="00B56E31">
            <w:pPr>
              <w:spacing w:after="0"/>
              <w:cnfStyle w:val="000000000000" w:firstRow="0" w:lastRow="0" w:firstColumn="0" w:lastColumn="0" w:oddVBand="0" w:evenVBand="0" w:oddHBand="0" w:evenHBand="0" w:firstRowFirstColumn="0" w:firstRowLastColumn="0" w:lastRowFirstColumn="0" w:lastRowLastColumn="0"/>
              <w:rPr>
                <w:rFonts w:cstheme="minorHAnsi"/>
                <w:sz w:val="14"/>
                <w:szCs w:val="10"/>
              </w:rPr>
            </w:pPr>
            <w:r w:rsidRPr="00F46944">
              <w:rPr>
                <w:rFonts w:cstheme="minorHAnsi"/>
                <w:sz w:val="14"/>
                <w:szCs w:val="10"/>
              </w:rPr>
              <w:t>Canning</w:t>
            </w:r>
          </w:p>
          <w:p w14:paraId="06FEF43D" w14:textId="77777777" w:rsidR="00B56E31" w:rsidRPr="00F46944" w:rsidRDefault="00B56E31" w:rsidP="00B56E31">
            <w:pPr>
              <w:spacing w:after="0"/>
              <w:cnfStyle w:val="000000000000" w:firstRow="0" w:lastRow="0" w:firstColumn="0" w:lastColumn="0" w:oddVBand="0" w:evenVBand="0" w:oddHBand="0" w:evenHBand="0" w:firstRowFirstColumn="0" w:firstRowLastColumn="0" w:lastRowFirstColumn="0" w:lastRowLastColumn="0"/>
              <w:rPr>
                <w:rFonts w:cstheme="minorHAnsi"/>
                <w:sz w:val="14"/>
                <w:szCs w:val="10"/>
              </w:rPr>
            </w:pPr>
          </w:p>
        </w:tc>
        <w:tc>
          <w:tcPr>
            <w:tcW w:w="528" w:type="dxa"/>
            <w:shd w:val="clear" w:color="auto" w:fill="F8DDD3" w:themeFill="accent5" w:themeFillTint="33"/>
          </w:tcPr>
          <w:p w14:paraId="7DEC7A6F" w14:textId="6022639C" w:rsidR="00B56E31" w:rsidRPr="00F46944" w:rsidRDefault="00B56E31" w:rsidP="00B56E31">
            <w:pPr>
              <w:cnfStyle w:val="000000000000" w:firstRow="0" w:lastRow="0" w:firstColumn="0" w:lastColumn="0" w:oddVBand="0" w:evenVBand="0" w:oddHBand="0" w:evenHBand="0" w:firstRowFirstColumn="0" w:firstRowLastColumn="0" w:lastRowFirstColumn="0" w:lastRowLastColumn="0"/>
              <w:rPr>
                <w:rFonts w:cstheme="minorHAnsi"/>
                <w:sz w:val="14"/>
                <w:szCs w:val="10"/>
              </w:rPr>
            </w:pPr>
            <w:r w:rsidRPr="00F46944">
              <w:rPr>
                <w:rFonts w:cstheme="minorHAnsi"/>
                <w:sz w:val="14"/>
                <w:szCs w:val="10"/>
              </w:rPr>
              <w:t>1038</w:t>
            </w:r>
          </w:p>
        </w:tc>
        <w:tc>
          <w:tcPr>
            <w:tcW w:w="987" w:type="dxa"/>
          </w:tcPr>
          <w:p w14:paraId="7421EFF4" w14:textId="22542FA4" w:rsidR="00B56E31" w:rsidRPr="00F46944" w:rsidRDefault="00B56E31" w:rsidP="00B56E31">
            <w:pPr>
              <w:spacing w:after="0"/>
              <w:cnfStyle w:val="000000000000" w:firstRow="0" w:lastRow="0" w:firstColumn="0" w:lastColumn="0" w:oddVBand="0" w:evenVBand="0" w:oddHBand="0" w:evenHBand="0" w:firstRowFirstColumn="0" w:firstRowLastColumn="0" w:lastRowFirstColumn="0" w:lastRowLastColumn="0"/>
              <w:rPr>
                <w:rFonts w:cstheme="minorHAnsi"/>
                <w:sz w:val="14"/>
                <w:szCs w:val="10"/>
              </w:rPr>
            </w:pPr>
            <w:r w:rsidRPr="00F46944">
              <w:rPr>
                <w:rFonts w:cstheme="minorHAnsi"/>
                <w:sz w:val="14"/>
                <w:szCs w:val="10"/>
              </w:rPr>
              <w:t>Augusta - Margaret River - Busselton</w:t>
            </w:r>
          </w:p>
        </w:tc>
        <w:tc>
          <w:tcPr>
            <w:tcW w:w="512" w:type="dxa"/>
          </w:tcPr>
          <w:p w14:paraId="12B4637F" w14:textId="77777777" w:rsidR="00B56E31" w:rsidRPr="00F46944" w:rsidRDefault="00B56E31" w:rsidP="00B56E31">
            <w:pPr>
              <w:spacing w:after="0"/>
              <w:cnfStyle w:val="000000000000" w:firstRow="0" w:lastRow="0" w:firstColumn="0" w:lastColumn="0" w:oddVBand="0" w:evenVBand="0" w:oddHBand="0" w:evenHBand="0" w:firstRowFirstColumn="0" w:firstRowLastColumn="0" w:lastRowFirstColumn="0" w:lastRowLastColumn="0"/>
              <w:rPr>
                <w:rFonts w:cstheme="minorHAnsi"/>
                <w:sz w:val="14"/>
                <w:szCs w:val="10"/>
              </w:rPr>
            </w:pPr>
            <w:r w:rsidRPr="00F46944">
              <w:rPr>
                <w:rFonts w:cstheme="minorHAnsi"/>
                <w:sz w:val="14"/>
                <w:szCs w:val="10"/>
              </w:rPr>
              <w:t>239</w:t>
            </w:r>
          </w:p>
          <w:p w14:paraId="54FF58C1" w14:textId="77777777" w:rsidR="00B56E31" w:rsidRPr="00F46944" w:rsidRDefault="00B56E31" w:rsidP="00B56E31">
            <w:pPr>
              <w:cnfStyle w:val="000000000000" w:firstRow="0" w:lastRow="0" w:firstColumn="0" w:lastColumn="0" w:oddVBand="0" w:evenVBand="0" w:oddHBand="0" w:evenHBand="0" w:firstRowFirstColumn="0" w:firstRowLastColumn="0" w:lastRowFirstColumn="0" w:lastRowLastColumn="0"/>
              <w:rPr>
                <w:rFonts w:cstheme="minorHAnsi"/>
                <w:sz w:val="14"/>
                <w:szCs w:val="10"/>
              </w:rPr>
            </w:pPr>
          </w:p>
        </w:tc>
        <w:tc>
          <w:tcPr>
            <w:tcW w:w="925" w:type="dxa"/>
            <w:shd w:val="clear" w:color="auto" w:fill="F8DDD3" w:themeFill="accent5" w:themeFillTint="33"/>
          </w:tcPr>
          <w:p w14:paraId="2D59CC77" w14:textId="77777777" w:rsidR="00B56E31" w:rsidRPr="00F46944" w:rsidRDefault="00B56E31" w:rsidP="00B56E31">
            <w:pPr>
              <w:spacing w:after="0"/>
              <w:cnfStyle w:val="000000000000" w:firstRow="0" w:lastRow="0" w:firstColumn="0" w:lastColumn="0" w:oddVBand="0" w:evenVBand="0" w:oddHBand="0" w:evenHBand="0" w:firstRowFirstColumn="0" w:firstRowLastColumn="0" w:lastRowFirstColumn="0" w:lastRowLastColumn="0"/>
              <w:rPr>
                <w:rFonts w:cstheme="minorHAnsi"/>
                <w:sz w:val="14"/>
                <w:szCs w:val="10"/>
              </w:rPr>
            </w:pPr>
            <w:r w:rsidRPr="00F46944">
              <w:rPr>
                <w:rFonts w:cstheme="minorHAnsi"/>
                <w:sz w:val="14"/>
                <w:szCs w:val="10"/>
              </w:rPr>
              <w:t>Canning</w:t>
            </w:r>
          </w:p>
          <w:p w14:paraId="62FCBA5B" w14:textId="77777777" w:rsidR="00B56E31" w:rsidRPr="00F46944" w:rsidRDefault="00B56E31" w:rsidP="00B56E31">
            <w:pPr>
              <w:spacing w:after="0"/>
              <w:cnfStyle w:val="000000000000" w:firstRow="0" w:lastRow="0" w:firstColumn="0" w:lastColumn="0" w:oddVBand="0" w:evenVBand="0" w:oddHBand="0" w:evenHBand="0" w:firstRowFirstColumn="0" w:firstRowLastColumn="0" w:lastRowFirstColumn="0" w:lastRowLastColumn="0"/>
              <w:rPr>
                <w:rFonts w:cstheme="minorHAnsi"/>
                <w:sz w:val="14"/>
                <w:szCs w:val="10"/>
              </w:rPr>
            </w:pPr>
          </w:p>
        </w:tc>
        <w:tc>
          <w:tcPr>
            <w:tcW w:w="528" w:type="dxa"/>
            <w:shd w:val="clear" w:color="auto" w:fill="F8DDD3" w:themeFill="accent5" w:themeFillTint="33"/>
          </w:tcPr>
          <w:p w14:paraId="14861186" w14:textId="6905B616" w:rsidR="00B56E31" w:rsidRPr="00F46944" w:rsidRDefault="00B56E31" w:rsidP="00B56E31">
            <w:pPr>
              <w:cnfStyle w:val="000000000000" w:firstRow="0" w:lastRow="0" w:firstColumn="0" w:lastColumn="0" w:oddVBand="0" w:evenVBand="0" w:oddHBand="0" w:evenHBand="0" w:firstRowFirstColumn="0" w:firstRowLastColumn="0" w:lastRowFirstColumn="0" w:lastRowLastColumn="0"/>
              <w:rPr>
                <w:rFonts w:cstheme="minorHAnsi"/>
                <w:sz w:val="14"/>
                <w:szCs w:val="10"/>
              </w:rPr>
            </w:pPr>
            <w:r w:rsidRPr="00F46944">
              <w:rPr>
                <w:rFonts w:cstheme="minorHAnsi"/>
                <w:sz w:val="14"/>
                <w:szCs w:val="10"/>
              </w:rPr>
              <w:t>1042</w:t>
            </w:r>
          </w:p>
        </w:tc>
      </w:tr>
      <w:tr w:rsidR="00B56E31" w:rsidRPr="00F46944" w14:paraId="135711DC" w14:textId="77777777" w:rsidTr="00147072">
        <w:trPr>
          <w:cnfStyle w:val="000000100000" w:firstRow="0" w:lastRow="0" w:firstColumn="0" w:lastColumn="0" w:oddVBand="0" w:evenVBand="0" w:oddHBand="1" w:evenHBand="0" w:firstRowFirstColumn="0" w:firstRowLastColumn="0" w:lastRowFirstColumn="0" w:lastRowLastColumn="0"/>
          <w:trHeight w:val="651"/>
          <w:jc w:val="center"/>
        </w:trPr>
        <w:tc>
          <w:tcPr>
            <w:cnfStyle w:val="001000000000" w:firstRow="0" w:lastRow="0" w:firstColumn="1" w:lastColumn="0" w:oddVBand="0" w:evenVBand="0" w:oddHBand="0" w:evenHBand="0" w:firstRowFirstColumn="0" w:firstRowLastColumn="0" w:lastRowFirstColumn="0" w:lastRowLastColumn="0"/>
            <w:tcW w:w="830" w:type="dxa"/>
            <w:shd w:val="clear" w:color="auto" w:fill="F1BBA8" w:themeFill="accent5" w:themeFillTint="66"/>
          </w:tcPr>
          <w:p w14:paraId="6C833F83" w14:textId="320AD239" w:rsidR="00B56E31" w:rsidRPr="00F46944" w:rsidRDefault="00B56E31" w:rsidP="00B56E31">
            <w:pPr>
              <w:rPr>
                <w:rFonts w:cstheme="minorHAnsi"/>
                <w:sz w:val="14"/>
                <w:szCs w:val="10"/>
              </w:rPr>
            </w:pPr>
            <w:r w:rsidRPr="00F46944">
              <w:rPr>
                <w:rFonts w:cstheme="minorHAnsi"/>
                <w:sz w:val="14"/>
                <w:szCs w:val="10"/>
              </w:rPr>
              <w:t>Tas</w:t>
            </w:r>
          </w:p>
        </w:tc>
        <w:tc>
          <w:tcPr>
            <w:tcW w:w="987" w:type="dxa"/>
          </w:tcPr>
          <w:p w14:paraId="642FA7F3" w14:textId="77777777" w:rsidR="00B56E31" w:rsidRPr="00F46944" w:rsidRDefault="00B56E31" w:rsidP="00B56E31">
            <w:pPr>
              <w:spacing w:after="0"/>
              <w:cnfStyle w:val="000000100000" w:firstRow="0" w:lastRow="0" w:firstColumn="0" w:lastColumn="0" w:oddVBand="0" w:evenVBand="0" w:oddHBand="1" w:evenHBand="0" w:firstRowFirstColumn="0" w:firstRowLastColumn="0" w:lastRowFirstColumn="0" w:lastRowLastColumn="0"/>
              <w:rPr>
                <w:rFonts w:cstheme="minorHAnsi"/>
                <w:sz w:val="14"/>
                <w:szCs w:val="10"/>
              </w:rPr>
            </w:pPr>
            <w:r w:rsidRPr="00F46944">
              <w:rPr>
                <w:rFonts w:cstheme="minorHAnsi"/>
                <w:sz w:val="14"/>
                <w:szCs w:val="10"/>
              </w:rPr>
              <w:t>Central Highlands</w:t>
            </w:r>
          </w:p>
          <w:p w14:paraId="02286E6E" w14:textId="77777777" w:rsidR="00B56E31" w:rsidRPr="00F46944" w:rsidRDefault="00B56E31" w:rsidP="00B56E31">
            <w:pPr>
              <w:spacing w:after="0"/>
              <w:cnfStyle w:val="000000100000" w:firstRow="0" w:lastRow="0" w:firstColumn="0" w:lastColumn="0" w:oddVBand="0" w:evenVBand="0" w:oddHBand="1" w:evenHBand="0" w:firstRowFirstColumn="0" w:firstRowLastColumn="0" w:lastRowFirstColumn="0" w:lastRowLastColumn="0"/>
              <w:rPr>
                <w:rFonts w:cstheme="minorHAnsi"/>
                <w:sz w:val="14"/>
                <w:szCs w:val="10"/>
              </w:rPr>
            </w:pPr>
          </w:p>
        </w:tc>
        <w:tc>
          <w:tcPr>
            <w:tcW w:w="512" w:type="dxa"/>
          </w:tcPr>
          <w:p w14:paraId="64212822" w14:textId="134B0DEA" w:rsidR="00B56E31" w:rsidRPr="00F46944" w:rsidRDefault="00B56E31" w:rsidP="00B56E31">
            <w:pPr>
              <w:spacing w:after="0"/>
              <w:cnfStyle w:val="000000100000" w:firstRow="0" w:lastRow="0" w:firstColumn="0" w:lastColumn="0" w:oddVBand="0" w:evenVBand="0" w:oddHBand="1" w:evenHBand="0" w:firstRowFirstColumn="0" w:firstRowLastColumn="0" w:lastRowFirstColumn="0" w:lastRowLastColumn="0"/>
              <w:rPr>
                <w:rFonts w:cstheme="minorHAnsi"/>
                <w:sz w:val="14"/>
                <w:szCs w:val="10"/>
              </w:rPr>
            </w:pPr>
            <w:r w:rsidRPr="00F46944">
              <w:rPr>
                <w:rFonts w:cstheme="minorHAnsi"/>
                <w:sz w:val="14"/>
                <w:szCs w:val="10"/>
              </w:rPr>
              <w:t>450</w:t>
            </w:r>
          </w:p>
        </w:tc>
        <w:tc>
          <w:tcPr>
            <w:tcW w:w="847" w:type="dxa"/>
            <w:shd w:val="clear" w:color="auto" w:fill="F8DDD3" w:themeFill="accent5" w:themeFillTint="33"/>
          </w:tcPr>
          <w:p w14:paraId="670D86B4" w14:textId="41618E6B" w:rsidR="00B56E31" w:rsidRPr="00F46944" w:rsidRDefault="00B56E31" w:rsidP="00B56E31">
            <w:pPr>
              <w:spacing w:after="0"/>
              <w:cnfStyle w:val="000000100000" w:firstRow="0" w:lastRow="0" w:firstColumn="0" w:lastColumn="0" w:oddVBand="0" w:evenVBand="0" w:oddHBand="1" w:evenHBand="0" w:firstRowFirstColumn="0" w:firstRowLastColumn="0" w:lastRowFirstColumn="0" w:lastRowLastColumn="0"/>
              <w:rPr>
                <w:rFonts w:cstheme="minorHAnsi"/>
                <w:sz w:val="14"/>
                <w:szCs w:val="10"/>
              </w:rPr>
            </w:pPr>
            <w:r w:rsidRPr="00F46944">
              <w:rPr>
                <w:rFonts w:cstheme="minorHAnsi"/>
                <w:sz w:val="14"/>
                <w:szCs w:val="10"/>
              </w:rPr>
              <w:t>Brighton</w:t>
            </w:r>
          </w:p>
        </w:tc>
        <w:tc>
          <w:tcPr>
            <w:tcW w:w="528" w:type="dxa"/>
            <w:shd w:val="clear" w:color="auto" w:fill="F8DDD3" w:themeFill="accent5" w:themeFillTint="33"/>
          </w:tcPr>
          <w:p w14:paraId="0CF59CE2" w14:textId="56A1727D" w:rsidR="00B56E31" w:rsidRPr="00F46944" w:rsidRDefault="00B56E31" w:rsidP="00B56E31">
            <w:pPr>
              <w:cnfStyle w:val="000000100000" w:firstRow="0" w:lastRow="0" w:firstColumn="0" w:lastColumn="0" w:oddVBand="0" w:evenVBand="0" w:oddHBand="1" w:evenHBand="0" w:firstRowFirstColumn="0" w:firstRowLastColumn="0" w:lastRowFirstColumn="0" w:lastRowLastColumn="0"/>
              <w:rPr>
                <w:rFonts w:cstheme="minorHAnsi"/>
                <w:sz w:val="14"/>
                <w:szCs w:val="10"/>
              </w:rPr>
            </w:pPr>
            <w:r w:rsidRPr="00F46944">
              <w:rPr>
                <w:rFonts w:cstheme="minorHAnsi"/>
                <w:sz w:val="14"/>
                <w:szCs w:val="10"/>
              </w:rPr>
              <w:t>1562</w:t>
            </w:r>
          </w:p>
        </w:tc>
        <w:tc>
          <w:tcPr>
            <w:tcW w:w="987" w:type="dxa"/>
          </w:tcPr>
          <w:p w14:paraId="0AB21A87" w14:textId="77777777" w:rsidR="00B56E31" w:rsidRPr="00F46944" w:rsidRDefault="00B56E31" w:rsidP="00B56E31">
            <w:pPr>
              <w:spacing w:after="0"/>
              <w:cnfStyle w:val="000000100000" w:firstRow="0" w:lastRow="0" w:firstColumn="0" w:lastColumn="0" w:oddVBand="0" w:evenVBand="0" w:oddHBand="1" w:evenHBand="0" w:firstRowFirstColumn="0" w:firstRowLastColumn="0" w:lastRowFirstColumn="0" w:lastRowLastColumn="0"/>
              <w:rPr>
                <w:rFonts w:cstheme="minorHAnsi"/>
                <w:sz w:val="14"/>
                <w:szCs w:val="10"/>
              </w:rPr>
            </w:pPr>
            <w:r w:rsidRPr="00F46944">
              <w:rPr>
                <w:rFonts w:cstheme="minorHAnsi"/>
                <w:sz w:val="14"/>
                <w:szCs w:val="10"/>
              </w:rPr>
              <w:t>Central Highlands</w:t>
            </w:r>
          </w:p>
          <w:p w14:paraId="45903662" w14:textId="77777777" w:rsidR="00B56E31" w:rsidRPr="00F46944" w:rsidRDefault="00B56E31" w:rsidP="00B56E31">
            <w:pPr>
              <w:spacing w:after="0"/>
              <w:cnfStyle w:val="000000100000" w:firstRow="0" w:lastRow="0" w:firstColumn="0" w:lastColumn="0" w:oddVBand="0" w:evenVBand="0" w:oddHBand="1" w:evenHBand="0" w:firstRowFirstColumn="0" w:firstRowLastColumn="0" w:lastRowFirstColumn="0" w:lastRowLastColumn="0"/>
              <w:rPr>
                <w:rFonts w:cstheme="minorHAnsi"/>
                <w:sz w:val="14"/>
                <w:szCs w:val="10"/>
              </w:rPr>
            </w:pPr>
          </w:p>
        </w:tc>
        <w:tc>
          <w:tcPr>
            <w:tcW w:w="512" w:type="dxa"/>
          </w:tcPr>
          <w:p w14:paraId="488334DA" w14:textId="6DB05CD8" w:rsidR="00B56E31" w:rsidRPr="00F46944" w:rsidRDefault="00B56E31" w:rsidP="00B56E31">
            <w:pPr>
              <w:spacing w:after="0"/>
              <w:cnfStyle w:val="000000100000" w:firstRow="0" w:lastRow="0" w:firstColumn="0" w:lastColumn="0" w:oddVBand="0" w:evenVBand="0" w:oddHBand="1" w:evenHBand="0" w:firstRowFirstColumn="0" w:firstRowLastColumn="0" w:lastRowFirstColumn="0" w:lastRowLastColumn="0"/>
              <w:rPr>
                <w:rFonts w:cstheme="minorHAnsi"/>
                <w:sz w:val="14"/>
                <w:szCs w:val="10"/>
              </w:rPr>
            </w:pPr>
            <w:r w:rsidRPr="00F46944">
              <w:rPr>
                <w:rFonts w:cstheme="minorHAnsi"/>
                <w:sz w:val="14"/>
                <w:szCs w:val="10"/>
              </w:rPr>
              <w:t>308</w:t>
            </w:r>
          </w:p>
        </w:tc>
        <w:tc>
          <w:tcPr>
            <w:tcW w:w="847" w:type="dxa"/>
            <w:shd w:val="clear" w:color="auto" w:fill="F8DDD3" w:themeFill="accent5" w:themeFillTint="33"/>
          </w:tcPr>
          <w:p w14:paraId="6C8F7492" w14:textId="21E6C654" w:rsidR="00B56E31" w:rsidRPr="00F46944" w:rsidRDefault="00B56E31" w:rsidP="00B56E31">
            <w:pPr>
              <w:spacing w:after="0"/>
              <w:cnfStyle w:val="000000100000" w:firstRow="0" w:lastRow="0" w:firstColumn="0" w:lastColumn="0" w:oddVBand="0" w:evenVBand="0" w:oddHBand="1" w:evenHBand="0" w:firstRowFirstColumn="0" w:firstRowLastColumn="0" w:lastRowFirstColumn="0" w:lastRowLastColumn="0"/>
              <w:rPr>
                <w:rFonts w:cstheme="minorHAnsi"/>
                <w:sz w:val="14"/>
                <w:szCs w:val="10"/>
              </w:rPr>
            </w:pPr>
            <w:r w:rsidRPr="00F46944">
              <w:rPr>
                <w:rFonts w:cstheme="minorHAnsi"/>
                <w:sz w:val="14"/>
                <w:szCs w:val="10"/>
              </w:rPr>
              <w:t>Brighton</w:t>
            </w:r>
          </w:p>
        </w:tc>
        <w:tc>
          <w:tcPr>
            <w:tcW w:w="528" w:type="dxa"/>
            <w:shd w:val="clear" w:color="auto" w:fill="F8DDD3" w:themeFill="accent5" w:themeFillTint="33"/>
          </w:tcPr>
          <w:p w14:paraId="5677FC06" w14:textId="2D5341BC" w:rsidR="00B56E31" w:rsidRPr="00F46944" w:rsidRDefault="00B56E31" w:rsidP="00B56E31">
            <w:pPr>
              <w:cnfStyle w:val="000000100000" w:firstRow="0" w:lastRow="0" w:firstColumn="0" w:lastColumn="0" w:oddVBand="0" w:evenVBand="0" w:oddHBand="1" w:evenHBand="0" w:firstRowFirstColumn="0" w:firstRowLastColumn="0" w:lastRowFirstColumn="0" w:lastRowLastColumn="0"/>
              <w:rPr>
                <w:rFonts w:cstheme="minorHAnsi"/>
                <w:sz w:val="14"/>
                <w:szCs w:val="10"/>
              </w:rPr>
            </w:pPr>
            <w:r w:rsidRPr="00F46944">
              <w:rPr>
                <w:rFonts w:cstheme="minorHAnsi"/>
                <w:sz w:val="14"/>
                <w:szCs w:val="10"/>
              </w:rPr>
              <w:t>1200</w:t>
            </w:r>
          </w:p>
        </w:tc>
        <w:tc>
          <w:tcPr>
            <w:tcW w:w="987" w:type="dxa"/>
          </w:tcPr>
          <w:p w14:paraId="6E0D8C21" w14:textId="77777777" w:rsidR="00B56E31" w:rsidRPr="00F46944" w:rsidRDefault="00B56E31" w:rsidP="00B56E31">
            <w:pPr>
              <w:spacing w:after="0"/>
              <w:cnfStyle w:val="000000100000" w:firstRow="0" w:lastRow="0" w:firstColumn="0" w:lastColumn="0" w:oddVBand="0" w:evenVBand="0" w:oddHBand="1" w:evenHBand="0" w:firstRowFirstColumn="0" w:firstRowLastColumn="0" w:lastRowFirstColumn="0" w:lastRowLastColumn="0"/>
              <w:rPr>
                <w:rFonts w:cstheme="minorHAnsi"/>
                <w:sz w:val="14"/>
                <w:szCs w:val="10"/>
              </w:rPr>
            </w:pPr>
            <w:r w:rsidRPr="00F46944">
              <w:rPr>
                <w:rFonts w:cstheme="minorHAnsi"/>
                <w:sz w:val="14"/>
                <w:szCs w:val="10"/>
              </w:rPr>
              <w:t>Central Highlands</w:t>
            </w:r>
          </w:p>
          <w:p w14:paraId="540C5D1A" w14:textId="77777777" w:rsidR="00B56E31" w:rsidRPr="00F46944" w:rsidRDefault="00B56E31" w:rsidP="00B56E31">
            <w:pPr>
              <w:spacing w:after="0"/>
              <w:cnfStyle w:val="000000100000" w:firstRow="0" w:lastRow="0" w:firstColumn="0" w:lastColumn="0" w:oddVBand="0" w:evenVBand="0" w:oddHBand="1" w:evenHBand="0" w:firstRowFirstColumn="0" w:firstRowLastColumn="0" w:lastRowFirstColumn="0" w:lastRowLastColumn="0"/>
              <w:rPr>
                <w:rFonts w:cstheme="minorHAnsi"/>
                <w:sz w:val="14"/>
                <w:szCs w:val="10"/>
              </w:rPr>
            </w:pPr>
          </w:p>
        </w:tc>
        <w:tc>
          <w:tcPr>
            <w:tcW w:w="512" w:type="dxa"/>
          </w:tcPr>
          <w:p w14:paraId="795C9000" w14:textId="18C5CF18" w:rsidR="00B56E31" w:rsidRPr="00F46944" w:rsidRDefault="00B56E31" w:rsidP="00B56E31">
            <w:pPr>
              <w:spacing w:after="0"/>
              <w:cnfStyle w:val="000000100000" w:firstRow="0" w:lastRow="0" w:firstColumn="0" w:lastColumn="0" w:oddVBand="0" w:evenVBand="0" w:oddHBand="1" w:evenHBand="0" w:firstRowFirstColumn="0" w:firstRowLastColumn="0" w:lastRowFirstColumn="0" w:lastRowLastColumn="0"/>
              <w:rPr>
                <w:rFonts w:cstheme="minorHAnsi"/>
                <w:sz w:val="14"/>
                <w:szCs w:val="10"/>
              </w:rPr>
            </w:pPr>
            <w:r w:rsidRPr="00F46944">
              <w:rPr>
                <w:rFonts w:cstheme="minorHAnsi"/>
                <w:sz w:val="14"/>
                <w:szCs w:val="10"/>
              </w:rPr>
              <w:t>377</w:t>
            </w:r>
          </w:p>
        </w:tc>
        <w:tc>
          <w:tcPr>
            <w:tcW w:w="925" w:type="dxa"/>
            <w:shd w:val="clear" w:color="auto" w:fill="F8DDD3" w:themeFill="accent5" w:themeFillTint="33"/>
          </w:tcPr>
          <w:p w14:paraId="6F0D3CDE" w14:textId="77A67DFE" w:rsidR="00B56E31" w:rsidRPr="00F46944" w:rsidRDefault="00B56E31" w:rsidP="00B56E31">
            <w:pPr>
              <w:spacing w:after="0"/>
              <w:cnfStyle w:val="000000100000" w:firstRow="0" w:lastRow="0" w:firstColumn="0" w:lastColumn="0" w:oddVBand="0" w:evenVBand="0" w:oddHBand="1" w:evenHBand="0" w:firstRowFirstColumn="0" w:firstRowLastColumn="0" w:lastRowFirstColumn="0" w:lastRowLastColumn="0"/>
              <w:rPr>
                <w:rFonts w:cstheme="minorHAnsi"/>
                <w:sz w:val="14"/>
                <w:szCs w:val="10"/>
              </w:rPr>
            </w:pPr>
            <w:r w:rsidRPr="00F46944">
              <w:rPr>
                <w:rFonts w:cstheme="minorHAnsi"/>
                <w:sz w:val="14"/>
                <w:szCs w:val="10"/>
              </w:rPr>
              <w:t>Brighton</w:t>
            </w:r>
          </w:p>
        </w:tc>
        <w:tc>
          <w:tcPr>
            <w:tcW w:w="528" w:type="dxa"/>
            <w:shd w:val="clear" w:color="auto" w:fill="F8DDD3" w:themeFill="accent5" w:themeFillTint="33"/>
          </w:tcPr>
          <w:p w14:paraId="69E50E00" w14:textId="493C74E8" w:rsidR="00B56E31" w:rsidRPr="00F46944" w:rsidRDefault="00B56E31" w:rsidP="00B56E31">
            <w:pPr>
              <w:cnfStyle w:val="000000100000" w:firstRow="0" w:lastRow="0" w:firstColumn="0" w:lastColumn="0" w:oddVBand="0" w:evenVBand="0" w:oddHBand="1" w:evenHBand="0" w:firstRowFirstColumn="0" w:firstRowLastColumn="0" w:lastRowFirstColumn="0" w:lastRowLastColumn="0"/>
              <w:rPr>
                <w:rFonts w:cstheme="minorHAnsi"/>
                <w:sz w:val="14"/>
                <w:szCs w:val="10"/>
              </w:rPr>
            </w:pPr>
            <w:r w:rsidRPr="00F46944">
              <w:rPr>
                <w:rFonts w:cstheme="minorHAnsi"/>
                <w:sz w:val="14"/>
                <w:szCs w:val="10"/>
              </w:rPr>
              <w:t>1141</w:t>
            </w:r>
          </w:p>
        </w:tc>
      </w:tr>
      <w:tr w:rsidR="00B56E31" w:rsidRPr="00F46944" w14:paraId="2A6F7BC2" w14:textId="77777777" w:rsidTr="00147072">
        <w:trPr>
          <w:trHeight w:val="651"/>
          <w:jc w:val="center"/>
        </w:trPr>
        <w:tc>
          <w:tcPr>
            <w:cnfStyle w:val="001000000000" w:firstRow="0" w:lastRow="0" w:firstColumn="1" w:lastColumn="0" w:oddVBand="0" w:evenVBand="0" w:oddHBand="0" w:evenHBand="0" w:firstRowFirstColumn="0" w:firstRowLastColumn="0" w:lastRowFirstColumn="0" w:lastRowLastColumn="0"/>
            <w:tcW w:w="830" w:type="dxa"/>
            <w:shd w:val="clear" w:color="auto" w:fill="F1BBA8" w:themeFill="accent5" w:themeFillTint="66"/>
          </w:tcPr>
          <w:p w14:paraId="413B5921" w14:textId="7628E92E" w:rsidR="00B56E31" w:rsidRPr="00F46944" w:rsidRDefault="00B56E31" w:rsidP="00B56E31">
            <w:pPr>
              <w:rPr>
                <w:rFonts w:cstheme="minorHAnsi"/>
                <w:sz w:val="14"/>
                <w:szCs w:val="10"/>
              </w:rPr>
            </w:pPr>
            <w:r w:rsidRPr="00F46944">
              <w:rPr>
                <w:rFonts w:cstheme="minorHAnsi"/>
                <w:sz w:val="14"/>
                <w:szCs w:val="10"/>
              </w:rPr>
              <w:t>NT</w:t>
            </w:r>
          </w:p>
        </w:tc>
        <w:tc>
          <w:tcPr>
            <w:tcW w:w="987" w:type="dxa"/>
          </w:tcPr>
          <w:p w14:paraId="1CD70CD3" w14:textId="74D222EC" w:rsidR="00B56E31" w:rsidRPr="00F46944" w:rsidRDefault="00B56E31" w:rsidP="00B56E31">
            <w:pPr>
              <w:cnfStyle w:val="000000000000" w:firstRow="0" w:lastRow="0" w:firstColumn="0" w:lastColumn="0" w:oddVBand="0" w:evenVBand="0" w:oddHBand="0" w:evenHBand="0" w:firstRowFirstColumn="0" w:firstRowLastColumn="0" w:lastRowFirstColumn="0" w:lastRowLastColumn="0"/>
              <w:rPr>
                <w:rFonts w:cstheme="minorHAnsi"/>
                <w:sz w:val="14"/>
                <w:szCs w:val="10"/>
              </w:rPr>
            </w:pPr>
            <w:r w:rsidRPr="00F46944">
              <w:rPr>
                <w:rFonts w:cstheme="minorHAnsi"/>
                <w:sz w:val="14"/>
                <w:szCs w:val="10"/>
              </w:rPr>
              <w:t>East Arnhem</w:t>
            </w:r>
          </w:p>
        </w:tc>
        <w:tc>
          <w:tcPr>
            <w:tcW w:w="512" w:type="dxa"/>
          </w:tcPr>
          <w:p w14:paraId="0113B939" w14:textId="3B562274" w:rsidR="00B56E31" w:rsidRPr="00F46944" w:rsidRDefault="00B56E31" w:rsidP="00B56E31">
            <w:pPr>
              <w:cnfStyle w:val="000000000000" w:firstRow="0" w:lastRow="0" w:firstColumn="0" w:lastColumn="0" w:oddVBand="0" w:evenVBand="0" w:oddHBand="0" w:evenHBand="0" w:firstRowFirstColumn="0" w:firstRowLastColumn="0" w:lastRowFirstColumn="0" w:lastRowLastColumn="0"/>
              <w:rPr>
                <w:rFonts w:cstheme="minorHAnsi"/>
                <w:sz w:val="14"/>
                <w:szCs w:val="10"/>
              </w:rPr>
            </w:pPr>
            <w:r w:rsidRPr="00F46944">
              <w:rPr>
                <w:rFonts w:cstheme="minorHAnsi"/>
                <w:sz w:val="14"/>
                <w:szCs w:val="10"/>
              </w:rPr>
              <w:t>40</w:t>
            </w:r>
          </w:p>
        </w:tc>
        <w:tc>
          <w:tcPr>
            <w:tcW w:w="847" w:type="dxa"/>
            <w:shd w:val="clear" w:color="auto" w:fill="F8DDD3" w:themeFill="accent5" w:themeFillTint="33"/>
          </w:tcPr>
          <w:p w14:paraId="5F601548" w14:textId="77777777" w:rsidR="00B56E31" w:rsidRPr="00F46944" w:rsidRDefault="00B56E31" w:rsidP="00B56E31">
            <w:pPr>
              <w:spacing w:after="0"/>
              <w:cnfStyle w:val="000000000000" w:firstRow="0" w:lastRow="0" w:firstColumn="0" w:lastColumn="0" w:oddVBand="0" w:evenVBand="0" w:oddHBand="0" w:evenHBand="0" w:firstRowFirstColumn="0" w:firstRowLastColumn="0" w:lastRowFirstColumn="0" w:lastRowLastColumn="0"/>
              <w:rPr>
                <w:rFonts w:cstheme="minorHAnsi"/>
                <w:sz w:val="14"/>
                <w:szCs w:val="10"/>
              </w:rPr>
            </w:pPr>
            <w:r w:rsidRPr="00F46944">
              <w:rPr>
                <w:rFonts w:cstheme="minorHAnsi"/>
                <w:sz w:val="14"/>
                <w:szCs w:val="10"/>
              </w:rPr>
              <w:t>Darwin Suburbs</w:t>
            </w:r>
          </w:p>
          <w:p w14:paraId="6CB56684" w14:textId="77777777" w:rsidR="00B56E31" w:rsidRPr="00F46944" w:rsidRDefault="00B56E31" w:rsidP="00B56E31">
            <w:pPr>
              <w:cnfStyle w:val="000000000000" w:firstRow="0" w:lastRow="0" w:firstColumn="0" w:lastColumn="0" w:oddVBand="0" w:evenVBand="0" w:oddHBand="0" w:evenHBand="0" w:firstRowFirstColumn="0" w:firstRowLastColumn="0" w:lastRowFirstColumn="0" w:lastRowLastColumn="0"/>
              <w:rPr>
                <w:rFonts w:cstheme="minorHAnsi"/>
                <w:sz w:val="14"/>
                <w:szCs w:val="10"/>
              </w:rPr>
            </w:pPr>
          </w:p>
        </w:tc>
        <w:tc>
          <w:tcPr>
            <w:tcW w:w="528" w:type="dxa"/>
            <w:shd w:val="clear" w:color="auto" w:fill="F8DDD3" w:themeFill="accent5" w:themeFillTint="33"/>
          </w:tcPr>
          <w:p w14:paraId="062AD99B" w14:textId="27D60B0E" w:rsidR="00B56E31" w:rsidRPr="00F46944" w:rsidRDefault="00B56E31" w:rsidP="00B56E31">
            <w:pPr>
              <w:cnfStyle w:val="000000000000" w:firstRow="0" w:lastRow="0" w:firstColumn="0" w:lastColumn="0" w:oddVBand="0" w:evenVBand="0" w:oddHBand="0" w:evenHBand="0" w:firstRowFirstColumn="0" w:firstRowLastColumn="0" w:lastRowFirstColumn="0" w:lastRowLastColumn="0"/>
              <w:rPr>
                <w:rFonts w:cstheme="minorHAnsi"/>
                <w:sz w:val="14"/>
                <w:szCs w:val="10"/>
              </w:rPr>
            </w:pPr>
            <w:r w:rsidRPr="00F46944">
              <w:rPr>
                <w:rFonts w:cstheme="minorHAnsi"/>
                <w:sz w:val="14"/>
                <w:szCs w:val="10"/>
              </w:rPr>
              <w:t>801</w:t>
            </w:r>
          </w:p>
        </w:tc>
        <w:tc>
          <w:tcPr>
            <w:tcW w:w="987" w:type="dxa"/>
          </w:tcPr>
          <w:p w14:paraId="34EAD3DE" w14:textId="212E8386" w:rsidR="00B56E31" w:rsidRPr="00F46944" w:rsidRDefault="00B56E31" w:rsidP="00B56E31">
            <w:pPr>
              <w:cnfStyle w:val="000000000000" w:firstRow="0" w:lastRow="0" w:firstColumn="0" w:lastColumn="0" w:oddVBand="0" w:evenVBand="0" w:oddHBand="0" w:evenHBand="0" w:firstRowFirstColumn="0" w:firstRowLastColumn="0" w:lastRowFirstColumn="0" w:lastRowLastColumn="0"/>
              <w:rPr>
                <w:rFonts w:cstheme="minorHAnsi"/>
                <w:sz w:val="14"/>
                <w:szCs w:val="10"/>
              </w:rPr>
            </w:pPr>
            <w:r w:rsidRPr="00F46944">
              <w:rPr>
                <w:rFonts w:cstheme="minorHAnsi"/>
                <w:sz w:val="14"/>
                <w:szCs w:val="10"/>
              </w:rPr>
              <w:t>East Arnhem</w:t>
            </w:r>
          </w:p>
        </w:tc>
        <w:tc>
          <w:tcPr>
            <w:tcW w:w="512" w:type="dxa"/>
          </w:tcPr>
          <w:p w14:paraId="2FCECD35" w14:textId="10786CDF" w:rsidR="00B56E31" w:rsidRPr="00F46944" w:rsidRDefault="00B56E31" w:rsidP="00B56E31">
            <w:pPr>
              <w:cnfStyle w:val="000000000000" w:firstRow="0" w:lastRow="0" w:firstColumn="0" w:lastColumn="0" w:oddVBand="0" w:evenVBand="0" w:oddHBand="0" w:evenHBand="0" w:firstRowFirstColumn="0" w:firstRowLastColumn="0" w:lastRowFirstColumn="0" w:lastRowLastColumn="0"/>
              <w:rPr>
                <w:rFonts w:cstheme="minorHAnsi"/>
                <w:sz w:val="14"/>
                <w:szCs w:val="10"/>
              </w:rPr>
            </w:pPr>
            <w:r w:rsidRPr="00F46944">
              <w:rPr>
                <w:rFonts w:cstheme="minorHAnsi"/>
                <w:sz w:val="14"/>
                <w:szCs w:val="10"/>
              </w:rPr>
              <w:t>45</w:t>
            </w:r>
          </w:p>
        </w:tc>
        <w:tc>
          <w:tcPr>
            <w:tcW w:w="847" w:type="dxa"/>
            <w:shd w:val="clear" w:color="auto" w:fill="F8DDD3" w:themeFill="accent5" w:themeFillTint="33"/>
          </w:tcPr>
          <w:p w14:paraId="76F55B89" w14:textId="77777777" w:rsidR="00B56E31" w:rsidRPr="00F46944" w:rsidRDefault="00B56E31" w:rsidP="00B56E31">
            <w:pPr>
              <w:spacing w:after="0"/>
              <w:cnfStyle w:val="000000000000" w:firstRow="0" w:lastRow="0" w:firstColumn="0" w:lastColumn="0" w:oddVBand="0" w:evenVBand="0" w:oddHBand="0" w:evenHBand="0" w:firstRowFirstColumn="0" w:firstRowLastColumn="0" w:lastRowFirstColumn="0" w:lastRowLastColumn="0"/>
              <w:rPr>
                <w:rFonts w:cstheme="minorHAnsi"/>
                <w:sz w:val="14"/>
                <w:szCs w:val="10"/>
              </w:rPr>
            </w:pPr>
            <w:r w:rsidRPr="00F46944">
              <w:rPr>
                <w:rFonts w:cstheme="minorHAnsi"/>
                <w:sz w:val="14"/>
                <w:szCs w:val="10"/>
              </w:rPr>
              <w:t>Darwin Suburbs</w:t>
            </w:r>
          </w:p>
          <w:p w14:paraId="2BA330C3" w14:textId="77777777" w:rsidR="00B56E31" w:rsidRPr="00F46944" w:rsidRDefault="00B56E31" w:rsidP="00B56E31">
            <w:pPr>
              <w:cnfStyle w:val="000000000000" w:firstRow="0" w:lastRow="0" w:firstColumn="0" w:lastColumn="0" w:oddVBand="0" w:evenVBand="0" w:oddHBand="0" w:evenHBand="0" w:firstRowFirstColumn="0" w:firstRowLastColumn="0" w:lastRowFirstColumn="0" w:lastRowLastColumn="0"/>
              <w:rPr>
                <w:rFonts w:cstheme="minorHAnsi"/>
                <w:sz w:val="14"/>
                <w:szCs w:val="10"/>
              </w:rPr>
            </w:pPr>
          </w:p>
        </w:tc>
        <w:tc>
          <w:tcPr>
            <w:tcW w:w="528" w:type="dxa"/>
            <w:shd w:val="clear" w:color="auto" w:fill="F8DDD3" w:themeFill="accent5" w:themeFillTint="33"/>
          </w:tcPr>
          <w:p w14:paraId="2E927FC2" w14:textId="3DC57D46" w:rsidR="00B56E31" w:rsidRPr="00F46944" w:rsidRDefault="00B56E31" w:rsidP="00B56E31">
            <w:pPr>
              <w:cnfStyle w:val="000000000000" w:firstRow="0" w:lastRow="0" w:firstColumn="0" w:lastColumn="0" w:oddVBand="0" w:evenVBand="0" w:oddHBand="0" w:evenHBand="0" w:firstRowFirstColumn="0" w:firstRowLastColumn="0" w:lastRowFirstColumn="0" w:lastRowLastColumn="0"/>
              <w:rPr>
                <w:rFonts w:cstheme="minorHAnsi"/>
                <w:sz w:val="14"/>
                <w:szCs w:val="10"/>
              </w:rPr>
            </w:pPr>
            <w:r w:rsidRPr="00F46944">
              <w:rPr>
                <w:rFonts w:cstheme="minorHAnsi"/>
                <w:sz w:val="14"/>
                <w:szCs w:val="10"/>
              </w:rPr>
              <w:t>681</w:t>
            </w:r>
          </w:p>
        </w:tc>
        <w:tc>
          <w:tcPr>
            <w:tcW w:w="987" w:type="dxa"/>
          </w:tcPr>
          <w:p w14:paraId="2E31CA51" w14:textId="5C63AC7C" w:rsidR="00B56E31" w:rsidRPr="00F46944" w:rsidRDefault="00B56E31" w:rsidP="00B56E31">
            <w:pPr>
              <w:cnfStyle w:val="000000000000" w:firstRow="0" w:lastRow="0" w:firstColumn="0" w:lastColumn="0" w:oddVBand="0" w:evenVBand="0" w:oddHBand="0" w:evenHBand="0" w:firstRowFirstColumn="0" w:firstRowLastColumn="0" w:lastRowFirstColumn="0" w:lastRowLastColumn="0"/>
              <w:rPr>
                <w:rFonts w:cstheme="minorHAnsi"/>
                <w:sz w:val="14"/>
                <w:szCs w:val="10"/>
              </w:rPr>
            </w:pPr>
            <w:r w:rsidRPr="00F46944">
              <w:rPr>
                <w:rFonts w:cstheme="minorHAnsi"/>
                <w:sz w:val="14"/>
                <w:szCs w:val="10"/>
              </w:rPr>
              <w:t>East Arnhem</w:t>
            </w:r>
          </w:p>
        </w:tc>
        <w:tc>
          <w:tcPr>
            <w:tcW w:w="512" w:type="dxa"/>
          </w:tcPr>
          <w:p w14:paraId="2B08DBBA" w14:textId="76DD0AE1" w:rsidR="00B56E31" w:rsidRPr="00F46944" w:rsidRDefault="00B56E31" w:rsidP="00B56E31">
            <w:pPr>
              <w:cnfStyle w:val="000000000000" w:firstRow="0" w:lastRow="0" w:firstColumn="0" w:lastColumn="0" w:oddVBand="0" w:evenVBand="0" w:oddHBand="0" w:evenHBand="0" w:firstRowFirstColumn="0" w:firstRowLastColumn="0" w:lastRowFirstColumn="0" w:lastRowLastColumn="0"/>
              <w:rPr>
                <w:rFonts w:cstheme="minorHAnsi"/>
                <w:sz w:val="14"/>
                <w:szCs w:val="10"/>
              </w:rPr>
            </w:pPr>
            <w:r w:rsidRPr="00F46944">
              <w:rPr>
                <w:rFonts w:cstheme="minorHAnsi"/>
                <w:sz w:val="14"/>
                <w:szCs w:val="10"/>
              </w:rPr>
              <w:t>31</w:t>
            </w:r>
          </w:p>
        </w:tc>
        <w:tc>
          <w:tcPr>
            <w:tcW w:w="925" w:type="dxa"/>
            <w:shd w:val="clear" w:color="auto" w:fill="F8DDD3" w:themeFill="accent5" w:themeFillTint="33"/>
          </w:tcPr>
          <w:p w14:paraId="18F740EB" w14:textId="77777777" w:rsidR="00B56E31" w:rsidRPr="00F46944" w:rsidRDefault="00B56E31" w:rsidP="00B56E31">
            <w:pPr>
              <w:spacing w:after="0"/>
              <w:cnfStyle w:val="000000000000" w:firstRow="0" w:lastRow="0" w:firstColumn="0" w:lastColumn="0" w:oddVBand="0" w:evenVBand="0" w:oddHBand="0" w:evenHBand="0" w:firstRowFirstColumn="0" w:firstRowLastColumn="0" w:lastRowFirstColumn="0" w:lastRowLastColumn="0"/>
              <w:rPr>
                <w:rFonts w:cstheme="minorHAnsi"/>
                <w:sz w:val="14"/>
                <w:szCs w:val="10"/>
              </w:rPr>
            </w:pPr>
            <w:r w:rsidRPr="00F46944">
              <w:rPr>
                <w:rFonts w:cstheme="minorHAnsi"/>
                <w:sz w:val="14"/>
                <w:szCs w:val="10"/>
              </w:rPr>
              <w:t>Palmerston</w:t>
            </w:r>
          </w:p>
          <w:p w14:paraId="4DC64DD4" w14:textId="77777777" w:rsidR="00B56E31" w:rsidRPr="00F46944" w:rsidRDefault="00B56E31" w:rsidP="00B56E31">
            <w:pPr>
              <w:cnfStyle w:val="000000000000" w:firstRow="0" w:lastRow="0" w:firstColumn="0" w:lastColumn="0" w:oddVBand="0" w:evenVBand="0" w:oddHBand="0" w:evenHBand="0" w:firstRowFirstColumn="0" w:firstRowLastColumn="0" w:lastRowFirstColumn="0" w:lastRowLastColumn="0"/>
              <w:rPr>
                <w:rFonts w:cstheme="minorHAnsi"/>
                <w:sz w:val="14"/>
                <w:szCs w:val="10"/>
              </w:rPr>
            </w:pPr>
          </w:p>
        </w:tc>
        <w:tc>
          <w:tcPr>
            <w:tcW w:w="528" w:type="dxa"/>
            <w:shd w:val="clear" w:color="auto" w:fill="F8DDD3" w:themeFill="accent5" w:themeFillTint="33"/>
          </w:tcPr>
          <w:p w14:paraId="453C03ED" w14:textId="60822F7E" w:rsidR="00B56E31" w:rsidRPr="00F46944" w:rsidRDefault="00B56E31" w:rsidP="00B56E31">
            <w:pPr>
              <w:cnfStyle w:val="000000000000" w:firstRow="0" w:lastRow="0" w:firstColumn="0" w:lastColumn="0" w:oddVBand="0" w:evenVBand="0" w:oddHBand="0" w:evenHBand="0" w:firstRowFirstColumn="0" w:firstRowLastColumn="0" w:lastRowFirstColumn="0" w:lastRowLastColumn="0"/>
              <w:rPr>
                <w:rFonts w:cstheme="minorHAnsi"/>
                <w:sz w:val="14"/>
                <w:szCs w:val="10"/>
              </w:rPr>
            </w:pPr>
            <w:r w:rsidRPr="00F46944">
              <w:rPr>
                <w:rFonts w:cstheme="minorHAnsi"/>
                <w:sz w:val="14"/>
                <w:szCs w:val="10"/>
              </w:rPr>
              <w:t>647</w:t>
            </w:r>
          </w:p>
        </w:tc>
      </w:tr>
      <w:tr w:rsidR="00B56E31" w:rsidRPr="00F46944" w14:paraId="085EAAAE" w14:textId="77777777" w:rsidTr="00147072">
        <w:trPr>
          <w:cnfStyle w:val="000000100000" w:firstRow="0" w:lastRow="0" w:firstColumn="0" w:lastColumn="0" w:oddVBand="0" w:evenVBand="0" w:oddHBand="1" w:evenHBand="0" w:firstRowFirstColumn="0" w:firstRowLastColumn="0" w:lastRowFirstColumn="0" w:lastRowLastColumn="0"/>
          <w:trHeight w:val="651"/>
          <w:jc w:val="center"/>
        </w:trPr>
        <w:tc>
          <w:tcPr>
            <w:cnfStyle w:val="001000000000" w:firstRow="0" w:lastRow="0" w:firstColumn="1" w:lastColumn="0" w:oddVBand="0" w:evenVBand="0" w:oddHBand="0" w:evenHBand="0" w:firstRowFirstColumn="0" w:firstRowLastColumn="0" w:lastRowFirstColumn="0" w:lastRowLastColumn="0"/>
            <w:tcW w:w="830" w:type="dxa"/>
            <w:shd w:val="clear" w:color="auto" w:fill="F1BBA8" w:themeFill="accent5" w:themeFillTint="66"/>
          </w:tcPr>
          <w:p w14:paraId="28359442" w14:textId="4CD767DE" w:rsidR="00B56E31" w:rsidRPr="00F46944" w:rsidRDefault="00B56E31" w:rsidP="00B56E31">
            <w:pPr>
              <w:rPr>
                <w:rFonts w:cstheme="minorHAnsi"/>
                <w:sz w:val="14"/>
                <w:szCs w:val="10"/>
              </w:rPr>
            </w:pPr>
            <w:r w:rsidRPr="00F46944">
              <w:rPr>
                <w:rFonts w:cstheme="minorHAnsi"/>
                <w:sz w:val="14"/>
                <w:szCs w:val="10"/>
              </w:rPr>
              <w:t>ACT</w:t>
            </w:r>
          </w:p>
        </w:tc>
        <w:tc>
          <w:tcPr>
            <w:tcW w:w="987" w:type="dxa"/>
          </w:tcPr>
          <w:p w14:paraId="7EB88EA7" w14:textId="77777777" w:rsidR="00B56E31" w:rsidRPr="00F46944" w:rsidRDefault="00B56E31" w:rsidP="00B56E31">
            <w:pPr>
              <w:spacing w:after="0"/>
              <w:cnfStyle w:val="000000100000" w:firstRow="0" w:lastRow="0" w:firstColumn="0" w:lastColumn="0" w:oddVBand="0" w:evenVBand="0" w:oddHBand="1" w:evenHBand="0" w:firstRowFirstColumn="0" w:firstRowLastColumn="0" w:lastRowFirstColumn="0" w:lastRowLastColumn="0"/>
              <w:rPr>
                <w:rFonts w:cstheme="minorHAnsi"/>
                <w:sz w:val="14"/>
                <w:szCs w:val="10"/>
              </w:rPr>
            </w:pPr>
            <w:r w:rsidRPr="00F46944">
              <w:rPr>
                <w:rFonts w:cstheme="minorHAnsi"/>
                <w:sz w:val="14"/>
                <w:szCs w:val="10"/>
              </w:rPr>
              <w:t>North Canberra</w:t>
            </w:r>
          </w:p>
          <w:p w14:paraId="2A857288" w14:textId="77777777" w:rsidR="00B56E31" w:rsidRPr="00F46944" w:rsidRDefault="00B56E31" w:rsidP="00B56E31">
            <w:pPr>
              <w:cnfStyle w:val="000000100000" w:firstRow="0" w:lastRow="0" w:firstColumn="0" w:lastColumn="0" w:oddVBand="0" w:evenVBand="0" w:oddHBand="1" w:evenHBand="0" w:firstRowFirstColumn="0" w:firstRowLastColumn="0" w:lastRowFirstColumn="0" w:lastRowLastColumn="0"/>
              <w:rPr>
                <w:rFonts w:cstheme="minorHAnsi"/>
                <w:sz w:val="14"/>
                <w:szCs w:val="10"/>
              </w:rPr>
            </w:pPr>
          </w:p>
        </w:tc>
        <w:tc>
          <w:tcPr>
            <w:tcW w:w="512" w:type="dxa"/>
          </w:tcPr>
          <w:p w14:paraId="5C879AFB" w14:textId="0945A92A" w:rsidR="00B56E31" w:rsidRPr="00F46944" w:rsidRDefault="00B56E31" w:rsidP="00B56E31">
            <w:pPr>
              <w:cnfStyle w:val="000000100000" w:firstRow="0" w:lastRow="0" w:firstColumn="0" w:lastColumn="0" w:oddVBand="0" w:evenVBand="0" w:oddHBand="1" w:evenHBand="0" w:firstRowFirstColumn="0" w:firstRowLastColumn="0" w:lastRowFirstColumn="0" w:lastRowLastColumn="0"/>
              <w:rPr>
                <w:rFonts w:cstheme="minorHAnsi"/>
                <w:sz w:val="14"/>
                <w:szCs w:val="10"/>
              </w:rPr>
            </w:pPr>
            <w:r w:rsidRPr="00F46944">
              <w:rPr>
                <w:rFonts w:cstheme="minorHAnsi"/>
                <w:sz w:val="14"/>
                <w:szCs w:val="10"/>
              </w:rPr>
              <w:t>720</w:t>
            </w:r>
          </w:p>
        </w:tc>
        <w:tc>
          <w:tcPr>
            <w:tcW w:w="847" w:type="dxa"/>
            <w:shd w:val="clear" w:color="auto" w:fill="F8DDD3" w:themeFill="accent5" w:themeFillTint="33"/>
          </w:tcPr>
          <w:p w14:paraId="59516546" w14:textId="5077538C" w:rsidR="00B56E31" w:rsidRPr="00F46944" w:rsidRDefault="00B56E31" w:rsidP="00B56E31">
            <w:pPr>
              <w:spacing w:after="0"/>
              <w:cnfStyle w:val="000000100000" w:firstRow="0" w:lastRow="0" w:firstColumn="0" w:lastColumn="0" w:oddVBand="0" w:evenVBand="0" w:oddHBand="1" w:evenHBand="0" w:firstRowFirstColumn="0" w:firstRowLastColumn="0" w:lastRowFirstColumn="0" w:lastRowLastColumn="0"/>
              <w:rPr>
                <w:rFonts w:cstheme="minorHAnsi"/>
                <w:sz w:val="14"/>
                <w:szCs w:val="10"/>
              </w:rPr>
            </w:pPr>
            <w:r w:rsidRPr="00F46944">
              <w:rPr>
                <w:rFonts w:cstheme="minorHAnsi"/>
                <w:sz w:val="14"/>
                <w:szCs w:val="10"/>
              </w:rPr>
              <w:t>Weston Creek</w:t>
            </w:r>
          </w:p>
        </w:tc>
        <w:tc>
          <w:tcPr>
            <w:tcW w:w="528" w:type="dxa"/>
            <w:shd w:val="clear" w:color="auto" w:fill="F8DDD3" w:themeFill="accent5" w:themeFillTint="33"/>
          </w:tcPr>
          <w:p w14:paraId="22A72352" w14:textId="0CCD10E8" w:rsidR="00B56E31" w:rsidRPr="00F46944" w:rsidRDefault="00B56E31" w:rsidP="00B56E31">
            <w:pPr>
              <w:cnfStyle w:val="000000100000" w:firstRow="0" w:lastRow="0" w:firstColumn="0" w:lastColumn="0" w:oddVBand="0" w:evenVBand="0" w:oddHBand="1" w:evenHBand="0" w:firstRowFirstColumn="0" w:firstRowLastColumn="0" w:lastRowFirstColumn="0" w:lastRowLastColumn="0"/>
              <w:rPr>
                <w:rFonts w:cstheme="minorHAnsi"/>
                <w:sz w:val="14"/>
                <w:szCs w:val="10"/>
              </w:rPr>
            </w:pPr>
            <w:r w:rsidRPr="00F46944">
              <w:rPr>
                <w:rFonts w:cstheme="minorHAnsi"/>
                <w:sz w:val="14"/>
                <w:szCs w:val="10"/>
              </w:rPr>
              <w:t>1133</w:t>
            </w:r>
          </w:p>
        </w:tc>
        <w:tc>
          <w:tcPr>
            <w:tcW w:w="987" w:type="dxa"/>
          </w:tcPr>
          <w:p w14:paraId="320E4F1A" w14:textId="77777777" w:rsidR="00B56E31" w:rsidRPr="00F46944" w:rsidRDefault="00B56E31" w:rsidP="00B56E31">
            <w:pPr>
              <w:spacing w:after="0"/>
              <w:cnfStyle w:val="000000100000" w:firstRow="0" w:lastRow="0" w:firstColumn="0" w:lastColumn="0" w:oddVBand="0" w:evenVBand="0" w:oddHBand="1" w:evenHBand="0" w:firstRowFirstColumn="0" w:firstRowLastColumn="0" w:lastRowFirstColumn="0" w:lastRowLastColumn="0"/>
              <w:rPr>
                <w:rFonts w:cstheme="minorHAnsi"/>
                <w:sz w:val="14"/>
                <w:szCs w:val="10"/>
              </w:rPr>
            </w:pPr>
            <w:r w:rsidRPr="00F46944">
              <w:rPr>
                <w:rFonts w:cstheme="minorHAnsi"/>
                <w:sz w:val="14"/>
                <w:szCs w:val="10"/>
              </w:rPr>
              <w:t>North Canberra</w:t>
            </w:r>
          </w:p>
          <w:p w14:paraId="0102C20E" w14:textId="77777777" w:rsidR="00B56E31" w:rsidRPr="00F46944" w:rsidRDefault="00B56E31" w:rsidP="00B56E31">
            <w:pPr>
              <w:cnfStyle w:val="000000100000" w:firstRow="0" w:lastRow="0" w:firstColumn="0" w:lastColumn="0" w:oddVBand="0" w:evenVBand="0" w:oddHBand="1" w:evenHBand="0" w:firstRowFirstColumn="0" w:firstRowLastColumn="0" w:lastRowFirstColumn="0" w:lastRowLastColumn="0"/>
              <w:rPr>
                <w:rFonts w:cstheme="minorHAnsi"/>
                <w:sz w:val="14"/>
                <w:szCs w:val="10"/>
              </w:rPr>
            </w:pPr>
          </w:p>
        </w:tc>
        <w:tc>
          <w:tcPr>
            <w:tcW w:w="512" w:type="dxa"/>
          </w:tcPr>
          <w:p w14:paraId="61DB4E94" w14:textId="69FD6279" w:rsidR="00B56E31" w:rsidRPr="00F46944" w:rsidRDefault="00B56E31" w:rsidP="00B56E31">
            <w:pPr>
              <w:cnfStyle w:val="000000100000" w:firstRow="0" w:lastRow="0" w:firstColumn="0" w:lastColumn="0" w:oddVBand="0" w:evenVBand="0" w:oddHBand="1" w:evenHBand="0" w:firstRowFirstColumn="0" w:firstRowLastColumn="0" w:lastRowFirstColumn="0" w:lastRowLastColumn="0"/>
              <w:rPr>
                <w:rFonts w:cstheme="minorHAnsi"/>
                <w:sz w:val="14"/>
                <w:szCs w:val="10"/>
              </w:rPr>
            </w:pPr>
            <w:r w:rsidRPr="00F46944">
              <w:rPr>
                <w:rFonts w:cstheme="minorHAnsi"/>
                <w:sz w:val="14"/>
                <w:szCs w:val="10"/>
              </w:rPr>
              <w:t>547</w:t>
            </w:r>
          </w:p>
        </w:tc>
        <w:tc>
          <w:tcPr>
            <w:tcW w:w="847" w:type="dxa"/>
            <w:shd w:val="clear" w:color="auto" w:fill="F8DDD3" w:themeFill="accent5" w:themeFillTint="33"/>
          </w:tcPr>
          <w:p w14:paraId="35626626" w14:textId="38B7A77B" w:rsidR="00B56E31" w:rsidRPr="00F46944" w:rsidRDefault="00B56E31" w:rsidP="00B56E31">
            <w:pPr>
              <w:spacing w:after="0"/>
              <w:cnfStyle w:val="000000100000" w:firstRow="0" w:lastRow="0" w:firstColumn="0" w:lastColumn="0" w:oddVBand="0" w:evenVBand="0" w:oddHBand="1" w:evenHBand="0" w:firstRowFirstColumn="0" w:firstRowLastColumn="0" w:lastRowFirstColumn="0" w:lastRowLastColumn="0"/>
              <w:rPr>
                <w:rFonts w:cstheme="minorHAnsi"/>
                <w:sz w:val="14"/>
                <w:szCs w:val="10"/>
              </w:rPr>
            </w:pPr>
            <w:r w:rsidRPr="00F46944">
              <w:rPr>
                <w:rFonts w:cstheme="minorHAnsi"/>
                <w:sz w:val="14"/>
                <w:szCs w:val="10"/>
              </w:rPr>
              <w:t>Weston Creek</w:t>
            </w:r>
          </w:p>
        </w:tc>
        <w:tc>
          <w:tcPr>
            <w:tcW w:w="528" w:type="dxa"/>
            <w:shd w:val="clear" w:color="auto" w:fill="F8DDD3" w:themeFill="accent5" w:themeFillTint="33"/>
          </w:tcPr>
          <w:p w14:paraId="1AF591B4" w14:textId="78A0E642" w:rsidR="00B56E31" w:rsidRPr="00F46944" w:rsidRDefault="00B56E31" w:rsidP="00B56E31">
            <w:pPr>
              <w:cnfStyle w:val="000000100000" w:firstRow="0" w:lastRow="0" w:firstColumn="0" w:lastColumn="0" w:oddVBand="0" w:evenVBand="0" w:oddHBand="1" w:evenHBand="0" w:firstRowFirstColumn="0" w:firstRowLastColumn="0" w:lastRowFirstColumn="0" w:lastRowLastColumn="0"/>
              <w:rPr>
                <w:rFonts w:cstheme="minorHAnsi"/>
                <w:sz w:val="14"/>
                <w:szCs w:val="10"/>
              </w:rPr>
            </w:pPr>
            <w:r w:rsidRPr="00F46944">
              <w:rPr>
                <w:rFonts w:cstheme="minorHAnsi"/>
                <w:sz w:val="14"/>
                <w:szCs w:val="10"/>
              </w:rPr>
              <w:t>880</w:t>
            </w:r>
          </w:p>
        </w:tc>
        <w:tc>
          <w:tcPr>
            <w:tcW w:w="987" w:type="dxa"/>
          </w:tcPr>
          <w:p w14:paraId="4FAE643E" w14:textId="77777777" w:rsidR="00B56E31" w:rsidRPr="00F46944" w:rsidRDefault="00B56E31" w:rsidP="00B56E31">
            <w:pPr>
              <w:spacing w:after="0"/>
              <w:cnfStyle w:val="000000100000" w:firstRow="0" w:lastRow="0" w:firstColumn="0" w:lastColumn="0" w:oddVBand="0" w:evenVBand="0" w:oddHBand="1" w:evenHBand="0" w:firstRowFirstColumn="0" w:firstRowLastColumn="0" w:lastRowFirstColumn="0" w:lastRowLastColumn="0"/>
              <w:rPr>
                <w:rFonts w:cstheme="minorHAnsi"/>
                <w:sz w:val="14"/>
                <w:szCs w:val="10"/>
              </w:rPr>
            </w:pPr>
            <w:r w:rsidRPr="00F46944">
              <w:rPr>
                <w:rFonts w:cstheme="minorHAnsi"/>
                <w:sz w:val="14"/>
                <w:szCs w:val="10"/>
              </w:rPr>
              <w:t>North Canberra</w:t>
            </w:r>
          </w:p>
          <w:p w14:paraId="59E36E52" w14:textId="77777777" w:rsidR="00B56E31" w:rsidRPr="00F46944" w:rsidRDefault="00B56E31" w:rsidP="00B56E31">
            <w:pPr>
              <w:cnfStyle w:val="000000100000" w:firstRow="0" w:lastRow="0" w:firstColumn="0" w:lastColumn="0" w:oddVBand="0" w:evenVBand="0" w:oddHBand="1" w:evenHBand="0" w:firstRowFirstColumn="0" w:firstRowLastColumn="0" w:lastRowFirstColumn="0" w:lastRowLastColumn="0"/>
              <w:rPr>
                <w:rFonts w:cstheme="minorHAnsi"/>
                <w:sz w:val="14"/>
                <w:szCs w:val="10"/>
              </w:rPr>
            </w:pPr>
          </w:p>
        </w:tc>
        <w:tc>
          <w:tcPr>
            <w:tcW w:w="512" w:type="dxa"/>
          </w:tcPr>
          <w:p w14:paraId="050C2805" w14:textId="70487882" w:rsidR="00B56E31" w:rsidRPr="00F46944" w:rsidRDefault="00B56E31" w:rsidP="00B56E31">
            <w:pPr>
              <w:cnfStyle w:val="000000100000" w:firstRow="0" w:lastRow="0" w:firstColumn="0" w:lastColumn="0" w:oddVBand="0" w:evenVBand="0" w:oddHBand="1" w:evenHBand="0" w:firstRowFirstColumn="0" w:firstRowLastColumn="0" w:lastRowFirstColumn="0" w:lastRowLastColumn="0"/>
              <w:rPr>
                <w:rFonts w:cstheme="minorHAnsi"/>
                <w:sz w:val="14"/>
                <w:szCs w:val="10"/>
              </w:rPr>
            </w:pPr>
            <w:r w:rsidRPr="00F46944">
              <w:rPr>
                <w:rFonts w:cstheme="minorHAnsi"/>
                <w:sz w:val="14"/>
                <w:szCs w:val="10"/>
              </w:rPr>
              <w:t>521</w:t>
            </w:r>
          </w:p>
        </w:tc>
        <w:tc>
          <w:tcPr>
            <w:tcW w:w="925" w:type="dxa"/>
            <w:shd w:val="clear" w:color="auto" w:fill="F8DDD3" w:themeFill="accent5" w:themeFillTint="33"/>
          </w:tcPr>
          <w:p w14:paraId="3E67EE54" w14:textId="27441933" w:rsidR="00B56E31" w:rsidRPr="00F46944" w:rsidRDefault="00B56E31" w:rsidP="00B56E31">
            <w:pPr>
              <w:spacing w:after="0"/>
              <w:cnfStyle w:val="000000100000" w:firstRow="0" w:lastRow="0" w:firstColumn="0" w:lastColumn="0" w:oddVBand="0" w:evenVBand="0" w:oddHBand="1" w:evenHBand="0" w:firstRowFirstColumn="0" w:firstRowLastColumn="0" w:lastRowFirstColumn="0" w:lastRowLastColumn="0"/>
              <w:rPr>
                <w:rFonts w:cstheme="minorHAnsi"/>
                <w:sz w:val="14"/>
                <w:szCs w:val="10"/>
              </w:rPr>
            </w:pPr>
            <w:r w:rsidRPr="00F46944">
              <w:rPr>
                <w:rFonts w:cstheme="minorHAnsi"/>
                <w:sz w:val="14"/>
                <w:szCs w:val="10"/>
              </w:rPr>
              <w:t>Weston Creek</w:t>
            </w:r>
          </w:p>
        </w:tc>
        <w:tc>
          <w:tcPr>
            <w:tcW w:w="528" w:type="dxa"/>
            <w:shd w:val="clear" w:color="auto" w:fill="F8DDD3" w:themeFill="accent5" w:themeFillTint="33"/>
          </w:tcPr>
          <w:p w14:paraId="342EF44B" w14:textId="7A878AAC" w:rsidR="00B56E31" w:rsidRPr="00F46944" w:rsidRDefault="00B56E31" w:rsidP="00B56E31">
            <w:pPr>
              <w:cnfStyle w:val="000000100000" w:firstRow="0" w:lastRow="0" w:firstColumn="0" w:lastColumn="0" w:oddVBand="0" w:evenVBand="0" w:oddHBand="1" w:evenHBand="0" w:firstRowFirstColumn="0" w:firstRowLastColumn="0" w:lastRowFirstColumn="0" w:lastRowLastColumn="0"/>
              <w:rPr>
                <w:rFonts w:cstheme="minorHAnsi"/>
                <w:sz w:val="14"/>
                <w:szCs w:val="10"/>
              </w:rPr>
            </w:pPr>
            <w:r w:rsidRPr="00F46944">
              <w:rPr>
                <w:rFonts w:cstheme="minorHAnsi"/>
                <w:sz w:val="14"/>
                <w:szCs w:val="10"/>
              </w:rPr>
              <w:t>918</w:t>
            </w:r>
          </w:p>
        </w:tc>
      </w:tr>
    </w:tbl>
    <w:p w14:paraId="4B54E9CA" w14:textId="39A6CDFB" w:rsidR="00CD5BE6" w:rsidRPr="00F46944" w:rsidRDefault="00147072" w:rsidP="0076762C">
      <w:pPr>
        <w:tabs>
          <w:tab w:val="left" w:pos="142"/>
        </w:tabs>
        <w:rPr>
          <w:sz w:val="16"/>
          <w:szCs w:val="16"/>
        </w:rPr>
      </w:pPr>
      <w:r w:rsidRPr="00F46944">
        <w:rPr>
          <w:sz w:val="16"/>
          <w:szCs w:val="16"/>
        </w:rPr>
        <w:t>PBS = Pharmaceutical Benefits Scheme; RPBS = Repatriation Pharmaceutical Benefits Scheme</w:t>
      </w:r>
      <w:r w:rsidR="0089371C" w:rsidRPr="00F46944">
        <w:rPr>
          <w:sz w:val="16"/>
          <w:szCs w:val="16"/>
        </w:rPr>
        <w:t>; SA3 = Statistical Area Level 3</w:t>
      </w:r>
      <w:r w:rsidRPr="00F46944">
        <w:rPr>
          <w:sz w:val="16"/>
          <w:szCs w:val="16"/>
        </w:rPr>
        <w:br/>
      </w:r>
      <w:r w:rsidR="002972E3" w:rsidRPr="00F46944">
        <w:rPr>
          <w:sz w:val="16"/>
          <w:szCs w:val="16"/>
        </w:rPr>
        <w:t>*</w:t>
      </w:r>
      <w:r w:rsidR="00112691">
        <w:rPr>
          <w:sz w:val="16"/>
          <w:szCs w:val="16"/>
        </w:rPr>
        <w:tab/>
      </w:r>
      <w:r w:rsidR="002972E3" w:rsidRPr="00F46944">
        <w:rPr>
          <w:sz w:val="16"/>
          <w:szCs w:val="16"/>
        </w:rPr>
        <w:t>All antimicrobials</w:t>
      </w:r>
      <w:r w:rsidR="002972E3" w:rsidRPr="00F46944">
        <w:rPr>
          <w:sz w:val="16"/>
          <w:szCs w:val="16"/>
        </w:rPr>
        <w:br/>
      </w:r>
      <w:r w:rsidR="00080C33" w:rsidRPr="00F46944">
        <w:rPr>
          <w:sz w:val="16"/>
          <w:szCs w:val="16"/>
        </w:rPr>
        <w:t xml:space="preserve">Note: </w:t>
      </w:r>
      <w:r w:rsidR="002A5B86" w:rsidRPr="00F46944">
        <w:rPr>
          <w:rFonts w:cstheme="minorHAnsi"/>
          <w:sz w:val="16"/>
          <w:szCs w:val="16"/>
        </w:rPr>
        <w:t>Rate may be influenced by the availability of other sources of supply of antimicrobials, such as Aboriginal and Torres Strait Islander health services</w:t>
      </w:r>
      <w:r w:rsidR="002972E3" w:rsidRPr="00F46944">
        <w:rPr>
          <w:rFonts w:cstheme="minorHAnsi"/>
          <w:sz w:val="16"/>
          <w:szCs w:val="16"/>
        </w:rPr>
        <w:t>.</w:t>
      </w:r>
      <w:r w:rsidR="00CD5BE6" w:rsidRPr="00F46944">
        <w:rPr>
          <w:sz w:val="16"/>
          <w:szCs w:val="16"/>
        </w:rPr>
        <w:br/>
      </w:r>
      <w:r w:rsidR="00202D52" w:rsidRPr="00F46944">
        <w:rPr>
          <w:rFonts w:cstheme="minorHAnsi"/>
          <w:sz w:val="16"/>
          <w:szCs w:val="16"/>
        </w:rPr>
        <w:t>Source: Gadzhanova, Roughead</w:t>
      </w:r>
      <w:r w:rsidR="00202D52" w:rsidRPr="00F46944">
        <w:rPr>
          <w:rFonts w:cstheme="minorHAnsi"/>
          <w:sz w:val="16"/>
          <w:szCs w:val="16"/>
        </w:rPr>
        <w:fldChar w:fldCharType="begin"/>
      </w:r>
      <w:r w:rsidR="00DB0DCB">
        <w:rPr>
          <w:rFonts w:cstheme="minorHAnsi"/>
          <w:sz w:val="16"/>
          <w:szCs w:val="16"/>
        </w:rPr>
        <w:instrText xml:space="preserve"> ADDIN EN.CITE &lt;EndNote&gt;&lt;Cite&gt;&lt;Author&gt;Gadzhanova&lt;/Author&gt;&lt;RecNum&gt;5&lt;/RecNum&gt;&lt;DisplayText&gt;&lt;style face="superscript"&gt;5&lt;/style&gt;&lt;/DisplayText&gt;&lt;record&gt;&lt;rec-number&gt;5&lt;/rec-number&gt;&lt;foreign-keys&gt;&lt;key app="EN" db-id="es9dr99ws90stoe5x2rp505nazvswdzppxa5" timestamp="1670810539"&gt;5&lt;/key&gt;&lt;/foreign-keys&gt;&lt;ref-type name="Unpublished Work"&gt;34&lt;/ref-type&gt;&lt;contributors&gt;&lt;authors&gt;&lt;author&gt;Gadzhanova, S.&lt;/author&gt;&lt;author&gt;Roughead, E.&lt;/author&gt;&lt;/authors&gt;&lt;/contributors&gt;&lt;titles&gt;&lt;title&gt;Analysis of 2015–2021 PBS data for the National Report on Antimicrobial Use and Resistance (unpublished)&lt;/title&gt;&lt;/titles&gt;&lt;dates&gt;&lt;/dates&gt;&lt;pub-location&gt;Sydney &lt;/pub-location&gt;&lt;publisher&gt;ACSQHC &lt;/publisher&gt;&lt;urls&gt;&lt;/urls&gt;&lt;/record&gt;&lt;/Cite&gt;&lt;/EndNote&gt;</w:instrText>
      </w:r>
      <w:r w:rsidR="00202D52" w:rsidRPr="00F46944">
        <w:rPr>
          <w:rFonts w:cstheme="minorHAnsi"/>
          <w:sz w:val="16"/>
          <w:szCs w:val="16"/>
        </w:rPr>
        <w:fldChar w:fldCharType="separate"/>
      </w:r>
      <w:r w:rsidR="001C0A42" w:rsidRPr="001C0A42">
        <w:rPr>
          <w:rFonts w:cstheme="minorHAnsi"/>
          <w:noProof/>
          <w:sz w:val="16"/>
          <w:szCs w:val="16"/>
          <w:vertAlign w:val="superscript"/>
        </w:rPr>
        <w:t>5</w:t>
      </w:r>
      <w:r w:rsidR="00202D52" w:rsidRPr="00F46944">
        <w:rPr>
          <w:rFonts w:cstheme="minorHAnsi"/>
          <w:sz w:val="16"/>
          <w:szCs w:val="16"/>
        </w:rPr>
        <w:fldChar w:fldCharType="end"/>
      </w:r>
      <w:r w:rsidR="004A639B" w:rsidRPr="00F46944">
        <w:rPr>
          <w:rStyle w:val="CommentReference"/>
          <w:rFonts w:ascii="Times New Roman" w:hAnsi="Times New Roman"/>
          <w:color w:val="000000"/>
        </w:rPr>
        <w:t xml:space="preserve"> </w:t>
      </w:r>
    </w:p>
    <w:p w14:paraId="557225AB" w14:textId="4F38DE7D" w:rsidR="005D32FB" w:rsidRPr="00F46944" w:rsidRDefault="00AE5FA5" w:rsidP="000E6C71">
      <w:r w:rsidRPr="00F46944">
        <w:t>As in previous years</w:t>
      </w:r>
      <w:r w:rsidR="00207228" w:rsidRPr="00F46944">
        <w:rPr>
          <w:rFonts w:asciiTheme="majorHAnsi" w:hAnsiTheme="majorHAnsi" w:cstheme="majorHAnsi"/>
        </w:rPr>
        <w:fldChar w:fldCharType="begin">
          <w:fldData xml:space="preserve">PEVuZE5vdGU+PENpdGU+PEF1dGhvcj5DYXJlPC9BdXRob3I+PFllYXI+MjAxNjwvWWVhcj48UmVj
TnVtPjI8L1JlY051bT48RGlzcGxheVRleHQ+PHN0eWxlIGZhY2U9InN1cGVyc2NyaXB0Ij4xLTQ8
L3N0eWxlPjwvRGlzcGxheVRleHQ+PHJlY29yZD48cmVjLW51bWJlcj4yPC9yZWMtbnVtYmVyPjxm
b3JlaWduLWtleXM+PGtleSBhcHA9IkVOIiBkYi1pZD0iZXM5ZHI5OXdzOTBzdG9lNXgycnA1MDVu
YXp2c3dkenBweGE1IiB0aW1lc3RhbXA9IjE2NzA4MTA1MzgiPjI8L2tleT48L2ZvcmVpZ24ta2V5
cz48cmVmLXR5cGUgbmFtZT0iUmVwb3J0Ij4yNzwvcmVmLXR5cGU+PGNvbnRyaWJ1dG9ycz48YXV0
aG9ycz48YXV0aG9yPkF1c3RyYWxpYW4gQ29tbWlzc2lvbiBvbiBTYWZldHkgYW5kIFF1YWxpdHkg
aW4gSGVhbHRoIENhcmU8L2F1dGhvcj48L2F1dGhvcnM+PC9jb250cmlidXRvcnM+PHRpdGxlcz48
dGl0bGU+QVVSQSAyMDE2OiBmaXJzdCBBdXN0cmFsaWFuIHJlcG9ydCBvbiBhbnRpbWljcm9iaWFs
IHVzZSBhbmQgcmVzaXN0YW5jZSBpbiBodW1hbiBoZWFsdGg8L3RpdGxlPjwvdGl0bGVzPjxkYXRl
cz48eWVhcj4yMDE2PC95ZWFyPjwvZGF0ZXM+PHB1Yi1sb2NhdGlvbj5TeWRuZXk8L3B1Yi1sb2Nh
dGlvbj48cHVibGlzaGVyPkFDU1FIQzwvcHVibGlzaGVyPjx1cmxzPjxyZWxhdGVkLXVybHM+PHVy
bD5odHRwczovL3d3dy5zYWZldHlhbmRxdWFsaXR5Lmdvdi5hdS9wdWJsaWNhdGlvbnMtYW5kLXJl
c291cmNlcy9yZXNvdXJjZS1saWJyYXJ5L2F1cmEtMjAxNi1maXJzdC1hdXN0cmFsaWFuLXJlcG9y
dC1hbnRpbWljcm9iaWFsLXVzZS1hbmQtcmVzaXN0YW5jZS1odW1hbi1oZWFsdGgtZnVsbC1yZXBv
cnQ8L3VybD48L3JlbGF0ZWQtdXJscz48L3VybHM+PGFjY2Vzcy1kYXRlPjEgTWFyY2ggMjAyMTwv
YWNjZXNzLWRhdGU+PC9yZWNvcmQ+PC9DaXRlPjxDaXRlPjxBdXRob3I+Q2FyZTwvQXV0aG9yPjxZ
ZWFyPjIwMTc8L1llYXI+PFJlY051bT4zPC9SZWNOdW0+PHJlY29yZD48cmVjLW51bWJlcj4zPC9y
ZWMtbnVtYmVyPjxmb3JlaWduLWtleXM+PGtleSBhcHA9IkVOIiBkYi1pZD0iZXM5ZHI5OXdzOTBz
dG9lNXgycnA1MDVuYXp2c3dkenBweGE1IiB0aW1lc3RhbXA9IjE2NzA4MTA1MzgiPjM8L2tleT48
L2ZvcmVpZ24ta2V5cz48cmVmLXR5cGUgbmFtZT0iUmVwb3J0Ij4yNzwvcmVmLXR5cGU+PGNvbnRy
aWJ1dG9ycz48YXV0aG9ycz48YXV0aG9yPkF1c3RyYWxpYW4gQ29tbWlzc2lvbiBvbiBTYWZldHkg
YW5kIFF1YWxpdHkgaW4gSGVhbHRoIENhcmU8L2F1dGhvcj48L2F1dGhvcnM+PC9jb250cmlidXRv
cnM+PHRpdGxlcz48dGl0bGU+QVVSQSAyMDE3OiBzZWNvbmQgQXVzdHJhbGlhbiByZXBvcnQgb24g
YW50aW1pY3JvYmlhbCB1c2UgYW5kIHJlc2lzdGFuY2UgaW4gaHVtYW4gaGVhbHRoPC90aXRsZT48
L3RpdGxlcz48ZGF0ZXM+PHllYXI+MjAxNzwveWVhcj48L2RhdGVzPjxwdWItbG9jYXRpb24+U3lk
bmV5PC9wdWItbG9jYXRpb24+PHB1Ymxpc2hlcj5BQ1NRSEM8L3B1Ymxpc2hlcj48dXJscz48cmVs
YXRlZC11cmxzPjx1cmw+aHR0cHM6Ly93d3cuc2FmZXR5YW5kcXVhbGl0eS5nb3YuYXUvcHVibGlj
YXRpb25zLWFuZC1yZXNvdXJjZXMvcmVzb3VyY2UtbGlicmFyeS9hdXJhLTIwMTctc2Vjb25kLWF1
c3RyYWxpYW4tcmVwb3J0LWFudGltaWNyb2JpYWwtdXNlLWFuZC1yZXNpc3RhbmNlLWh1bWFuLWhl
YWx0aDwvdXJsPjwvcmVsYXRlZC11cmxzPjwvdXJscz48YWNjZXNzLWRhdGU+MSBNYXJjaCAyMDIx
PC9hY2Nlc3MtZGF0ZT48L3JlY29yZD48L0NpdGU+PENpdGU+PEF1dGhvcj5DYXJlPC9BdXRob3I+
PFllYXI+MjAxNzwvWWVhcj48UmVjTnVtPjM8L1JlY051bT48cmVjb3JkPjxyZWMtbnVtYmVyPjM8
L3JlYy1udW1iZXI+PGZvcmVpZ24ta2V5cz48a2V5IGFwcD0iRU4iIGRiLWlkPSJlczlkcjk5d3M5
MHN0b2U1eDJycDUwNW5henZzd2R6cHB4YTUiIHRpbWVzdGFtcD0iMTY3MDgxMDUzOCI+Mzwva2V5
PjwvZm9yZWlnbi1rZXlzPjxyZWYtdHlwZSBuYW1lPSJSZXBvcnQiPjI3PC9yZWYtdHlwZT48Y29u
dHJpYnV0b3JzPjxhdXRob3JzPjxhdXRob3I+QXVzdHJhbGlhbiBDb21taXNzaW9uIG9uIFNhZmV0
eSBhbmQgUXVhbGl0eSBpbiBIZWFsdGggQ2FyZTwvYXV0aG9yPjwvYXV0aG9ycz48L2NvbnRyaWJ1
dG9ycz48dGl0bGVzPjx0aXRsZT5BVVJBIDIwMTc6IHNlY29uZCBBdXN0cmFsaWFuIHJlcG9ydCBv
biBhbnRpbWljcm9iaWFsIHVzZSBhbmQgcmVzaXN0YW5jZSBpbiBodW1hbiBoZWFsdGg8L3RpdGxl
PjwvdGl0bGVzPjxkYXRlcz48eWVhcj4yMDE3PC95ZWFyPjwvZGF0ZXM+PHB1Yi1sb2NhdGlvbj5T
eWRuZXk8L3B1Yi1sb2NhdGlvbj48cHVibGlzaGVyPkFDU1FIQzwvcHVibGlzaGVyPjx1cmxzPjxy
ZWxhdGVkLXVybHM+PHVybD5odHRwczovL3d3dy5zYWZldHlhbmRxdWFsaXR5Lmdvdi5hdS9wdWJs
aWNhdGlvbnMtYW5kLXJlc291cmNlcy9yZXNvdXJjZS1saWJyYXJ5L2F1cmEtMjAxNy1zZWNvbmQt
YXVzdHJhbGlhbi1yZXBvcnQtYW50aW1pY3JvYmlhbC11c2UtYW5kLXJlc2lzdGFuY2UtaHVtYW4t
aGVhbHRoPC91cmw+PC9yZWxhdGVkLXVybHM+PC91cmxzPjxhY2Nlc3MtZGF0ZT4xIE1hcmNoIDIw
MjE8L2FjY2Vzcy1kYXRlPjwvcmVjb3JkPjwvQ2l0ZT48Q2l0ZT48QXV0aG9yPkNhcmU8L0F1dGhv
cj48WWVhcj4yMDE5PC9ZZWFyPjxSZWNOdW0+NDwvUmVjTnVtPjxyZWNvcmQ+PHJlYy1udW1iZXI+
NDwvcmVjLW51bWJlcj48Zm9yZWlnbi1rZXlzPjxrZXkgYXBwPSJFTiIgZGItaWQ9ImVzOWRyOTl3
czkwc3RvZTV4MnJwNTA1bmF6dnN3ZHpwcHhhNSIgdGltZXN0YW1wPSIxNjcwODEwNTM5Ij40PC9r
ZXk+PC9mb3JlaWduLWtleXM+PHJlZi10eXBlIG5hbWU9IlJlcG9ydCI+Mjc8L3JlZi10eXBlPjxj
b250cmlidXRvcnM+PGF1dGhvcnM+PGF1dGhvcj5BdXN0cmFsaWFuIENvbW1pc3Npb24gb24gU2Fm
ZXR5IGFuZCBRdWFsaXR5IGluIEhlYWx0aCBDYXJlPC9hdXRob3I+PC9hdXRob3JzPjwvY29udHJp
YnV0b3JzPjx0aXRsZXM+PHRpdGxlPkFVUkEgMjAxOTogdGhpcmQgQXVzdHJhbGlhbiByZXBvcnQg
b24gYW50aW1pY3JvYmlhbCB1c2UgYW5kIHJlc2lzdGFuY2UgaW4gaHVtYW4gaGVhbHRoPC90aXRs
ZT48L3RpdGxlcz48ZGF0ZXM+PHllYXI+MjAxOTwveWVhcj48L2RhdGVzPjxwdWItbG9jYXRpb24+
U3lkbmV5PC9wdWItbG9jYXRpb24+PHB1Ymxpc2hlcj5BQ1NRSEM8L3B1Ymxpc2hlcj48dXJscz48
L3VybHM+PC9yZWNvcmQ+PC9DaXRlPjxDaXRlPjxBdXRob3I+Q2FyZTwvQXV0aG9yPjxZZWFyPjIw
MjE8L1llYXI+PFJlY051bT4xPC9SZWNOdW0+PHJlY29yZD48cmVjLW51bWJlcj4xPC9yZWMtbnVt
YmVyPjxmb3JlaWduLWtleXM+PGtleSBhcHA9IkVOIiBkYi1pZD0iZXM5ZHI5OXdzOTBzdG9lNXgy
cnA1MDVuYXp2c3dkenBweGE1IiB0aW1lc3RhbXA9IjE2NzA4MTA1MzgiPjE8L2tleT48L2ZvcmVp
Z24ta2V5cz48cmVmLXR5cGUgbmFtZT0iUmVwb3J0Ij4yNzwvcmVmLXR5cGU+PGNvbnRyaWJ1dG9y
cz48YXV0aG9ycz48YXV0aG9yPkF1c3RyYWxpYW4gQ29tbWlzc2lvbiBvbiBTYWZldHkgYW5kIFF1
YWxpdHkgaW4gSGVhbHRoIENhcmU8L2F1dGhvcj48L2F1dGhvcnM+PC9jb250cmlidXRvcnM+PHRp
dGxlcz48dGl0bGU+QVVSQSAyMDIxOiBmb3VydGggQXVzdHJhbGlhbiByZXBvcnQgb24gYW50aW1p
Y3JvYmlhbCB1c2UgYW5kIHJlc2lzdGFuY2UgaW4gaHVtYW4gaGVhbHRoPC90aXRsZT48L3RpdGxl
cz48ZGF0ZXM+PHllYXI+MjAyMTwveWVhcj48L2RhdGVzPjxwdWItbG9jYXRpb24+U3lkbmV5PC9w
dWItbG9jYXRpb24+PHB1Ymxpc2hlcj5BQ1NRSEM8L3B1Ymxpc2hlcj48dXJscz48L3VybHM+PC9y
ZWNvcmQ+PC9DaXRlPjwvRW5kTm90ZT4A
</w:fldData>
        </w:fldChar>
      </w:r>
      <w:r w:rsidR="00412507">
        <w:rPr>
          <w:rFonts w:asciiTheme="majorHAnsi" w:hAnsiTheme="majorHAnsi" w:cstheme="majorHAnsi"/>
        </w:rPr>
        <w:instrText xml:space="preserve"> ADDIN EN.CITE </w:instrText>
      </w:r>
      <w:r w:rsidR="00412507">
        <w:rPr>
          <w:rFonts w:asciiTheme="majorHAnsi" w:hAnsiTheme="majorHAnsi" w:cstheme="majorHAnsi"/>
        </w:rPr>
        <w:fldChar w:fldCharType="begin">
          <w:fldData xml:space="preserve">PEVuZE5vdGU+PENpdGU+PEF1dGhvcj5DYXJlPC9BdXRob3I+PFllYXI+MjAxNjwvWWVhcj48UmVj
TnVtPjI8L1JlY051bT48RGlzcGxheVRleHQ+PHN0eWxlIGZhY2U9InN1cGVyc2NyaXB0Ij4xLTQ8
L3N0eWxlPjwvRGlzcGxheVRleHQ+PHJlY29yZD48cmVjLW51bWJlcj4yPC9yZWMtbnVtYmVyPjxm
b3JlaWduLWtleXM+PGtleSBhcHA9IkVOIiBkYi1pZD0iZXM5ZHI5OXdzOTBzdG9lNXgycnA1MDVu
YXp2c3dkenBweGE1IiB0aW1lc3RhbXA9IjE2NzA4MTA1MzgiPjI8L2tleT48L2ZvcmVpZ24ta2V5
cz48cmVmLXR5cGUgbmFtZT0iUmVwb3J0Ij4yNzwvcmVmLXR5cGU+PGNvbnRyaWJ1dG9ycz48YXV0
aG9ycz48YXV0aG9yPkF1c3RyYWxpYW4gQ29tbWlzc2lvbiBvbiBTYWZldHkgYW5kIFF1YWxpdHkg
aW4gSGVhbHRoIENhcmU8L2F1dGhvcj48L2F1dGhvcnM+PC9jb250cmlidXRvcnM+PHRpdGxlcz48
dGl0bGU+QVVSQSAyMDE2OiBmaXJzdCBBdXN0cmFsaWFuIHJlcG9ydCBvbiBhbnRpbWljcm9iaWFs
IHVzZSBhbmQgcmVzaXN0YW5jZSBpbiBodW1hbiBoZWFsdGg8L3RpdGxlPjwvdGl0bGVzPjxkYXRl
cz48eWVhcj4yMDE2PC95ZWFyPjwvZGF0ZXM+PHB1Yi1sb2NhdGlvbj5TeWRuZXk8L3B1Yi1sb2Nh
dGlvbj48cHVibGlzaGVyPkFDU1FIQzwvcHVibGlzaGVyPjx1cmxzPjxyZWxhdGVkLXVybHM+PHVy
bD5odHRwczovL3d3dy5zYWZldHlhbmRxdWFsaXR5Lmdvdi5hdS9wdWJsaWNhdGlvbnMtYW5kLXJl
c291cmNlcy9yZXNvdXJjZS1saWJyYXJ5L2F1cmEtMjAxNi1maXJzdC1hdXN0cmFsaWFuLXJlcG9y
dC1hbnRpbWljcm9iaWFsLXVzZS1hbmQtcmVzaXN0YW5jZS1odW1hbi1oZWFsdGgtZnVsbC1yZXBv
cnQ8L3VybD48L3JlbGF0ZWQtdXJscz48L3VybHM+PGFjY2Vzcy1kYXRlPjEgTWFyY2ggMjAyMTwv
YWNjZXNzLWRhdGU+PC9yZWNvcmQ+PC9DaXRlPjxDaXRlPjxBdXRob3I+Q2FyZTwvQXV0aG9yPjxZ
ZWFyPjIwMTc8L1llYXI+PFJlY051bT4zPC9SZWNOdW0+PHJlY29yZD48cmVjLW51bWJlcj4zPC9y
ZWMtbnVtYmVyPjxmb3JlaWduLWtleXM+PGtleSBhcHA9IkVOIiBkYi1pZD0iZXM5ZHI5OXdzOTBz
dG9lNXgycnA1MDVuYXp2c3dkenBweGE1IiB0aW1lc3RhbXA9IjE2NzA4MTA1MzgiPjM8L2tleT48
L2ZvcmVpZ24ta2V5cz48cmVmLXR5cGUgbmFtZT0iUmVwb3J0Ij4yNzwvcmVmLXR5cGU+PGNvbnRy
aWJ1dG9ycz48YXV0aG9ycz48YXV0aG9yPkF1c3RyYWxpYW4gQ29tbWlzc2lvbiBvbiBTYWZldHkg
YW5kIFF1YWxpdHkgaW4gSGVhbHRoIENhcmU8L2F1dGhvcj48L2F1dGhvcnM+PC9jb250cmlidXRv
cnM+PHRpdGxlcz48dGl0bGU+QVVSQSAyMDE3OiBzZWNvbmQgQXVzdHJhbGlhbiByZXBvcnQgb24g
YW50aW1pY3JvYmlhbCB1c2UgYW5kIHJlc2lzdGFuY2UgaW4gaHVtYW4gaGVhbHRoPC90aXRsZT48
L3RpdGxlcz48ZGF0ZXM+PHllYXI+MjAxNzwveWVhcj48L2RhdGVzPjxwdWItbG9jYXRpb24+U3lk
bmV5PC9wdWItbG9jYXRpb24+PHB1Ymxpc2hlcj5BQ1NRSEM8L3B1Ymxpc2hlcj48dXJscz48cmVs
YXRlZC11cmxzPjx1cmw+aHR0cHM6Ly93d3cuc2FmZXR5YW5kcXVhbGl0eS5nb3YuYXUvcHVibGlj
YXRpb25zLWFuZC1yZXNvdXJjZXMvcmVzb3VyY2UtbGlicmFyeS9hdXJhLTIwMTctc2Vjb25kLWF1
c3RyYWxpYW4tcmVwb3J0LWFudGltaWNyb2JpYWwtdXNlLWFuZC1yZXNpc3RhbmNlLWh1bWFuLWhl
YWx0aDwvdXJsPjwvcmVsYXRlZC11cmxzPjwvdXJscz48YWNjZXNzLWRhdGU+MSBNYXJjaCAyMDIx
PC9hY2Nlc3MtZGF0ZT48L3JlY29yZD48L0NpdGU+PENpdGU+PEF1dGhvcj5DYXJlPC9BdXRob3I+
PFllYXI+MjAxNzwvWWVhcj48UmVjTnVtPjM8L1JlY051bT48cmVjb3JkPjxyZWMtbnVtYmVyPjM8
L3JlYy1udW1iZXI+PGZvcmVpZ24ta2V5cz48a2V5IGFwcD0iRU4iIGRiLWlkPSJlczlkcjk5d3M5
MHN0b2U1eDJycDUwNW5henZzd2R6cHB4YTUiIHRpbWVzdGFtcD0iMTY3MDgxMDUzOCI+Mzwva2V5
PjwvZm9yZWlnbi1rZXlzPjxyZWYtdHlwZSBuYW1lPSJSZXBvcnQiPjI3PC9yZWYtdHlwZT48Y29u
dHJpYnV0b3JzPjxhdXRob3JzPjxhdXRob3I+QXVzdHJhbGlhbiBDb21taXNzaW9uIG9uIFNhZmV0
eSBhbmQgUXVhbGl0eSBpbiBIZWFsdGggQ2FyZTwvYXV0aG9yPjwvYXV0aG9ycz48L2NvbnRyaWJ1
dG9ycz48dGl0bGVzPjx0aXRsZT5BVVJBIDIwMTc6IHNlY29uZCBBdXN0cmFsaWFuIHJlcG9ydCBv
biBhbnRpbWljcm9iaWFsIHVzZSBhbmQgcmVzaXN0YW5jZSBpbiBodW1hbiBoZWFsdGg8L3RpdGxl
PjwvdGl0bGVzPjxkYXRlcz48eWVhcj4yMDE3PC95ZWFyPjwvZGF0ZXM+PHB1Yi1sb2NhdGlvbj5T
eWRuZXk8L3B1Yi1sb2NhdGlvbj48cHVibGlzaGVyPkFDU1FIQzwvcHVibGlzaGVyPjx1cmxzPjxy
ZWxhdGVkLXVybHM+PHVybD5odHRwczovL3d3dy5zYWZldHlhbmRxdWFsaXR5Lmdvdi5hdS9wdWJs
aWNhdGlvbnMtYW5kLXJlc291cmNlcy9yZXNvdXJjZS1saWJyYXJ5L2F1cmEtMjAxNy1zZWNvbmQt
YXVzdHJhbGlhbi1yZXBvcnQtYW50aW1pY3JvYmlhbC11c2UtYW5kLXJlc2lzdGFuY2UtaHVtYW4t
aGVhbHRoPC91cmw+PC9yZWxhdGVkLXVybHM+PC91cmxzPjxhY2Nlc3MtZGF0ZT4xIE1hcmNoIDIw
MjE8L2FjY2Vzcy1kYXRlPjwvcmVjb3JkPjwvQ2l0ZT48Q2l0ZT48QXV0aG9yPkNhcmU8L0F1dGhv
cj48WWVhcj4yMDE5PC9ZZWFyPjxSZWNOdW0+NDwvUmVjTnVtPjxyZWNvcmQ+PHJlYy1udW1iZXI+
NDwvcmVjLW51bWJlcj48Zm9yZWlnbi1rZXlzPjxrZXkgYXBwPSJFTiIgZGItaWQ9ImVzOWRyOTl3
czkwc3RvZTV4MnJwNTA1bmF6dnN3ZHpwcHhhNSIgdGltZXN0YW1wPSIxNjcwODEwNTM5Ij40PC9r
ZXk+PC9mb3JlaWduLWtleXM+PHJlZi10eXBlIG5hbWU9IlJlcG9ydCI+Mjc8L3JlZi10eXBlPjxj
b250cmlidXRvcnM+PGF1dGhvcnM+PGF1dGhvcj5BdXN0cmFsaWFuIENvbW1pc3Npb24gb24gU2Fm
ZXR5IGFuZCBRdWFsaXR5IGluIEhlYWx0aCBDYXJlPC9hdXRob3I+PC9hdXRob3JzPjwvY29udHJp
YnV0b3JzPjx0aXRsZXM+PHRpdGxlPkFVUkEgMjAxOTogdGhpcmQgQXVzdHJhbGlhbiByZXBvcnQg
b24gYW50aW1pY3JvYmlhbCB1c2UgYW5kIHJlc2lzdGFuY2UgaW4gaHVtYW4gaGVhbHRoPC90aXRs
ZT48L3RpdGxlcz48ZGF0ZXM+PHllYXI+MjAxOTwveWVhcj48L2RhdGVzPjxwdWItbG9jYXRpb24+
U3lkbmV5PC9wdWItbG9jYXRpb24+PHB1Ymxpc2hlcj5BQ1NRSEM8L3B1Ymxpc2hlcj48dXJscz48
L3VybHM+PC9yZWNvcmQ+PC9DaXRlPjxDaXRlPjxBdXRob3I+Q2FyZTwvQXV0aG9yPjxZZWFyPjIw
MjE8L1llYXI+PFJlY051bT4xPC9SZWNOdW0+PHJlY29yZD48cmVjLW51bWJlcj4xPC9yZWMtbnVt
YmVyPjxmb3JlaWduLWtleXM+PGtleSBhcHA9IkVOIiBkYi1pZD0iZXM5ZHI5OXdzOTBzdG9lNXgy
cnA1MDVuYXp2c3dkenBweGE1IiB0aW1lc3RhbXA9IjE2NzA4MTA1MzgiPjE8L2tleT48L2ZvcmVp
Z24ta2V5cz48cmVmLXR5cGUgbmFtZT0iUmVwb3J0Ij4yNzwvcmVmLXR5cGU+PGNvbnRyaWJ1dG9y
cz48YXV0aG9ycz48YXV0aG9yPkF1c3RyYWxpYW4gQ29tbWlzc2lvbiBvbiBTYWZldHkgYW5kIFF1
YWxpdHkgaW4gSGVhbHRoIENhcmU8L2F1dGhvcj48L2F1dGhvcnM+PC9jb250cmlidXRvcnM+PHRp
dGxlcz48dGl0bGU+QVVSQSAyMDIxOiBmb3VydGggQXVzdHJhbGlhbiByZXBvcnQgb24gYW50aW1p
Y3JvYmlhbCB1c2UgYW5kIHJlc2lzdGFuY2UgaW4gaHVtYW4gaGVhbHRoPC90aXRsZT48L3RpdGxl
cz48ZGF0ZXM+PHllYXI+MjAyMTwveWVhcj48L2RhdGVzPjxwdWItbG9jYXRpb24+U3lkbmV5PC9w
dWItbG9jYXRpb24+PHB1Ymxpc2hlcj5BQ1NRSEM8L3B1Ymxpc2hlcj48dXJscz48L3VybHM+PC9y
ZWNvcmQ+PC9DaXRlPjwvRW5kTm90ZT4A
</w:fldData>
        </w:fldChar>
      </w:r>
      <w:r w:rsidR="00412507">
        <w:rPr>
          <w:rFonts w:asciiTheme="majorHAnsi" w:hAnsiTheme="majorHAnsi" w:cstheme="majorHAnsi"/>
        </w:rPr>
        <w:instrText xml:space="preserve"> ADDIN EN.CITE.DATA </w:instrText>
      </w:r>
      <w:r w:rsidR="00412507">
        <w:rPr>
          <w:rFonts w:asciiTheme="majorHAnsi" w:hAnsiTheme="majorHAnsi" w:cstheme="majorHAnsi"/>
        </w:rPr>
      </w:r>
      <w:r w:rsidR="00412507">
        <w:rPr>
          <w:rFonts w:asciiTheme="majorHAnsi" w:hAnsiTheme="majorHAnsi" w:cstheme="majorHAnsi"/>
        </w:rPr>
        <w:fldChar w:fldCharType="end"/>
      </w:r>
      <w:r w:rsidR="00207228" w:rsidRPr="00F46944">
        <w:rPr>
          <w:rFonts w:asciiTheme="majorHAnsi" w:hAnsiTheme="majorHAnsi" w:cstheme="majorHAnsi"/>
        </w:rPr>
      </w:r>
      <w:r w:rsidR="00207228" w:rsidRPr="00F46944">
        <w:rPr>
          <w:rFonts w:asciiTheme="majorHAnsi" w:hAnsiTheme="majorHAnsi" w:cstheme="majorHAnsi"/>
        </w:rPr>
        <w:fldChar w:fldCharType="separate"/>
      </w:r>
      <w:r w:rsidR="001C0A42" w:rsidRPr="001C0A42">
        <w:rPr>
          <w:rFonts w:asciiTheme="majorHAnsi" w:hAnsiTheme="majorHAnsi" w:cstheme="majorHAnsi"/>
          <w:noProof/>
          <w:vertAlign w:val="superscript"/>
        </w:rPr>
        <w:t>1-4</w:t>
      </w:r>
      <w:r w:rsidR="00207228" w:rsidRPr="00F46944">
        <w:rPr>
          <w:rFonts w:asciiTheme="majorHAnsi" w:hAnsiTheme="majorHAnsi" w:cstheme="majorHAnsi"/>
        </w:rPr>
        <w:fldChar w:fldCharType="end"/>
      </w:r>
      <w:r w:rsidR="0083193E">
        <w:rPr>
          <w:rFonts w:asciiTheme="majorHAnsi" w:hAnsiTheme="majorHAnsi" w:cstheme="majorHAnsi"/>
        </w:rPr>
        <w:t>,</w:t>
      </w:r>
      <w:r w:rsidRPr="00F46944">
        <w:t xml:space="preserve"> the three most commonly dispensed </w:t>
      </w:r>
      <w:r w:rsidR="009D3FE7" w:rsidRPr="00F46944">
        <w:t xml:space="preserve">antimicrobials </w:t>
      </w:r>
      <w:r w:rsidRPr="00F46944">
        <w:t>in 2020 and 2021 were cefalexin, amoxicillin and amoxicillin</w:t>
      </w:r>
      <w:r w:rsidR="008B0845" w:rsidRPr="00F46944">
        <w:rPr>
          <w:rFonts w:asciiTheme="majorHAnsi" w:hAnsiTheme="majorHAnsi" w:cstheme="majorHAnsi"/>
        </w:rPr>
        <w:t>–</w:t>
      </w:r>
      <w:r w:rsidRPr="00F46944">
        <w:t xml:space="preserve">clavulanic acid </w:t>
      </w:r>
      <w:r w:rsidRPr="00E0396F">
        <w:t>(Figure</w:t>
      </w:r>
      <w:r w:rsidR="00C112F6" w:rsidRPr="00EA1E2A">
        <w:t> </w:t>
      </w:r>
      <w:r w:rsidR="00400BE4" w:rsidRPr="0076762C">
        <w:t>4</w:t>
      </w:r>
      <w:r w:rsidRPr="00F46944">
        <w:t>)</w:t>
      </w:r>
      <w:r w:rsidR="00B16AB2" w:rsidRPr="00F46944">
        <w:t>,</w:t>
      </w:r>
      <w:r w:rsidR="005A2508" w:rsidRPr="00F46944">
        <w:t xml:space="preserve"> </w:t>
      </w:r>
      <w:r w:rsidR="00857A72" w:rsidRPr="00F46944">
        <w:rPr>
          <w:rFonts w:cstheme="minorHAnsi"/>
        </w:rPr>
        <w:t xml:space="preserve">which </w:t>
      </w:r>
      <w:r w:rsidR="005A2508" w:rsidRPr="00F46944">
        <w:rPr>
          <w:rFonts w:cstheme="minorHAnsi"/>
        </w:rPr>
        <w:t xml:space="preserve">were most likely used predominately for </w:t>
      </w:r>
      <w:r w:rsidR="00857A72" w:rsidRPr="00F46944">
        <w:rPr>
          <w:rFonts w:cstheme="minorHAnsi"/>
        </w:rPr>
        <w:t>URTIs</w:t>
      </w:r>
      <w:r w:rsidRPr="00F46944">
        <w:t xml:space="preserve">. These agents accounted for </w:t>
      </w:r>
      <w:r w:rsidR="00083E61" w:rsidRPr="00F46944">
        <w:t>at least</w:t>
      </w:r>
      <w:r w:rsidRPr="00F46944">
        <w:t xml:space="preserve"> 5</w:t>
      </w:r>
      <w:r w:rsidR="006821B3" w:rsidRPr="00F46944">
        <w:t>5</w:t>
      </w:r>
      <w:r w:rsidRPr="00F46944">
        <w:t xml:space="preserve">% of all </w:t>
      </w:r>
      <w:r w:rsidR="005C08B8" w:rsidRPr="00F46944">
        <w:t xml:space="preserve">antimicrobial </w:t>
      </w:r>
      <w:r w:rsidRPr="00F46944">
        <w:t xml:space="preserve">prescriptions </w:t>
      </w:r>
      <w:r w:rsidR="006821B3" w:rsidRPr="00F46944">
        <w:t>supplied under the PBS/RPBS in the given year</w:t>
      </w:r>
      <w:r w:rsidR="005C08B8" w:rsidRPr="00F46944">
        <w:t xml:space="preserve"> (</w:t>
      </w:r>
      <w:r w:rsidR="000E6C71" w:rsidRPr="00F46944">
        <w:rPr>
          <w:i/>
          <w:iCs/>
        </w:rPr>
        <w:t>n</w:t>
      </w:r>
      <w:r w:rsidR="000E6C71" w:rsidRPr="00F46944">
        <w:t> = 15,328,276/26,</w:t>
      </w:r>
      <w:r w:rsidR="005D32FB" w:rsidRPr="00F46944">
        <w:t>669</w:t>
      </w:r>
      <w:r w:rsidR="000E6C71" w:rsidRPr="00F46944">
        <w:t>,</w:t>
      </w:r>
      <w:r w:rsidR="005D32FB" w:rsidRPr="00F46944">
        <w:t>561</w:t>
      </w:r>
      <w:r w:rsidR="000E6C71" w:rsidRPr="00F46944">
        <w:t xml:space="preserve"> in 2019; </w:t>
      </w:r>
      <w:r w:rsidR="002B42FD" w:rsidRPr="00F46944">
        <w:rPr>
          <w:i/>
          <w:iCs/>
        </w:rPr>
        <w:t>n</w:t>
      </w:r>
      <w:r w:rsidR="002C3A18" w:rsidRPr="00F46944">
        <w:t> </w:t>
      </w:r>
      <w:r w:rsidR="002B42FD" w:rsidRPr="00F46944">
        <w:t>=</w:t>
      </w:r>
      <w:r w:rsidR="002C3A18" w:rsidRPr="00F46944">
        <w:t> </w:t>
      </w:r>
      <w:r w:rsidR="00083E61" w:rsidRPr="00F46944">
        <w:t>11,094,028</w:t>
      </w:r>
      <w:r w:rsidR="005C08B8" w:rsidRPr="00F46944">
        <w:t>/20,095,926</w:t>
      </w:r>
      <w:r w:rsidR="00083E61" w:rsidRPr="00F46944">
        <w:t xml:space="preserve"> in 2020; </w:t>
      </w:r>
      <w:r w:rsidR="002B42FD" w:rsidRPr="00F46944">
        <w:rPr>
          <w:i/>
          <w:iCs/>
        </w:rPr>
        <w:t>n</w:t>
      </w:r>
      <w:r w:rsidR="002C3A18" w:rsidRPr="00F46944">
        <w:t> </w:t>
      </w:r>
      <w:r w:rsidR="002B42FD" w:rsidRPr="00F46944">
        <w:t>=</w:t>
      </w:r>
      <w:r w:rsidR="002C3A18" w:rsidRPr="00F46944">
        <w:t> </w:t>
      </w:r>
      <w:r w:rsidR="00083E61" w:rsidRPr="00F46944">
        <w:t>11,180,139/19,931,271 in 2021).</w:t>
      </w:r>
    </w:p>
    <w:p w14:paraId="58F9DFE7" w14:textId="569D40CB" w:rsidR="005D32FB" w:rsidRPr="00F46944" w:rsidRDefault="006821B3" w:rsidP="000E6C71">
      <w:bookmarkStart w:id="62" w:name="_Hlk105400164"/>
      <w:r w:rsidRPr="00F46944">
        <w:t>The</w:t>
      </w:r>
      <w:r w:rsidR="002C3A18" w:rsidRPr="00F46944">
        <w:t> </w:t>
      </w:r>
      <w:r w:rsidRPr="00F46944">
        <w:t xml:space="preserve">10 most commonly dispensed </w:t>
      </w:r>
      <w:r w:rsidR="009D3FE7" w:rsidRPr="00F46944">
        <w:t xml:space="preserve">antimicrobials </w:t>
      </w:r>
      <w:r w:rsidR="005C08B8" w:rsidRPr="00F46944">
        <w:t xml:space="preserve">accounted for </w:t>
      </w:r>
      <w:r w:rsidR="00453BA6" w:rsidRPr="00F46944">
        <w:t>8</w:t>
      </w:r>
      <w:r w:rsidR="00453BA6">
        <w:t>4.7</w:t>
      </w:r>
      <w:r w:rsidR="005D32FB" w:rsidRPr="00F46944">
        <w:t xml:space="preserve">%, </w:t>
      </w:r>
      <w:r w:rsidR="005C08B8" w:rsidRPr="00F46944">
        <w:t>83</w:t>
      </w:r>
      <w:r w:rsidR="00453BA6">
        <w:t>.0</w:t>
      </w:r>
      <w:r w:rsidR="005C08B8" w:rsidRPr="00F46944">
        <w:t>% and 8</w:t>
      </w:r>
      <w:r w:rsidR="00453BA6">
        <w:t>3.7</w:t>
      </w:r>
      <w:r w:rsidR="005C08B8" w:rsidRPr="00F46944">
        <w:t xml:space="preserve">% of all antimicrobials supplied under the PBS/RPBS in </w:t>
      </w:r>
      <w:r w:rsidR="005D32FB" w:rsidRPr="00F46944">
        <w:t>2019 (</w:t>
      </w:r>
      <w:r w:rsidR="00A95C17" w:rsidRPr="00F46944">
        <w:rPr>
          <w:i/>
          <w:iCs/>
        </w:rPr>
        <w:t>n</w:t>
      </w:r>
      <w:r w:rsidR="00A95C17" w:rsidRPr="00F46944">
        <w:t> = 22,</w:t>
      </w:r>
      <w:r w:rsidR="00FF2D2B" w:rsidRPr="00F46944">
        <w:t>641,543</w:t>
      </w:r>
      <w:r w:rsidR="00A95C17" w:rsidRPr="00F46944">
        <w:t>/</w:t>
      </w:r>
      <w:r w:rsidR="00FF2D2B" w:rsidRPr="00F46944">
        <w:t>26,669,561</w:t>
      </w:r>
      <w:r w:rsidR="005D32FB" w:rsidRPr="00F46944">
        <w:t xml:space="preserve">), </w:t>
      </w:r>
      <w:r w:rsidR="005C08B8" w:rsidRPr="00F46944">
        <w:t xml:space="preserve">2020 </w:t>
      </w:r>
      <w:r w:rsidR="00083E61" w:rsidRPr="00F46944">
        <w:t>(</w:t>
      </w:r>
      <w:r w:rsidR="004B75CE" w:rsidRPr="00F46944">
        <w:rPr>
          <w:i/>
          <w:iCs/>
        </w:rPr>
        <w:t>n</w:t>
      </w:r>
      <w:r w:rsidR="002C3A18" w:rsidRPr="00F46944">
        <w:rPr>
          <w:i/>
          <w:iCs/>
        </w:rPr>
        <w:t> </w:t>
      </w:r>
      <w:r w:rsidR="004B75CE" w:rsidRPr="00F46944">
        <w:t>=</w:t>
      </w:r>
      <w:r w:rsidR="002C3A18" w:rsidRPr="00F46944">
        <w:t> </w:t>
      </w:r>
      <w:r w:rsidR="00083E61" w:rsidRPr="00F46944">
        <w:t xml:space="preserve">16,676,735/20,095,926) </w:t>
      </w:r>
      <w:r w:rsidR="005C08B8" w:rsidRPr="00F46944">
        <w:t xml:space="preserve">and 2021 </w:t>
      </w:r>
      <w:r w:rsidR="00083E61" w:rsidRPr="00F46944">
        <w:t>(</w:t>
      </w:r>
      <w:r w:rsidR="004B75CE" w:rsidRPr="00F46944">
        <w:rPr>
          <w:i/>
          <w:iCs/>
        </w:rPr>
        <w:t>n</w:t>
      </w:r>
      <w:r w:rsidR="002C3A18" w:rsidRPr="00F46944">
        <w:t> </w:t>
      </w:r>
      <w:r w:rsidR="004B75CE" w:rsidRPr="00F46944">
        <w:t>=</w:t>
      </w:r>
      <w:r w:rsidR="002C3A18" w:rsidRPr="00F46944">
        <w:t> </w:t>
      </w:r>
      <w:r w:rsidR="00083E61" w:rsidRPr="00F46944">
        <w:t>16,706,709/19,931,271)</w:t>
      </w:r>
      <w:r w:rsidR="00D42FFA">
        <w:t>,</w:t>
      </w:r>
      <w:r w:rsidR="00083E61" w:rsidRPr="00F46944">
        <w:t xml:space="preserve"> </w:t>
      </w:r>
      <w:r w:rsidR="005C08B8" w:rsidRPr="00F46944">
        <w:t>respectively.</w:t>
      </w:r>
      <w:bookmarkStart w:id="63" w:name="_Hlk104992185"/>
      <w:bookmarkEnd w:id="62"/>
    </w:p>
    <w:p w14:paraId="154FEB09" w14:textId="080CA6AA" w:rsidR="006821B3" w:rsidRDefault="005D32FB" w:rsidP="00A95C17">
      <w:r w:rsidRPr="00F46944">
        <w:t xml:space="preserve">The </w:t>
      </w:r>
      <w:r w:rsidR="00EB4AE2" w:rsidRPr="00F46944">
        <w:t xml:space="preserve">10 most </w:t>
      </w:r>
      <w:r w:rsidR="0083193E">
        <w:t>commonly</w:t>
      </w:r>
      <w:r w:rsidR="00EB4AE2" w:rsidRPr="00F46944">
        <w:t xml:space="preserve"> dispensed </w:t>
      </w:r>
      <w:r w:rsidRPr="00F46944">
        <w:t>antimicrobials</w:t>
      </w:r>
      <w:r w:rsidR="00A95C17" w:rsidRPr="00F46944">
        <w:t xml:space="preserve"> were </w:t>
      </w:r>
      <w:r w:rsidR="00EB4AE2" w:rsidRPr="00F46944">
        <w:t>generally consistent</w:t>
      </w:r>
      <w:r w:rsidR="00A95C17" w:rsidRPr="00F46944">
        <w:t xml:space="preserve"> from 2019 to 2021. </w:t>
      </w:r>
      <w:r w:rsidR="00EB4AE2" w:rsidRPr="00F46944">
        <w:t>Some exceptions included</w:t>
      </w:r>
      <w:r w:rsidR="00A95C17" w:rsidRPr="00F46944">
        <w:t xml:space="preserve"> trimethoprim</w:t>
      </w:r>
      <w:r w:rsidR="005A2508" w:rsidRPr="00F46944">
        <w:t>–</w:t>
      </w:r>
      <w:r w:rsidR="00A95C17" w:rsidRPr="00F46944">
        <w:t>sulfametho</w:t>
      </w:r>
      <w:r w:rsidR="00F87937" w:rsidRPr="00F46944">
        <w:t>xa</w:t>
      </w:r>
      <w:r w:rsidR="00A95C17" w:rsidRPr="00F46944">
        <w:t>zole, which was twelfth most commonly dispensed</w:t>
      </w:r>
      <w:r w:rsidR="00E0396F">
        <w:t xml:space="preserve"> in 2019</w:t>
      </w:r>
      <w:r w:rsidR="00A95C17" w:rsidRPr="00F46944">
        <w:t>; phenoxymethylpenicillin, which was eleventh most commonly dispensed</w:t>
      </w:r>
      <w:r w:rsidR="00E0396F">
        <w:t xml:space="preserve"> in 2020</w:t>
      </w:r>
      <w:r w:rsidR="00A95C17" w:rsidRPr="00F46944">
        <w:t>; and clarithromycin</w:t>
      </w:r>
      <w:r w:rsidR="00FF2D2B" w:rsidRPr="00F46944">
        <w:t>,</w:t>
      </w:r>
      <w:r w:rsidR="00A95C17" w:rsidRPr="00F46944">
        <w:t xml:space="preserve"> which was the twelfth most commonly dispensed antimicrobial</w:t>
      </w:r>
      <w:r w:rsidR="00FF2D2B" w:rsidRPr="00F46944">
        <w:t xml:space="preserve"> in 2021</w:t>
      </w:r>
      <w:r w:rsidR="00A95C17" w:rsidRPr="00F46944">
        <w:t xml:space="preserve">. </w:t>
      </w:r>
      <w:bookmarkEnd w:id="63"/>
    </w:p>
    <w:p w14:paraId="67304DC1" w14:textId="77777777" w:rsidR="001F01CB" w:rsidRDefault="001F01CB">
      <w:pPr>
        <w:spacing w:after="80"/>
        <w:rPr>
          <w:b/>
          <w:bCs/>
        </w:rPr>
      </w:pPr>
      <w:r>
        <w:br w:type="page"/>
      </w:r>
    </w:p>
    <w:p w14:paraId="46406165" w14:textId="2CF471A7" w:rsidR="004B75CE" w:rsidRPr="004A61B4" w:rsidRDefault="004A61B4" w:rsidP="004A61B4">
      <w:pPr>
        <w:pStyle w:val="Captions"/>
        <w:rPr>
          <w:b w:val="0"/>
          <w:bCs w:val="0"/>
        </w:rPr>
      </w:pPr>
      <w:bookmarkStart w:id="64" w:name="_Toc121491316"/>
      <w:bookmarkStart w:id="65" w:name="_Toc121840888"/>
      <w:r>
        <w:lastRenderedPageBreak/>
        <w:t>Figure</w:t>
      </w:r>
      <w:r w:rsidRPr="00EA1E2A">
        <w:t> </w:t>
      </w:r>
      <w:fldSimple w:instr=" SEQ Figure \* ARABIC ">
        <w:r w:rsidR="00F34DDD">
          <w:rPr>
            <w:noProof/>
          </w:rPr>
          <w:t>4</w:t>
        </w:r>
      </w:fldSimple>
      <w:r w:rsidR="004B75CE" w:rsidRPr="00EA1E2A">
        <w:t>:</w:t>
      </w:r>
      <w:r w:rsidR="004B75CE" w:rsidRPr="004A61B4">
        <w:rPr>
          <w:b w:val="0"/>
          <w:bCs w:val="0"/>
        </w:rPr>
        <w:t> </w:t>
      </w:r>
      <w:bookmarkStart w:id="66" w:name="_Hlk104991557"/>
      <w:r w:rsidR="005A2508" w:rsidRPr="004A61B4">
        <w:rPr>
          <w:b w:val="0"/>
          <w:bCs w:val="0"/>
        </w:rPr>
        <w:t xml:space="preserve">Ten </w:t>
      </w:r>
      <w:r w:rsidR="004B75CE" w:rsidRPr="004A61B4">
        <w:rPr>
          <w:b w:val="0"/>
          <w:bCs w:val="0"/>
        </w:rPr>
        <w:t xml:space="preserve">most commonly dispensed </w:t>
      </w:r>
      <w:r w:rsidR="002075BB" w:rsidRPr="004A61B4">
        <w:rPr>
          <w:b w:val="0"/>
          <w:bCs w:val="0"/>
        </w:rPr>
        <w:t>PBS/RPBS antimicrobial prescriptions</w:t>
      </w:r>
      <w:r w:rsidR="004B75CE" w:rsidRPr="004A61B4">
        <w:rPr>
          <w:b w:val="0"/>
          <w:bCs w:val="0"/>
        </w:rPr>
        <w:t xml:space="preserve">, by percentage of all </w:t>
      </w:r>
      <w:r w:rsidR="009D3FE7" w:rsidRPr="004A61B4">
        <w:rPr>
          <w:b w:val="0"/>
          <w:bCs w:val="0"/>
        </w:rPr>
        <w:t xml:space="preserve">antimicrobial </w:t>
      </w:r>
      <w:r w:rsidR="004B75CE" w:rsidRPr="004A61B4">
        <w:rPr>
          <w:b w:val="0"/>
          <w:bCs w:val="0"/>
        </w:rPr>
        <w:t>prescriptions, 20</w:t>
      </w:r>
      <w:r w:rsidR="0010778A" w:rsidRPr="004A61B4">
        <w:rPr>
          <w:b w:val="0"/>
          <w:bCs w:val="0"/>
        </w:rPr>
        <w:t>19</w:t>
      </w:r>
      <w:r w:rsidR="004B75CE" w:rsidRPr="004A61B4">
        <w:rPr>
          <w:b w:val="0"/>
          <w:bCs w:val="0"/>
        </w:rPr>
        <w:t>–2021</w:t>
      </w:r>
      <w:bookmarkEnd w:id="64"/>
      <w:bookmarkEnd w:id="65"/>
      <w:bookmarkEnd w:id="66"/>
    </w:p>
    <w:p w14:paraId="7F502ADD" w14:textId="76D90799" w:rsidR="00BB6E6E" w:rsidRDefault="002564A9" w:rsidP="00BB6E6E">
      <w:pPr>
        <w:spacing w:after="0"/>
        <w:rPr>
          <w:rFonts w:cstheme="minorHAnsi"/>
          <w:sz w:val="16"/>
          <w:szCs w:val="16"/>
        </w:rPr>
      </w:pPr>
      <w:r>
        <w:rPr>
          <w:noProof/>
        </w:rPr>
        <w:drawing>
          <wp:inline distT="0" distB="0" distL="0" distR="0" wp14:anchorId="7F057389" wp14:editId="2B955BCF">
            <wp:extent cx="5925820" cy="5340350"/>
            <wp:effectExtent l="0" t="0" r="0" b="0"/>
            <wp:docPr id="47" name="Picture 47" descr="Figure 4: Ten most commonly dispensed PBS/RPBS antimicrobial prescriptions, by percentage of all antimicrobial prescriptions, 2019–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igure 4: Ten most commonly dispensed PBS/RPBS antimicrobial prescriptions, by percentage of all antimicrobial prescriptions, 2019–2021"/>
                    <pic:cNvPicPr/>
                  </pic:nvPicPr>
                  <pic:blipFill>
                    <a:blip r:embed="rId17"/>
                    <a:stretch>
                      <a:fillRect/>
                    </a:stretch>
                  </pic:blipFill>
                  <pic:spPr>
                    <a:xfrm>
                      <a:off x="0" y="0"/>
                      <a:ext cx="5925820" cy="5340350"/>
                    </a:xfrm>
                    <a:prstGeom prst="rect">
                      <a:avLst/>
                    </a:prstGeom>
                  </pic:spPr>
                </pic:pic>
              </a:graphicData>
            </a:graphic>
          </wp:inline>
        </w:drawing>
      </w:r>
    </w:p>
    <w:p w14:paraId="544A0706" w14:textId="12F29523" w:rsidR="00BB6E6E" w:rsidRDefault="00FB504B" w:rsidP="00BB6E6E">
      <w:pPr>
        <w:spacing w:after="0"/>
        <w:rPr>
          <w:rFonts w:cstheme="minorHAnsi"/>
          <w:sz w:val="16"/>
          <w:szCs w:val="16"/>
        </w:rPr>
      </w:pPr>
      <w:r w:rsidRPr="00BB6E6E">
        <w:rPr>
          <w:rFonts w:cstheme="minorHAnsi"/>
          <w:sz w:val="16"/>
          <w:szCs w:val="16"/>
        </w:rPr>
        <w:t>AMC = amoxicillin–clavulanic acid; AMO = amoxicillin; CLA = clarithromycin; CLE = cefalexin; DOX = doxycycline; FLU = flucloxacillin; MTZ = metronidazole; PBS</w:t>
      </w:r>
      <w:r w:rsidR="00BB6E6E" w:rsidRPr="00BB6E6E">
        <w:rPr>
          <w:rFonts w:cstheme="minorHAnsi"/>
          <w:sz w:val="16"/>
          <w:szCs w:val="16"/>
        </w:rPr>
        <w:t> </w:t>
      </w:r>
      <w:r w:rsidRPr="00BB6E6E">
        <w:rPr>
          <w:rFonts w:cstheme="minorHAnsi"/>
          <w:sz w:val="16"/>
          <w:szCs w:val="16"/>
        </w:rPr>
        <w:t>=</w:t>
      </w:r>
      <w:r w:rsidR="00BB6E6E" w:rsidRPr="00BB6E6E">
        <w:rPr>
          <w:rFonts w:cstheme="minorHAnsi"/>
          <w:sz w:val="16"/>
          <w:szCs w:val="16"/>
        </w:rPr>
        <w:t> </w:t>
      </w:r>
      <w:r w:rsidRPr="00BB6E6E">
        <w:rPr>
          <w:rFonts w:cstheme="minorHAnsi"/>
          <w:sz w:val="16"/>
          <w:szCs w:val="16"/>
        </w:rPr>
        <w:t>Pharmaceutical Benefits Scheme; PHE =</w:t>
      </w:r>
      <w:r w:rsidR="00BB6E6E" w:rsidRPr="00BB6E6E">
        <w:rPr>
          <w:rFonts w:cstheme="minorHAnsi"/>
          <w:sz w:val="16"/>
          <w:szCs w:val="16"/>
        </w:rPr>
        <w:t> </w:t>
      </w:r>
      <w:r w:rsidRPr="00BB6E6E">
        <w:rPr>
          <w:rFonts w:cstheme="minorHAnsi"/>
          <w:sz w:val="16"/>
          <w:szCs w:val="16"/>
        </w:rPr>
        <w:t xml:space="preserve">phenoxymethylpenicillin; ROX = roxithromycin; </w:t>
      </w:r>
      <w:r w:rsidR="00BB6E6E" w:rsidRPr="00BB6E6E">
        <w:rPr>
          <w:rFonts w:cstheme="minorHAnsi"/>
          <w:sz w:val="16"/>
          <w:szCs w:val="16"/>
        </w:rPr>
        <w:t xml:space="preserve">RPBS = Repatriation Pharmaceutical Benefits Scheme; </w:t>
      </w:r>
      <w:r w:rsidRPr="00BB6E6E">
        <w:rPr>
          <w:rFonts w:cstheme="minorHAnsi"/>
          <w:sz w:val="16"/>
          <w:szCs w:val="16"/>
        </w:rPr>
        <w:t>SXT</w:t>
      </w:r>
      <w:r w:rsidR="00BB6E6E" w:rsidRPr="00BB6E6E">
        <w:rPr>
          <w:rFonts w:cstheme="minorHAnsi"/>
          <w:sz w:val="16"/>
          <w:szCs w:val="16"/>
        </w:rPr>
        <w:t> = Trimethoprim–sulfamethoxazole;</w:t>
      </w:r>
      <w:r w:rsidR="00BB6E6E">
        <w:rPr>
          <w:rFonts w:cstheme="minorHAnsi"/>
          <w:sz w:val="16"/>
          <w:szCs w:val="16"/>
        </w:rPr>
        <w:t xml:space="preserve"> </w:t>
      </w:r>
      <w:r w:rsidRPr="00FB504B">
        <w:rPr>
          <w:rFonts w:cstheme="minorHAnsi"/>
          <w:sz w:val="16"/>
          <w:szCs w:val="16"/>
        </w:rPr>
        <w:t>TMP</w:t>
      </w:r>
      <w:r w:rsidR="00BB6E6E">
        <w:rPr>
          <w:rFonts w:cstheme="minorHAnsi"/>
          <w:sz w:val="16"/>
          <w:szCs w:val="16"/>
        </w:rPr>
        <w:t> = trimethoprim</w:t>
      </w:r>
    </w:p>
    <w:p w14:paraId="503543C9" w14:textId="7F900CDA" w:rsidR="00CD5BE6" w:rsidRPr="00F46944" w:rsidRDefault="00AA1F36" w:rsidP="00F34DDD">
      <w:pPr>
        <w:rPr>
          <w:rFonts w:cstheme="minorHAnsi"/>
          <w:sz w:val="16"/>
          <w:szCs w:val="16"/>
        </w:rPr>
      </w:pPr>
      <w:r w:rsidRPr="00F46944">
        <w:rPr>
          <w:rFonts w:cstheme="minorHAnsi"/>
          <w:sz w:val="16"/>
          <w:szCs w:val="16"/>
        </w:rPr>
        <w:t>N</w:t>
      </w:r>
      <w:r w:rsidR="002A5B86" w:rsidRPr="00F46944">
        <w:rPr>
          <w:rFonts w:cstheme="minorHAnsi"/>
          <w:sz w:val="16"/>
          <w:szCs w:val="16"/>
        </w:rPr>
        <w:t>ote</w:t>
      </w:r>
      <w:r w:rsidRPr="00F46944">
        <w:rPr>
          <w:rFonts w:cstheme="minorHAnsi"/>
          <w:sz w:val="16"/>
          <w:szCs w:val="16"/>
        </w:rPr>
        <w:t>: Outside the ten most commonly dispensed antimicrobials under the PBS/RPBS: Trimethoprim–sulfamethoxazole, 12</w:t>
      </w:r>
      <w:r w:rsidRPr="00F46944">
        <w:rPr>
          <w:rFonts w:cstheme="minorHAnsi"/>
          <w:sz w:val="16"/>
          <w:szCs w:val="16"/>
          <w:vertAlign w:val="superscript"/>
        </w:rPr>
        <w:t>th</w:t>
      </w:r>
      <w:r w:rsidRPr="00F46944">
        <w:rPr>
          <w:rFonts w:cstheme="minorHAnsi"/>
          <w:sz w:val="16"/>
          <w:szCs w:val="16"/>
        </w:rPr>
        <w:t xml:space="preserve"> in 2019; Phenoxymethylpenicillin, 11</w:t>
      </w:r>
      <w:r w:rsidRPr="00F46944">
        <w:rPr>
          <w:rFonts w:cstheme="minorHAnsi"/>
          <w:sz w:val="16"/>
          <w:szCs w:val="16"/>
          <w:vertAlign w:val="superscript"/>
        </w:rPr>
        <w:t>th</w:t>
      </w:r>
      <w:r w:rsidRPr="00F46944">
        <w:rPr>
          <w:rFonts w:cstheme="minorHAnsi"/>
          <w:sz w:val="16"/>
          <w:szCs w:val="16"/>
        </w:rPr>
        <w:t xml:space="preserve"> in 2020; Clarithromycin, 12</w:t>
      </w:r>
      <w:r w:rsidRPr="00F46944">
        <w:rPr>
          <w:rFonts w:cstheme="minorHAnsi"/>
          <w:sz w:val="16"/>
          <w:szCs w:val="16"/>
          <w:vertAlign w:val="superscript"/>
        </w:rPr>
        <w:t>th</w:t>
      </w:r>
      <w:r w:rsidRPr="00F46944">
        <w:rPr>
          <w:rFonts w:cstheme="minorHAnsi"/>
          <w:sz w:val="16"/>
          <w:szCs w:val="16"/>
        </w:rPr>
        <w:t xml:space="preserve"> in 2021. </w:t>
      </w:r>
      <w:r w:rsidR="00B86DB6" w:rsidRPr="00F46944">
        <w:rPr>
          <w:rFonts w:cstheme="minorHAnsi"/>
          <w:sz w:val="16"/>
          <w:szCs w:val="16"/>
        </w:rPr>
        <w:br/>
      </w:r>
      <w:r w:rsidR="00202D52" w:rsidRPr="00F46944">
        <w:rPr>
          <w:rFonts w:cstheme="minorHAnsi"/>
          <w:sz w:val="16"/>
          <w:szCs w:val="16"/>
        </w:rPr>
        <w:t>Source: Gadzhanova, Roughead</w:t>
      </w:r>
      <w:r w:rsidR="00202D52" w:rsidRPr="00F46944">
        <w:rPr>
          <w:rFonts w:cstheme="minorHAnsi"/>
          <w:sz w:val="16"/>
          <w:szCs w:val="16"/>
        </w:rPr>
        <w:fldChar w:fldCharType="begin"/>
      </w:r>
      <w:r w:rsidR="00DB0DCB">
        <w:rPr>
          <w:rFonts w:cstheme="minorHAnsi"/>
          <w:sz w:val="16"/>
          <w:szCs w:val="16"/>
        </w:rPr>
        <w:instrText xml:space="preserve"> ADDIN EN.CITE &lt;EndNote&gt;&lt;Cite&gt;&lt;Author&gt;Gadzhanova&lt;/Author&gt;&lt;RecNum&gt;5&lt;/RecNum&gt;&lt;DisplayText&gt;&lt;style face="superscript"&gt;5&lt;/style&gt;&lt;/DisplayText&gt;&lt;record&gt;&lt;rec-number&gt;5&lt;/rec-number&gt;&lt;foreign-keys&gt;&lt;key app="EN" db-id="es9dr99ws90stoe5x2rp505nazvswdzppxa5" timestamp="1670810539"&gt;5&lt;/key&gt;&lt;/foreign-keys&gt;&lt;ref-type name="Unpublished Work"&gt;34&lt;/ref-type&gt;&lt;contributors&gt;&lt;authors&gt;&lt;author&gt;Gadzhanova, S.&lt;/author&gt;&lt;author&gt;Roughead, E.&lt;/author&gt;&lt;/authors&gt;&lt;/contributors&gt;&lt;titles&gt;&lt;title&gt;Analysis of 2015–2021 PBS data for the National Report on Antimicrobial Use and Resistance (unpublished)&lt;/title&gt;&lt;/titles&gt;&lt;dates&gt;&lt;/dates&gt;&lt;pub-location&gt;Sydney &lt;/pub-location&gt;&lt;publisher&gt;ACSQHC &lt;/publisher&gt;&lt;urls&gt;&lt;/urls&gt;&lt;/record&gt;&lt;/Cite&gt;&lt;/EndNote&gt;</w:instrText>
      </w:r>
      <w:r w:rsidR="00202D52" w:rsidRPr="00F46944">
        <w:rPr>
          <w:rFonts w:cstheme="minorHAnsi"/>
          <w:sz w:val="16"/>
          <w:szCs w:val="16"/>
        </w:rPr>
        <w:fldChar w:fldCharType="separate"/>
      </w:r>
      <w:r w:rsidR="001C0A42" w:rsidRPr="001C0A42">
        <w:rPr>
          <w:rFonts w:cstheme="minorHAnsi"/>
          <w:noProof/>
          <w:sz w:val="16"/>
          <w:szCs w:val="16"/>
          <w:vertAlign w:val="superscript"/>
        </w:rPr>
        <w:t>5</w:t>
      </w:r>
      <w:r w:rsidR="00202D52" w:rsidRPr="00F46944">
        <w:rPr>
          <w:rFonts w:cstheme="minorHAnsi"/>
          <w:sz w:val="16"/>
          <w:szCs w:val="16"/>
        </w:rPr>
        <w:fldChar w:fldCharType="end"/>
      </w:r>
      <w:r w:rsidR="00B16AB2" w:rsidRPr="00F46944">
        <w:rPr>
          <w:rFonts w:cstheme="minorHAnsi"/>
          <w:sz w:val="16"/>
          <w:szCs w:val="16"/>
        </w:rPr>
        <w:t xml:space="preserve"> </w:t>
      </w:r>
    </w:p>
    <w:p w14:paraId="39D153AB" w14:textId="36FC4686" w:rsidR="000E793A" w:rsidRPr="00F46944" w:rsidRDefault="00376D94" w:rsidP="00376D94">
      <w:pPr>
        <w:rPr>
          <w:rFonts w:cstheme="minorHAnsi"/>
        </w:rPr>
      </w:pPr>
      <w:r w:rsidRPr="00F46944">
        <w:rPr>
          <w:rFonts w:cstheme="minorHAnsi"/>
        </w:rPr>
        <w:t>The most common</w:t>
      </w:r>
      <w:r w:rsidR="003372F7" w:rsidRPr="00F46944">
        <w:rPr>
          <w:rFonts w:cstheme="minorHAnsi"/>
        </w:rPr>
        <w:t xml:space="preserve">ly </w:t>
      </w:r>
      <w:r w:rsidR="006018ED">
        <w:rPr>
          <w:rFonts w:cstheme="minorHAnsi"/>
        </w:rPr>
        <w:t>dispensed</w:t>
      </w:r>
      <w:r w:rsidR="003372F7" w:rsidRPr="00F46944">
        <w:rPr>
          <w:rFonts w:cstheme="minorHAnsi"/>
        </w:rPr>
        <w:t xml:space="preserve"> </w:t>
      </w:r>
      <w:r w:rsidR="002075BB" w:rsidRPr="00F46944">
        <w:rPr>
          <w:rFonts w:cstheme="minorHAnsi"/>
        </w:rPr>
        <w:t xml:space="preserve">antimicrobial </w:t>
      </w:r>
      <w:r w:rsidR="0082078D" w:rsidRPr="00F46944">
        <w:rPr>
          <w:rFonts w:cstheme="minorHAnsi"/>
        </w:rPr>
        <w:t xml:space="preserve">classes </w:t>
      </w:r>
      <w:r w:rsidRPr="00F46944">
        <w:rPr>
          <w:rFonts w:cstheme="minorHAnsi"/>
        </w:rPr>
        <w:t>(based on DDD per 1,000</w:t>
      </w:r>
      <w:r w:rsidR="00772DCB" w:rsidRPr="00F46944">
        <w:rPr>
          <w:rFonts w:cstheme="minorHAnsi"/>
        </w:rPr>
        <w:t> </w:t>
      </w:r>
      <w:r w:rsidRPr="00F46944">
        <w:rPr>
          <w:rFonts w:cstheme="minorHAnsi"/>
        </w:rPr>
        <w:t xml:space="preserve">people per day and </w:t>
      </w:r>
      <w:r w:rsidR="00EC5A88" w:rsidRPr="00F46944">
        <w:rPr>
          <w:rFonts w:cstheme="minorHAnsi"/>
        </w:rPr>
        <w:t xml:space="preserve">antimicrobial </w:t>
      </w:r>
      <w:r w:rsidRPr="00F46944">
        <w:rPr>
          <w:rFonts w:cstheme="minorHAnsi"/>
        </w:rPr>
        <w:t xml:space="preserve">class; </w:t>
      </w:r>
      <w:r w:rsidRPr="00E0396F">
        <w:rPr>
          <w:rFonts w:cstheme="minorHAnsi"/>
        </w:rPr>
        <w:t>Figure</w:t>
      </w:r>
      <w:r w:rsidR="00C112F6" w:rsidRPr="00EA1E2A">
        <w:rPr>
          <w:rFonts w:cstheme="minorHAnsi"/>
        </w:rPr>
        <w:t> </w:t>
      </w:r>
      <w:r w:rsidR="00400BE4" w:rsidRPr="00E0396F">
        <w:rPr>
          <w:rFonts w:cstheme="minorHAnsi"/>
        </w:rPr>
        <w:t>5</w:t>
      </w:r>
      <w:r w:rsidRPr="00F46944">
        <w:rPr>
          <w:rFonts w:cstheme="minorHAnsi"/>
        </w:rPr>
        <w:t>) were</w:t>
      </w:r>
      <w:r w:rsidR="000E793A" w:rsidRPr="00F46944">
        <w:rPr>
          <w:rFonts w:cstheme="minorHAnsi"/>
        </w:rPr>
        <w:t>:</w:t>
      </w:r>
    </w:p>
    <w:p w14:paraId="57F438A8" w14:textId="05EF892A" w:rsidR="000E793A" w:rsidRPr="00F46944" w:rsidRDefault="000E793A" w:rsidP="003140B6">
      <w:pPr>
        <w:pStyle w:val="ListParagraph"/>
        <w:numPr>
          <w:ilvl w:val="0"/>
          <w:numId w:val="32"/>
        </w:numPr>
        <w:ind w:left="360"/>
        <w:rPr>
          <w:rFonts w:cstheme="minorHAnsi"/>
        </w:rPr>
      </w:pPr>
      <w:r w:rsidRPr="00F46944">
        <w:rPr>
          <w:rFonts w:cstheme="minorHAnsi"/>
        </w:rPr>
        <w:t>P</w:t>
      </w:r>
      <w:r w:rsidR="00376D94" w:rsidRPr="00F46944">
        <w:rPr>
          <w:rFonts w:cstheme="minorHAnsi"/>
        </w:rPr>
        <w:t>enicillins with extended spectrum (</w:t>
      </w:r>
      <w:r w:rsidR="00687FED" w:rsidRPr="00F46944">
        <w:rPr>
          <w:rFonts w:cstheme="minorHAnsi"/>
        </w:rPr>
        <w:t>3.4 DDD/1,000</w:t>
      </w:r>
      <w:r w:rsidR="00772DCB" w:rsidRPr="00F46944">
        <w:rPr>
          <w:rFonts w:cstheme="minorHAnsi"/>
        </w:rPr>
        <w:t> </w:t>
      </w:r>
      <w:r w:rsidR="00687FED" w:rsidRPr="00F46944">
        <w:rPr>
          <w:rFonts w:cstheme="minorHAnsi"/>
        </w:rPr>
        <w:t>people/day in 2020; 3.6 DDD/1,000</w:t>
      </w:r>
      <w:r w:rsidR="00772DCB" w:rsidRPr="00F46944">
        <w:rPr>
          <w:rFonts w:cstheme="minorHAnsi"/>
        </w:rPr>
        <w:t> </w:t>
      </w:r>
      <w:r w:rsidR="00687FED" w:rsidRPr="00F46944">
        <w:rPr>
          <w:rFonts w:cstheme="minorHAnsi"/>
        </w:rPr>
        <w:t xml:space="preserve">people/day in 2021; </w:t>
      </w:r>
      <w:r w:rsidR="00376D94" w:rsidRPr="00F46944">
        <w:rPr>
          <w:rFonts w:cstheme="minorHAnsi"/>
        </w:rPr>
        <w:t>mainly amoxicillin)</w:t>
      </w:r>
    </w:p>
    <w:p w14:paraId="41BAFA05" w14:textId="516DC442" w:rsidR="000E793A" w:rsidRPr="00F46944" w:rsidRDefault="000E793A" w:rsidP="003140B6">
      <w:pPr>
        <w:pStyle w:val="ListParagraph"/>
        <w:numPr>
          <w:ilvl w:val="0"/>
          <w:numId w:val="32"/>
        </w:numPr>
        <w:ind w:left="360"/>
        <w:rPr>
          <w:rFonts w:cstheme="minorHAnsi"/>
        </w:rPr>
      </w:pPr>
      <w:r w:rsidRPr="00F46944">
        <w:rPr>
          <w:rFonts w:cstheme="minorHAnsi"/>
        </w:rPr>
        <w:t>T</w:t>
      </w:r>
      <w:r w:rsidR="000A66D9" w:rsidRPr="00F46944">
        <w:rPr>
          <w:rFonts w:cstheme="minorHAnsi"/>
        </w:rPr>
        <w:t>etracyclines (</w:t>
      </w:r>
      <w:r w:rsidR="00687FED" w:rsidRPr="00F46944">
        <w:rPr>
          <w:rFonts w:cstheme="minorHAnsi"/>
        </w:rPr>
        <w:t>3.6 DDD/1,000</w:t>
      </w:r>
      <w:r w:rsidR="00772DCB" w:rsidRPr="00F46944">
        <w:rPr>
          <w:rFonts w:cstheme="minorHAnsi"/>
        </w:rPr>
        <w:t> </w:t>
      </w:r>
      <w:r w:rsidR="00687FED" w:rsidRPr="00F46944">
        <w:rPr>
          <w:rFonts w:cstheme="minorHAnsi"/>
        </w:rPr>
        <w:t xml:space="preserve">people/day in 2020 and 2021; </w:t>
      </w:r>
      <w:r w:rsidR="000A66D9" w:rsidRPr="00F46944">
        <w:rPr>
          <w:rFonts w:cstheme="minorHAnsi"/>
        </w:rPr>
        <w:t xml:space="preserve">mainly doxycycline) </w:t>
      </w:r>
    </w:p>
    <w:p w14:paraId="25C40E97" w14:textId="7B0EF40F" w:rsidR="00C22B0D" w:rsidRPr="00F46944" w:rsidRDefault="00376D94" w:rsidP="003140B6">
      <w:pPr>
        <w:pStyle w:val="ListParagraph"/>
        <w:numPr>
          <w:ilvl w:val="0"/>
          <w:numId w:val="32"/>
        </w:numPr>
        <w:ind w:left="360"/>
        <w:rPr>
          <w:rFonts w:cstheme="minorHAnsi"/>
        </w:rPr>
      </w:pPr>
      <w:r w:rsidRPr="00F46944">
        <w:rPr>
          <w:rFonts w:cstheme="minorHAnsi"/>
        </w:rPr>
        <w:t>β-lactamase inhibitor combinations (</w:t>
      </w:r>
      <w:r w:rsidR="00687FED" w:rsidRPr="00F46944">
        <w:rPr>
          <w:rFonts w:cstheme="minorHAnsi"/>
        </w:rPr>
        <w:t>2.8 DDD/1,000</w:t>
      </w:r>
      <w:r w:rsidR="00772DCB" w:rsidRPr="00F46944">
        <w:rPr>
          <w:rFonts w:cstheme="minorHAnsi"/>
        </w:rPr>
        <w:t> </w:t>
      </w:r>
      <w:r w:rsidR="00687FED" w:rsidRPr="00F46944">
        <w:rPr>
          <w:rFonts w:cstheme="minorHAnsi"/>
        </w:rPr>
        <w:t xml:space="preserve">people/day in 2020 and 2021; </w:t>
      </w:r>
      <w:r w:rsidRPr="00F46944">
        <w:rPr>
          <w:rFonts w:cstheme="minorHAnsi"/>
        </w:rPr>
        <w:t>amoxicillin</w:t>
      </w:r>
      <w:r w:rsidR="008B0845" w:rsidRPr="00F46944">
        <w:rPr>
          <w:rFonts w:asciiTheme="majorHAnsi" w:hAnsiTheme="majorHAnsi" w:cstheme="majorHAnsi"/>
        </w:rPr>
        <w:t>–</w:t>
      </w:r>
      <w:r w:rsidRPr="00F46944">
        <w:rPr>
          <w:rFonts w:cstheme="minorHAnsi"/>
        </w:rPr>
        <w:t>clavulanic acid)</w:t>
      </w:r>
    </w:p>
    <w:p w14:paraId="2E88B190" w14:textId="2B25E017" w:rsidR="00A917DE" w:rsidRDefault="00C22B0D" w:rsidP="003140B6">
      <w:pPr>
        <w:pStyle w:val="ListParagraph"/>
        <w:numPr>
          <w:ilvl w:val="0"/>
          <w:numId w:val="32"/>
        </w:numPr>
        <w:ind w:left="360"/>
        <w:rPr>
          <w:rFonts w:cstheme="minorHAnsi"/>
        </w:rPr>
      </w:pPr>
      <w:r w:rsidRPr="00F46944">
        <w:rPr>
          <w:rFonts w:cstheme="minorHAnsi"/>
        </w:rPr>
        <w:t>F</w:t>
      </w:r>
      <w:r w:rsidR="00376D94" w:rsidRPr="00F46944">
        <w:rPr>
          <w:rFonts w:cstheme="minorHAnsi"/>
        </w:rPr>
        <w:t>irst-generation cephalosporins (</w:t>
      </w:r>
      <w:r w:rsidR="00687FED" w:rsidRPr="00F46944">
        <w:rPr>
          <w:rFonts w:cstheme="minorHAnsi"/>
        </w:rPr>
        <w:t>2.5 DDD/1,000</w:t>
      </w:r>
      <w:r w:rsidR="00772DCB" w:rsidRPr="00F46944">
        <w:rPr>
          <w:rFonts w:cstheme="minorHAnsi"/>
        </w:rPr>
        <w:t> </w:t>
      </w:r>
      <w:r w:rsidR="00687FED" w:rsidRPr="00F46944">
        <w:rPr>
          <w:rFonts w:cstheme="minorHAnsi"/>
        </w:rPr>
        <w:t>people/day in 2020; 2.4 DDD/1,000</w:t>
      </w:r>
      <w:r w:rsidR="00772DCB" w:rsidRPr="00F46944">
        <w:rPr>
          <w:rFonts w:cstheme="minorHAnsi"/>
        </w:rPr>
        <w:t> </w:t>
      </w:r>
      <w:r w:rsidR="00687FED" w:rsidRPr="00F46944">
        <w:rPr>
          <w:rFonts w:cstheme="minorHAnsi"/>
        </w:rPr>
        <w:t xml:space="preserve">people/day in 2021; </w:t>
      </w:r>
      <w:r w:rsidR="00376D94" w:rsidRPr="00F46944">
        <w:rPr>
          <w:rFonts w:cstheme="minorHAnsi"/>
        </w:rPr>
        <w:t>cefalexin).</w:t>
      </w:r>
    </w:p>
    <w:p w14:paraId="67129890" w14:textId="3F4BD0A9" w:rsidR="002564A9" w:rsidRDefault="002564A9">
      <w:pPr>
        <w:spacing w:after="80"/>
        <w:rPr>
          <w:rFonts w:cstheme="minorHAnsi"/>
        </w:rPr>
      </w:pPr>
      <w:r>
        <w:rPr>
          <w:rFonts w:cstheme="minorHAnsi"/>
        </w:rPr>
        <w:br w:type="page"/>
      </w:r>
    </w:p>
    <w:p w14:paraId="257BE313" w14:textId="4E9FB224" w:rsidR="00337147" w:rsidRPr="004A61B4" w:rsidRDefault="004A61B4" w:rsidP="002564A9">
      <w:pPr>
        <w:pStyle w:val="Captions"/>
        <w:spacing w:after="0"/>
        <w:rPr>
          <w:b w:val="0"/>
          <w:bCs w:val="0"/>
          <w:noProof/>
        </w:rPr>
      </w:pPr>
      <w:bookmarkStart w:id="67" w:name="_Toc121491317"/>
      <w:bookmarkStart w:id="68" w:name="_Toc121840889"/>
      <w:bookmarkStart w:id="69" w:name="_Hlk100304103"/>
      <w:r>
        <w:lastRenderedPageBreak/>
        <w:t>Figure</w:t>
      </w:r>
      <w:r w:rsidRPr="00EA1E2A">
        <w:t> </w:t>
      </w:r>
      <w:fldSimple w:instr=" SEQ Figure \* ARABIC ">
        <w:r w:rsidR="00F34DDD">
          <w:rPr>
            <w:noProof/>
          </w:rPr>
          <w:t>5</w:t>
        </w:r>
      </w:fldSimple>
      <w:r w:rsidR="00337147" w:rsidRPr="00F46944">
        <w:rPr>
          <w:rStyle w:val="figurenumber"/>
          <w:rFonts w:asciiTheme="majorHAnsi" w:hAnsiTheme="majorHAnsi" w:cstheme="majorHAnsi"/>
        </w:rPr>
        <w:t>:</w:t>
      </w:r>
      <w:r w:rsidR="00337147" w:rsidRPr="004A61B4">
        <w:rPr>
          <w:b w:val="0"/>
          <w:bCs w:val="0"/>
        </w:rPr>
        <w:t> Number of PBS/RPBS prescriptions dispensed</w:t>
      </w:r>
      <w:r w:rsidR="00564C4B" w:rsidRPr="004A61B4">
        <w:rPr>
          <w:b w:val="0"/>
          <w:bCs w:val="0"/>
        </w:rPr>
        <w:t xml:space="preserve"> </w:t>
      </w:r>
      <w:r w:rsidR="00337147" w:rsidRPr="004A61B4">
        <w:rPr>
          <w:b w:val="0"/>
          <w:bCs w:val="0"/>
        </w:rPr>
        <w:t>(DDD/1,000 people/day), by antimicrobial class, 2015–2021</w:t>
      </w:r>
      <w:bookmarkEnd w:id="67"/>
      <w:bookmarkEnd w:id="68"/>
    </w:p>
    <w:p w14:paraId="1D9625A9" w14:textId="74928F7D" w:rsidR="00FF0FA6" w:rsidRDefault="002564A9" w:rsidP="002564A9">
      <w:pPr>
        <w:tabs>
          <w:tab w:val="left" w:pos="142"/>
        </w:tabs>
        <w:spacing w:after="0"/>
        <w:rPr>
          <w:rFonts w:cstheme="minorHAnsi"/>
          <w:sz w:val="16"/>
          <w:szCs w:val="16"/>
        </w:rPr>
      </w:pPr>
      <w:r>
        <w:rPr>
          <w:noProof/>
        </w:rPr>
        <w:drawing>
          <wp:inline distT="0" distB="0" distL="0" distR="0" wp14:anchorId="35979A88" wp14:editId="003BD2CB">
            <wp:extent cx="5925820" cy="6509385"/>
            <wp:effectExtent l="0" t="0" r="0" b="5715"/>
            <wp:docPr id="49" name="Picture 49" descr="Figure 5: Number of PBS/RPBS prescriptions dispensed (DDD/1,000 people/day), by antimicrobial class, 2015–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Figure 5: Number of PBS/RPBS prescriptions dispensed (DDD/1,000 people/day), by antimicrobial class, 2015–2021"/>
                    <pic:cNvPicPr/>
                  </pic:nvPicPr>
                  <pic:blipFill>
                    <a:blip r:embed="rId18"/>
                    <a:stretch>
                      <a:fillRect/>
                    </a:stretch>
                  </pic:blipFill>
                  <pic:spPr>
                    <a:xfrm>
                      <a:off x="0" y="0"/>
                      <a:ext cx="5925820" cy="6509385"/>
                    </a:xfrm>
                    <a:prstGeom prst="rect">
                      <a:avLst/>
                    </a:prstGeom>
                  </pic:spPr>
                </pic:pic>
              </a:graphicData>
            </a:graphic>
          </wp:inline>
        </w:drawing>
      </w:r>
      <w:r w:rsidR="00337147" w:rsidRPr="00F46944">
        <w:rPr>
          <w:rFonts w:cstheme="minorHAnsi"/>
          <w:sz w:val="16"/>
          <w:szCs w:val="16"/>
        </w:rPr>
        <w:t>DDD = defined daily dose; PBS = Pharmaceutical Benefits Scheme; RPBS = Repatriation Pharmaceutical Benefits Scheme</w:t>
      </w:r>
    </w:p>
    <w:p w14:paraId="4E84D0EF" w14:textId="1E5D5367" w:rsidR="00AF0F57" w:rsidRDefault="00337147" w:rsidP="00AF0F57">
      <w:pPr>
        <w:tabs>
          <w:tab w:val="left" w:pos="142"/>
        </w:tabs>
        <w:rPr>
          <w:rFonts w:cstheme="minorHAnsi"/>
        </w:rPr>
      </w:pPr>
      <w:r w:rsidRPr="00F46944">
        <w:rPr>
          <w:rFonts w:cstheme="minorHAnsi"/>
          <w:sz w:val="16"/>
          <w:szCs w:val="16"/>
        </w:rPr>
        <w:t>Source: Gadzhanova, Roughead</w:t>
      </w:r>
      <w:r w:rsidRPr="00F46944">
        <w:rPr>
          <w:rFonts w:cstheme="minorHAnsi"/>
          <w:sz w:val="16"/>
          <w:szCs w:val="16"/>
        </w:rPr>
        <w:fldChar w:fldCharType="begin"/>
      </w:r>
      <w:r w:rsidR="00DB0DCB">
        <w:rPr>
          <w:rFonts w:cstheme="minorHAnsi"/>
          <w:sz w:val="16"/>
          <w:szCs w:val="16"/>
        </w:rPr>
        <w:instrText xml:space="preserve"> ADDIN EN.CITE &lt;EndNote&gt;&lt;Cite&gt;&lt;Author&gt;Gadzhanova&lt;/Author&gt;&lt;RecNum&gt;5&lt;/RecNum&gt;&lt;DisplayText&gt;&lt;style face="superscript"&gt;5&lt;/style&gt;&lt;/DisplayText&gt;&lt;record&gt;&lt;rec-number&gt;5&lt;/rec-number&gt;&lt;foreign-keys&gt;&lt;key app="EN" db-id="es9dr99ws90stoe5x2rp505nazvswdzppxa5" timestamp="1670810539"&gt;5&lt;/key&gt;&lt;/foreign-keys&gt;&lt;ref-type name="Unpublished Work"&gt;34&lt;/ref-type&gt;&lt;contributors&gt;&lt;authors&gt;&lt;author&gt;Gadzhanova, S.&lt;/author&gt;&lt;author&gt;Roughead, E.&lt;/author&gt;&lt;/authors&gt;&lt;/contributors&gt;&lt;titles&gt;&lt;title&gt;Analysis of 2015–2021 PBS data for the National Report on Antimicrobial Use and Resistance (unpublished)&lt;/title&gt;&lt;/titles&gt;&lt;dates&gt;&lt;/dates&gt;&lt;pub-location&gt;Sydney &lt;/pub-location&gt;&lt;publisher&gt;ACSQHC &lt;/publisher&gt;&lt;urls&gt;&lt;/urls&gt;&lt;/record&gt;&lt;/Cite&gt;&lt;/EndNote&gt;</w:instrText>
      </w:r>
      <w:r w:rsidRPr="00F46944">
        <w:rPr>
          <w:rFonts w:cstheme="minorHAnsi"/>
          <w:sz w:val="16"/>
          <w:szCs w:val="16"/>
        </w:rPr>
        <w:fldChar w:fldCharType="separate"/>
      </w:r>
      <w:r w:rsidR="001C0A42" w:rsidRPr="001C0A42">
        <w:rPr>
          <w:rFonts w:cstheme="minorHAnsi"/>
          <w:noProof/>
          <w:sz w:val="16"/>
          <w:szCs w:val="16"/>
          <w:vertAlign w:val="superscript"/>
        </w:rPr>
        <w:t>5</w:t>
      </w:r>
      <w:r w:rsidRPr="00F46944">
        <w:rPr>
          <w:rFonts w:cstheme="minorHAnsi"/>
          <w:sz w:val="16"/>
          <w:szCs w:val="16"/>
        </w:rPr>
        <w:fldChar w:fldCharType="end"/>
      </w:r>
      <w:r w:rsidR="00AF0F57">
        <w:rPr>
          <w:rFonts w:cstheme="minorHAnsi"/>
        </w:rPr>
        <w:br w:type="page"/>
      </w:r>
    </w:p>
    <w:p w14:paraId="2F729C12" w14:textId="79D3D44F" w:rsidR="00974AD3" w:rsidRDefault="00974AD3" w:rsidP="00C112F6">
      <w:pPr>
        <w:rPr>
          <w:rFonts w:cstheme="minorHAnsi"/>
        </w:rPr>
      </w:pPr>
      <w:r w:rsidRPr="00F46944">
        <w:rPr>
          <w:rFonts w:cstheme="minorHAnsi"/>
        </w:rPr>
        <w:lastRenderedPageBreak/>
        <w:t xml:space="preserve">The age-standardised rate of antimicrobials supplied in the winter of 2020 and 2021 was lower across all states and territories when compared to 2019 (data not shown). </w:t>
      </w:r>
    </w:p>
    <w:p w14:paraId="7DC053E7" w14:textId="54376C6E" w:rsidR="00974AD3" w:rsidRPr="00F46944" w:rsidRDefault="00974AD3" w:rsidP="00974AD3">
      <w:pPr>
        <w:rPr>
          <w:rFonts w:cstheme="minorHAnsi"/>
        </w:rPr>
      </w:pPr>
      <w:r w:rsidRPr="00F46944">
        <w:rPr>
          <w:rFonts w:cstheme="minorHAnsi"/>
        </w:rPr>
        <w:t>The dispensing rate decreased in all age groups each year from 2019 to 2021</w:t>
      </w:r>
      <w:r w:rsidR="00564C4B">
        <w:rPr>
          <w:rFonts w:cstheme="minorHAnsi"/>
        </w:rPr>
        <w:t xml:space="preserve">, </w:t>
      </w:r>
      <w:r w:rsidRPr="00F46944">
        <w:rPr>
          <w:rFonts w:cstheme="minorHAnsi"/>
        </w:rPr>
        <w:t>except for those aged 0–</w:t>
      </w:r>
      <w:r w:rsidRPr="00F46944">
        <w:t>9</w:t>
      </w:r>
      <w:r>
        <w:t xml:space="preserve"> </w:t>
      </w:r>
      <w:r w:rsidRPr="00F46944">
        <w:t>years</w:t>
      </w:r>
      <w:r w:rsidRPr="00F46944">
        <w:rPr>
          <w:rFonts w:cstheme="minorHAnsi"/>
        </w:rPr>
        <w:t xml:space="preserve"> </w:t>
      </w:r>
      <w:r w:rsidR="00564C4B">
        <w:rPr>
          <w:rFonts w:cstheme="minorHAnsi"/>
        </w:rPr>
        <w:t>where</w:t>
      </w:r>
      <w:r w:rsidRPr="00F46944">
        <w:rPr>
          <w:rFonts w:cstheme="minorHAnsi"/>
        </w:rPr>
        <w:t xml:space="preserve"> the rates increased from 2020 to 2021, most substantially for the 2–4-year age group. However, dispensing rates did not increase to the levels observed in 2019</w:t>
      </w:r>
      <w:r w:rsidR="00564C4B">
        <w:rPr>
          <w:rFonts w:cstheme="minorHAnsi"/>
        </w:rPr>
        <w:t xml:space="preserve"> (</w:t>
      </w:r>
      <w:r w:rsidR="00564C4B" w:rsidRPr="00852D08">
        <w:rPr>
          <w:rFonts w:cstheme="minorHAnsi"/>
        </w:rPr>
        <w:t>Figure 6</w:t>
      </w:r>
      <w:r w:rsidR="00564C4B">
        <w:rPr>
          <w:rFonts w:cstheme="minorHAnsi"/>
        </w:rPr>
        <w:t>)</w:t>
      </w:r>
      <w:r w:rsidRPr="00F46944">
        <w:rPr>
          <w:rFonts w:cstheme="minorHAnsi"/>
        </w:rPr>
        <w:t xml:space="preserve">. </w:t>
      </w:r>
    </w:p>
    <w:p w14:paraId="259C3E54" w14:textId="36100DF8" w:rsidR="004B75CE" w:rsidRPr="00F46944" w:rsidRDefault="004B75CE" w:rsidP="00C112F6">
      <w:pPr>
        <w:rPr>
          <w:rFonts w:cstheme="minorHAnsi"/>
        </w:rPr>
      </w:pPr>
      <w:r w:rsidRPr="00F46944">
        <w:rPr>
          <w:rFonts w:cstheme="minorHAnsi"/>
        </w:rPr>
        <w:t xml:space="preserve">There was noticeable variation in PBS/RPBS </w:t>
      </w:r>
      <w:r w:rsidR="009D3FE7" w:rsidRPr="00F46944">
        <w:t xml:space="preserve">antimicrobial </w:t>
      </w:r>
      <w:r w:rsidRPr="00F46944">
        <w:rPr>
          <w:rFonts w:cstheme="minorHAnsi"/>
        </w:rPr>
        <w:t>dispensing rates for different age groups (</w:t>
      </w:r>
      <w:r w:rsidRPr="00E0396F">
        <w:rPr>
          <w:rFonts w:cstheme="minorHAnsi"/>
        </w:rPr>
        <w:t>Figure</w:t>
      </w:r>
      <w:r w:rsidR="00C112F6" w:rsidRPr="00EA1E2A">
        <w:rPr>
          <w:rFonts w:cstheme="minorHAnsi"/>
        </w:rPr>
        <w:t> </w:t>
      </w:r>
      <w:r w:rsidRPr="00E0396F">
        <w:rPr>
          <w:rFonts w:cstheme="minorHAnsi"/>
        </w:rPr>
        <w:t>6</w:t>
      </w:r>
      <w:r w:rsidRPr="00F46944">
        <w:rPr>
          <w:rFonts w:cstheme="minorHAnsi"/>
        </w:rPr>
        <w:t>). In 2020, the rate</w:t>
      </w:r>
      <w:r w:rsidR="00ED7324" w:rsidRPr="00F46944">
        <w:rPr>
          <w:rFonts w:cstheme="minorHAnsi"/>
        </w:rPr>
        <w:t>s</w:t>
      </w:r>
      <w:r w:rsidRPr="00F46944">
        <w:rPr>
          <w:rFonts w:cstheme="minorHAnsi"/>
        </w:rPr>
        <w:t xml:space="preserve"> </w:t>
      </w:r>
      <w:r w:rsidR="00ED7324" w:rsidRPr="00F46944">
        <w:rPr>
          <w:rFonts w:cstheme="minorHAnsi"/>
        </w:rPr>
        <w:t xml:space="preserve">were </w:t>
      </w:r>
      <w:r w:rsidRPr="00F46944">
        <w:rPr>
          <w:rFonts w:cstheme="minorHAnsi"/>
        </w:rPr>
        <w:t>highest for those aged 45</w:t>
      </w:r>
      <w:r w:rsidR="008F2B97" w:rsidRPr="00F46944">
        <w:rPr>
          <w:rFonts w:cstheme="minorHAnsi"/>
        </w:rPr>
        <w:t> </w:t>
      </w:r>
      <w:r w:rsidRPr="00F46944">
        <w:rPr>
          <w:rFonts w:cstheme="minorHAnsi"/>
        </w:rPr>
        <w:t xml:space="preserve">years and over, which was consistent across all states and territories. The lowest rate in 2020 was observed for the 5–9-year age group. </w:t>
      </w:r>
    </w:p>
    <w:p w14:paraId="760FDF93" w14:textId="566698F3" w:rsidR="004B75CE" w:rsidRPr="00F46944" w:rsidRDefault="004B75CE" w:rsidP="004B75CE">
      <w:pPr>
        <w:rPr>
          <w:rFonts w:cstheme="minorHAnsi"/>
        </w:rPr>
      </w:pPr>
      <w:r w:rsidRPr="00F46944">
        <w:rPr>
          <w:rFonts w:cstheme="minorHAnsi"/>
        </w:rPr>
        <w:t>In 2021, PBS/RPBS dispensing rate</w:t>
      </w:r>
      <w:r w:rsidR="00ED7324" w:rsidRPr="00F46944">
        <w:rPr>
          <w:rFonts w:cstheme="minorHAnsi"/>
        </w:rPr>
        <w:t xml:space="preserve">s were </w:t>
      </w:r>
      <w:r w:rsidRPr="00F46944">
        <w:rPr>
          <w:rFonts w:cstheme="minorHAnsi"/>
        </w:rPr>
        <w:t>highest for those aged 65</w:t>
      </w:r>
      <w:r w:rsidR="008F2B97" w:rsidRPr="00F46944">
        <w:rPr>
          <w:rFonts w:cstheme="minorHAnsi"/>
        </w:rPr>
        <w:t> </w:t>
      </w:r>
      <w:r w:rsidRPr="00F46944">
        <w:rPr>
          <w:rFonts w:cstheme="minorHAnsi"/>
        </w:rPr>
        <w:t xml:space="preserve">years and over, which was consistent across all states and territories. The lowest rate in 2021 was observed for the 5–9-year age group. </w:t>
      </w:r>
      <w:r w:rsidR="00433D91" w:rsidRPr="00F46944">
        <w:rPr>
          <w:rFonts w:cstheme="minorHAnsi"/>
        </w:rPr>
        <w:t xml:space="preserve">The </w:t>
      </w:r>
      <w:r w:rsidR="00101599" w:rsidRPr="00F46944">
        <w:rPr>
          <w:rFonts w:cstheme="minorHAnsi"/>
        </w:rPr>
        <w:t>2019</w:t>
      </w:r>
      <w:r w:rsidR="00433D91" w:rsidRPr="00F46944">
        <w:rPr>
          <w:rFonts w:cstheme="minorHAnsi"/>
        </w:rPr>
        <w:t xml:space="preserve"> pattern</w:t>
      </w:r>
      <w:r w:rsidR="005922B1" w:rsidRPr="00F46944">
        <w:rPr>
          <w:rFonts w:cstheme="minorHAnsi"/>
        </w:rPr>
        <w:t>s</w:t>
      </w:r>
      <w:r w:rsidR="00433D91" w:rsidRPr="00F46944">
        <w:rPr>
          <w:rFonts w:cstheme="minorHAnsi"/>
        </w:rPr>
        <w:t xml:space="preserve"> </w:t>
      </w:r>
      <w:r w:rsidR="00101599" w:rsidRPr="00F46944">
        <w:rPr>
          <w:rFonts w:cstheme="minorHAnsi"/>
        </w:rPr>
        <w:t xml:space="preserve">of prescribing by patient age group, </w:t>
      </w:r>
      <w:r w:rsidR="005922B1" w:rsidRPr="00F46944">
        <w:rPr>
          <w:rFonts w:cstheme="minorHAnsi"/>
        </w:rPr>
        <w:t xml:space="preserve">were </w:t>
      </w:r>
      <w:r w:rsidR="00433D91" w:rsidRPr="00F46944">
        <w:rPr>
          <w:rFonts w:cstheme="minorHAnsi"/>
        </w:rPr>
        <w:t xml:space="preserve">similar to </w:t>
      </w:r>
      <w:r w:rsidR="005922B1" w:rsidRPr="00F46944">
        <w:rPr>
          <w:rFonts w:cstheme="minorHAnsi"/>
        </w:rPr>
        <w:t>those</w:t>
      </w:r>
      <w:r w:rsidR="00433D91" w:rsidRPr="00F46944">
        <w:rPr>
          <w:rFonts w:cstheme="minorHAnsi"/>
        </w:rPr>
        <w:t xml:space="preserve"> observed in 20</w:t>
      </w:r>
      <w:r w:rsidR="00101599" w:rsidRPr="00F46944">
        <w:rPr>
          <w:rFonts w:cstheme="minorHAnsi"/>
        </w:rPr>
        <w:t>21. However, t</w:t>
      </w:r>
      <w:r w:rsidR="00433D91" w:rsidRPr="00F46944">
        <w:rPr>
          <w:rFonts w:cstheme="minorHAnsi"/>
        </w:rPr>
        <w:t xml:space="preserve">he lowest rate of prescribing was for </w:t>
      </w:r>
      <w:r w:rsidR="006C67E1" w:rsidRPr="00F46944">
        <w:rPr>
          <w:rFonts w:cstheme="minorHAnsi"/>
        </w:rPr>
        <w:t>those aged</w:t>
      </w:r>
      <w:r w:rsidR="00433D91" w:rsidRPr="00F46944">
        <w:rPr>
          <w:rFonts w:cstheme="minorHAnsi"/>
        </w:rPr>
        <w:t xml:space="preserve"> 10–19</w:t>
      </w:r>
      <w:r w:rsidR="006C67E1" w:rsidRPr="00F46944">
        <w:rPr>
          <w:rFonts w:cstheme="minorHAnsi"/>
        </w:rPr>
        <w:t> </w:t>
      </w:r>
      <w:r w:rsidR="00433D91" w:rsidRPr="00F46944">
        <w:rPr>
          <w:rFonts w:cstheme="minorHAnsi"/>
        </w:rPr>
        <w:t>year</w:t>
      </w:r>
      <w:r w:rsidR="006C67E1" w:rsidRPr="00F46944">
        <w:rPr>
          <w:rFonts w:cstheme="minorHAnsi"/>
        </w:rPr>
        <w:t>s</w:t>
      </w:r>
      <w:r w:rsidR="00101599" w:rsidRPr="00F46944">
        <w:rPr>
          <w:rFonts w:cstheme="minorHAnsi"/>
        </w:rPr>
        <w:t xml:space="preserve"> in 2019</w:t>
      </w:r>
      <w:r w:rsidR="006C67E1" w:rsidRPr="00F46944">
        <w:rPr>
          <w:rFonts w:cstheme="minorHAnsi"/>
        </w:rPr>
        <w:t>.</w:t>
      </w:r>
      <w:r w:rsidR="00A11C9A" w:rsidRPr="00F46944">
        <w:rPr>
          <w:rFonts w:cstheme="minorHAnsi"/>
        </w:rPr>
        <w:t xml:space="preserve"> </w:t>
      </w:r>
    </w:p>
    <w:p w14:paraId="207D99C0" w14:textId="683C2435" w:rsidR="004B75CE" w:rsidRPr="004A61B4" w:rsidRDefault="004A61B4" w:rsidP="004659FA">
      <w:pPr>
        <w:pStyle w:val="Captions"/>
        <w:rPr>
          <w:b w:val="0"/>
          <w:bCs w:val="0"/>
        </w:rPr>
      </w:pPr>
      <w:bookmarkStart w:id="70" w:name="_Toc121491318"/>
      <w:bookmarkStart w:id="71" w:name="_Toc121840890"/>
      <w:bookmarkEnd w:id="69"/>
      <w:r>
        <w:t>Figure</w:t>
      </w:r>
      <w:r w:rsidRPr="00EA1E2A">
        <w:t> </w:t>
      </w:r>
      <w:fldSimple w:instr=" SEQ Figure \* ARABIC ">
        <w:r w:rsidR="00F34DDD">
          <w:rPr>
            <w:noProof/>
          </w:rPr>
          <w:t>6</w:t>
        </w:r>
      </w:fldSimple>
      <w:r w:rsidR="004B75CE" w:rsidRPr="00F46944">
        <w:rPr>
          <w:rStyle w:val="figurenumber"/>
          <w:rFonts w:asciiTheme="majorHAnsi" w:hAnsiTheme="majorHAnsi" w:cstheme="majorHAnsi"/>
        </w:rPr>
        <w:t>:</w:t>
      </w:r>
      <w:r w:rsidR="004B75CE" w:rsidRPr="004A61B4">
        <w:rPr>
          <w:b w:val="0"/>
          <w:bCs w:val="0"/>
        </w:rPr>
        <w:t> Number of PBS/RPBS</w:t>
      </w:r>
      <w:r w:rsidR="002972E3" w:rsidRPr="004A61B4">
        <w:rPr>
          <w:b w:val="0"/>
          <w:bCs w:val="0"/>
        </w:rPr>
        <w:t xml:space="preserve"> antimicrobial*</w:t>
      </w:r>
      <w:r w:rsidR="004B75CE" w:rsidRPr="004A61B4">
        <w:rPr>
          <w:b w:val="0"/>
          <w:bCs w:val="0"/>
        </w:rPr>
        <w:t xml:space="preserve"> prescriptions dispensed per 1,000 people, by patient age group, 20</w:t>
      </w:r>
      <w:r w:rsidR="00EC0810" w:rsidRPr="004A61B4">
        <w:rPr>
          <w:b w:val="0"/>
          <w:bCs w:val="0"/>
        </w:rPr>
        <w:t>19–</w:t>
      </w:r>
      <w:r w:rsidR="00A079D2" w:rsidRPr="004A61B4">
        <w:rPr>
          <w:b w:val="0"/>
          <w:bCs w:val="0"/>
        </w:rPr>
        <w:t>2021</w:t>
      </w:r>
      <w:bookmarkEnd w:id="70"/>
      <w:bookmarkEnd w:id="71"/>
    </w:p>
    <w:p w14:paraId="0BAEA86C" w14:textId="3F69A5D1" w:rsidR="006A3EE8" w:rsidRPr="00F46944" w:rsidRDefault="002564A9" w:rsidP="0076762C">
      <w:pPr>
        <w:tabs>
          <w:tab w:val="left" w:pos="142"/>
        </w:tabs>
        <w:rPr>
          <w:rFonts w:cstheme="minorHAnsi"/>
          <w:sz w:val="16"/>
          <w:szCs w:val="16"/>
        </w:rPr>
      </w:pPr>
      <w:r>
        <w:rPr>
          <w:rFonts w:cstheme="minorHAnsi"/>
          <w:noProof/>
          <w:sz w:val="16"/>
          <w:szCs w:val="16"/>
        </w:rPr>
        <w:drawing>
          <wp:inline distT="0" distB="0" distL="0" distR="0" wp14:anchorId="0495D64F" wp14:editId="0F6DEE10">
            <wp:extent cx="6017260" cy="3719195"/>
            <wp:effectExtent l="0" t="0" r="2540" b="0"/>
            <wp:docPr id="51" name="Picture 51" descr="Figure 6: Number of PBS/RPBS antimicrobial prescriptions dispensed per 1,000 people, by patient age group, 2019–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Figure 6: Number of PBS/RPBS antimicrobial prescriptions dispensed per 1,000 people, by patient age group, 2019–20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7260" cy="3719195"/>
                    </a:xfrm>
                    <a:prstGeom prst="rect">
                      <a:avLst/>
                    </a:prstGeom>
                    <a:noFill/>
                  </pic:spPr>
                </pic:pic>
              </a:graphicData>
            </a:graphic>
          </wp:inline>
        </w:drawing>
      </w:r>
      <w:r w:rsidR="002972E3" w:rsidRPr="00F46944">
        <w:rPr>
          <w:rFonts w:cstheme="minorHAnsi"/>
          <w:sz w:val="16"/>
          <w:szCs w:val="16"/>
        </w:rPr>
        <w:t>PBS = Pharmaceutical Benefits Scheme; RPBS = Repatriation Pharmaceutical Benefits Scheme</w:t>
      </w:r>
      <w:r w:rsidR="002972E3" w:rsidRPr="00F46944">
        <w:rPr>
          <w:rFonts w:cstheme="minorHAnsi"/>
          <w:sz w:val="16"/>
          <w:szCs w:val="16"/>
        </w:rPr>
        <w:br/>
        <w:t>*</w:t>
      </w:r>
      <w:r w:rsidR="00112691">
        <w:rPr>
          <w:rFonts w:cstheme="minorHAnsi"/>
          <w:sz w:val="16"/>
          <w:szCs w:val="16"/>
        </w:rPr>
        <w:tab/>
      </w:r>
      <w:r w:rsidR="002972E3" w:rsidRPr="00F46944">
        <w:rPr>
          <w:rFonts w:cstheme="minorHAnsi"/>
          <w:sz w:val="16"/>
          <w:szCs w:val="16"/>
        </w:rPr>
        <w:t>All antimicrobials</w:t>
      </w:r>
      <w:r w:rsidR="002972E3" w:rsidRPr="00F46944">
        <w:rPr>
          <w:rFonts w:cstheme="minorHAnsi"/>
          <w:sz w:val="16"/>
          <w:szCs w:val="16"/>
        </w:rPr>
        <w:br/>
      </w:r>
      <w:r w:rsidR="00202D52" w:rsidRPr="00F46944">
        <w:rPr>
          <w:rFonts w:cstheme="minorHAnsi"/>
          <w:sz w:val="16"/>
          <w:szCs w:val="16"/>
        </w:rPr>
        <w:t>Source: Gadzhanova, Roughead</w:t>
      </w:r>
      <w:r w:rsidR="00202D52" w:rsidRPr="00F46944">
        <w:rPr>
          <w:rFonts w:cstheme="minorHAnsi"/>
          <w:sz w:val="16"/>
          <w:szCs w:val="16"/>
        </w:rPr>
        <w:fldChar w:fldCharType="begin"/>
      </w:r>
      <w:r w:rsidR="00DB0DCB">
        <w:rPr>
          <w:rFonts w:cstheme="minorHAnsi"/>
          <w:sz w:val="16"/>
          <w:szCs w:val="16"/>
        </w:rPr>
        <w:instrText xml:space="preserve"> ADDIN EN.CITE &lt;EndNote&gt;&lt;Cite&gt;&lt;Author&gt;Gadzhanova&lt;/Author&gt;&lt;RecNum&gt;5&lt;/RecNum&gt;&lt;DisplayText&gt;&lt;style face="superscript"&gt;5&lt;/style&gt;&lt;/DisplayText&gt;&lt;record&gt;&lt;rec-number&gt;5&lt;/rec-number&gt;&lt;foreign-keys&gt;&lt;key app="EN" db-id="es9dr99ws90stoe5x2rp505nazvswdzppxa5" timestamp="1670810539"&gt;5&lt;/key&gt;&lt;/foreign-keys&gt;&lt;ref-type name="Unpublished Work"&gt;34&lt;/ref-type&gt;&lt;contributors&gt;&lt;authors&gt;&lt;author&gt;Gadzhanova, S.&lt;/author&gt;&lt;author&gt;Roughead, E.&lt;/author&gt;&lt;/authors&gt;&lt;/contributors&gt;&lt;titles&gt;&lt;title&gt;Analysis of 2015–2021 PBS data for the National Report on Antimicrobial Use and Resistance (unpublished)&lt;/title&gt;&lt;/titles&gt;&lt;dates&gt;&lt;/dates&gt;&lt;pub-location&gt;Sydney &lt;/pub-location&gt;&lt;publisher&gt;ACSQHC &lt;/publisher&gt;&lt;urls&gt;&lt;/urls&gt;&lt;/record&gt;&lt;/Cite&gt;&lt;/EndNote&gt;</w:instrText>
      </w:r>
      <w:r w:rsidR="00202D52" w:rsidRPr="00F46944">
        <w:rPr>
          <w:rFonts w:cstheme="minorHAnsi"/>
          <w:sz w:val="16"/>
          <w:szCs w:val="16"/>
        </w:rPr>
        <w:fldChar w:fldCharType="separate"/>
      </w:r>
      <w:r w:rsidR="001C0A42" w:rsidRPr="001C0A42">
        <w:rPr>
          <w:rFonts w:cstheme="minorHAnsi"/>
          <w:noProof/>
          <w:sz w:val="16"/>
          <w:szCs w:val="16"/>
          <w:vertAlign w:val="superscript"/>
        </w:rPr>
        <w:t>5</w:t>
      </w:r>
      <w:r w:rsidR="00202D52" w:rsidRPr="00F46944">
        <w:rPr>
          <w:rFonts w:cstheme="minorHAnsi"/>
          <w:sz w:val="16"/>
          <w:szCs w:val="16"/>
        </w:rPr>
        <w:fldChar w:fldCharType="end"/>
      </w:r>
      <w:r w:rsidR="007D4300" w:rsidRPr="00F46944">
        <w:rPr>
          <w:rFonts w:cstheme="minorHAnsi"/>
          <w:sz w:val="16"/>
          <w:szCs w:val="16"/>
        </w:rPr>
        <w:t xml:space="preserve"> </w:t>
      </w:r>
    </w:p>
    <w:p w14:paraId="743D5AAB" w14:textId="77777777" w:rsidR="00BD0C3A" w:rsidRPr="00F46944" w:rsidRDefault="00BD0C3A" w:rsidP="00BD0C3A">
      <w:pPr>
        <w:rPr>
          <w:rFonts w:ascii="Times New Roman" w:hAnsi="Times New Roman"/>
          <w:sz w:val="24"/>
          <w:szCs w:val="24"/>
        </w:rPr>
      </w:pPr>
      <w:r w:rsidRPr="00F46944">
        <w:t xml:space="preserve">Original prescriptions accounted for 79% of all antimicrobial prescriptions supplied in 2020 and for 83% of all antimicrobial prescriptions supplied in 2021. This compares to 77% in 2019. </w:t>
      </w:r>
    </w:p>
    <w:p w14:paraId="70CC576A" w14:textId="46EE4709" w:rsidR="00BD0C3A" w:rsidRDefault="00BD0C3A" w:rsidP="00BD0C3A">
      <w:r w:rsidRPr="00F46944">
        <w:t>Since PBS/RPBS policy changes were implemented from April 2020, the vast majority of original prescriptions for amoxicillin, amoxicillin</w:t>
      </w:r>
      <w:r w:rsidRPr="00F46944">
        <w:rPr>
          <w:rFonts w:asciiTheme="majorHAnsi" w:hAnsiTheme="majorHAnsi" w:cstheme="majorHAnsi"/>
        </w:rPr>
        <w:t>–</w:t>
      </w:r>
      <w:r w:rsidRPr="00F46944">
        <w:t>clavulanic acid, cefalexin, doxycycline and roxithromycin were ordered without repeats. There was a substantial reduction in the number of repeats that were dispensed for these agents in 2020 and 2021, compared to 2019 (</w:t>
      </w:r>
      <w:r w:rsidRPr="00E0396F">
        <w:t>Table</w:t>
      </w:r>
      <w:r w:rsidRPr="00EA1E2A">
        <w:t> </w:t>
      </w:r>
      <w:r w:rsidRPr="00E0396F">
        <w:t>7</w:t>
      </w:r>
      <w:r w:rsidRPr="00F46944">
        <w:t xml:space="preserve">; 2020 data not shown). </w:t>
      </w:r>
    </w:p>
    <w:p w14:paraId="63A0369E" w14:textId="7BDFB4F6" w:rsidR="00EC6434" w:rsidRPr="00F46944" w:rsidRDefault="00EC6434" w:rsidP="00BD0C3A">
      <w:r w:rsidRPr="00EC6434">
        <w:lastRenderedPageBreak/>
        <w:t>In 2019, approximately 50% of all antimicrobial prescriptions were ordered with repeats – of these, approximately 50% were filled within 10 days of the original prescription.</w:t>
      </w:r>
      <w:r w:rsidRPr="00EC6434">
        <w:fldChar w:fldCharType="begin"/>
      </w:r>
      <w:r w:rsidR="00412507">
        <w:instrText xml:space="preserve"> ADDIN EN.CITE &lt;EndNote&gt;&lt;Cite&gt;&lt;Author&gt;Care&lt;/Author&gt;&lt;Year&gt;2021&lt;/Year&gt;&lt;RecNum&gt;1&lt;/RecNum&gt;&lt;DisplayText&gt;&lt;style face="superscript"&gt;1&lt;/style&gt;&lt;/DisplayText&gt;&lt;record&gt;&lt;rec-number&gt;1&lt;/rec-number&gt;&lt;foreign-keys&gt;&lt;key app="EN" db-id="es9dr99ws90stoe5x2rp505nazvswdzppxa5" timestamp="1670810538"&gt;1&lt;/key&gt;&lt;/foreign-keys&gt;&lt;ref-type name="Report"&gt;27&lt;/ref-type&gt;&lt;contributors&gt;&lt;authors&gt;&lt;author&gt;Australian Commission on Safety and Quality in Health Care&lt;/author&gt;&lt;/authors&gt;&lt;/contributors&gt;&lt;titles&gt;&lt;title&gt;AURA 2021: fourth Australian report on antimicrobial use and resistance in human health&lt;/title&gt;&lt;/titles&gt;&lt;dates&gt;&lt;year&gt;2021&lt;/year&gt;&lt;/dates&gt;&lt;pub-location&gt;Sydney&lt;/pub-location&gt;&lt;publisher&gt;ACSQHC&lt;/publisher&gt;&lt;urls&gt;&lt;/urls&gt;&lt;/record&gt;&lt;/Cite&gt;&lt;/EndNote&gt;</w:instrText>
      </w:r>
      <w:r w:rsidRPr="00EC6434">
        <w:fldChar w:fldCharType="separate"/>
      </w:r>
      <w:r w:rsidR="00DB0DCB" w:rsidRPr="00DB0DCB">
        <w:rPr>
          <w:noProof/>
          <w:vertAlign w:val="superscript"/>
        </w:rPr>
        <w:t>1</w:t>
      </w:r>
      <w:r w:rsidRPr="00EC6434">
        <w:fldChar w:fldCharType="end"/>
      </w:r>
      <w:r w:rsidRPr="00EC6434">
        <w:t xml:space="preserve"> </w:t>
      </w:r>
      <w:r w:rsidR="00BC17C9" w:rsidRPr="00EC6434">
        <w:t xml:space="preserve">Repeat prescriptions filled within 10 days usually indicate a continuation of the original course of treatment. Repeat prescriptions dispensed after 10 days may indicate an interruption of the original duration and increased potential for inappropriate use. </w:t>
      </w:r>
    </w:p>
    <w:p w14:paraId="6A42831A" w14:textId="4F8EEF14" w:rsidR="00BD0C3A" w:rsidRPr="00F46944" w:rsidRDefault="00BD0C3A" w:rsidP="00BD0C3A">
      <w:r w:rsidRPr="00F46944">
        <w:t>Analysis of the proportion of commonly dispensed antimicrobial prescriptions where the first repeat was dispensed within 10 days of the original, however, showed marginal or little difference between 2019 and 2021 – remaining around one quarter to one half. This is except for roxithromycin, for which there was a considerable reduction in the proportion of repeats dispensed within 10 days of the original after PBS/RPBS restrictions were introduced</w:t>
      </w:r>
      <w:r w:rsidR="00442C54">
        <w:t xml:space="preserve"> </w:t>
      </w:r>
      <w:r w:rsidRPr="00F46944">
        <w:t xml:space="preserve">– from </w:t>
      </w:r>
      <w:r w:rsidR="003D2A1D">
        <w:t>69.9</w:t>
      </w:r>
      <w:r w:rsidRPr="00F46944">
        <w:t>% in 2019 to 6</w:t>
      </w:r>
      <w:r w:rsidR="003D2A1D">
        <w:t>.4</w:t>
      </w:r>
      <w:r w:rsidRPr="00F46944">
        <w:t>% in 2021 (</w:t>
      </w:r>
      <w:r w:rsidRPr="00E0396F">
        <w:t>Table</w:t>
      </w:r>
      <w:r w:rsidRPr="00EA1E2A">
        <w:t> </w:t>
      </w:r>
      <w:r w:rsidRPr="00E0396F">
        <w:t>7</w:t>
      </w:r>
      <w:r w:rsidRPr="00F46944">
        <w:t xml:space="preserve">). </w:t>
      </w:r>
      <w:r w:rsidRPr="00F46944">
        <w:rPr>
          <w:rFonts w:asciiTheme="majorHAnsi" w:eastAsiaTheme="minorEastAsia" w:hAnsiTheme="majorHAnsi" w:cstheme="majorHAnsi"/>
        </w:rPr>
        <w:t xml:space="preserve">These changes meant that </w:t>
      </w:r>
      <w:r w:rsidRPr="00F46944">
        <w:rPr>
          <w:rFonts w:asciiTheme="majorHAnsi" w:hAnsiTheme="majorHAnsi" w:cstheme="majorHAnsi"/>
        </w:rPr>
        <w:t>repeats were not allowed for amoxicillin, amoxicillin–clavulanic acid, cefalexin, doxycycline, roxithromycin and flucloxacillin capsules.</w:t>
      </w:r>
    </w:p>
    <w:p w14:paraId="4E418AE3" w14:textId="5F8A88F0" w:rsidR="00CD5BE6" w:rsidRPr="00275DB2" w:rsidRDefault="00275DB2" w:rsidP="00275DB2">
      <w:pPr>
        <w:pStyle w:val="Captions"/>
        <w:rPr>
          <w:b w:val="0"/>
          <w:bCs w:val="0"/>
        </w:rPr>
      </w:pPr>
      <w:bookmarkStart w:id="72" w:name="_Toc121744367"/>
      <w:bookmarkStart w:id="73" w:name="_Toc121491307"/>
      <w:r>
        <w:t>Table</w:t>
      </w:r>
      <w:r w:rsidRPr="00EA1E2A">
        <w:t> </w:t>
      </w:r>
      <w:fldSimple w:instr=" SEQ Table \* ARABIC ">
        <w:r w:rsidR="00F34DDD">
          <w:rPr>
            <w:noProof/>
          </w:rPr>
          <w:t>7</w:t>
        </w:r>
      </w:fldSimple>
      <w:r w:rsidR="001A3903" w:rsidRPr="00EA1E2A">
        <w:t>:</w:t>
      </w:r>
      <w:r w:rsidR="001A3903" w:rsidRPr="00275DB2">
        <w:rPr>
          <w:b w:val="0"/>
          <w:bCs w:val="0"/>
        </w:rPr>
        <w:t> </w:t>
      </w:r>
      <w:r w:rsidR="00F5586A" w:rsidRPr="00275DB2">
        <w:rPr>
          <w:b w:val="0"/>
          <w:bCs w:val="0"/>
        </w:rPr>
        <w:t>N</w:t>
      </w:r>
      <w:r w:rsidR="00F51C73" w:rsidRPr="00275DB2">
        <w:rPr>
          <w:b w:val="0"/>
          <w:bCs w:val="0"/>
        </w:rPr>
        <w:t>umber</w:t>
      </w:r>
      <w:r w:rsidR="004A474C" w:rsidRPr="00275DB2">
        <w:rPr>
          <w:b w:val="0"/>
          <w:bCs w:val="0"/>
        </w:rPr>
        <w:t xml:space="preserve"> </w:t>
      </w:r>
      <w:r w:rsidR="00A74D2F" w:rsidRPr="00275DB2">
        <w:rPr>
          <w:b w:val="0"/>
          <w:bCs w:val="0"/>
        </w:rPr>
        <w:t xml:space="preserve">and percent </w:t>
      </w:r>
      <w:r w:rsidR="004A474C" w:rsidRPr="00275DB2">
        <w:rPr>
          <w:b w:val="0"/>
          <w:bCs w:val="0"/>
        </w:rPr>
        <w:t xml:space="preserve">of </w:t>
      </w:r>
      <w:r w:rsidR="001A3903" w:rsidRPr="00275DB2">
        <w:rPr>
          <w:b w:val="0"/>
          <w:bCs w:val="0"/>
        </w:rPr>
        <w:t xml:space="preserve">PBS/RPBS </w:t>
      </w:r>
      <w:r w:rsidR="004A474C" w:rsidRPr="00275DB2">
        <w:rPr>
          <w:b w:val="0"/>
          <w:bCs w:val="0"/>
        </w:rPr>
        <w:t xml:space="preserve">repeat </w:t>
      </w:r>
      <w:r w:rsidR="002972E3" w:rsidRPr="00275DB2">
        <w:rPr>
          <w:b w:val="0"/>
          <w:bCs w:val="0"/>
        </w:rPr>
        <w:t xml:space="preserve">antimicrobial* </w:t>
      </w:r>
      <w:r w:rsidR="001A3903" w:rsidRPr="00275DB2">
        <w:rPr>
          <w:b w:val="0"/>
          <w:bCs w:val="0"/>
        </w:rPr>
        <w:t xml:space="preserve">prescriptions </w:t>
      </w:r>
      <w:r w:rsidR="004A474C" w:rsidRPr="00275DB2">
        <w:rPr>
          <w:b w:val="0"/>
          <w:bCs w:val="0"/>
        </w:rPr>
        <w:t>dispensed within</w:t>
      </w:r>
      <w:r w:rsidR="00F5586A" w:rsidRPr="00275DB2">
        <w:rPr>
          <w:b w:val="0"/>
          <w:bCs w:val="0"/>
        </w:rPr>
        <w:t xml:space="preserve"> </w:t>
      </w:r>
      <w:r w:rsidR="00F51C73" w:rsidRPr="00275DB2">
        <w:rPr>
          <w:b w:val="0"/>
          <w:bCs w:val="0"/>
        </w:rPr>
        <w:t>10</w:t>
      </w:r>
      <w:r w:rsidR="00CC09FB" w:rsidRPr="00275DB2">
        <w:rPr>
          <w:b w:val="0"/>
          <w:bCs w:val="0"/>
        </w:rPr>
        <w:t> </w:t>
      </w:r>
      <w:r w:rsidR="00F51C73" w:rsidRPr="00275DB2">
        <w:rPr>
          <w:b w:val="0"/>
          <w:bCs w:val="0"/>
        </w:rPr>
        <w:t xml:space="preserve">days of the original prescription </w:t>
      </w:r>
      <w:r w:rsidR="00C77992" w:rsidRPr="00275DB2">
        <w:rPr>
          <w:b w:val="0"/>
          <w:bCs w:val="0"/>
        </w:rPr>
        <w:t>being dispensed</w:t>
      </w:r>
      <w:r w:rsidR="00D92E3B" w:rsidRPr="00275DB2">
        <w:rPr>
          <w:b w:val="0"/>
          <w:bCs w:val="0"/>
        </w:rPr>
        <w:t xml:space="preserve">, </w:t>
      </w:r>
      <w:r w:rsidR="00A66614" w:rsidRPr="00275DB2">
        <w:rPr>
          <w:b w:val="0"/>
          <w:bCs w:val="0"/>
        </w:rPr>
        <w:t>20</w:t>
      </w:r>
      <w:r w:rsidR="00F51C73" w:rsidRPr="00275DB2">
        <w:rPr>
          <w:b w:val="0"/>
          <w:bCs w:val="0"/>
        </w:rPr>
        <w:t>19</w:t>
      </w:r>
      <w:r w:rsidR="00AC3C5A" w:rsidRPr="00275DB2">
        <w:rPr>
          <w:b w:val="0"/>
          <w:bCs w:val="0"/>
        </w:rPr>
        <w:t xml:space="preserve"> and </w:t>
      </w:r>
      <w:r w:rsidR="00A66614" w:rsidRPr="00275DB2">
        <w:rPr>
          <w:b w:val="0"/>
          <w:bCs w:val="0"/>
        </w:rPr>
        <w:t>20</w:t>
      </w:r>
      <w:r w:rsidR="00AF77DC" w:rsidRPr="00275DB2">
        <w:rPr>
          <w:b w:val="0"/>
          <w:bCs w:val="0"/>
        </w:rPr>
        <w:t>21</w:t>
      </w:r>
      <w:bookmarkEnd w:id="72"/>
      <w:bookmarkEnd w:id="73"/>
    </w:p>
    <w:tbl>
      <w:tblPr>
        <w:tblStyle w:val="PlainTable2"/>
        <w:tblW w:w="9451" w:type="dxa"/>
        <w:tblLook w:val="04A0" w:firstRow="1" w:lastRow="0" w:firstColumn="1" w:lastColumn="0" w:noHBand="0" w:noVBand="1"/>
      </w:tblPr>
      <w:tblGrid>
        <w:gridCol w:w="3969"/>
        <w:gridCol w:w="1370"/>
        <w:gridCol w:w="1371"/>
        <w:gridCol w:w="1370"/>
        <w:gridCol w:w="1371"/>
      </w:tblGrid>
      <w:tr w:rsidR="00F3223A" w:rsidRPr="00F46944" w14:paraId="209970DC" w14:textId="77777777" w:rsidTr="00D77422">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969" w:type="dxa"/>
            <w:shd w:val="clear" w:color="auto" w:fill="F1BBA8" w:themeFill="accent5" w:themeFillTint="66"/>
            <w:vAlign w:val="center"/>
          </w:tcPr>
          <w:p w14:paraId="169072FB" w14:textId="77777777" w:rsidR="00F3223A" w:rsidRPr="00F46944" w:rsidRDefault="00F3223A" w:rsidP="00D77422">
            <w:pPr>
              <w:rPr>
                <w:rFonts w:cstheme="minorHAnsi"/>
                <w:sz w:val="20"/>
                <w:szCs w:val="20"/>
              </w:rPr>
            </w:pPr>
            <w:r w:rsidRPr="00F46944">
              <w:rPr>
                <w:rFonts w:cstheme="minorHAnsi"/>
                <w:sz w:val="20"/>
                <w:szCs w:val="20"/>
              </w:rPr>
              <w:t>Antimicrobial</w:t>
            </w:r>
          </w:p>
        </w:tc>
        <w:tc>
          <w:tcPr>
            <w:tcW w:w="1370" w:type="dxa"/>
            <w:shd w:val="clear" w:color="auto" w:fill="F1BBA8" w:themeFill="accent5" w:themeFillTint="66"/>
            <w:vAlign w:val="center"/>
          </w:tcPr>
          <w:p w14:paraId="3E97BE8E" w14:textId="77777777" w:rsidR="00F3223A" w:rsidRPr="00F46944" w:rsidRDefault="00F3223A" w:rsidP="00D77422">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46944">
              <w:rPr>
                <w:rFonts w:cstheme="minorHAnsi"/>
                <w:sz w:val="20"/>
                <w:szCs w:val="20"/>
              </w:rPr>
              <w:t>2019 (</w:t>
            </w:r>
            <w:r w:rsidRPr="00F46944">
              <w:rPr>
                <w:rFonts w:cstheme="minorHAnsi"/>
                <w:i/>
                <w:iCs/>
                <w:sz w:val="20"/>
                <w:szCs w:val="20"/>
              </w:rPr>
              <w:t>n</w:t>
            </w:r>
            <w:r w:rsidRPr="00F46944">
              <w:rPr>
                <w:rFonts w:cstheme="minorHAnsi"/>
                <w:sz w:val="20"/>
                <w:szCs w:val="20"/>
              </w:rPr>
              <w:t>)</w:t>
            </w:r>
          </w:p>
        </w:tc>
        <w:tc>
          <w:tcPr>
            <w:tcW w:w="1371" w:type="dxa"/>
            <w:shd w:val="clear" w:color="auto" w:fill="F1BBA8" w:themeFill="accent5" w:themeFillTint="66"/>
            <w:vAlign w:val="center"/>
          </w:tcPr>
          <w:p w14:paraId="5E763057" w14:textId="77777777" w:rsidR="00F3223A" w:rsidRPr="00F46944" w:rsidRDefault="00F3223A" w:rsidP="00D77422">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46944">
              <w:rPr>
                <w:rFonts w:cstheme="minorHAnsi"/>
                <w:sz w:val="20"/>
                <w:szCs w:val="20"/>
              </w:rPr>
              <w:t>2019 (%)</w:t>
            </w:r>
          </w:p>
        </w:tc>
        <w:tc>
          <w:tcPr>
            <w:tcW w:w="1370" w:type="dxa"/>
            <w:shd w:val="clear" w:color="auto" w:fill="F1BBA8" w:themeFill="accent5" w:themeFillTint="66"/>
            <w:vAlign w:val="center"/>
          </w:tcPr>
          <w:p w14:paraId="772962E0" w14:textId="77777777" w:rsidR="00F3223A" w:rsidRPr="00F46944" w:rsidRDefault="00F3223A" w:rsidP="00D77422">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46944">
              <w:rPr>
                <w:rFonts w:cstheme="minorHAnsi"/>
                <w:sz w:val="20"/>
                <w:szCs w:val="20"/>
              </w:rPr>
              <w:t>2021 (</w:t>
            </w:r>
            <w:r w:rsidRPr="00F46944">
              <w:rPr>
                <w:rFonts w:cstheme="minorHAnsi"/>
                <w:i/>
                <w:iCs/>
                <w:sz w:val="20"/>
                <w:szCs w:val="20"/>
              </w:rPr>
              <w:t>n</w:t>
            </w:r>
            <w:r w:rsidRPr="00F46944">
              <w:rPr>
                <w:rFonts w:cstheme="minorHAnsi"/>
                <w:sz w:val="20"/>
                <w:szCs w:val="20"/>
              </w:rPr>
              <w:t>)</w:t>
            </w:r>
          </w:p>
        </w:tc>
        <w:tc>
          <w:tcPr>
            <w:tcW w:w="1371" w:type="dxa"/>
            <w:shd w:val="clear" w:color="auto" w:fill="F1BBA8" w:themeFill="accent5" w:themeFillTint="66"/>
            <w:vAlign w:val="center"/>
          </w:tcPr>
          <w:p w14:paraId="09C33373" w14:textId="77777777" w:rsidR="00F3223A" w:rsidRPr="00F46944" w:rsidRDefault="00F3223A" w:rsidP="00D77422">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46944">
              <w:rPr>
                <w:rFonts w:cstheme="minorHAnsi"/>
                <w:sz w:val="20"/>
                <w:szCs w:val="20"/>
              </w:rPr>
              <w:t>2021 (%)</w:t>
            </w:r>
          </w:p>
        </w:tc>
      </w:tr>
      <w:tr w:rsidR="00F3223A" w:rsidRPr="00F46944" w14:paraId="28D63958" w14:textId="77777777" w:rsidTr="00A74EB6">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969" w:type="dxa"/>
            <w:shd w:val="clear" w:color="auto" w:fill="F8DDD3" w:themeFill="accent5" w:themeFillTint="33"/>
          </w:tcPr>
          <w:p w14:paraId="398B7699" w14:textId="77777777" w:rsidR="00F3223A" w:rsidRPr="00F46944" w:rsidRDefault="00F3223A" w:rsidP="00D77422">
            <w:pPr>
              <w:rPr>
                <w:rFonts w:cstheme="minorHAnsi"/>
                <w:bCs w:val="0"/>
                <w:sz w:val="20"/>
                <w:szCs w:val="20"/>
              </w:rPr>
            </w:pPr>
            <w:r w:rsidRPr="00F46944">
              <w:rPr>
                <w:rFonts w:cstheme="minorHAnsi"/>
                <w:sz w:val="20"/>
                <w:szCs w:val="20"/>
              </w:rPr>
              <w:t>Cefalexin</w:t>
            </w:r>
          </w:p>
        </w:tc>
        <w:tc>
          <w:tcPr>
            <w:tcW w:w="1370" w:type="dxa"/>
            <w:shd w:val="clear" w:color="auto" w:fill="F8DDD3" w:themeFill="accent5" w:themeFillTint="33"/>
          </w:tcPr>
          <w:p w14:paraId="36519AC8" w14:textId="77777777" w:rsidR="00F3223A" w:rsidRPr="00F46944" w:rsidRDefault="00F3223A" w:rsidP="00D77422">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F46944">
              <w:rPr>
                <w:rFonts w:cstheme="minorHAnsi"/>
                <w:color w:val="000000"/>
                <w:sz w:val="20"/>
                <w:szCs w:val="20"/>
              </w:rPr>
              <w:t>398,222</w:t>
            </w:r>
          </w:p>
        </w:tc>
        <w:tc>
          <w:tcPr>
            <w:tcW w:w="1371" w:type="dxa"/>
            <w:shd w:val="clear" w:color="auto" w:fill="F8DDD3" w:themeFill="accent5" w:themeFillTint="33"/>
          </w:tcPr>
          <w:p w14:paraId="73ABC445" w14:textId="77777777" w:rsidR="00F3223A" w:rsidRPr="00F46944" w:rsidRDefault="00F3223A" w:rsidP="00D77422">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F46944">
              <w:rPr>
                <w:rFonts w:cstheme="minorHAnsi"/>
                <w:color w:val="000000"/>
                <w:sz w:val="20"/>
                <w:szCs w:val="20"/>
              </w:rPr>
              <w:t>51.3%</w:t>
            </w:r>
          </w:p>
        </w:tc>
        <w:tc>
          <w:tcPr>
            <w:tcW w:w="1370" w:type="dxa"/>
            <w:shd w:val="clear" w:color="auto" w:fill="F8DDD3" w:themeFill="accent5" w:themeFillTint="33"/>
          </w:tcPr>
          <w:p w14:paraId="1F956E33" w14:textId="77777777" w:rsidR="00F3223A" w:rsidRPr="00F46944" w:rsidRDefault="00F3223A" w:rsidP="00D77422">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F46944">
              <w:rPr>
                <w:rFonts w:cstheme="minorHAnsi"/>
                <w:color w:val="000000"/>
                <w:sz w:val="20"/>
                <w:szCs w:val="20"/>
              </w:rPr>
              <w:t>33,495</w:t>
            </w:r>
          </w:p>
        </w:tc>
        <w:tc>
          <w:tcPr>
            <w:tcW w:w="1371" w:type="dxa"/>
            <w:shd w:val="clear" w:color="auto" w:fill="F8DDD3" w:themeFill="accent5" w:themeFillTint="33"/>
          </w:tcPr>
          <w:p w14:paraId="42B159FE" w14:textId="77777777" w:rsidR="00F3223A" w:rsidRPr="00F46944" w:rsidRDefault="00F3223A" w:rsidP="00D77422">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F46944">
              <w:rPr>
                <w:rFonts w:cstheme="minorHAnsi"/>
                <w:color w:val="000000"/>
                <w:sz w:val="20"/>
                <w:szCs w:val="20"/>
              </w:rPr>
              <w:t>36.5%</w:t>
            </w:r>
          </w:p>
        </w:tc>
      </w:tr>
      <w:tr w:rsidR="00F3223A" w:rsidRPr="00F46944" w14:paraId="1CD9F630" w14:textId="77777777" w:rsidTr="00A74EB6">
        <w:trPr>
          <w:trHeight w:val="420"/>
        </w:trPr>
        <w:tc>
          <w:tcPr>
            <w:cnfStyle w:val="001000000000" w:firstRow="0" w:lastRow="0" w:firstColumn="1" w:lastColumn="0" w:oddVBand="0" w:evenVBand="0" w:oddHBand="0" w:evenHBand="0" w:firstRowFirstColumn="0" w:firstRowLastColumn="0" w:lastRowFirstColumn="0" w:lastRowLastColumn="0"/>
            <w:tcW w:w="3969" w:type="dxa"/>
            <w:shd w:val="clear" w:color="auto" w:fill="F8DDD3" w:themeFill="accent5" w:themeFillTint="33"/>
          </w:tcPr>
          <w:p w14:paraId="3D62B72A" w14:textId="77777777" w:rsidR="00F3223A" w:rsidRPr="00F46944" w:rsidRDefault="00F3223A" w:rsidP="00D77422">
            <w:pPr>
              <w:rPr>
                <w:rFonts w:cstheme="minorHAnsi"/>
                <w:bCs w:val="0"/>
                <w:sz w:val="20"/>
                <w:szCs w:val="20"/>
              </w:rPr>
            </w:pPr>
            <w:r w:rsidRPr="00F46944">
              <w:rPr>
                <w:rFonts w:cstheme="minorHAnsi"/>
                <w:color w:val="000000"/>
                <w:sz w:val="20"/>
                <w:szCs w:val="20"/>
              </w:rPr>
              <w:t>Amoxicillin</w:t>
            </w:r>
          </w:p>
        </w:tc>
        <w:tc>
          <w:tcPr>
            <w:tcW w:w="1370" w:type="dxa"/>
            <w:shd w:val="clear" w:color="auto" w:fill="F8DDD3" w:themeFill="accent5" w:themeFillTint="33"/>
          </w:tcPr>
          <w:p w14:paraId="0F19AA11" w14:textId="77777777" w:rsidR="00F3223A" w:rsidRPr="00F46944" w:rsidRDefault="00F3223A" w:rsidP="00D77422">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F46944">
              <w:rPr>
                <w:rFonts w:cstheme="minorHAnsi"/>
                <w:color w:val="000000"/>
                <w:sz w:val="20"/>
                <w:szCs w:val="20"/>
              </w:rPr>
              <w:t>193,492</w:t>
            </w:r>
          </w:p>
        </w:tc>
        <w:tc>
          <w:tcPr>
            <w:tcW w:w="1371" w:type="dxa"/>
            <w:shd w:val="clear" w:color="auto" w:fill="F8DDD3" w:themeFill="accent5" w:themeFillTint="33"/>
          </w:tcPr>
          <w:p w14:paraId="669DFF8D" w14:textId="77777777" w:rsidR="00F3223A" w:rsidRPr="00F46944" w:rsidRDefault="00F3223A" w:rsidP="00D77422">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F46944">
              <w:rPr>
                <w:rFonts w:cstheme="minorHAnsi"/>
                <w:color w:val="000000"/>
                <w:sz w:val="20"/>
                <w:szCs w:val="20"/>
              </w:rPr>
              <w:t>50.3%</w:t>
            </w:r>
          </w:p>
        </w:tc>
        <w:tc>
          <w:tcPr>
            <w:tcW w:w="1370" w:type="dxa"/>
            <w:shd w:val="clear" w:color="auto" w:fill="F8DDD3" w:themeFill="accent5" w:themeFillTint="33"/>
          </w:tcPr>
          <w:p w14:paraId="5661B8F6" w14:textId="77777777" w:rsidR="00F3223A" w:rsidRPr="00F46944" w:rsidRDefault="00F3223A" w:rsidP="00D77422">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F46944">
              <w:rPr>
                <w:rFonts w:cstheme="minorHAnsi"/>
                <w:color w:val="000000"/>
                <w:sz w:val="20"/>
                <w:szCs w:val="20"/>
              </w:rPr>
              <w:t>39,902</w:t>
            </w:r>
          </w:p>
        </w:tc>
        <w:tc>
          <w:tcPr>
            <w:tcW w:w="1371" w:type="dxa"/>
            <w:shd w:val="clear" w:color="auto" w:fill="F8DDD3" w:themeFill="accent5" w:themeFillTint="33"/>
          </w:tcPr>
          <w:p w14:paraId="7E018F0E" w14:textId="77777777" w:rsidR="00F3223A" w:rsidRPr="00F46944" w:rsidRDefault="00F3223A" w:rsidP="00D77422">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F46944">
              <w:rPr>
                <w:rFonts w:cstheme="minorHAnsi"/>
                <w:color w:val="000000"/>
                <w:sz w:val="20"/>
                <w:szCs w:val="20"/>
              </w:rPr>
              <w:t>50.4%</w:t>
            </w:r>
          </w:p>
        </w:tc>
      </w:tr>
      <w:tr w:rsidR="00F3223A" w:rsidRPr="00F46944" w14:paraId="36ADAA99" w14:textId="77777777" w:rsidTr="00A74EB6">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969" w:type="dxa"/>
            <w:shd w:val="clear" w:color="auto" w:fill="F8DDD3" w:themeFill="accent5" w:themeFillTint="33"/>
          </w:tcPr>
          <w:p w14:paraId="70C64AB4" w14:textId="77777777" w:rsidR="00F3223A" w:rsidRPr="00F46944" w:rsidRDefault="00F3223A" w:rsidP="00D77422">
            <w:pPr>
              <w:rPr>
                <w:rFonts w:cstheme="minorHAnsi"/>
                <w:bCs w:val="0"/>
                <w:sz w:val="20"/>
                <w:szCs w:val="20"/>
              </w:rPr>
            </w:pPr>
            <w:r w:rsidRPr="00F46944">
              <w:rPr>
                <w:rFonts w:cstheme="minorHAnsi"/>
                <w:color w:val="000000"/>
                <w:sz w:val="20"/>
                <w:szCs w:val="20"/>
              </w:rPr>
              <w:t>Amoxicillin–clavulanic acid</w:t>
            </w:r>
          </w:p>
        </w:tc>
        <w:tc>
          <w:tcPr>
            <w:tcW w:w="1370" w:type="dxa"/>
            <w:shd w:val="clear" w:color="auto" w:fill="F8DDD3" w:themeFill="accent5" w:themeFillTint="33"/>
          </w:tcPr>
          <w:p w14:paraId="022CCF3C" w14:textId="77777777" w:rsidR="00F3223A" w:rsidRPr="00F46944" w:rsidRDefault="00F3223A" w:rsidP="00D77422">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F46944">
              <w:rPr>
                <w:rFonts w:cstheme="minorHAnsi"/>
                <w:color w:val="000000"/>
                <w:sz w:val="20"/>
                <w:szCs w:val="20"/>
              </w:rPr>
              <w:t>510,847</w:t>
            </w:r>
          </w:p>
        </w:tc>
        <w:tc>
          <w:tcPr>
            <w:tcW w:w="1371" w:type="dxa"/>
            <w:shd w:val="clear" w:color="auto" w:fill="F8DDD3" w:themeFill="accent5" w:themeFillTint="33"/>
          </w:tcPr>
          <w:p w14:paraId="0C16DD62" w14:textId="77777777" w:rsidR="00F3223A" w:rsidRPr="00F46944" w:rsidRDefault="00F3223A" w:rsidP="00D77422">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F46944">
              <w:rPr>
                <w:rFonts w:cstheme="minorHAnsi"/>
                <w:color w:val="000000"/>
                <w:sz w:val="20"/>
                <w:szCs w:val="20"/>
              </w:rPr>
              <w:t>61.1%</w:t>
            </w:r>
          </w:p>
        </w:tc>
        <w:tc>
          <w:tcPr>
            <w:tcW w:w="1370" w:type="dxa"/>
            <w:shd w:val="clear" w:color="auto" w:fill="F8DDD3" w:themeFill="accent5" w:themeFillTint="33"/>
          </w:tcPr>
          <w:p w14:paraId="6437AF00" w14:textId="77777777" w:rsidR="00F3223A" w:rsidRPr="00F46944" w:rsidRDefault="00F3223A" w:rsidP="00D77422">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F46944">
              <w:rPr>
                <w:rFonts w:cstheme="minorHAnsi"/>
                <w:color w:val="000000"/>
                <w:sz w:val="20"/>
                <w:szCs w:val="20"/>
              </w:rPr>
              <w:t>25,934</w:t>
            </w:r>
          </w:p>
        </w:tc>
        <w:tc>
          <w:tcPr>
            <w:tcW w:w="1371" w:type="dxa"/>
            <w:shd w:val="clear" w:color="auto" w:fill="F8DDD3" w:themeFill="accent5" w:themeFillTint="33"/>
          </w:tcPr>
          <w:p w14:paraId="47417EE3" w14:textId="184E5D33" w:rsidR="00F3223A" w:rsidRPr="00F46944" w:rsidRDefault="00F3223A" w:rsidP="00D77422">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F46944">
              <w:rPr>
                <w:rFonts w:cstheme="minorHAnsi"/>
                <w:color w:val="000000"/>
                <w:sz w:val="20"/>
                <w:szCs w:val="20"/>
              </w:rPr>
              <w:t>60</w:t>
            </w:r>
            <w:r w:rsidR="00453BA6">
              <w:rPr>
                <w:rFonts w:cstheme="minorHAnsi"/>
                <w:color w:val="000000"/>
                <w:sz w:val="20"/>
                <w:szCs w:val="20"/>
              </w:rPr>
              <w:t>.0</w:t>
            </w:r>
            <w:r w:rsidRPr="00F46944">
              <w:rPr>
                <w:rFonts w:cstheme="minorHAnsi"/>
                <w:color w:val="000000"/>
                <w:sz w:val="20"/>
                <w:szCs w:val="20"/>
              </w:rPr>
              <w:t>%</w:t>
            </w:r>
          </w:p>
        </w:tc>
      </w:tr>
      <w:tr w:rsidR="00F3223A" w:rsidRPr="00F46944" w14:paraId="7F9C80D5" w14:textId="77777777" w:rsidTr="00A74EB6">
        <w:trPr>
          <w:trHeight w:val="420"/>
        </w:trPr>
        <w:tc>
          <w:tcPr>
            <w:cnfStyle w:val="001000000000" w:firstRow="0" w:lastRow="0" w:firstColumn="1" w:lastColumn="0" w:oddVBand="0" w:evenVBand="0" w:oddHBand="0" w:evenHBand="0" w:firstRowFirstColumn="0" w:firstRowLastColumn="0" w:lastRowFirstColumn="0" w:lastRowLastColumn="0"/>
            <w:tcW w:w="3969" w:type="dxa"/>
            <w:shd w:val="clear" w:color="auto" w:fill="F8DDD3" w:themeFill="accent5" w:themeFillTint="33"/>
          </w:tcPr>
          <w:p w14:paraId="3F768B25" w14:textId="77777777" w:rsidR="00F3223A" w:rsidRPr="00F46944" w:rsidRDefault="00F3223A" w:rsidP="00D77422">
            <w:pPr>
              <w:rPr>
                <w:rFonts w:cstheme="minorHAnsi"/>
                <w:bCs w:val="0"/>
                <w:sz w:val="20"/>
                <w:szCs w:val="20"/>
              </w:rPr>
            </w:pPr>
            <w:r w:rsidRPr="00F46944">
              <w:rPr>
                <w:rFonts w:cstheme="minorHAnsi"/>
                <w:color w:val="000000"/>
                <w:sz w:val="20"/>
                <w:szCs w:val="20"/>
              </w:rPr>
              <w:t>Doxycycline</w:t>
            </w:r>
          </w:p>
        </w:tc>
        <w:tc>
          <w:tcPr>
            <w:tcW w:w="1370" w:type="dxa"/>
            <w:shd w:val="clear" w:color="auto" w:fill="F8DDD3" w:themeFill="accent5" w:themeFillTint="33"/>
          </w:tcPr>
          <w:p w14:paraId="41C4E2EF" w14:textId="77777777" w:rsidR="00F3223A" w:rsidRPr="00F46944" w:rsidRDefault="00F3223A" w:rsidP="00D77422">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F46944">
              <w:rPr>
                <w:rFonts w:cstheme="minorHAnsi"/>
                <w:color w:val="000000"/>
                <w:sz w:val="20"/>
                <w:szCs w:val="20"/>
              </w:rPr>
              <w:t>102,562</w:t>
            </w:r>
          </w:p>
        </w:tc>
        <w:tc>
          <w:tcPr>
            <w:tcW w:w="1371" w:type="dxa"/>
            <w:shd w:val="clear" w:color="auto" w:fill="F8DDD3" w:themeFill="accent5" w:themeFillTint="33"/>
          </w:tcPr>
          <w:p w14:paraId="3942B228" w14:textId="77777777" w:rsidR="00F3223A" w:rsidRPr="00F46944" w:rsidRDefault="00F3223A" w:rsidP="00D77422">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F46944">
              <w:rPr>
                <w:rFonts w:cstheme="minorHAnsi"/>
                <w:color w:val="000000"/>
                <w:sz w:val="20"/>
                <w:szCs w:val="20"/>
              </w:rPr>
              <w:t>32.8%</w:t>
            </w:r>
          </w:p>
        </w:tc>
        <w:tc>
          <w:tcPr>
            <w:tcW w:w="1370" w:type="dxa"/>
            <w:shd w:val="clear" w:color="auto" w:fill="F8DDD3" w:themeFill="accent5" w:themeFillTint="33"/>
          </w:tcPr>
          <w:p w14:paraId="4EB97F5F" w14:textId="77777777" w:rsidR="00F3223A" w:rsidRPr="00F46944" w:rsidRDefault="00F3223A" w:rsidP="00D77422">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F46944">
              <w:rPr>
                <w:rFonts w:cstheme="minorHAnsi"/>
                <w:color w:val="000000"/>
                <w:sz w:val="20"/>
                <w:szCs w:val="20"/>
              </w:rPr>
              <w:t>66,969</w:t>
            </w:r>
          </w:p>
        </w:tc>
        <w:tc>
          <w:tcPr>
            <w:tcW w:w="1371" w:type="dxa"/>
            <w:shd w:val="clear" w:color="auto" w:fill="F8DDD3" w:themeFill="accent5" w:themeFillTint="33"/>
          </w:tcPr>
          <w:p w14:paraId="3D584D5B" w14:textId="77777777" w:rsidR="00F3223A" w:rsidRPr="00F46944" w:rsidRDefault="00F3223A" w:rsidP="00D77422">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F46944">
              <w:rPr>
                <w:rFonts w:cstheme="minorHAnsi"/>
                <w:color w:val="000000"/>
                <w:sz w:val="20"/>
                <w:szCs w:val="20"/>
              </w:rPr>
              <w:t>24.1%</w:t>
            </w:r>
          </w:p>
        </w:tc>
      </w:tr>
      <w:tr w:rsidR="00F3223A" w:rsidRPr="00F46944" w14:paraId="7C390241" w14:textId="77777777" w:rsidTr="00A74EB6">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969" w:type="dxa"/>
            <w:shd w:val="clear" w:color="auto" w:fill="F8DDD3" w:themeFill="accent5" w:themeFillTint="33"/>
          </w:tcPr>
          <w:p w14:paraId="32077759" w14:textId="77777777" w:rsidR="00F3223A" w:rsidRPr="00F46944" w:rsidRDefault="00F3223A" w:rsidP="00D77422">
            <w:pPr>
              <w:rPr>
                <w:rFonts w:cstheme="minorHAnsi"/>
                <w:bCs w:val="0"/>
                <w:sz w:val="20"/>
                <w:szCs w:val="20"/>
              </w:rPr>
            </w:pPr>
            <w:r w:rsidRPr="00F46944">
              <w:rPr>
                <w:rFonts w:cstheme="minorHAnsi"/>
                <w:color w:val="000000"/>
                <w:sz w:val="20"/>
                <w:szCs w:val="20"/>
              </w:rPr>
              <w:t>Roxithromycin</w:t>
            </w:r>
          </w:p>
        </w:tc>
        <w:tc>
          <w:tcPr>
            <w:tcW w:w="1370" w:type="dxa"/>
            <w:shd w:val="clear" w:color="auto" w:fill="F8DDD3" w:themeFill="accent5" w:themeFillTint="33"/>
          </w:tcPr>
          <w:p w14:paraId="637A507F" w14:textId="77777777" w:rsidR="00F3223A" w:rsidRPr="00F46944" w:rsidRDefault="00F3223A" w:rsidP="00D77422">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F46944">
              <w:rPr>
                <w:rFonts w:cstheme="minorHAnsi"/>
                <w:color w:val="000000"/>
                <w:sz w:val="20"/>
                <w:szCs w:val="20"/>
              </w:rPr>
              <w:t>142,145</w:t>
            </w:r>
          </w:p>
        </w:tc>
        <w:tc>
          <w:tcPr>
            <w:tcW w:w="1371" w:type="dxa"/>
            <w:shd w:val="clear" w:color="auto" w:fill="F8DDD3" w:themeFill="accent5" w:themeFillTint="33"/>
          </w:tcPr>
          <w:p w14:paraId="666EF6B2" w14:textId="77777777" w:rsidR="00F3223A" w:rsidRPr="00F46944" w:rsidRDefault="00F3223A" w:rsidP="00D77422">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F46944">
              <w:rPr>
                <w:rFonts w:cstheme="minorHAnsi"/>
                <w:color w:val="000000"/>
                <w:sz w:val="20"/>
                <w:szCs w:val="20"/>
              </w:rPr>
              <w:t>69.9%</w:t>
            </w:r>
          </w:p>
        </w:tc>
        <w:tc>
          <w:tcPr>
            <w:tcW w:w="1370" w:type="dxa"/>
            <w:shd w:val="clear" w:color="auto" w:fill="F8DDD3" w:themeFill="accent5" w:themeFillTint="33"/>
          </w:tcPr>
          <w:p w14:paraId="49FAED58" w14:textId="77777777" w:rsidR="00F3223A" w:rsidRPr="00F46944" w:rsidRDefault="00F3223A" w:rsidP="00D77422">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F46944">
              <w:rPr>
                <w:rFonts w:cstheme="minorHAnsi"/>
                <w:color w:val="000000"/>
                <w:sz w:val="20"/>
                <w:szCs w:val="20"/>
              </w:rPr>
              <w:t>144</w:t>
            </w:r>
          </w:p>
        </w:tc>
        <w:tc>
          <w:tcPr>
            <w:tcW w:w="1371" w:type="dxa"/>
            <w:shd w:val="clear" w:color="auto" w:fill="F8DDD3" w:themeFill="accent5" w:themeFillTint="33"/>
          </w:tcPr>
          <w:p w14:paraId="3A702B46" w14:textId="77777777" w:rsidR="00F3223A" w:rsidRPr="00F46944" w:rsidRDefault="00F3223A" w:rsidP="00D77422">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F46944">
              <w:rPr>
                <w:rFonts w:cstheme="minorHAnsi"/>
                <w:color w:val="000000"/>
                <w:sz w:val="20"/>
                <w:szCs w:val="20"/>
              </w:rPr>
              <w:t>6.4%</w:t>
            </w:r>
          </w:p>
        </w:tc>
      </w:tr>
      <w:tr w:rsidR="00F3223A" w:rsidRPr="00F46944" w14:paraId="5A1AC037" w14:textId="77777777" w:rsidTr="00D77422">
        <w:trPr>
          <w:trHeight w:val="420"/>
        </w:trPr>
        <w:tc>
          <w:tcPr>
            <w:cnfStyle w:val="001000000000" w:firstRow="0" w:lastRow="0" w:firstColumn="1" w:lastColumn="0" w:oddVBand="0" w:evenVBand="0" w:oddHBand="0" w:evenHBand="0" w:firstRowFirstColumn="0" w:firstRowLastColumn="0" w:lastRowFirstColumn="0" w:lastRowLastColumn="0"/>
            <w:tcW w:w="3969" w:type="dxa"/>
          </w:tcPr>
          <w:p w14:paraId="3218720C" w14:textId="77777777" w:rsidR="00F3223A" w:rsidRPr="00F46944" w:rsidRDefault="00F3223A" w:rsidP="00D77422">
            <w:pPr>
              <w:rPr>
                <w:rFonts w:cstheme="minorHAnsi"/>
                <w:bCs w:val="0"/>
                <w:sz w:val="20"/>
                <w:szCs w:val="20"/>
              </w:rPr>
            </w:pPr>
            <w:r w:rsidRPr="00F46944">
              <w:rPr>
                <w:rFonts w:cstheme="minorHAnsi"/>
                <w:color w:val="000000"/>
                <w:sz w:val="20"/>
                <w:szCs w:val="20"/>
              </w:rPr>
              <w:t>Trimethoprim</w:t>
            </w:r>
          </w:p>
        </w:tc>
        <w:tc>
          <w:tcPr>
            <w:tcW w:w="1370" w:type="dxa"/>
          </w:tcPr>
          <w:p w14:paraId="6EDC08B4" w14:textId="77777777" w:rsidR="00F3223A" w:rsidRPr="00F46944" w:rsidRDefault="00F3223A" w:rsidP="00D77422">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F46944">
              <w:rPr>
                <w:rFonts w:cstheme="minorHAnsi"/>
                <w:color w:val="000000"/>
                <w:sz w:val="20"/>
                <w:szCs w:val="20"/>
              </w:rPr>
              <w:t>35,494</w:t>
            </w:r>
          </w:p>
        </w:tc>
        <w:tc>
          <w:tcPr>
            <w:tcW w:w="1371" w:type="dxa"/>
          </w:tcPr>
          <w:p w14:paraId="0A46D323" w14:textId="77777777" w:rsidR="00F3223A" w:rsidRPr="00F46944" w:rsidRDefault="00F3223A" w:rsidP="00D77422">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F46944">
              <w:rPr>
                <w:rFonts w:cstheme="minorHAnsi"/>
                <w:color w:val="000000"/>
                <w:sz w:val="20"/>
                <w:szCs w:val="20"/>
              </w:rPr>
              <w:t>40.8%</w:t>
            </w:r>
          </w:p>
        </w:tc>
        <w:tc>
          <w:tcPr>
            <w:tcW w:w="1370" w:type="dxa"/>
          </w:tcPr>
          <w:p w14:paraId="5A1E8F00" w14:textId="77777777" w:rsidR="00F3223A" w:rsidRPr="00F46944" w:rsidRDefault="00F3223A" w:rsidP="00D77422">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F46944">
              <w:rPr>
                <w:rFonts w:cstheme="minorHAnsi"/>
                <w:color w:val="000000"/>
                <w:sz w:val="20"/>
                <w:szCs w:val="20"/>
              </w:rPr>
              <w:t>30,485</w:t>
            </w:r>
          </w:p>
        </w:tc>
        <w:tc>
          <w:tcPr>
            <w:tcW w:w="1371" w:type="dxa"/>
          </w:tcPr>
          <w:p w14:paraId="6160D00F" w14:textId="77777777" w:rsidR="00F3223A" w:rsidRPr="00F46944" w:rsidRDefault="00F3223A" w:rsidP="00D77422">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F46944">
              <w:rPr>
                <w:rFonts w:cstheme="minorHAnsi"/>
                <w:color w:val="000000"/>
                <w:sz w:val="20"/>
                <w:szCs w:val="20"/>
              </w:rPr>
              <w:t>39.3%</w:t>
            </w:r>
          </w:p>
        </w:tc>
      </w:tr>
      <w:tr w:rsidR="004A4729" w:rsidRPr="00F46944" w14:paraId="1BAD9118" w14:textId="77777777" w:rsidTr="00D77422">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969" w:type="dxa"/>
          </w:tcPr>
          <w:p w14:paraId="1520E1EF" w14:textId="77777777" w:rsidR="004A4729" w:rsidRPr="00F46944" w:rsidRDefault="004A4729" w:rsidP="00D77422">
            <w:pPr>
              <w:rPr>
                <w:rFonts w:cstheme="minorHAnsi"/>
                <w:bCs w:val="0"/>
                <w:sz w:val="20"/>
                <w:szCs w:val="20"/>
              </w:rPr>
            </w:pPr>
            <w:r w:rsidRPr="00F46944">
              <w:rPr>
                <w:rFonts w:cstheme="minorHAnsi"/>
                <w:color w:val="000000"/>
                <w:sz w:val="20"/>
                <w:szCs w:val="20"/>
              </w:rPr>
              <w:t>Flucloxacillin</w:t>
            </w:r>
          </w:p>
        </w:tc>
        <w:tc>
          <w:tcPr>
            <w:tcW w:w="1370" w:type="dxa"/>
          </w:tcPr>
          <w:p w14:paraId="29883AB5" w14:textId="77777777" w:rsidR="004A4729" w:rsidRPr="00F46944" w:rsidRDefault="004A4729" w:rsidP="00D77422">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F46944">
              <w:rPr>
                <w:rFonts w:cstheme="minorHAnsi"/>
                <w:color w:val="000000"/>
                <w:sz w:val="20"/>
                <w:szCs w:val="20"/>
              </w:rPr>
              <w:t>7,466</w:t>
            </w:r>
          </w:p>
        </w:tc>
        <w:tc>
          <w:tcPr>
            <w:tcW w:w="1371" w:type="dxa"/>
          </w:tcPr>
          <w:p w14:paraId="6A410406" w14:textId="77777777" w:rsidR="004A4729" w:rsidRPr="00F46944" w:rsidRDefault="004A4729" w:rsidP="00D77422">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F46944">
              <w:rPr>
                <w:rFonts w:cstheme="minorHAnsi"/>
                <w:color w:val="000000"/>
                <w:sz w:val="20"/>
                <w:szCs w:val="20"/>
              </w:rPr>
              <w:t>56.1%</w:t>
            </w:r>
          </w:p>
        </w:tc>
        <w:tc>
          <w:tcPr>
            <w:tcW w:w="1370" w:type="dxa"/>
          </w:tcPr>
          <w:p w14:paraId="5B4444F3" w14:textId="77777777" w:rsidR="004A4729" w:rsidRPr="00F46944" w:rsidRDefault="004A4729" w:rsidP="00D77422">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F46944">
              <w:rPr>
                <w:rFonts w:cstheme="minorHAnsi"/>
                <w:color w:val="000000"/>
                <w:sz w:val="20"/>
                <w:szCs w:val="20"/>
              </w:rPr>
              <w:t>5,370</w:t>
            </w:r>
          </w:p>
        </w:tc>
        <w:tc>
          <w:tcPr>
            <w:tcW w:w="1371" w:type="dxa"/>
          </w:tcPr>
          <w:p w14:paraId="65161842" w14:textId="77777777" w:rsidR="004A4729" w:rsidRPr="00F46944" w:rsidRDefault="004A4729" w:rsidP="00D77422">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F46944">
              <w:rPr>
                <w:rFonts w:cstheme="minorHAnsi"/>
                <w:color w:val="000000"/>
                <w:sz w:val="20"/>
                <w:szCs w:val="20"/>
              </w:rPr>
              <w:t>47.9%</w:t>
            </w:r>
          </w:p>
        </w:tc>
      </w:tr>
      <w:tr w:rsidR="004A4729" w:rsidRPr="00F46944" w14:paraId="23C61C14" w14:textId="77777777" w:rsidTr="00D77422">
        <w:trPr>
          <w:trHeight w:val="420"/>
        </w:trPr>
        <w:tc>
          <w:tcPr>
            <w:cnfStyle w:val="001000000000" w:firstRow="0" w:lastRow="0" w:firstColumn="1" w:lastColumn="0" w:oddVBand="0" w:evenVBand="0" w:oddHBand="0" w:evenHBand="0" w:firstRowFirstColumn="0" w:firstRowLastColumn="0" w:lastRowFirstColumn="0" w:lastRowLastColumn="0"/>
            <w:tcW w:w="3969" w:type="dxa"/>
          </w:tcPr>
          <w:p w14:paraId="736ED97E" w14:textId="77777777" w:rsidR="004A4729" w:rsidRPr="00F46944" w:rsidRDefault="004A4729" w:rsidP="00D77422">
            <w:pPr>
              <w:rPr>
                <w:rFonts w:cstheme="minorHAnsi"/>
                <w:bCs w:val="0"/>
                <w:sz w:val="20"/>
                <w:szCs w:val="20"/>
              </w:rPr>
            </w:pPr>
            <w:r w:rsidRPr="00F46944">
              <w:rPr>
                <w:rFonts w:cstheme="minorHAnsi"/>
                <w:color w:val="000000"/>
                <w:sz w:val="20"/>
                <w:szCs w:val="20"/>
              </w:rPr>
              <w:t>Clarithromycin</w:t>
            </w:r>
          </w:p>
        </w:tc>
        <w:tc>
          <w:tcPr>
            <w:tcW w:w="1370" w:type="dxa"/>
          </w:tcPr>
          <w:p w14:paraId="7E9A9ED8" w14:textId="77777777" w:rsidR="004A4729" w:rsidRPr="00F46944" w:rsidRDefault="004A4729" w:rsidP="00D77422">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F46944">
              <w:rPr>
                <w:rFonts w:cstheme="minorHAnsi"/>
                <w:color w:val="000000"/>
                <w:sz w:val="20"/>
                <w:szCs w:val="20"/>
              </w:rPr>
              <w:t>54,748</w:t>
            </w:r>
          </w:p>
        </w:tc>
        <w:tc>
          <w:tcPr>
            <w:tcW w:w="1371" w:type="dxa"/>
          </w:tcPr>
          <w:p w14:paraId="0CCCD037" w14:textId="77777777" w:rsidR="004A4729" w:rsidRPr="00F46944" w:rsidRDefault="004A4729" w:rsidP="00D77422">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F46944">
              <w:rPr>
                <w:rFonts w:cstheme="minorHAnsi"/>
                <w:color w:val="000000"/>
                <w:sz w:val="20"/>
                <w:szCs w:val="20"/>
              </w:rPr>
              <w:t>55.8%</w:t>
            </w:r>
          </w:p>
        </w:tc>
        <w:tc>
          <w:tcPr>
            <w:tcW w:w="1370" w:type="dxa"/>
          </w:tcPr>
          <w:p w14:paraId="285C7851" w14:textId="77777777" w:rsidR="004A4729" w:rsidRPr="00F46944" w:rsidRDefault="004A4729" w:rsidP="00D77422">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F46944">
              <w:rPr>
                <w:rFonts w:cstheme="minorHAnsi"/>
                <w:color w:val="000000"/>
                <w:sz w:val="20"/>
                <w:szCs w:val="20"/>
              </w:rPr>
              <w:t>28,456</w:t>
            </w:r>
          </w:p>
        </w:tc>
        <w:tc>
          <w:tcPr>
            <w:tcW w:w="1371" w:type="dxa"/>
          </w:tcPr>
          <w:p w14:paraId="7E8086F3" w14:textId="77777777" w:rsidR="004A4729" w:rsidRPr="00F46944" w:rsidRDefault="004A4729" w:rsidP="00D77422">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F46944">
              <w:rPr>
                <w:rFonts w:cstheme="minorHAnsi"/>
                <w:color w:val="000000"/>
                <w:sz w:val="20"/>
                <w:szCs w:val="20"/>
              </w:rPr>
              <w:t>49.5%</w:t>
            </w:r>
          </w:p>
        </w:tc>
      </w:tr>
      <w:tr w:rsidR="004A4729" w:rsidRPr="00F46944" w14:paraId="4F127105" w14:textId="77777777" w:rsidTr="00D77422">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969" w:type="dxa"/>
          </w:tcPr>
          <w:p w14:paraId="557A24AF" w14:textId="4615DEAD" w:rsidR="004A4729" w:rsidRPr="00F46944" w:rsidRDefault="004A4729" w:rsidP="004A4729">
            <w:pPr>
              <w:rPr>
                <w:rFonts w:cstheme="minorHAnsi"/>
                <w:color w:val="000000"/>
                <w:sz w:val="20"/>
                <w:szCs w:val="20"/>
              </w:rPr>
            </w:pPr>
            <w:r w:rsidRPr="00F46944">
              <w:rPr>
                <w:rFonts w:cstheme="minorHAnsi"/>
                <w:color w:val="000000"/>
                <w:sz w:val="20"/>
                <w:szCs w:val="20"/>
              </w:rPr>
              <w:t>Metronidazole</w:t>
            </w:r>
          </w:p>
        </w:tc>
        <w:tc>
          <w:tcPr>
            <w:tcW w:w="1370" w:type="dxa"/>
          </w:tcPr>
          <w:p w14:paraId="49DE3E57" w14:textId="500C77C7" w:rsidR="004A4729" w:rsidRPr="00F46944" w:rsidRDefault="004A4729" w:rsidP="004A4729">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F46944">
              <w:rPr>
                <w:rFonts w:cstheme="minorHAnsi"/>
                <w:color w:val="000000"/>
                <w:sz w:val="20"/>
                <w:szCs w:val="20"/>
              </w:rPr>
              <w:t>14,613</w:t>
            </w:r>
          </w:p>
        </w:tc>
        <w:tc>
          <w:tcPr>
            <w:tcW w:w="1371" w:type="dxa"/>
          </w:tcPr>
          <w:p w14:paraId="6E0A779A" w14:textId="095BDA79" w:rsidR="004A4729" w:rsidRPr="00F46944" w:rsidRDefault="004A4729" w:rsidP="004A4729">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F46944">
              <w:rPr>
                <w:rFonts w:cstheme="minorHAnsi"/>
                <w:color w:val="000000"/>
                <w:sz w:val="20"/>
                <w:szCs w:val="20"/>
              </w:rPr>
              <w:t>44.8%</w:t>
            </w:r>
          </w:p>
        </w:tc>
        <w:tc>
          <w:tcPr>
            <w:tcW w:w="1370" w:type="dxa"/>
          </w:tcPr>
          <w:p w14:paraId="229B53A5" w14:textId="23D90AE2" w:rsidR="004A4729" w:rsidRPr="00F46944" w:rsidRDefault="004A4729" w:rsidP="004A4729">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F46944">
              <w:rPr>
                <w:rFonts w:cstheme="minorHAnsi"/>
                <w:color w:val="000000"/>
                <w:sz w:val="20"/>
                <w:szCs w:val="20"/>
              </w:rPr>
              <w:t>12,381</w:t>
            </w:r>
          </w:p>
        </w:tc>
        <w:tc>
          <w:tcPr>
            <w:tcW w:w="1371" w:type="dxa"/>
          </w:tcPr>
          <w:p w14:paraId="3BE4AECB" w14:textId="5883390C" w:rsidR="004A4729" w:rsidRPr="00F46944" w:rsidRDefault="004A4729" w:rsidP="004A4729">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F46944">
              <w:rPr>
                <w:rFonts w:cstheme="minorHAnsi"/>
                <w:color w:val="000000"/>
                <w:sz w:val="20"/>
                <w:szCs w:val="20"/>
              </w:rPr>
              <w:t>40.3%</w:t>
            </w:r>
          </w:p>
        </w:tc>
      </w:tr>
      <w:tr w:rsidR="004A4729" w:rsidRPr="00F46944" w14:paraId="76D48023" w14:textId="77777777" w:rsidTr="00D77422">
        <w:trPr>
          <w:trHeight w:val="400"/>
        </w:trPr>
        <w:tc>
          <w:tcPr>
            <w:cnfStyle w:val="001000000000" w:firstRow="0" w:lastRow="0" w:firstColumn="1" w:lastColumn="0" w:oddVBand="0" w:evenVBand="0" w:oddHBand="0" w:evenHBand="0" w:firstRowFirstColumn="0" w:firstRowLastColumn="0" w:lastRowFirstColumn="0" w:lastRowLastColumn="0"/>
            <w:tcW w:w="3969" w:type="dxa"/>
          </w:tcPr>
          <w:p w14:paraId="6478B80C" w14:textId="77777777" w:rsidR="004A4729" w:rsidRPr="00F46944" w:rsidRDefault="004A4729" w:rsidP="00D77422">
            <w:pPr>
              <w:rPr>
                <w:rFonts w:cstheme="minorHAnsi"/>
                <w:bCs w:val="0"/>
                <w:sz w:val="20"/>
                <w:szCs w:val="20"/>
              </w:rPr>
            </w:pPr>
            <w:r w:rsidRPr="00F46944">
              <w:rPr>
                <w:rFonts w:cstheme="minorHAnsi"/>
                <w:color w:val="000000"/>
                <w:sz w:val="20"/>
                <w:szCs w:val="20"/>
              </w:rPr>
              <w:t>Phenoxymethylpenicillin</w:t>
            </w:r>
          </w:p>
        </w:tc>
        <w:tc>
          <w:tcPr>
            <w:tcW w:w="1370" w:type="dxa"/>
          </w:tcPr>
          <w:p w14:paraId="06399B0D" w14:textId="77777777" w:rsidR="004A4729" w:rsidRPr="00F46944" w:rsidRDefault="004A4729" w:rsidP="00D77422">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F46944">
              <w:rPr>
                <w:rFonts w:cstheme="minorHAnsi"/>
                <w:color w:val="000000"/>
                <w:sz w:val="20"/>
                <w:szCs w:val="20"/>
              </w:rPr>
              <w:t>2,582</w:t>
            </w:r>
          </w:p>
        </w:tc>
        <w:tc>
          <w:tcPr>
            <w:tcW w:w="1371" w:type="dxa"/>
          </w:tcPr>
          <w:p w14:paraId="6AFDEA68" w14:textId="77777777" w:rsidR="004A4729" w:rsidRPr="00F46944" w:rsidRDefault="004A4729" w:rsidP="00D77422">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F46944">
              <w:rPr>
                <w:rFonts w:cstheme="minorHAnsi"/>
                <w:color w:val="000000"/>
                <w:sz w:val="20"/>
                <w:szCs w:val="20"/>
              </w:rPr>
              <w:t>32.5%</w:t>
            </w:r>
          </w:p>
        </w:tc>
        <w:tc>
          <w:tcPr>
            <w:tcW w:w="1370" w:type="dxa"/>
          </w:tcPr>
          <w:p w14:paraId="2A1689D3" w14:textId="77777777" w:rsidR="004A4729" w:rsidRPr="00F46944" w:rsidRDefault="004A4729" w:rsidP="00D77422">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F46944">
              <w:rPr>
                <w:rFonts w:cstheme="minorHAnsi"/>
                <w:color w:val="000000"/>
                <w:sz w:val="20"/>
                <w:szCs w:val="20"/>
              </w:rPr>
              <w:t>1,709</w:t>
            </w:r>
          </w:p>
        </w:tc>
        <w:tc>
          <w:tcPr>
            <w:tcW w:w="1371" w:type="dxa"/>
          </w:tcPr>
          <w:p w14:paraId="3DB228D0" w14:textId="77777777" w:rsidR="004A4729" w:rsidRPr="00F46944" w:rsidRDefault="004A4729" w:rsidP="00D77422">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F46944">
              <w:rPr>
                <w:rFonts w:cstheme="minorHAnsi"/>
                <w:color w:val="000000"/>
                <w:sz w:val="20"/>
                <w:szCs w:val="20"/>
              </w:rPr>
              <w:t>27.3%</w:t>
            </w:r>
          </w:p>
        </w:tc>
      </w:tr>
      <w:tr w:rsidR="004A4729" w:rsidRPr="00F46944" w14:paraId="2C395FBD" w14:textId="77777777" w:rsidTr="00D77422">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969" w:type="dxa"/>
          </w:tcPr>
          <w:p w14:paraId="4F4CE5FB" w14:textId="77777777" w:rsidR="004A4729" w:rsidRPr="00F46944" w:rsidRDefault="004A4729" w:rsidP="004A4729">
            <w:pPr>
              <w:rPr>
                <w:rFonts w:cstheme="minorHAnsi"/>
                <w:bCs w:val="0"/>
                <w:sz w:val="20"/>
                <w:szCs w:val="20"/>
              </w:rPr>
            </w:pPr>
            <w:r w:rsidRPr="00F46944">
              <w:rPr>
                <w:rFonts w:cstheme="minorHAnsi"/>
                <w:color w:val="000000"/>
                <w:sz w:val="20"/>
                <w:szCs w:val="20"/>
              </w:rPr>
              <w:t>Trimethoprim–sulfamethoxazole</w:t>
            </w:r>
          </w:p>
        </w:tc>
        <w:tc>
          <w:tcPr>
            <w:tcW w:w="1370" w:type="dxa"/>
          </w:tcPr>
          <w:p w14:paraId="541FAC84" w14:textId="77777777" w:rsidR="004A4729" w:rsidRPr="00F46944" w:rsidRDefault="004A4729" w:rsidP="004A4729">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F46944">
              <w:rPr>
                <w:rFonts w:cstheme="minorHAnsi"/>
                <w:color w:val="000000"/>
                <w:sz w:val="20"/>
                <w:szCs w:val="20"/>
              </w:rPr>
              <w:t>28,948</w:t>
            </w:r>
          </w:p>
        </w:tc>
        <w:tc>
          <w:tcPr>
            <w:tcW w:w="1371" w:type="dxa"/>
          </w:tcPr>
          <w:p w14:paraId="5E2A3817" w14:textId="39557CCE" w:rsidR="004A4729" w:rsidRPr="00F46944" w:rsidRDefault="004A4729" w:rsidP="004A4729">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F46944">
              <w:rPr>
                <w:rFonts w:cstheme="minorHAnsi"/>
                <w:color w:val="000000"/>
                <w:sz w:val="20"/>
                <w:szCs w:val="20"/>
              </w:rPr>
              <w:t>34</w:t>
            </w:r>
            <w:r w:rsidR="00453BA6">
              <w:rPr>
                <w:rFonts w:cstheme="minorHAnsi"/>
                <w:color w:val="000000"/>
                <w:sz w:val="20"/>
                <w:szCs w:val="20"/>
              </w:rPr>
              <w:t>.0</w:t>
            </w:r>
            <w:r w:rsidRPr="00F46944">
              <w:rPr>
                <w:rFonts w:cstheme="minorHAnsi"/>
                <w:color w:val="000000"/>
                <w:sz w:val="20"/>
                <w:szCs w:val="20"/>
              </w:rPr>
              <w:t>%</w:t>
            </w:r>
          </w:p>
        </w:tc>
        <w:tc>
          <w:tcPr>
            <w:tcW w:w="1370" w:type="dxa"/>
          </w:tcPr>
          <w:p w14:paraId="14B6B907" w14:textId="77777777" w:rsidR="004A4729" w:rsidRPr="00F46944" w:rsidRDefault="004A4729" w:rsidP="004A4729">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F46944">
              <w:rPr>
                <w:rFonts w:cstheme="minorHAnsi"/>
                <w:color w:val="000000"/>
                <w:sz w:val="20"/>
                <w:szCs w:val="20"/>
              </w:rPr>
              <w:t>20,228</w:t>
            </w:r>
          </w:p>
        </w:tc>
        <w:tc>
          <w:tcPr>
            <w:tcW w:w="1371" w:type="dxa"/>
          </w:tcPr>
          <w:p w14:paraId="40E4FFE2" w14:textId="77777777" w:rsidR="004A4729" w:rsidRPr="00F46944" w:rsidRDefault="004A4729" w:rsidP="004A4729">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F46944">
              <w:rPr>
                <w:rFonts w:cstheme="minorHAnsi"/>
                <w:color w:val="000000"/>
                <w:sz w:val="20"/>
                <w:szCs w:val="20"/>
              </w:rPr>
              <w:t>26.3%</w:t>
            </w:r>
          </w:p>
        </w:tc>
      </w:tr>
    </w:tbl>
    <w:p w14:paraId="3D103183" w14:textId="70B6745A" w:rsidR="00550459" w:rsidRPr="00F46944" w:rsidRDefault="00550459" w:rsidP="0076762C">
      <w:pPr>
        <w:tabs>
          <w:tab w:val="left" w:pos="142"/>
        </w:tabs>
        <w:spacing w:after="0"/>
        <w:rPr>
          <w:rFonts w:asciiTheme="majorHAnsi" w:hAnsiTheme="majorHAnsi" w:cstheme="majorHAnsi"/>
          <w:sz w:val="16"/>
          <w:szCs w:val="16"/>
        </w:rPr>
      </w:pPr>
      <w:r w:rsidRPr="00F46944">
        <w:rPr>
          <w:rFonts w:asciiTheme="majorHAnsi" w:hAnsiTheme="majorHAnsi" w:cstheme="majorHAnsi"/>
          <w:sz w:val="16"/>
          <w:szCs w:val="16"/>
        </w:rPr>
        <w:t>PBS = Pharmaceutical Benefits Scheme; RPBS = Repatriation Pharmaceutical Benefits Scheme</w:t>
      </w:r>
      <w:r w:rsidRPr="00F46944">
        <w:rPr>
          <w:rFonts w:asciiTheme="majorHAnsi" w:hAnsiTheme="majorHAnsi" w:cstheme="majorHAnsi"/>
          <w:sz w:val="16"/>
          <w:szCs w:val="16"/>
        </w:rPr>
        <w:br/>
        <w:t>*</w:t>
      </w:r>
      <w:r w:rsidR="00112691">
        <w:rPr>
          <w:rFonts w:asciiTheme="majorHAnsi" w:hAnsiTheme="majorHAnsi" w:cstheme="majorHAnsi"/>
          <w:sz w:val="16"/>
          <w:szCs w:val="16"/>
        </w:rPr>
        <w:tab/>
      </w:r>
      <w:r w:rsidRPr="00F46944">
        <w:rPr>
          <w:rFonts w:asciiTheme="majorHAnsi" w:hAnsiTheme="majorHAnsi" w:cstheme="majorHAnsi"/>
          <w:sz w:val="16"/>
          <w:szCs w:val="16"/>
        </w:rPr>
        <w:t xml:space="preserve">Most commonly </w:t>
      </w:r>
      <w:r w:rsidR="00CC5D41" w:rsidRPr="00F46944">
        <w:rPr>
          <w:rFonts w:asciiTheme="majorHAnsi" w:hAnsiTheme="majorHAnsi" w:cstheme="majorHAnsi"/>
          <w:sz w:val="16"/>
          <w:szCs w:val="16"/>
        </w:rPr>
        <w:t>dispensed</w:t>
      </w:r>
      <w:r w:rsidRPr="00F46944">
        <w:rPr>
          <w:rFonts w:asciiTheme="majorHAnsi" w:hAnsiTheme="majorHAnsi" w:cstheme="majorHAnsi"/>
          <w:sz w:val="16"/>
          <w:szCs w:val="16"/>
        </w:rPr>
        <w:t xml:space="preserve"> antimicrobials</w:t>
      </w:r>
      <w:r w:rsidRPr="00F46944">
        <w:rPr>
          <w:rFonts w:asciiTheme="majorHAnsi" w:hAnsiTheme="majorHAnsi" w:cstheme="majorHAnsi"/>
          <w:sz w:val="16"/>
          <w:szCs w:val="16"/>
        </w:rPr>
        <w:br/>
      </w:r>
      <w:r w:rsidR="00502863" w:rsidRPr="00F46944">
        <w:rPr>
          <w:rFonts w:asciiTheme="majorHAnsi" w:hAnsiTheme="majorHAnsi" w:cstheme="majorHAnsi"/>
          <w:sz w:val="16"/>
          <w:szCs w:val="16"/>
        </w:rPr>
        <w:t>N</w:t>
      </w:r>
      <w:r w:rsidR="002A5B86" w:rsidRPr="00F46944">
        <w:rPr>
          <w:rFonts w:asciiTheme="majorHAnsi" w:hAnsiTheme="majorHAnsi" w:cstheme="majorHAnsi"/>
          <w:sz w:val="16"/>
          <w:szCs w:val="16"/>
        </w:rPr>
        <w:t>ote</w:t>
      </w:r>
      <w:r w:rsidRPr="00F46944">
        <w:rPr>
          <w:rFonts w:asciiTheme="majorHAnsi" w:hAnsiTheme="majorHAnsi" w:cstheme="majorHAnsi"/>
          <w:sz w:val="16"/>
          <w:szCs w:val="16"/>
        </w:rPr>
        <w:t>s</w:t>
      </w:r>
      <w:r w:rsidR="00502863" w:rsidRPr="00F46944">
        <w:rPr>
          <w:rFonts w:asciiTheme="majorHAnsi" w:hAnsiTheme="majorHAnsi" w:cstheme="majorHAnsi"/>
          <w:sz w:val="16"/>
          <w:szCs w:val="16"/>
        </w:rPr>
        <w:t>:</w:t>
      </w:r>
    </w:p>
    <w:p w14:paraId="71779597" w14:textId="56618A79" w:rsidR="00550459" w:rsidRPr="00F46944" w:rsidRDefault="00AC3C5A" w:rsidP="003140B6">
      <w:pPr>
        <w:pStyle w:val="ListParagraph"/>
        <w:numPr>
          <w:ilvl w:val="0"/>
          <w:numId w:val="28"/>
        </w:numPr>
        <w:spacing w:after="0"/>
        <w:ind w:left="360"/>
        <w:rPr>
          <w:rFonts w:asciiTheme="majorHAnsi" w:hAnsiTheme="majorHAnsi" w:cstheme="majorHAnsi"/>
          <w:sz w:val="16"/>
          <w:szCs w:val="16"/>
        </w:rPr>
      </w:pPr>
      <w:r w:rsidRPr="00F46944">
        <w:rPr>
          <w:rFonts w:asciiTheme="majorHAnsi" w:hAnsiTheme="majorHAnsi" w:cstheme="majorHAnsi"/>
          <w:sz w:val="16"/>
          <w:szCs w:val="16"/>
        </w:rPr>
        <w:t xml:space="preserve">From 1 April 2020, </w:t>
      </w:r>
      <w:bookmarkStart w:id="74" w:name="_Hlk120099924"/>
      <w:r w:rsidRPr="00F46944">
        <w:rPr>
          <w:rFonts w:asciiTheme="majorHAnsi" w:hAnsiTheme="majorHAnsi" w:cstheme="majorHAnsi"/>
          <w:sz w:val="16"/>
          <w:szCs w:val="16"/>
        </w:rPr>
        <w:t>r</w:t>
      </w:r>
      <w:r w:rsidR="00502863" w:rsidRPr="00F46944">
        <w:rPr>
          <w:rFonts w:asciiTheme="majorHAnsi" w:hAnsiTheme="majorHAnsi" w:cstheme="majorHAnsi"/>
          <w:sz w:val="16"/>
          <w:szCs w:val="16"/>
        </w:rPr>
        <w:t xml:space="preserve">epeats </w:t>
      </w:r>
      <w:r w:rsidR="00213300" w:rsidRPr="00F46944">
        <w:rPr>
          <w:rFonts w:asciiTheme="majorHAnsi" w:hAnsiTheme="majorHAnsi" w:cstheme="majorHAnsi"/>
          <w:sz w:val="16"/>
          <w:szCs w:val="16"/>
        </w:rPr>
        <w:t xml:space="preserve">were </w:t>
      </w:r>
      <w:r w:rsidR="00550459" w:rsidRPr="00F46944">
        <w:rPr>
          <w:rFonts w:asciiTheme="majorHAnsi" w:hAnsiTheme="majorHAnsi" w:cstheme="majorHAnsi"/>
          <w:sz w:val="16"/>
          <w:szCs w:val="16"/>
        </w:rPr>
        <w:t xml:space="preserve">not </w:t>
      </w:r>
      <w:r w:rsidR="00502863" w:rsidRPr="00F46944">
        <w:rPr>
          <w:rFonts w:asciiTheme="majorHAnsi" w:hAnsiTheme="majorHAnsi" w:cstheme="majorHAnsi"/>
          <w:sz w:val="16"/>
          <w:szCs w:val="16"/>
        </w:rPr>
        <w:t>allowed for</w:t>
      </w:r>
      <w:r w:rsidR="00213300" w:rsidRPr="00F46944">
        <w:rPr>
          <w:rFonts w:asciiTheme="majorHAnsi" w:hAnsiTheme="majorHAnsi" w:cstheme="majorHAnsi"/>
          <w:sz w:val="16"/>
          <w:szCs w:val="16"/>
        </w:rPr>
        <w:t xml:space="preserve"> amoxicillin, amoxicillin–clavulanic acid, cefalexin, doxycycline and</w:t>
      </w:r>
      <w:r w:rsidR="00670342" w:rsidRPr="00F46944">
        <w:rPr>
          <w:rFonts w:asciiTheme="majorHAnsi" w:hAnsiTheme="majorHAnsi" w:cstheme="majorHAnsi"/>
          <w:sz w:val="16"/>
          <w:szCs w:val="16"/>
        </w:rPr>
        <w:t xml:space="preserve"> </w:t>
      </w:r>
      <w:r w:rsidR="00502863" w:rsidRPr="00F46944">
        <w:rPr>
          <w:rFonts w:asciiTheme="majorHAnsi" w:hAnsiTheme="majorHAnsi" w:cstheme="majorHAnsi"/>
          <w:sz w:val="16"/>
          <w:szCs w:val="16"/>
        </w:rPr>
        <w:t>roxithromycin</w:t>
      </w:r>
      <w:bookmarkEnd w:id="74"/>
      <w:r w:rsidR="00502863" w:rsidRPr="00F46944">
        <w:rPr>
          <w:rFonts w:asciiTheme="majorHAnsi" w:hAnsiTheme="majorHAnsi" w:cstheme="majorHAnsi"/>
          <w:sz w:val="16"/>
          <w:szCs w:val="16"/>
        </w:rPr>
        <w:t xml:space="preserve"> </w:t>
      </w:r>
      <w:r w:rsidR="00F50732" w:rsidRPr="00F46944">
        <w:rPr>
          <w:rFonts w:asciiTheme="majorHAnsi" w:hAnsiTheme="majorHAnsi" w:cstheme="majorHAnsi"/>
          <w:sz w:val="16"/>
          <w:szCs w:val="16"/>
        </w:rPr>
        <w:t>(</w:t>
      </w:r>
      <w:r w:rsidR="00346B65" w:rsidRPr="00F46944">
        <w:rPr>
          <w:rFonts w:asciiTheme="majorHAnsi" w:hAnsiTheme="majorHAnsi" w:cstheme="majorHAnsi"/>
          <w:sz w:val="16"/>
          <w:szCs w:val="16"/>
        </w:rPr>
        <w:t>shaded</w:t>
      </w:r>
      <w:r w:rsidR="00F50732" w:rsidRPr="00F46944">
        <w:rPr>
          <w:rFonts w:asciiTheme="majorHAnsi" w:hAnsiTheme="majorHAnsi" w:cstheme="majorHAnsi"/>
          <w:sz w:val="16"/>
          <w:szCs w:val="16"/>
        </w:rPr>
        <w:t>)</w:t>
      </w:r>
      <w:r w:rsidRPr="00F46944">
        <w:rPr>
          <w:rFonts w:asciiTheme="majorHAnsi" w:hAnsiTheme="majorHAnsi" w:cstheme="majorHAnsi"/>
          <w:sz w:val="16"/>
          <w:szCs w:val="16"/>
        </w:rPr>
        <w:t xml:space="preserve"> so 2020 data </w:t>
      </w:r>
      <w:r w:rsidR="00B35D45" w:rsidRPr="00F46944">
        <w:rPr>
          <w:rFonts w:asciiTheme="majorHAnsi" w:hAnsiTheme="majorHAnsi" w:cstheme="majorHAnsi"/>
          <w:sz w:val="16"/>
          <w:szCs w:val="16"/>
        </w:rPr>
        <w:t>have</w:t>
      </w:r>
      <w:r w:rsidRPr="00F46944">
        <w:rPr>
          <w:rFonts w:asciiTheme="majorHAnsi" w:hAnsiTheme="majorHAnsi" w:cstheme="majorHAnsi"/>
          <w:sz w:val="16"/>
          <w:szCs w:val="16"/>
        </w:rPr>
        <w:t xml:space="preserve"> been excluded from Table 7 to enable </w:t>
      </w:r>
      <w:r w:rsidR="00A74D2F" w:rsidRPr="00F46944">
        <w:rPr>
          <w:rFonts w:asciiTheme="majorHAnsi" w:hAnsiTheme="majorHAnsi" w:cstheme="majorHAnsi"/>
          <w:sz w:val="16"/>
          <w:szCs w:val="16"/>
        </w:rPr>
        <w:t xml:space="preserve">full </w:t>
      </w:r>
      <w:r w:rsidRPr="00F46944">
        <w:rPr>
          <w:rFonts w:asciiTheme="majorHAnsi" w:hAnsiTheme="majorHAnsi" w:cstheme="majorHAnsi"/>
          <w:sz w:val="16"/>
          <w:szCs w:val="16"/>
        </w:rPr>
        <w:t>yea</w:t>
      </w:r>
      <w:r w:rsidR="00FB1162" w:rsidRPr="00F46944">
        <w:rPr>
          <w:rFonts w:asciiTheme="majorHAnsi" w:hAnsiTheme="majorHAnsi" w:cstheme="majorHAnsi"/>
          <w:sz w:val="16"/>
          <w:szCs w:val="16"/>
        </w:rPr>
        <w:t>r</w:t>
      </w:r>
      <w:r w:rsidR="00B378B7">
        <w:rPr>
          <w:rFonts w:asciiTheme="majorHAnsi" w:hAnsiTheme="majorHAnsi" w:cstheme="majorHAnsi"/>
          <w:sz w:val="16"/>
          <w:szCs w:val="16"/>
        </w:rPr>
        <w:t>-</w:t>
      </w:r>
      <w:r w:rsidRPr="00F46944">
        <w:rPr>
          <w:rFonts w:asciiTheme="majorHAnsi" w:hAnsiTheme="majorHAnsi" w:cstheme="majorHAnsi"/>
          <w:sz w:val="16"/>
          <w:szCs w:val="16"/>
        </w:rPr>
        <w:t>to</w:t>
      </w:r>
      <w:r w:rsidR="00B378B7">
        <w:rPr>
          <w:rFonts w:asciiTheme="majorHAnsi" w:hAnsiTheme="majorHAnsi" w:cstheme="majorHAnsi"/>
          <w:sz w:val="16"/>
          <w:szCs w:val="16"/>
        </w:rPr>
        <w:t>-</w:t>
      </w:r>
      <w:r w:rsidRPr="00F46944">
        <w:rPr>
          <w:rFonts w:asciiTheme="majorHAnsi" w:hAnsiTheme="majorHAnsi" w:cstheme="majorHAnsi"/>
          <w:sz w:val="16"/>
          <w:szCs w:val="16"/>
        </w:rPr>
        <w:t>year comparison</w:t>
      </w:r>
      <w:r w:rsidR="00550459" w:rsidRPr="00F46944">
        <w:rPr>
          <w:rFonts w:asciiTheme="majorHAnsi" w:hAnsiTheme="majorHAnsi" w:cstheme="majorHAnsi"/>
          <w:sz w:val="16"/>
          <w:szCs w:val="16"/>
        </w:rPr>
        <w:t>.</w:t>
      </w:r>
    </w:p>
    <w:p w14:paraId="798CECF9" w14:textId="491CDE74" w:rsidR="00CC5D41" w:rsidRPr="00F46944" w:rsidRDefault="00502863" w:rsidP="003140B6">
      <w:pPr>
        <w:pStyle w:val="ListParagraph"/>
        <w:numPr>
          <w:ilvl w:val="0"/>
          <w:numId w:val="28"/>
        </w:numPr>
        <w:spacing w:after="0"/>
        <w:ind w:left="360"/>
        <w:rPr>
          <w:rFonts w:asciiTheme="majorHAnsi" w:hAnsiTheme="majorHAnsi" w:cstheme="majorHAnsi"/>
          <w:sz w:val="16"/>
          <w:szCs w:val="16"/>
        </w:rPr>
      </w:pPr>
      <w:r w:rsidRPr="00F46944">
        <w:rPr>
          <w:rFonts w:asciiTheme="majorHAnsi" w:hAnsiTheme="majorHAnsi" w:cstheme="majorHAnsi"/>
          <w:sz w:val="16"/>
          <w:szCs w:val="16"/>
        </w:rPr>
        <w:t>Rep</w:t>
      </w:r>
      <w:r w:rsidR="00213300" w:rsidRPr="00F46944">
        <w:rPr>
          <w:rFonts w:asciiTheme="majorHAnsi" w:hAnsiTheme="majorHAnsi" w:cstheme="majorHAnsi"/>
          <w:sz w:val="16"/>
          <w:szCs w:val="16"/>
        </w:rPr>
        <w:t>e</w:t>
      </w:r>
      <w:r w:rsidRPr="00F46944">
        <w:rPr>
          <w:rFonts w:asciiTheme="majorHAnsi" w:hAnsiTheme="majorHAnsi" w:cstheme="majorHAnsi"/>
          <w:sz w:val="16"/>
          <w:szCs w:val="16"/>
        </w:rPr>
        <w:t xml:space="preserve">ats </w:t>
      </w:r>
      <w:r w:rsidR="006620C9" w:rsidRPr="00F46944">
        <w:rPr>
          <w:rFonts w:asciiTheme="majorHAnsi" w:hAnsiTheme="majorHAnsi" w:cstheme="majorHAnsi"/>
          <w:sz w:val="16"/>
          <w:szCs w:val="16"/>
        </w:rPr>
        <w:t>were</w:t>
      </w:r>
      <w:r w:rsidR="006C677D" w:rsidRPr="00F46944">
        <w:rPr>
          <w:rFonts w:asciiTheme="majorHAnsi" w:hAnsiTheme="majorHAnsi" w:cstheme="majorHAnsi"/>
          <w:sz w:val="16"/>
          <w:szCs w:val="16"/>
        </w:rPr>
        <w:t xml:space="preserve"> not allowed for flucloxacillin capsules, but </w:t>
      </w:r>
      <w:r w:rsidR="003F571F" w:rsidRPr="00F46944">
        <w:rPr>
          <w:rFonts w:asciiTheme="majorHAnsi" w:hAnsiTheme="majorHAnsi" w:cstheme="majorHAnsi"/>
          <w:sz w:val="16"/>
          <w:szCs w:val="16"/>
        </w:rPr>
        <w:t xml:space="preserve">repeats </w:t>
      </w:r>
      <w:r w:rsidR="006620C9" w:rsidRPr="00F46944">
        <w:rPr>
          <w:rFonts w:asciiTheme="majorHAnsi" w:hAnsiTheme="majorHAnsi" w:cstheme="majorHAnsi"/>
          <w:sz w:val="16"/>
          <w:szCs w:val="16"/>
        </w:rPr>
        <w:t xml:space="preserve">were </w:t>
      </w:r>
      <w:r w:rsidRPr="00F46944">
        <w:rPr>
          <w:rFonts w:asciiTheme="majorHAnsi" w:hAnsiTheme="majorHAnsi" w:cstheme="majorHAnsi"/>
          <w:sz w:val="16"/>
          <w:szCs w:val="16"/>
        </w:rPr>
        <w:t>allowed for flucloxacillin powder for oral liquid</w:t>
      </w:r>
      <w:r w:rsidR="009C174B" w:rsidRPr="00F46944">
        <w:rPr>
          <w:rFonts w:asciiTheme="majorHAnsi" w:hAnsiTheme="majorHAnsi" w:cstheme="majorHAnsi"/>
          <w:sz w:val="16"/>
          <w:szCs w:val="16"/>
        </w:rPr>
        <w:t>.</w:t>
      </w:r>
    </w:p>
    <w:p w14:paraId="53DE4888" w14:textId="606F7024" w:rsidR="00550459" w:rsidRPr="00F46944" w:rsidRDefault="00502863" w:rsidP="003140B6">
      <w:pPr>
        <w:pStyle w:val="ListParagraph"/>
        <w:numPr>
          <w:ilvl w:val="0"/>
          <w:numId w:val="28"/>
        </w:numPr>
        <w:spacing w:after="0"/>
        <w:ind w:left="360"/>
        <w:rPr>
          <w:rFonts w:asciiTheme="majorHAnsi" w:hAnsiTheme="majorHAnsi" w:cstheme="majorHAnsi"/>
          <w:sz w:val="16"/>
          <w:szCs w:val="16"/>
        </w:rPr>
      </w:pPr>
      <w:r w:rsidRPr="00F46944">
        <w:rPr>
          <w:rFonts w:asciiTheme="majorHAnsi" w:hAnsiTheme="majorHAnsi" w:cstheme="majorHAnsi"/>
          <w:sz w:val="16"/>
          <w:szCs w:val="16"/>
        </w:rPr>
        <w:t xml:space="preserve">Less than 10 days was chosen for analysis </w:t>
      </w:r>
      <w:r w:rsidR="00CC5D41" w:rsidRPr="00F46944">
        <w:rPr>
          <w:rFonts w:asciiTheme="majorHAnsi" w:hAnsiTheme="majorHAnsi" w:cstheme="majorHAnsi"/>
          <w:sz w:val="16"/>
          <w:szCs w:val="16"/>
        </w:rPr>
        <w:t xml:space="preserve">as </w:t>
      </w:r>
      <w:r w:rsidRPr="00F46944">
        <w:rPr>
          <w:rFonts w:asciiTheme="majorHAnsi" w:hAnsiTheme="majorHAnsi" w:cstheme="majorHAnsi"/>
          <w:sz w:val="16"/>
          <w:szCs w:val="16"/>
        </w:rPr>
        <w:t>most pack sizes provide treatment for 5</w:t>
      </w:r>
      <w:r w:rsidR="00112691">
        <w:rPr>
          <w:rFonts w:asciiTheme="majorHAnsi" w:hAnsiTheme="majorHAnsi" w:cstheme="majorHAnsi"/>
          <w:sz w:val="16"/>
          <w:szCs w:val="16"/>
        </w:rPr>
        <w:t xml:space="preserve"> to</w:t>
      </w:r>
      <w:r w:rsidR="002C5707">
        <w:rPr>
          <w:rFonts w:asciiTheme="majorHAnsi" w:hAnsiTheme="majorHAnsi" w:cstheme="majorHAnsi"/>
          <w:sz w:val="16"/>
          <w:szCs w:val="16"/>
        </w:rPr>
        <w:t xml:space="preserve"> </w:t>
      </w:r>
      <w:r w:rsidRPr="00F46944">
        <w:rPr>
          <w:rFonts w:asciiTheme="majorHAnsi" w:hAnsiTheme="majorHAnsi" w:cstheme="majorHAnsi"/>
          <w:sz w:val="16"/>
          <w:szCs w:val="16"/>
        </w:rPr>
        <w:t>10 days.</w:t>
      </w:r>
    </w:p>
    <w:p w14:paraId="594EBBFD" w14:textId="3FAA588A" w:rsidR="00550459" w:rsidRPr="00F46944" w:rsidRDefault="00550459" w:rsidP="00C33DF0">
      <w:pPr>
        <w:rPr>
          <w:rFonts w:asciiTheme="majorHAnsi" w:hAnsiTheme="majorHAnsi" w:cstheme="majorHAnsi"/>
          <w:sz w:val="16"/>
          <w:szCs w:val="16"/>
        </w:rPr>
      </w:pPr>
      <w:r w:rsidRPr="00F46944">
        <w:rPr>
          <w:rFonts w:cstheme="minorHAnsi"/>
          <w:sz w:val="16"/>
          <w:szCs w:val="16"/>
        </w:rPr>
        <w:t>Source: Gadzhanova, Roughead</w:t>
      </w:r>
      <w:r w:rsidR="007D4300" w:rsidRPr="00F46944">
        <w:rPr>
          <w:rFonts w:cstheme="minorHAnsi"/>
          <w:sz w:val="16"/>
          <w:szCs w:val="16"/>
        </w:rPr>
        <w:t xml:space="preserve"> </w:t>
      </w:r>
      <w:r w:rsidRPr="00F46944">
        <w:rPr>
          <w:rFonts w:cstheme="minorHAnsi"/>
          <w:sz w:val="16"/>
          <w:szCs w:val="16"/>
          <w:vertAlign w:val="superscript"/>
        </w:rPr>
        <w:fldChar w:fldCharType="begin"/>
      </w:r>
      <w:r w:rsidR="00DB0DCB">
        <w:rPr>
          <w:rFonts w:cstheme="minorHAnsi"/>
          <w:sz w:val="16"/>
          <w:szCs w:val="16"/>
          <w:vertAlign w:val="superscript"/>
        </w:rPr>
        <w:instrText xml:space="preserve"> ADDIN EN.CITE &lt;EndNote&gt;&lt;Cite&gt;&lt;Author&gt;Gadzhanova&lt;/Author&gt;&lt;RecNum&gt;5&lt;/RecNum&gt;&lt;DisplayText&gt;&lt;style face="superscript"&gt;5&lt;/style&gt;&lt;/DisplayText&gt;&lt;record&gt;&lt;rec-number&gt;5&lt;/rec-number&gt;&lt;foreign-keys&gt;&lt;key app="EN" db-id="es9dr99ws90stoe5x2rp505nazvswdzppxa5" timestamp="1670810539"&gt;5&lt;/key&gt;&lt;/foreign-keys&gt;&lt;ref-type name="Unpublished Work"&gt;34&lt;/ref-type&gt;&lt;contributors&gt;&lt;authors&gt;&lt;author&gt;Gadzhanova, S.&lt;/author&gt;&lt;author&gt;Roughead, E.&lt;/author&gt;&lt;/authors&gt;&lt;/contributors&gt;&lt;titles&gt;&lt;title&gt;Analysis of 2015–2021 PBS data for the National Report on Antimicrobial Use and Resistance (unpublished)&lt;/title&gt;&lt;/titles&gt;&lt;dates&gt;&lt;/dates&gt;&lt;pub-location&gt;Sydney &lt;/pub-location&gt;&lt;publisher&gt;ACSQHC &lt;/publisher&gt;&lt;urls&gt;&lt;/urls&gt;&lt;/record&gt;&lt;/Cite&gt;&lt;/EndNote&gt;</w:instrText>
      </w:r>
      <w:r w:rsidRPr="00F46944">
        <w:rPr>
          <w:rFonts w:cstheme="minorHAnsi"/>
          <w:sz w:val="16"/>
          <w:szCs w:val="16"/>
          <w:vertAlign w:val="superscript"/>
        </w:rPr>
        <w:fldChar w:fldCharType="separate"/>
      </w:r>
      <w:r w:rsidR="001C0A42">
        <w:rPr>
          <w:rFonts w:cstheme="minorHAnsi"/>
          <w:noProof/>
          <w:sz w:val="16"/>
          <w:szCs w:val="16"/>
          <w:vertAlign w:val="superscript"/>
        </w:rPr>
        <w:t>5</w:t>
      </w:r>
      <w:r w:rsidRPr="00F46944">
        <w:rPr>
          <w:rFonts w:cstheme="minorHAnsi"/>
          <w:sz w:val="16"/>
          <w:szCs w:val="16"/>
          <w:vertAlign w:val="superscript"/>
        </w:rPr>
        <w:fldChar w:fldCharType="end"/>
      </w:r>
      <w:r w:rsidR="007D4300" w:rsidRPr="00F46944">
        <w:rPr>
          <w:rFonts w:asciiTheme="majorHAnsi" w:hAnsiTheme="majorHAnsi" w:cstheme="majorHAnsi"/>
          <w:sz w:val="16"/>
          <w:szCs w:val="16"/>
        </w:rPr>
        <w:t xml:space="preserve"> </w:t>
      </w:r>
    </w:p>
    <w:p w14:paraId="59EE70A7" w14:textId="13398C8C" w:rsidR="0093641B" w:rsidRPr="00F46944" w:rsidRDefault="0093641B" w:rsidP="0093641B">
      <w:pPr>
        <w:keepNext/>
        <w:spacing w:before="240" w:after="240"/>
        <w:outlineLvl w:val="2"/>
        <w:rPr>
          <w:rFonts w:asciiTheme="majorHAnsi" w:hAnsiTheme="majorHAnsi" w:cstheme="majorHAnsi"/>
          <w:b/>
          <w:bCs/>
          <w:iCs/>
          <w:color w:val="DC5827" w:themeColor="accent5"/>
          <w:kern w:val="28"/>
          <w:sz w:val="28"/>
          <w:szCs w:val="26"/>
        </w:rPr>
      </w:pPr>
      <w:bookmarkStart w:id="75" w:name="_Toc121826731"/>
      <w:r w:rsidRPr="00F46944">
        <w:rPr>
          <w:rFonts w:asciiTheme="majorHAnsi" w:hAnsiTheme="majorHAnsi" w:cstheme="majorHAnsi"/>
          <w:b/>
          <w:bCs/>
          <w:iCs/>
          <w:color w:val="DC5827" w:themeColor="accent5"/>
          <w:kern w:val="28"/>
          <w:sz w:val="28"/>
          <w:szCs w:val="26"/>
        </w:rPr>
        <w:t>Antimicrobial prescribing in general practice: NPS MedicineWise</w:t>
      </w:r>
      <w:bookmarkStart w:id="76" w:name="_Hlk100656688"/>
      <w:r w:rsidRPr="00F46944">
        <w:rPr>
          <w:rFonts w:asciiTheme="majorHAnsi" w:hAnsiTheme="majorHAnsi" w:cstheme="majorHAnsi"/>
          <w:b/>
          <w:bCs/>
          <w:iCs/>
          <w:color w:val="DC5827" w:themeColor="accent5"/>
          <w:kern w:val="28"/>
          <w:sz w:val="28"/>
          <w:szCs w:val="26"/>
        </w:rPr>
        <w:t xml:space="preserve"> </w:t>
      </w:r>
      <w:proofErr w:type="spellStart"/>
      <w:r w:rsidRPr="00F46944">
        <w:rPr>
          <w:rFonts w:asciiTheme="majorHAnsi" w:hAnsiTheme="majorHAnsi" w:cstheme="majorHAnsi"/>
          <w:b/>
          <w:bCs/>
          <w:iCs/>
          <w:color w:val="DC5827" w:themeColor="accent5"/>
          <w:kern w:val="28"/>
          <w:sz w:val="28"/>
          <w:szCs w:val="26"/>
        </w:rPr>
        <w:t>MedicineInsight</w:t>
      </w:r>
      <w:proofErr w:type="spellEnd"/>
      <w:r w:rsidRPr="00F46944">
        <w:rPr>
          <w:rFonts w:asciiTheme="majorHAnsi" w:hAnsiTheme="majorHAnsi" w:cstheme="majorHAnsi"/>
          <w:b/>
          <w:bCs/>
          <w:iCs/>
          <w:color w:val="DC5827" w:themeColor="accent5"/>
          <w:kern w:val="28"/>
          <w:sz w:val="28"/>
          <w:szCs w:val="26"/>
        </w:rPr>
        <w:t xml:space="preserve"> program</w:t>
      </w:r>
      <w:bookmarkEnd w:id="75"/>
      <w:bookmarkEnd w:id="76"/>
    </w:p>
    <w:p w14:paraId="55289798" w14:textId="4C2B5A1D" w:rsidR="00B57B3B" w:rsidRPr="00F46944" w:rsidRDefault="00912D99" w:rsidP="00D30C3A">
      <w:bookmarkStart w:id="77" w:name="_Hlk98853330"/>
      <w:bookmarkStart w:id="78" w:name="_Toc100753204"/>
      <w:r w:rsidRPr="00F46944">
        <w:t xml:space="preserve">In 2020, 24.8% </w:t>
      </w:r>
      <w:r w:rsidR="00CE17AB" w:rsidRPr="00F46944">
        <w:t>(639,306/2,581,255)</w:t>
      </w:r>
      <w:r w:rsidR="0093641B" w:rsidRPr="00F46944">
        <w:t xml:space="preserve"> of </w:t>
      </w:r>
      <w:bookmarkStart w:id="79" w:name="_Hlk102460371"/>
      <w:proofErr w:type="spellStart"/>
      <w:r w:rsidR="0093641B" w:rsidRPr="00F46944">
        <w:t>MedicineInsight</w:t>
      </w:r>
      <w:proofErr w:type="spellEnd"/>
      <w:r w:rsidR="0093641B" w:rsidRPr="00F46944">
        <w:t xml:space="preserve"> patients who attended a practice in that year were prescribed antimicrobials</w:t>
      </w:r>
      <w:r w:rsidR="00D30C3A" w:rsidRPr="00F46944">
        <w:t xml:space="preserve"> at least once during the year</w:t>
      </w:r>
      <w:r w:rsidR="0093641B" w:rsidRPr="00F46944">
        <w:t xml:space="preserve"> </w:t>
      </w:r>
      <w:bookmarkEnd w:id="79"/>
      <w:r w:rsidR="0093641B" w:rsidRPr="00F46944">
        <w:t>– a reduction of 6.6</w:t>
      </w:r>
      <w:r w:rsidR="00226531" w:rsidRPr="00F46944">
        <w:t>%</w:t>
      </w:r>
      <w:r w:rsidR="0093641B" w:rsidRPr="00F46944">
        <w:t xml:space="preserve"> compared </w:t>
      </w:r>
      <w:r w:rsidR="00E775A2">
        <w:t>to</w:t>
      </w:r>
      <w:r w:rsidR="0093641B" w:rsidRPr="00F46944">
        <w:t xml:space="preserve"> 2019. </w:t>
      </w:r>
      <w:r w:rsidR="005C7604" w:rsidRPr="00F46944">
        <w:t xml:space="preserve">Although </w:t>
      </w:r>
      <w:r w:rsidR="00A11C9A" w:rsidRPr="00F46944">
        <w:t xml:space="preserve">this decline is </w:t>
      </w:r>
      <w:r w:rsidR="005C7604" w:rsidRPr="00F46944">
        <w:t>lower than that observed by PBS/RP</w:t>
      </w:r>
      <w:r w:rsidR="00B57B3B" w:rsidRPr="00F46944">
        <w:t>B</w:t>
      </w:r>
      <w:r w:rsidR="005C7604" w:rsidRPr="00F46944">
        <w:t>S</w:t>
      </w:r>
      <w:r w:rsidR="004F5D8A" w:rsidRPr="00F46944">
        <w:t xml:space="preserve">, </w:t>
      </w:r>
      <w:r w:rsidR="00A11C9A" w:rsidRPr="00F46944">
        <w:t>i</w:t>
      </w:r>
      <w:r w:rsidR="00166301" w:rsidRPr="00F46944">
        <w:t>t</w:t>
      </w:r>
      <w:r w:rsidR="00A11C9A" w:rsidRPr="00F46944">
        <w:t xml:space="preserve"> </w:t>
      </w:r>
      <w:r w:rsidR="00D30C3A" w:rsidRPr="00F46944">
        <w:t xml:space="preserve">may reflect a number of differences in the data between </w:t>
      </w:r>
      <w:proofErr w:type="spellStart"/>
      <w:r w:rsidR="005C7604" w:rsidRPr="00F46944">
        <w:t>MedicineInsight</w:t>
      </w:r>
      <w:proofErr w:type="spellEnd"/>
      <w:r w:rsidR="005C7604" w:rsidRPr="00F46944">
        <w:t xml:space="preserve"> and PBS/RPBS</w:t>
      </w:r>
      <w:r w:rsidR="00693087" w:rsidRPr="00F46944">
        <w:t xml:space="preserve"> and </w:t>
      </w:r>
      <w:r w:rsidR="0082078D" w:rsidRPr="00F46944">
        <w:t xml:space="preserve">the </w:t>
      </w:r>
      <w:r w:rsidR="00693087" w:rsidRPr="00F46944">
        <w:t>services they captur</w:t>
      </w:r>
      <w:r w:rsidR="004D1EAB" w:rsidRPr="00F46944">
        <w:t>e</w:t>
      </w:r>
      <w:r w:rsidR="005C7604" w:rsidRPr="00F46944">
        <w:t xml:space="preserve">. </w:t>
      </w:r>
    </w:p>
    <w:p w14:paraId="2693D304" w14:textId="73FD7809" w:rsidR="0097547F" w:rsidRDefault="0093641B" w:rsidP="00837265">
      <w:r w:rsidRPr="00F46944">
        <w:t xml:space="preserve">In 2021, 23.5% </w:t>
      </w:r>
      <w:r w:rsidR="00106BC3" w:rsidRPr="00F46944">
        <w:t xml:space="preserve">(654,385/2,778,848) </w:t>
      </w:r>
      <w:r w:rsidRPr="00F46944">
        <w:t xml:space="preserve">of patients who attended a </w:t>
      </w:r>
      <w:proofErr w:type="spellStart"/>
      <w:r w:rsidR="00B35D45" w:rsidRPr="00F46944">
        <w:t>MedicineInsight</w:t>
      </w:r>
      <w:proofErr w:type="spellEnd"/>
      <w:r w:rsidR="00B35D45" w:rsidRPr="00F46944">
        <w:t xml:space="preserve"> </w:t>
      </w:r>
      <w:r w:rsidRPr="00F46944">
        <w:t>practice were prescribed antimicrobials</w:t>
      </w:r>
      <w:r w:rsidR="00B57B3B" w:rsidRPr="00F46944">
        <w:t xml:space="preserve"> at least once</w:t>
      </w:r>
      <w:r w:rsidRPr="00F46944">
        <w:t>. This is a decrease of 1.3</w:t>
      </w:r>
      <w:r w:rsidR="00106BC3" w:rsidRPr="00F46944">
        <w:t> </w:t>
      </w:r>
      <w:r w:rsidRPr="00F46944">
        <w:t xml:space="preserve">percentage points compared </w:t>
      </w:r>
      <w:r w:rsidR="00E775A2">
        <w:lastRenderedPageBreak/>
        <w:t>to</w:t>
      </w:r>
      <w:r w:rsidRPr="00F46944">
        <w:t xml:space="preserve"> 2020, and a reduction of </w:t>
      </w:r>
      <w:r w:rsidR="005C7604" w:rsidRPr="00F46944">
        <w:t>12</w:t>
      </w:r>
      <w:r w:rsidR="00106BC3" w:rsidRPr="00F46944">
        <w:t> </w:t>
      </w:r>
      <w:r w:rsidRPr="00F46944">
        <w:t xml:space="preserve">percentage points compared </w:t>
      </w:r>
      <w:r w:rsidR="00E775A2">
        <w:t>to</w:t>
      </w:r>
      <w:r w:rsidRPr="00F46944">
        <w:t xml:space="preserve"> 201</w:t>
      </w:r>
      <w:r w:rsidR="005C7604" w:rsidRPr="00F46944">
        <w:t>5</w:t>
      </w:r>
      <w:r w:rsidRPr="00F46944">
        <w:t>, when 3</w:t>
      </w:r>
      <w:r w:rsidR="005C7604" w:rsidRPr="00F46944">
        <w:t>6</w:t>
      </w:r>
      <w:r w:rsidR="00513951">
        <w:t>.7</w:t>
      </w:r>
      <w:r w:rsidRPr="00F46944">
        <w:t>%</w:t>
      </w:r>
      <w:r w:rsidR="005C7604" w:rsidRPr="00F46944">
        <w:t xml:space="preserve"> (616,019/1,679,592) </w:t>
      </w:r>
      <w:r w:rsidRPr="00F46944">
        <w:t>of patients were prescribed antimicrobials (</w:t>
      </w:r>
      <w:r w:rsidRPr="00E0396F">
        <w:t>Figure</w:t>
      </w:r>
      <w:r w:rsidR="00E479E1" w:rsidRPr="00A77B82">
        <w:t> </w:t>
      </w:r>
      <w:r w:rsidR="00AA7934" w:rsidRPr="00E0396F">
        <w:t>7</w:t>
      </w:r>
      <w:r w:rsidRPr="00F46944">
        <w:t>).</w:t>
      </w:r>
    </w:p>
    <w:p w14:paraId="69BA127C" w14:textId="7F9CCA44" w:rsidR="00644A15" w:rsidRPr="00ED769C" w:rsidRDefault="00ED769C" w:rsidP="00ED769C">
      <w:pPr>
        <w:pStyle w:val="Captions"/>
        <w:rPr>
          <w:b w:val="0"/>
          <w:bCs w:val="0"/>
        </w:rPr>
      </w:pPr>
      <w:bookmarkStart w:id="80" w:name="_Toc121491319"/>
      <w:bookmarkStart w:id="81" w:name="_Toc121840891"/>
      <w:r>
        <w:t>Figure</w:t>
      </w:r>
      <w:r w:rsidRPr="00EA1E2A">
        <w:t> </w:t>
      </w:r>
      <w:fldSimple w:instr=" SEQ Figure \* ARABIC ">
        <w:r w:rsidR="00F34DDD">
          <w:rPr>
            <w:noProof/>
          </w:rPr>
          <w:t>7</w:t>
        </w:r>
      </w:fldSimple>
      <w:r w:rsidR="00644A15" w:rsidRPr="00F46944">
        <w:t>:</w:t>
      </w:r>
      <w:r w:rsidR="00644A15" w:rsidRPr="00ED769C">
        <w:rPr>
          <w:b w:val="0"/>
          <w:bCs w:val="0"/>
        </w:rPr>
        <w:t> Percentage of patients prescribed one or more antimicrobials</w:t>
      </w:r>
      <w:r w:rsidR="00A810AD" w:rsidRPr="00ED769C">
        <w:rPr>
          <w:b w:val="0"/>
          <w:bCs w:val="0"/>
        </w:rPr>
        <w:t>*</w:t>
      </w:r>
      <w:r w:rsidR="00644A15" w:rsidRPr="00ED769C">
        <w:rPr>
          <w:b w:val="0"/>
          <w:bCs w:val="0"/>
        </w:rPr>
        <w:t xml:space="preserve">, </w:t>
      </w:r>
      <w:proofErr w:type="spellStart"/>
      <w:r w:rsidR="00644A15" w:rsidRPr="00ED769C">
        <w:rPr>
          <w:b w:val="0"/>
          <w:bCs w:val="0"/>
        </w:rPr>
        <w:t>MedicineInsight</w:t>
      </w:r>
      <w:proofErr w:type="spellEnd"/>
      <w:r w:rsidR="00644A15" w:rsidRPr="00ED769C">
        <w:rPr>
          <w:b w:val="0"/>
          <w:bCs w:val="0"/>
        </w:rPr>
        <w:t xml:space="preserve"> practices, 201</w:t>
      </w:r>
      <w:r w:rsidR="00ED5DD1" w:rsidRPr="00ED769C">
        <w:rPr>
          <w:b w:val="0"/>
          <w:bCs w:val="0"/>
        </w:rPr>
        <w:t>5</w:t>
      </w:r>
      <w:r w:rsidR="00644A15" w:rsidRPr="00ED769C">
        <w:rPr>
          <w:b w:val="0"/>
          <w:bCs w:val="0"/>
        </w:rPr>
        <w:t>–2021</w:t>
      </w:r>
      <w:bookmarkEnd w:id="80"/>
      <w:bookmarkEnd w:id="81"/>
    </w:p>
    <w:p w14:paraId="495EC5D7" w14:textId="7208B07F" w:rsidR="003142C8" w:rsidRDefault="00580F90" w:rsidP="0025132B">
      <w:pPr>
        <w:tabs>
          <w:tab w:val="left" w:pos="142"/>
        </w:tabs>
        <w:spacing w:after="0"/>
        <w:rPr>
          <w:sz w:val="16"/>
          <w:szCs w:val="16"/>
        </w:rPr>
      </w:pPr>
      <w:r>
        <w:rPr>
          <w:noProof/>
          <w:sz w:val="16"/>
          <w:szCs w:val="16"/>
        </w:rPr>
        <w:drawing>
          <wp:inline distT="0" distB="0" distL="0" distR="0" wp14:anchorId="31B18B38" wp14:editId="67A52A8C">
            <wp:extent cx="5925820" cy="3237230"/>
            <wp:effectExtent l="0" t="0" r="0" b="1270"/>
            <wp:docPr id="53" name="Picture 53" descr="Figure 7: Percentage of patients prescribed one or more antimicrobials, MedicineInsight practices, 2015–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Figure 7: Percentage of patients prescribed one or more antimicrobials, MedicineInsight practices, 2015–20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5820" cy="3237230"/>
                    </a:xfrm>
                    <a:prstGeom prst="rect">
                      <a:avLst/>
                    </a:prstGeom>
                    <a:noFill/>
                  </pic:spPr>
                </pic:pic>
              </a:graphicData>
            </a:graphic>
          </wp:inline>
        </w:drawing>
      </w:r>
    </w:p>
    <w:p w14:paraId="67295165" w14:textId="53D8A1E5" w:rsidR="00537FCD" w:rsidRPr="00F46944" w:rsidRDefault="00A810AD" w:rsidP="0076762C">
      <w:pPr>
        <w:tabs>
          <w:tab w:val="left" w:pos="142"/>
        </w:tabs>
        <w:rPr>
          <w:sz w:val="16"/>
          <w:szCs w:val="16"/>
        </w:rPr>
      </w:pPr>
      <w:r w:rsidRPr="00F46944">
        <w:rPr>
          <w:sz w:val="16"/>
          <w:szCs w:val="16"/>
        </w:rPr>
        <w:t>*</w:t>
      </w:r>
      <w:r w:rsidR="00112691">
        <w:rPr>
          <w:sz w:val="16"/>
          <w:szCs w:val="16"/>
        </w:rPr>
        <w:tab/>
      </w:r>
      <w:proofErr w:type="spellStart"/>
      <w:r w:rsidRPr="00F46944">
        <w:rPr>
          <w:sz w:val="16"/>
          <w:szCs w:val="16"/>
        </w:rPr>
        <w:t>Antibacterials</w:t>
      </w:r>
      <w:proofErr w:type="spellEnd"/>
      <w:r w:rsidRPr="00F46944">
        <w:rPr>
          <w:sz w:val="16"/>
          <w:szCs w:val="16"/>
        </w:rPr>
        <w:t xml:space="preserve"> for systemic use (</w:t>
      </w:r>
      <w:r w:rsidR="00D6375D">
        <w:rPr>
          <w:sz w:val="16"/>
          <w:szCs w:val="16"/>
        </w:rPr>
        <w:t xml:space="preserve">ATC code </w:t>
      </w:r>
      <w:r w:rsidRPr="00F46944">
        <w:rPr>
          <w:sz w:val="16"/>
          <w:szCs w:val="16"/>
        </w:rPr>
        <w:t>J01)</w:t>
      </w:r>
      <w:r w:rsidRPr="00F46944">
        <w:rPr>
          <w:sz w:val="16"/>
          <w:szCs w:val="16"/>
        </w:rPr>
        <w:br/>
      </w:r>
      <w:r w:rsidR="0093641B" w:rsidRPr="00F46944">
        <w:rPr>
          <w:sz w:val="16"/>
          <w:szCs w:val="16"/>
        </w:rPr>
        <w:t xml:space="preserve">Note: Number of practices was </w:t>
      </w:r>
      <w:r w:rsidR="00ED5DD1" w:rsidRPr="00F46944">
        <w:rPr>
          <w:sz w:val="16"/>
          <w:szCs w:val="16"/>
        </w:rPr>
        <w:t xml:space="preserve">480 in 2015, 493 in 2016, </w:t>
      </w:r>
      <w:r w:rsidR="0093641B" w:rsidRPr="00F46944">
        <w:rPr>
          <w:sz w:val="16"/>
          <w:szCs w:val="16"/>
        </w:rPr>
        <w:t xml:space="preserve">498 in 2017, 502 in 2018, 502 in 2019, </w:t>
      </w:r>
      <w:bookmarkStart w:id="82" w:name="_Hlk102467826"/>
      <w:r w:rsidR="0093641B" w:rsidRPr="00F46944">
        <w:rPr>
          <w:sz w:val="16"/>
          <w:szCs w:val="16"/>
        </w:rPr>
        <w:t>503 in 2020 and 504 in 2021</w:t>
      </w:r>
      <w:bookmarkEnd w:id="82"/>
      <w:r w:rsidR="0093641B" w:rsidRPr="00F46944">
        <w:rPr>
          <w:sz w:val="16"/>
          <w:szCs w:val="16"/>
        </w:rPr>
        <w:t xml:space="preserve">. The number of denominator patients </w:t>
      </w:r>
      <w:r w:rsidR="00B57B3B" w:rsidRPr="00F46944">
        <w:rPr>
          <w:sz w:val="16"/>
          <w:szCs w:val="16"/>
        </w:rPr>
        <w:t>will also</w:t>
      </w:r>
      <w:r w:rsidR="0093641B" w:rsidRPr="00F46944">
        <w:rPr>
          <w:sz w:val="16"/>
          <w:szCs w:val="16"/>
        </w:rPr>
        <w:t xml:space="preserve"> change each year (see </w:t>
      </w:r>
      <w:r w:rsidR="0063364D" w:rsidRPr="00F46944">
        <w:rPr>
          <w:sz w:val="16"/>
          <w:szCs w:val="16"/>
        </w:rPr>
        <w:t>M</w:t>
      </w:r>
      <w:r w:rsidR="0093641B" w:rsidRPr="00F46944">
        <w:rPr>
          <w:sz w:val="16"/>
          <w:szCs w:val="16"/>
        </w:rPr>
        <w:t>ethod</w:t>
      </w:r>
      <w:r w:rsidR="00DB030A" w:rsidRPr="00F46944">
        <w:rPr>
          <w:sz w:val="16"/>
          <w:szCs w:val="16"/>
        </w:rPr>
        <w:t>ology</w:t>
      </w:r>
      <w:r w:rsidR="0093641B" w:rsidRPr="00F46944">
        <w:rPr>
          <w:sz w:val="16"/>
          <w:szCs w:val="16"/>
        </w:rPr>
        <w:t xml:space="preserve">).  </w:t>
      </w:r>
      <w:bookmarkStart w:id="83" w:name="_Hlk103678002"/>
      <w:r w:rsidR="00742B2F" w:rsidRPr="00F46944">
        <w:rPr>
          <w:sz w:val="16"/>
          <w:szCs w:val="16"/>
        </w:rPr>
        <w:br/>
      </w:r>
      <w:r w:rsidR="0093641B" w:rsidRPr="00F46944">
        <w:rPr>
          <w:sz w:val="16"/>
          <w:szCs w:val="16"/>
        </w:rPr>
        <w:t>Source: NPS MedicineWise</w:t>
      </w:r>
      <w:r w:rsidR="0068313A" w:rsidRPr="00F46944">
        <w:rPr>
          <w:sz w:val="16"/>
          <w:szCs w:val="16"/>
        </w:rPr>
        <w:fldChar w:fldCharType="begin"/>
      </w:r>
      <w:r w:rsidR="00DB0DCB">
        <w:rPr>
          <w:sz w:val="16"/>
          <w:szCs w:val="16"/>
        </w:rPr>
        <w:instrText xml:space="preserve"> ADDIN EN.CITE &lt;EndNote&gt;&lt;Cite&gt;&lt;Author&gt;NPS MedicineWise&lt;/Author&gt;&lt;RecNum&gt;6&lt;/RecNum&gt;&lt;DisplayText&gt;&lt;style face="superscript"&gt;6&lt;/style&gt;&lt;/DisplayText&gt;&lt;record&gt;&lt;rec-number&gt;6&lt;/rec-number&gt;&lt;foreign-keys&gt;&lt;key app="EN" db-id="es9dr99ws90stoe5x2rp505nazvswdzppxa5" timestamp="1670810539"&gt;6&lt;/key&gt;&lt;/foreign-keys&gt;&lt;ref-type name="Unpublished Work"&gt;34&lt;/ref-type&gt;&lt;contributors&gt;&lt;authors&gt;&lt;author&gt;NPS MedicineWise,&lt;/author&gt;&lt;/authors&gt;&lt;/contributors&gt;&lt;titles&gt;&lt;title&gt;MedicineInsight data analyses for AURA Community report, May 2022 (unpublished)&lt;/title&gt;&lt;/titles&gt;&lt;dates&gt;&lt;/dates&gt;&lt;publisher&gt;NPS MedicineWise&lt;/publisher&gt;&lt;urls&gt;&lt;/urls&gt;&lt;/record&gt;&lt;/Cite&gt;&lt;/EndNote&gt;</w:instrText>
      </w:r>
      <w:r w:rsidR="0068313A" w:rsidRPr="00F46944">
        <w:rPr>
          <w:sz w:val="16"/>
          <w:szCs w:val="16"/>
        </w:rPr>
        <w:fldChar w:fldCharType="separate"/>
      </w:r>
      <w:r w:rsidR="001C0A42" w:rsidRPr="001C0A42">
        <w:rPr>
          <w:noProof/>
          <w:sz w:val="16"/>
          <w:szCs w:val="16"/>
          <w:vertAlign w:val="superscript"/>
        </w:rPr>
        <w:t>6</w:t>
      </w:r>
      <w:r w:rsidR="0068313A" w:rsidRPr="00F46944">
        <w:rPr>
          <w:sz w:val="16"/>
          <w:szCs w:val="16"/>
        </w:rPr>
        <w:fldChar w:fldCharType="end"/>
      </w:r>
      <w:r w:rsidR="0093641B" w:rsidRPr="00F46944">
        <w:rPr>
          <w:sz w:val="16"/>
          <w:szCs w:val="16"/>
        </w:rPr>
        <w:t xml:space="preserve"> </w:t>
      </w:r>
      <w:bookmarkStart w:id="84" w:name="_Hlk103588770"/>
      <w:bookmarkEnd w:id="83"/>
    </w:p>
    <w:bookmarkEnd w:id="84"/>
    <w:p w14:paraId="47C5903B" w14:textId="5DA353AB" w:rsidR="00F24549" w:rsidRPr="00F46944" w:rsidRDefault="0093641B" w:rsidP="00E32B43">
      <w:r w:rsidRPr="00F46944">
        <w:t xml:space="preserve">Among </w:t>
      </w:r>
      <w:proofErr w:type="spellStart"/>
      <w:r w:rsidRPr="00F46944">
        <w:t>MedicineInsight</w:t>
      </w:r>
      <w:proofErr w:type="spellEnd"/>
      <w:r w:rsidRPr="00F46944">
        <w:t xml:space="preserve"> practices, people aged 90–94</w:t>
      </w:r>
      <w:r w:rsidR="008F2B97" w:rsidRPr="00F46944">
        <w:t> </w:t>
      </w:r>
      <w:r w:rsidRPr="00F46944">
        <w:t xml:space="preserve">years were more frequently prescribed </w:t>
      </w:r>
      <w:r w:rsidR="00F24549" w:rsidRPr="00F46944">
        <w:t xml:space="preserve">amoxicillin, amoxicillin–clavulanic acid, azithromycin, cefalexin, ciprofloxacin, doxycycline and roxithromycin </w:t>
      </w:r>
      <w:r w:rsidRPr="00F46944">
        <w:t>than any other age group in both 2020 (</w:t>
      </w:r>
      <w:r w:rsidR="004665D7" w:rsidRPr="00F46944">
        <w:t>39</w:t>
      </w:r>
      <w:r w:rsidR="00E57E4B" w:rsidRPr="00F46944">
        <w:t> </w:t>
      </w:r>
      <w:r w:rsidR="007804C2" w:rsidRPr="00F46944">
        <w:t xml:space="preserve">prescriptions </w:t>
      </w:r>
      <w:r w:rsidRPr="00F46944">
        <w:t>per 100</w:t>
      </w:r>
      <w:r w:rsidR="000A6EC4" w:rsidRPr="00F46944">
        <w:t> </w:t>
      </w:r>
      <w:r w:rsidRPr="00F46944">
        <w:t xml:space="preserve">patients) and 2021 (35 </w:t>
      </w:r>
      <w:r w:rsidR="007804C2" w:rsidRPr="00F46944">
        <w:t xml:space="preserve">prescriptions </w:t>
      </w:r>
      <w:r w:rsidRPr="00F46944">
        <w:t>per 100</w:t>
      </w:r>
      <w:r w:rsidR="000A6EC4" w:rsidRPr="00F46944">
        <w:t> </w:t>
      </w:r>
      <w:r w:rsidRPr="00F46944">
        <w:t>patients)</w:t>
      </w:r>
      <w:r w:rsidR="00564C4B">
        <w:t>.</w:t>
      </w:r>
      <w:r w:rsidRPr="00F46944">
        <w:t xml:space="preserve"> </w:t>
      </w:r>
      <w:bookmarkStart w:id="85" w:name="_Hlk102468710"/>
    </w:p>
    <w:p w14:paraId="4CE703F5" w14:textId="50CD34D0" w:rsidR="00FB1162" w:rsidRPr="00F46944" w:rsidRDefault="0093641B" w:rsidP="00E32B43">
      <w:r w:rsidRPr="00F46944">
        <w:t xml:space="preserve">In </w:t>
      </w:r>
      <w:r w:rsidR="00413DFE" w:rsidRPr="00F46944">
        <w:t xml:space="preserve">2020 and 2021, in </w:t>
      </w:r>
      <w:r w:rsidRPr="00F46944">
        <w:t>patients aged less than 6</w:t>
      </w:r>
      <w:r w:rsidR="004665D7" w:rsidRPr="00F46944">
        <w:t>9</w:t>
      </w:r>
      <w:r w:rsidR="008F2B97" w:rsidRPr="00F46944">
        <w:t> </w:t>
      </w:r>
      <w:r w:rsidRPr="00F46944">
        <w:t>years, the highest rate</w:t>
      </w:r>
      <w:r w:rsidR="00B56E31">
        <w:t>s</w:t>
      </w:r>
      <w:r w:rsidRPr="00F46944">
        <w:t xml:space="preserve"> of prescribing </w:t>
      </w:r>
      <w:r w:rsidR="00B56E31">
        <w:t>were</w:t>
      </w:r>
      <w:r w:rsidR="00B56E31" w:rsidRPr="00F46944">
        <w:t xml:space="preserve"> </w:t>
      </w:r>
      <w:r w:rsidRPr="00F46944">
        <w:t>for people aged 15–19</w:t>
      </w:r>
      <w:r w:rsidR="008F2B97" w:rsidRPr="00F46944">
        <w:t> </w:t>
      </w:r>
      <w:r w:rsidRPr="00F46944">
        <w:t xml:space="preserve">years (26.5 and 24.3 </w:t>
      </w:r>
      <w:r w:rsidR="007804C2" w:rsidRPr="00F46944">
        <w:t xml:space="preserve">prescriptions </w:t>
      </w:r>
      <w:r w:rsidRPr="00F46944">
        <w:t>per 100</w:t>
      </w:r>
      <w:r w:rsidR="00106BC3" w:rsidRPr="00F46944">
        <w:t> </w:t>
      </w:r>
      <w:r w:rsidRPr="00F46944">
        <w:t xml:space="preserve">patients respectively), </w:t>
      </w:r>
      <w:r w:rsidR="00B56E31">
        <w:t>and</w:t>
      </w:r>
      <w:r w:rsidR="00B56E31" w:rsidRPr="00F46944">
        <w:t xml:space="preserve"> </w:t>
      </w:r>
      <w:r w:rsidRPr="00F46944">
        <w:t>children aged 0–4</w:t>
      </w:r>
      <w:r w:rsidR="008F2B97" w:rsidRPr="00F46944">
        <w:t> </w:t>
      </w:r>
      <w:r w:rsidRPr="00F46944">
        <w:t>years (22.9 and 27.1</w:t>
      </w:r>
      <w:r w:rsidR="007804C2" w:rsidRPr="00F46944">
        <w:t xml:space="preserve"> prescriptions</w:t>
      </w:r>
      <w:r w:rsidRPr="00F46944">
        <w:t xml:space="preserve"> per 100</w:t>
      </w:r>
      <w:r w:rsidR="000A6EC4" w:rsidRPr="00F46944">
        <w:t> </w:t>
      </w:r>
      <w:r w:rsidRPr="00F46944">
        <w:t xml:space="preserve">patients respectively). </w:t>
      </w:r>
    </w:p>
    <w:p w14:paraId="75E59AAB" w14:textId="48CD0F03" w:rsidR="00C86EFE" w:rsidRDefault="00B35D45" w:rsidP="00F43425">
      <w:r w:rsidRPr="008239E8">
        <w:t>Rates of prescribing for all age groups continued to decline from 2020 to 2021, except in c</w:t>
      </w:r>
      <w:r w:rsidR="0093641B" w:rsidRPr="008239E8">
        <w:t>hildren aged 0</w:t>
      </w:r>
      <w:r w:rsidR="000A6EC4" w:rsidRPr="008239E8">
        <w:t>–</w:t>
      </w:r>
      <w:r w:rsidR="0093641B" w:rsidRPr="008239E8">
        <w:t>9</w:t>
      </w:r>
      <w:r w:rsidR="008F2B97" w:rsidRPr="008239E8">
        <w:t> </w:t>
      </w:r>
      <w:r w:rsidR="0093641B" w:rsidRPr="008239E8">
        <w:t xml:space="preserve">years </w:t>
      </w:r>
      <w:r w:rsidR="00B22810" w:rsidRPr="008239E8">
        <w:t xml:space="preserve">in which </w:t>
      </w:r>
      <w:r w:rsidRPr="008239E8">
        <w:t xml:space="preserve">antimicrobial prescribing </w:t>
      </w:r>
      <w:r w:rsidR="004665D7" w:rsidRPr="008239E8">
        <w:t>rates</w:t>
      </w:r>
      <w:r w:rsidR="00FB1162" w:rsidRPr="008239E8">
        <w:t xml:space="preserve"> increased (</w:t>
      </w:r>
      <w:r w:rsidR="0093641B" w:rsidRPr="008239E8">
        <w:t>Figure</w:t>
      </w:r>
      <w:r w:rsidR="00E479E1" w:rsidRPr="008239E8">
        <w:t> </w:t>
      </w:r>
      <w:r w:rsidR="00974AD3" w:rsidRPr="008239E8">
        <w:t>8</w:t>
      </w:r>
      <w:r w:rsidR="0093641B" w:rsidRPr="008239E8">
        <w:t>). However, prescribing rates for children aged 0–9</w:t>
      </w:r>
      <w:r w:rsidR="008F2B97" w:rsidRPr="008239E8">
        <w:t> </w:t>
      </w:r>
      <w:r w:rsidR="0093641B" w:rsidRPr="008239E8">
        <w:t xml:space="preserve">years </w:t>
      </w:r>
      <w:r w:rsidR="00615921" w:rsidRPr="008239E8">
        <w:t>remained</w:t>
      </w:r>
      <w:r w:rsidR="0093641B" w:rsidRPr="008239E8">
        <w:t xml:space="preserve"> lower than pre-COVID-19 </w:t>
      </w:r>
      <w:r w:rsidR="00B56E31">
        <w:t xml:space="preserve">pandemic </w:t>
      </w:r>
      <w:r w:rsidR="0093641B" w:rsidRPr="008239E8">
        <w:t>rates (32</w:t>
      </w:r>
      <w:r w:rsidR="00E479E1" w:rsidRPr="008239E8">
        <w:t> </w:t>
      </w:r>
      <w:r w:rsidR="007804C2" w:rsidRPr="008239E8">
        <w:t xml:space="preserve">prescriptions </w:t>
      </w:r>
      <w:r w:rsidR="0093641B" w:rsidRPr="008239E8">
        <w:t>per 100</w:t>
      </w:r>
      <w:r w:rsidR="00E479E1" w:rsidRPr="008239E8">
        <w:t> </w:t>
      </w:r>
      <w:r w:rsidR="0093641B" w:rsidRPr="008239E8">
        <w:t>patients in 2019 compared to 27</w:t>
      </w:r>
      <w:r w:rsidR="00E479E1" w:rsidRPr="008239E8">
        <w:t> </w:t>
      </w:r>
      <w:r w:rsidR="007804C2" w:rsidRPr="008239E8">
        <w:t xml:space="preserve">prescriptions </w:t>
      </w:r>
      <w:r w:rsidR="0093641B" w:rsidRPr="008239E8">
        <w:t>per 100</w:t>
      </w:r>
      <w:r w:rsidR="00E479E1" w:rsidRPr="008239E8">
        <w:t> </w:t>
      </w:r>
      <w:r w:rsidR="0093641B" w:rsidRPr="008239E8">
        <w:t>patients in 2021</w:t>
      </w:r>
      <w:bookmarkEnd w:id="85"/>
      <w:r w:rsidR="0093641B" w:rsidRPr="008239E8">
        <w:t>). In 2020, the prescribing rate for females was</w:t>
      </w:r>
      <w:r w:rsidR="00615921" w:rsidRPr="008239E8">
        <w:t xml:space="preserve"> higher than for males</w:t>
      </w:r>
      <w:r w:rsidR="0093641B" w:rsidRPr="008239E8">
        <w:t xml:space="preserve"> </w:t>
      </w:r>
      <w:r w:rsidR="00615921" w:rsidRPr="008239E8">
        <w:t>(</w:t>
      </w:r>
      <w:r w:rsidR="0093641B" w:rsidRPr="008239E8">
        <w:t>29.2</w:t>
      </w:r>
      <w:r w:rsidR="00615921" w:rsidRPr="008239E8">
        <w:t xml:space="preserve"> and 27.6</w:t>
      </w:r>
      <w:r w:rsidR="0093641B" w:rsidRPr="008239E8">
        <w:t xml:space="preserve"> </w:t>
      </w:r>
      <w:r w:rsidR="007804C2" w:rsidRPr="008239E8">
        <w:t xml:space="preserve">prescriptions </w:t>
      </w:r>
      <w:r w:rsidR="0093641B" w:rsidRPr="008239E8">
        <w:t>per 100</w:t>
      </w:r>
      <w:r w:rsidR="00106BC3" w:rsidRPr="008239E8">
        <w:t> </w:t>
      </w:r>
      <w:r w:rsidR="0093641B" w:rsidRPr="008239E8">
        <w:t>patients</w:t>
      </w:r>
      <w:r w:rsidR="00615921" w:rsidRPr="008239E8">
        <w:t>, respectively)</w:t>
      </w:r>
      <w:r w:rsidR="0093641B" w:rsidRPr="008239E8">
        <w:t xml:space="preserve"> and</w:t>
      </w:r>
      <w:r w:rsidR="00D063C6" w:rsidRPr="008239E8">
        <w:t xml:space="preserve"> also</w:t>
      </w:r>
      <w:r w:rsidR="0093641B" w:rsidRPr="008239E8">
        <w:t xml:space="preserve"> </w:t>
      </w:r>
      <w:r w:rsidR="0082078D" w:rsidRPr="008239E8">
        <w:t>in 2021</w:t>
      </w:r>
      <w:r w:rsidR="00D063C6" w:rsidRPr="008239E8">
        <w:t xml:space="preserve"> (</w:t>
      </w:r>
      <w:r w:rsidR="0093641B" w:rsidRPr="008239E8">
        <w:t>24.1</w:t>
      </w:r>
      <w:r w:rsidR="00D063C6" w:rsidRPr="008239E8">
        <w:t xml:space="preserve"> and 22.6</w:t>
      </w:r>
      <w:r w:rsidR="0093641B" w:rsidRPr="008239E8">
        <w:t xml:space="preserve"> </w:t>
      </w:r>
      <w:r w:rsidR="007804C2" w:rsidRPr="008239E8">
        <w:t xml:space="preserve">prescriptions </w:t>
      </w:r>
      <w:r w:rsidR="0093641B" w:rsidRPr="008239E8">
        <w:t>per 100</w:t>
      </w:r>
      <w:r w:rsidR="00772DCB" w:rsidRPr="008239E8">
        <w:t> </w:t>
      </w:r>
      <w:r w:rsidR="0093641B" w:rsidRPr="008239E8">
        <w:t xml:space="preserve">patients, </w:t>
      </w:r>
      <w:r w:rsidR="00D063C6" w:rsidRPr="008239E8">
        <w:t>respectively)</w:t>
      </w:r>
      <w:r w:rsidR="0093641B" w:rsidRPr="008239E8">
        <w:t xml:space="preserve">. </w:t>
      </w:r>
      <w:r w:rsidR="006D6B9C" w:rsidRPr="008239E8">
        <w:t>For further detail</w:t>
      </w:r>
      <w:r w:rsidR="00D063C6" w:rsidRPr="008239E8">
        <w:t xml:space="preserve"> on antimicrobial prescribing trends, including for</w:t>
      </w:r>
      <w:r w:rsidR="006D6B9C" w:rsidRPr="008239E8">
        <w:t xml:space="preserve"> age groups 15</w:t>
      </w:r>
      <w:r w:rsidR="006903E6" w:rsidRPr="008239E8">
        <w:t>–</w:t>
      </w:r>
      <w:r w:rsidR="006D6B9C" w:rsidRPr="008239E8">
        <w:t>69</w:t>
      </w:r>
      <w:r w:rsidR="006903E6" w:rsidRPr="008239E8">
        <w:t> years</w:t>
      </w:r>
      <w:r w:rsidRPr="008239E8">
        <w:t xml:space="preserve">, see </w:t>
      </w:r>
      <w:r w:rsidRPr="0076762C">
        <w:t>Appendix</w:t>
      </w:r>
      <w:r w:rsidR="006D6B9C" w:rsidRPr="0076762C">
        <w:t xml:space="preserve"> Figure</w:t>
      </w:r>
      <w:r w:rsidR="00974AD3" w:rsidRPr="0076762C">
        <w:t xml:space="preserve"> </w:t>
      </w:r>
      <w:r w:rsidR="006D6B9C" w:rsidRPr="0076762C">
        <w:t>A</w:t>
      </w:r>
      <w:r w:rsidR="0048693D">
        <w:t>3</w:t>
      </w:r>
      <w:r w:rsidR="006D6B9C" w:rsidRPr="008239E8">
        <w:t xml:space="preserve">. </w:t>
      </w:r>
      <w:r w:rsidR="00C86EFE">
        <w:br w:type="page"/>
      </w:r>
    </w:p>
    <w:p w14:paraId="53B48489" w14:textId="491C0E91" w:rsidR="00E32B43" w:rsidRPr="00BE34F5" w:rsidRDefault="00BE34F5" w:rsidP="0076762C">
      <w:pPr>
        <w:pStyle w:val="Captions"/>
        <w:rPr>
          <w:b w:val="0"/>
          <w:bCs w:val="0"/>
        </w:rPr>
      </w:pPr>
      <w:bookmarkStart w:id="86" w:name="_Toc121491320"/>
      <w:bookmarkStart w:id="87" w:name="_Toc121840892"/>
      <w:bookmarkStart w:id="88" w:name="_Hlk105404468"/>
      <w:r>
        <w:lastRenderedPageBreak/>
        <w:t>Figure</w:t>
      </w:r>
      <w:r w:rsidRPr="00EA1E2A">
        <w:t> </w:t>
      </w:r>
      <w:fldSimple w:instr=" SEQ Figure \* ARABIC ">
        <w:r w:rsidR="00F34DDD">
          <w:rPr>
            <w:noProof/>
          </w:rPr>
          <w:t>8</w:t>
        </w:r>
      </w:fldSimple>
      <w:r w:rsidR="00E32B43" w:rsidRPr="00564C4B">
        <w:t>:</w:t>
      </w:r>
      <w:r w:rsidR="00E32B43" w:rsidRPr="00BE34F5">
        <w:rPr>
          <w:b w:val="0"/>
          <w:bCs w:val="0"/>
        </w:rPr>
        <w:t xml:space="preserve"> Number of patients prescribed </w:t>
      </w:r>
      <w:r w:rsidR="00912D99" w:rsidRPr="00BE34F5">
        <w:rPr>
          <w:b w:val="0"/>
          <w:bCs w:val="0"/>
        </w:rPr>
        <w:t xml:space="preserve">one or more </w:t>
      </w:r>
      <w:r w:rsidR="00A810AD" w:rsidRPr="00BE34F5">
        <w:rPr>
          <w:b w:val="0"/>
          <w:bCs w:val="0"/>
        </w:rPr>
        <w:t>antimicrobials*</w:t>
      </w:r>
      <w:r w:rsidR="00E32B43" w:rsidRPr="00BE34F5">
        <w:rPr>
          <w:b w:val="0"/>
          <w:bCs w:val="0"/>
        </w:rPr>
        <w:t xml:space="preserve">, per 100 patients, by age group, </w:t>
      </w:r>
      <w:proofErr w:type="spellStart"/>
      <w:r w:rsidR="00E32B43" w:rsidRPr="00BE34F5">
        <w:rPr>
          <w:b w:val="0"/>
          <w:bCs w:val="0"/>
        </w:rPr>
        <w:t>MedicineInsight</w:t>
      </w:r>
      <w:proofErr w:type="spellEnd"/>
      <w:r w:rsidR="00E32B43" w:rsidRPr="00BE34F5">
        <w:rPr>
          <w:b w:val="0"/>
          <w:bCs w:val="0"/>
        </w:rPr>
        <w:t xml:space="preserve"> practices, 20</w:t>
      </w:r>
      <w:r w:rsidR="00ED5DD1" w:rsidRPr="00BE34F5">
        <w:rPr>
          <w:b w:val="0"/>
          <w:bCs w:val="0"/>
        </w:rPr>
        <w:t>19</w:t>
      </w:r>
      <w:r w:rsidR="00386A72" w:rsidRPr="00BE34F5">
        <w:rPr>
          <w:b w:val="0"/>
          <w:bCs w:val="0"/>
        </w:rPr>
        <w:t>–</w:t>
      </w:r>
      <w:r w:rsidR="00E32B43" w:rsidRPr="00BE34F5">
        <w:rPr>
          <w:b w:val="0"/>
          <w:bCs w:val="0"/>
        </w:rPr>
        <w:t>2021</w:t>
      </w:r>
      <w:bookmarkEnd w:id="86"/>
      <w:bookmarkEnd w:id="87"/>
    </w:p>
    <w:bookmarkEnd w:id="88"/>
    <w:p w14:paraId="09AC2BD7" w14:textId="5AF04CF7" w:rsidR="0093641B" w:rsidRPr="00F46944" w:rsidRDefault="00580F90" w:rsidP="003752AF">
      <w:pPr>
        <w:spacing w:after="0"/>
        <w:jc w:val="center"/>
      </w:pPr>
      <w:r>
        <w:rPr>
          <w:noProof/>
        </w:rPr>
        <w:drawing>
          <wp:inline distT="0" distB="0" distL="0" distR="0" wp14:anchorId="41C48842" wp14:editId="0E9E78E7">
            <wp:extent cx="5993130" cy="3602990"/>
            <wp:effectExtent l="0" t="0" r="7620" b="0"/>
            <wp:docPr id="55" name="Picture 55" descr="Figure 8: Number of patients prescribed one or more antimicrobials, per 100 patients, by age group, MedicineInsight practices, 2019–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Figure 8: Number of patients prescribed one or more antimicrobials, per 100 patients, by age group, MedicineInsight practices, 2019–20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3130" cy="3602990"/>
                    </a:xfrm>
                    <a:prstGeom prst="rect">
                      <a:avLst/>
                    </a:prstGeom>
                    <a:noFill/>
                  </pic:spPr>
                </pic:pic>
              </a:graphicData>
            </a:graphic>
          </wp:inline>
        </w:drawing>
      </w:r>
    </w:p>
    <w:p w14:paraId="26C2EBE9" w14:textId="54CE6B69" w:rsidR="00CE47D9" w:rsidRPr="00F46944" w:rsidRDefault="00A810AD" w:rsidP="0076762C">
      <w:pPr>
        <w:tabs>
          <w:tab w:val="left" w:pos="142"/>
        </w:tabs>
        <w:rPr>
          <w:sz w:val="16"/>
          <w:szCs w:val="16"/>
        </w:rPr>
      </w:pPr>
      <w:r w:rsidRPr="00F46944">
        <w:rPr>
          <w:sz w:val="16"/>
          <w:szCs w:val="16"/>
        </w:rPr>
        <w:t>*</w:t>
      </w:r>
      <w:r w:rsidR="00112691">
        <w:rPr>
          <w:sz w:val="16"/>
          <w:szCs w:val="16"/>
        </w:rPr>
        <w:tab/>
      </w:r>
      <w:proofErr w:type="spellStart"/>
      <w:r w:rsidRPr="00F46944">
        <w:rPr>
          <w:sz w:val="16"/>
          <w:szCs w:val="16"/>
        </w:rPr>
        <w:t>Antibacterials</w:t>
      </w:r>
      <w:proofErr w:type="spellEnd"/>
      <w:r w:rsidRPr="00F46944">
        <w:rPr>
          <w:sz w:val="16"/>
          <w:szCs w:val="16"/>
        </w:rPr>
        <w:t xml:space="preserve"> for systemic use (</w:t>
      </w:r>
      <w:r w:rsidR="00D6375D">
        <w:rPr>
          <w:sz w:val="16"/>
          <w:szCs w:val="16"/>
        </w:rPr>
        <w:t xml:space="preserve">ACT code </w:t>
      </w:r>
      <w:r w:rsidRPr="00F46944">
        <w:rPr>
          <w:sz w:val="16"/>
          <w:szCs w:val="16"/>
        </w:rPr>
        <w:t>J01)</w:t>
      </w:r>
      <w:r w:rsidRPr="00F46944">
        <w:rPr>
          <w:sz w:val="16"/>
          <w:szCs w:val="16"/>
        </w:rPr>
        <w:br/>
      </w:r>
      <w:r w:rsidR="00443B1B" w:rsidRPr="00F46944">
        <w:rPr>
          <w:sz w:val="16"/>
          <w:szCs w:val="16"/>
        </w:rPr>
        <w:t>Note: Number of practices was 502 in 2019, 503 in 2020, and 504 in 2021</w:t>
      </w:r>
      <w:r w:rsidR="002A5B86" w:rsidRPr="00F46944">
        <w:rPr>
          <w:sz w:val="16"/>
          <w:szCs w:val="16"/>
        </w:rPr>
        <w:t>.</w:t>
      </w:r>
      <w:r w:rsidR="00742B2F" w:rsidRPr="00F46944">
        <w:rPr>
          <w:sz w:val="16"/>
          <w:szCs w:val="16"/>
        </w:rPr>
        <w:br/>
      </w:r>
      <w:r w:rsidR="0068313A" w:rsidRPr="00F46944">
        <w:rPr>
          <w:sz w:val="16"/>
          <w:szCs w:val="16"/>
        </w:rPr>
        <w:t>Source: NPS MedicineWise</w:t>
      </w:r>
      <w:r w:rsidR="0068313A" w:rsidRPr="00F46944">
        <w:rPr>
          <w:sz w:val="16"/>
          <w:szCs w:val="16"/>
          <w:vertAlign w:val="superscript"/>
        </w:rPr>
        <w:fldChar w:fldCharType="begin"/>
      </w:r>
      <w:r w:rsidR="00DB0DCB">
        <w:rPr>
          <w:sz w:val="16"/>
          <w:szCs w:val="16"/>
          <w:vertAlign w:val="superscript"/>
        </w:rPr>
        <w:instrText xml:space="preserve"> ADDIN EN.CITE &lt;EndNote&gt;&lt;Cite&gt;&lt;Author&gt;NPS MedicineWise&lt;/Author&gt;&lt;RecNum&gt;6&lt;/RecNum&gt;&lt;DisplayText&gt;&lt;style face="superscript"&gt;6&lt;/style&gt;&lt;/DisplayText&gt;&lt;record&gt;&lt;rec-number&gt;6&lt;/rec-number&gt;&lt;foreign-keys&gt;&lt;key app="EN" db-id="es9dr99ws90stoe5x2rp505nazvswdzppxa5" timestamp="1670810539"&gt;6&lt;/key&gt;&lt;/foreign-keys&gt;&lt;ref-type name="Unpublished Work"&gt;34&lt;/ref-type&gt;&lt;contributors&gt;&lt;authors&gt;&lt;author&gt;NPS MedicineWise,&lt;/author&gt;&lt;/authors&gt;&lt;/contributors&gt;&lt;titles&gt;&lt;title&gt;MedicineInsight data analyses for AURA Community report, May 2022 (unpublished)&lt;/title&gt;&lt;/titles&gt;&lt;dates&gt;&lt;/dates&gt;&lt;publisher&gt;NPS MedicineWise&lt;/publisher&gt;&lt;urls&gt;&lt;/urls&gt;&lt;/record&gt;&lt;/Cite&gt;&lt;/EndNote&gt;</w:instrText>
      </w:r>
      <w:r w:rsidR="0068313A" w:rsidRPr="00F46944">
        <w:rPr>
          <w:sz w:val="16"/>
          <w:szCs w:val="16"/>
          <w:vertAlign w:val="superscript"/>
        </w:rPr>
        <w:fldChar w:fldCharType="separate"/>
      </w:r>
      <w:r w:rsidR="001C0A42">
        <w:rPr>
          <w:noProof/>
          <w:sz w:val="16"/>
          <w:szCs w:val="16"/>
          <w:vertAlign w:val="superscript"/>
        </w:rPr>
        <w:t>6</w:t>
      </w:r>
      <w:r w:rsidR="0068313A" w:rsidRPr="00F46944">
        <w:rPr>
          <w:sz w:val="16"/>
          <w:szCs w:val="16"/>
          <w:vertAlign w:val="superscript"/>
        </w:rPr>
        <w:fldChar w:fldCharType="end"/>
      </w:r>
      <w:r w:rsidR="00836D71" w:rsidRPr="00F46944">
        <w:rPr>
          <w:sz w:val="16"/>
          <w:szCs w:val="16"/>
        </w:rPr>
        <w:t xml:space="preserve"> </w:t>
      </w:r>
    </w:p>
    <w:p w14:paraId="51E7F6EA" w14:textId="07025350" w:rsidR="00912D99" w:rsidRPr="00F46944" w:rsidRDefault="0093641B" w:rsidP="00912D99">
      <w:r w:rsidRPr="00E0396F">
        <w:t>Table</w:t>
      </w:r>
      <w:r w:rsidR="00CC09FB" w:rsidRPr="00764A32">
        <w:t> </w:t>
      </w:r>
      <w:r w:rsidR="00413DFE" w:rsidRPr="00E0396F">
        <w:t>8</w:t>
      </w:r>
      <w:r w:rsidRPr="00F46944">
        <w:t xml:space="preserve"> summarises the demographics of patients prescribed antimicrobials in </w:t>
      </w:r>
      <w:proofErr w:type="spellStart"/>
      <w:r w:rsidRPr="00F46944">
        <w:t>MedicineInsight</w:t>
      </w:r>
      <w:proofErr w:type="spellEnd"/>
      <w:r w:rsidRPr="00F46944">
        <w:t xml:space="preserve"> practices between </w:t>
      </w:r>
      <w:r w:rsidR="00F24549" w:rsidRPr="00F46944">
        <w:t xml:space="preserve">2019 </w:t>
      </w:r>
      <w:r w:rsidRPr="00F46944">
        <w:t>and 2021. Socioeconomic differences are measured using the SEIFA</w:t>
      </w:r>
      <w:r w:rsidR="00836D71" w:rsidRPr="00F46944">
        <w:t xml:space="preserve"> deciles</w:t>
      </w:r>
      <w:r w:rsidRPr="00F46944">
        <w:t xml:space="preserve">. In 2020 and 2021, the rate of prescribing </w:t>
      </w:r>
      <w:bookmarkStart w:id="89" w:name="_Hlk103085280"/>
      <w:r w:rsidRPr="00F46944">
        <w:t xml:space="preserve">per </w:t>
      </w:r>
      <w:bookmarkEnd w:id="89"/>
      <w:r w:rsidR="00912D99" w:rsidRPr="00F46944">
        <w:t>100 patients was 25.9</w:t>
      </w:r>
      <w:r w:rsidR="008239E8">
        <w:t>%</w:t>
      </w:r>
      <w:r w:rsidR="00912D99" w:rsidRPr="00F46944">
        <w:t xml:space="preserve"> and 24.6</w:t>
      </w:r>
      <w:r w:rsidR="008239E8">
        <w:t>%, respectively</w:t>
      </w:r>
      <w:r w:rsidR="00912D99" w:rsidRPr="00F46944">
        <w:t xml:space="preserve"> among </w:t>
      </w:r>
      <w:bookmarkStart w:id="90" w:name="_Hlk103085303"/>
      <w:r w:rsidR="00912D99" w:rsidRPr="00F46944">
        <w:t>people living within</w:t>
      </w:r>
      <w:bookmarkEnd w:id="90"/>
      <w:r w:rsidR="00912D99" w:rsidRPr="00F46944">
        <w:t xml:space="preserve"> the most disadvantaged SEIFA decile, and 23.3</w:t>
      </w:r>
      <w:r w:rsidR="008239E8">
        <w:t>%</w:t>
      </w:r>
      <w:r w:rsidR="00912D99" w:rsidRPr="00F46944">
        <w:t xml:space="preserve"> and 21.3</w:t>
      </w:r>
      <w:r w:rsidR="008239E8">
        <w:t>%, respectively</w:t>
      </w:r>
      <w:r w:rsidR="00912D99" w:rsidRPr="00F46944">
        <w:t xml:space="preserve"> per 100</w:t>
      </w:r>
      <w:r w:rsidR="00C97E83" w:rsidRPr="00F46944">
        <w:t> </w:t>
      </w:r>
      <w:r w:rsidR="00912D99" w:rsidRPr="00F46944">
        <w:t xml:space="preserve">patients among people living within the least disadvantaged SEIFA decile. </w:t>
      </w:r>
      <w:r w:rsidR="00934144" w:rsidRPr="00F46944">
        <w:t>The</w:t>
      </w:r>
      <w:r w:rsidR="0082078D" w:rsidRPr="00F46944">
        <w:t>re</w:t>
      </w:r>
      <w:r w:rsidR="00934144" w:rsidRPr="00F46944">
        <w:t xml:space="preserve"> was consistency across states and territories in relation to SEIFA score and the rate of antimicrobial </w:t>
      </w:r>
      <w:r w:rsidR="00567159" w:rsidRPr="00F46944">
        <w:t>prescriptions</w:t>
      </w:r>
      <w:r w:rsidR="00934144" w:rsidRPr="00F46944">
        <w:t>.</w:t>
      </w:r>
    </w:p>
    <w:p w14:paraId="3917EC5C" w14:textId="14EEECB7" w:rsidR="00CE47D9" w:rsidRPr="00F46944" w:rsidRDefault="0093641B" w:rsidP="00E32B43">
      <w:r w:rsidRPr="00F46944">
        <w:t xml:space="preserve">Differences were observed in antimicrobial prescribing between people living in major cities </w:t>
      </w:r>
      <w:r w:rsidR="001F5165" w:rsidRPr="00F46944">
        <w:t>and</w:t>
      </w:r>
      <w:r w:rsidRPr="00F46944">
        <w:t xml:space="preserve"> those living in more remote areas – there were 25.0 and 23.5 prescriptions </w:t>
      </w:r>
      <w:r w:rsidR="008239E8">
        <w:t xml:space="preserve">in 2020 and 2021, respectively </w:t>
      </w:r>
      <w:r w:rsidRPr="00F46944">
        <w:t>per 100</w:t>
      </w:r>
      <w:r w:rsidR="00CE17AB" w:rsidRPr="00F46944">
        <w:t> </w:t>
      </w:r>
      <w:r w:rsidRPr="00F46944">
        <w:t xml:space="preserve">patients for </w:t>
      </w:r>
      <w:r w:rsidR="00B35D45" w:rsidRPr="00F46944">
        <w:t>those</w:t>
      </w:r>
      <w:r w:rsidRPr="00F46944">
        <w:t xml:space="preserve"> living in major cities, compared </w:t>
      </w:r>
      <w:r w:rsidR="00E775A2">
        <w:t>to</w:t>
      </w:r>
      <w:r w:rsidRPr="00F46944">
        <w:t xml:space="preserve"> 26.</w:t>
      </w:r>
      <w:r w:rsidR="00386A72" w:rsidRPr="00F46944">
        <w:t>9</w:t>
      </w:r>
      <w:r w:rsidRPr="00F46944">
        <w:t xml:space="preserve"> and 28.1</w:t>
      </w:r>
      <w:r w:rsidR="00E775A2">
        <w:t> </w:t>
      </w:r>
      <w:r w:rsidRPr="00F46944">
        <w:t>prescriptions per 100</w:t>
      </w:r>
      <w:r w:rsidR="00CE17AB" w:rsidRPr="00F46944">
        <w:t> </w:t>
      </w:r>
      <w:r w:rsidRPr="00F46944">
        <w:t xml:space="preserve">patients for people living in very remote areas. </w:t>
      </w:r>
      <w:r w:rsidR="001F5165" w:rsidRPr="00F46944">
        <w:t>P</w:t>
      </w:r>
      <w:r w:rsidRPr="00F46944">
        <w:t xml:space="preserve">eople living in very remote areas were the only </w:t>
      </w:r>
      <w:r w:rsidR="0019330A" w:rsidRPr="00F46944">
        <w:t xml:space="preserve">non-metropolitan </w:t>
      </w:r>
      <w:r w:rsidRPr="00F46944">
        <w:t xml:space="preserve">group for which prescribing rates increased between 2020 and 2021. There were decreases in prescribing rates for all other groups from inner regional to remote areas between 2020 and 2021, consistent with average prescribing rates for this period. </w:t>
      </w:r>
    </w:p>
    <w:p w14:paraId="67E0C9D2" w14:textId="0F1C881F" w:rsidR="00CE47D9" w:rsidRDefault="003C4585" w:rsidP="00160830">
      <w:r w:rsidRPr="00F46944">
        <w:t xml:space="preserve">Although overall there was </w:t>
      </w:r>
      <w:r w:rsidR="00F24549" w:rsidRPr="00F46944">
        <w:t xml:space="preserve">minimal </w:t>
      </w:r>
      <w:r w:rsidRPr="00F46944">
        <w:t xml:space="preserve">variation </w:t>
      </w:r>
      <w:r w:rsidR="00535410" w:rsidRPr="00F46944">
        <w:t xml:space="preserve">in antimicrobial prescribing rates </w:t>
      </w:r>
      <w:r w:rsidRPr="00F46944">
        <w:t xml:space="preserve">between states and territories, </w:t>
      </w:r>
      <w:r w:rsidR="00F24549" w:rsidRPr="00F46944">
        <w:t>the highest rate</w:t>
      </w:r>
      <w:r w:rsidR="00535410" w:rsidRPr="00F46944">
        <w:t>s</w:t>
      </w:r>
      <w:r w:rsidR="00F24549" w:rsidRPr="00F46944">
        <w:t xml:space="preserve"> </w:t>
      </w:r>
      <w:r w:rsidR="00535410" w:rsidRPr="00F46944">
        <w:t xml:space="preserve">were observed </w:t>
      </w:r>
      <w:r w:rsidR="00F24549" w:rsidRPr="00F46944">
        <w:t xml:space="preserve">in </w:t>
      </w:r>
      <w:r w:rsidRPr="00F46944">
        <w:t>t</w:t>
      </w:r>
      <w:r w:rsidR="00912D99" w:rsidRPr="00F46944">
        <w:t xml:space="preserve">he Northern Territory </w:t>
      </w:r>
      <w:r w:rsidR="00386A72" w:rsidRPr="00F46944">
        <w:t xml:space="preserve">in 2020 </w:t>
      </w:r>
      <w:r w:rsidR="00912D99" w:rsidRPr="00F46944">
        <w:t xml:space="preserve">(28.8 </w:t>
      </w:r>
      <w:r w:rsidR="007804C2" w:rsidRPr="00F46944">
        <w:t xml:space="preserve">prescriptions </w:t>
      </w:r>
      <w:r w:rsidR="00912D99" w:rsidRPr="00F46944">
        <w:t>per 100</w:t>
      </w:r>
      <w:r w:rsidR="00C97E83" w:rsidRPr="00F46944">
        <w:t> </w:t>
      </w:r>
      <w:r w:rsidR="00912D99" w:rsidRPr="00F46944">
        <w:t xml:space="preserve">patients) </w:t>
      </w:r>
      <w:r w:rsidR="00F24549" w:rsidRPr="00F46944">
        <w:t xml:space="preserve">and in the Australian Capital Territory in </w:t>
      </w:r>
      <w:r w:rsidR="00912D99" w:rsidRPr="00F46944">
        <w:t>2021</w:t>
      </w:r>
      <w:r w:rsidR="00386A72" w:rsidRPr="00F46944">
        <w:t xml:space="preserve"> (</w:t>
      </w:r>
      <w:r w:rsidR="00F24549" w:rsidRPr="00F46944">
        <w:t>26</w:t>
      </w:r>
      <w:r w:rsidR="00386A72" w:rsidRPr="00F46944">
        <w:t xml:space="preserve"> </w:t>
      </w:r>
      <w:r w:rsidR="007804C2" w:rsidRPr="00F46944">
        <w:t xml:space="preserve">prescriptions </w:t>
      </w:r>
      <w:r w:rsidR="00386A72" w:rsidRPr="00F46944">
        <w:t xml:space="preserve">per 100 patients). </w:t>
      </w:r>
      <w:r w:rsidR="00912D99" w:rsidRPr="00F46944">
        <w:t>The lowest rate</w:t>
      </w:r>
      <w:r w:rsidR="000E0212" w:rsidRPr="00F46944">
        <w:t>s</w:t>
      </w:r>
      <w:r w:rsidR="00912D99" w:rsidRPr="00F46944">
        <w:t xml:space="preserve"> </w:t>
      </w:r>
      <w:r w:rsidR="000E0212" w:rsidRPr="00F46944">
        <w:t xml:space="preserve">were observed </w:t>
      </w:r>
      <w:r w:rsidR="00912D99" w:rsidRPr="00F46944">
        <w:t xml:space="preserve">in Tasmania </w:t>
      </w:r>
      <w:r w:rsidR="0093641B" w:rsidRPr="00F46944">
        <w:t xml:space="preserve">(23.9 </w:t>
      </w:r>
      <w:r w:rsidR="007804C2" w:rsidRPr="00F46944">
        <w:t xml:space="preserve">prescriptions </w:t>
      </w:r>
      <w:r w:rsidR="0093641B" w:rsidRPr="00F46944">
        <w:t>per 100</w:t>
      </w:r>
      <w:r w:rsidR="00CE17AB" w:rsidRPr="00F46944">
        <w:t> p</w:t>
      </w:r>
      <w:r w:rsidR="0093641B" w:rsidRPr="00F46944">
        <w:t xml:space="preserve">atients) in 2020 and </w:t>
      </w:r>
      <w:r w:rsidR="00386A72" w:rsidRPr="00F46944">
        <w:t xml:space="preserve">in </w:t>
      </w:r>
      <w:r w:rsidR="00B22810" w:rsidRPr="00F46944">
        <w:t xml:space="preserve">New South Wales </w:t>
      </w:r>
      <w:r w:rsidR="0093641B" w:rsidRPr="00F46944">
        <w:t>(</w:t>
      </w:r>
      <w:r w:rsidR="00386A72" w:rsidRPr="00F46944">
        <w:t>22.3</w:t>
      </w:r>
      <w:r w:rsidR="0093641B" w:rsidRPr="00F46944">
        <w:t xml:space="preserve"> </w:t>
      </w:r>
      <w:r w:rsidR="007804C2" w:rsidRPr="00F46944">
        <w:t xml:space="preserve">prescriptions </w:t>
      </w:r>
      <w:r w:rsidR="0093641B" w:rsidRPr="00F46944">
        <w:t>per 100</w:t>
      </w:r>
      <w:r w:rsidR="00CE17AB" w:rsidRPr="00F46944">
        <w:t> </w:t>
      </w:r>
      <w:r w:rsidR="0093641B" w:rsidRPr="00F46944">
        <w:t xml:space="preserve">patients) in 2021. Tasmania was the only state where prescribing rates increased </w:t>
      </w:r>
      <w:r w:rsidR="000E0212" w:rsidRPr="00F46944">
        <w:t xml:space="preserve">slightly </w:t>
      </w:r>
      <w:r w:rsidR="0093641B" w:rsidRPr="00F46944">
        <w:t>from 2020 to 2021.</w:t>
      </w:r>
    </w:p>
    <w:p w14:paraId="5C798AEC" w14:textId="77777777" w:rsidR="00C86EFE" w:rsidRDefault="00C86EFE">
      <w:pPr>
        <w:spacing w:after="80"/>
        <w:rPr>
          <w:b/>
          <w:bCs/>
        </w:rPr>
      </w:pPr>
      <w:bookmarkStart w:id="91" w:name="_Toc121744368"/>
      <w:bookmarkStart w:id="92" w:name="_Toc121491308"/>
      <w:r>
        <w:rPr>
          <w:b/>
          <w:bCs/>
        </w:rPr>
        <w:br w:type="page"/>
      </w:r>
    </w:p>
    <w:p w14:paraId="032AF358" w14:textId="573DB298" w:rsidR="00812202" w:rsidRPr="00B07014" w:rsidRDefault="00B07014" w:rsidP="0076762C">
      <w:pPr>
        <w:spacing w:after="80"/>
      </w:pPr>
      <w:r w:rsidRPr="001F01CB">
        <w:rPr>
          <w:b/>
          <w:bCs/>
        </w:rPr>
        <w:lastRenderedPageBreak/>
        <w:t>Table </w:t>
      </w:r>
      <w:r w:rsidR="00034AD5" w:rsidRPr="0076762C">
        <w:rPr>
          <w:b/>
          <w:bCs/>
        </w:rPr>
        <w:fldChar w:fldCharType="begin"/>
      </w:r>
      <w:r w:rsidR="00034AD5" w:rsidRPr="001F01CB">
        <w:rPr>
          <w:b/>
          <w:bCs/>
        </w:rPr>
        <w:instrText xml:space="preserve"> SEQ Table \* ARABIC </w:instrText>
      </w:r>
      <w:r w:rsidR="00034AD5" w:rsidRPr="0076762C">
        <w:rPr>
          <w:b/>
          <w:bCs/>
        </w:rPr>
        <w:fldChar w:fldCharType="separate"/>
      </w:r>
      <w:r w:rsidR="00F34DDD">
        <w:rPr>
          <w:b/>
          <w:bCs/>
          <w:noProof/>
        </w:rPr>
        <w:t>8</w:t>
      </w:r>
      <w:r w:rsidR="00034AD5" w:rsidRPr="0076762C">
        <w:rPr>
          <w:b/>
          <w:bCs/>
          <w:noProof/>
        </w:rPr>
        <w:fldChar w:fldCharType="end"/>
      </w:r>
      <w:r w:rsidR="00812202" w:rsidRPr="00F46944">
        <w:t>:</w:t>
      </w:r>
      <w:r w:rsidR="00812202" w:rsidRPr="00B07014">
        <w:t> Region of residence and socioeconomic status</w:t>
      </w:r>
      <w:r w:rsidR="00836D71" w:rsidRPr="00B07014">
        <w:t xml:space="preserve"> (represented by SEIFA decile)</w:t>
      </w:r>
      <w:r w:rsidR="00A33C99" w:rsidRPr="00B07014">
        <w:t xml:space="preserve"> </w:t>
      </w:r>
      <w:r w:rsidR="00812202" w:rsidRPr="00B07014">
        <w:t>for patients prescribed</w:t>
      </w:r>
      <w:r w:rsidR="00BA11C4" w:rsidRPr="00B07014">
        <w:t xml:space="preserve"> </w:t>
      </w:r>
      <w:bookmarkStart w:id="93" w:name="_Hlk102475677"/>
      <w:r w:rsidR="00812202" w:rsidRPr="00B07014">
        <w:t>antimicrobials</w:t>
      </w:r>
      <w:r w:rsidR="00C611E0" w:rsidRPr="00B07014">
        <w:t>*</w:t>
      </w:r>
      <w:r w:rsidR="00812202" w:rsidRPr="00B07014">
        <w:t xml:space="preserve">, </w:t>
      </w:r>
      <w:proofErr w:type="spellStart"/>
      <w:r w:rsidR="00812202" w:rsidRPr="00B07014">
        <w:t>MedicineInsight</w:t>
      </w:r>
      <w:proofErr w:type="spellEnd"/>
      <w:r w:rsidR="00812202" w:rsidRPr="00B07014">
        <w:t xml:space="preserve"> practices, </w:t>
      </w:r>
      <w:r w:rsidR="001E6070" w:rsidRPr="00B07014">
        <w:t>2019</w:t>
      </w:r>
      <w:r w:rsidR="00812202" w:rsidRPr="00B07014">
        <w:t>–2021</w:t>
      </w:r>
      <w:bookmarkEnd w:id="91"/>
      <w:bookmarkEnd w:id="92"/>
      <w:bookmarkEnd w:id="93"/>
    </w:p>
    <w:tbl>
      <w:tblPr>
        <w:tblStyle w:val="PlainTable2"/>
        <w:tblW w:w="7938" w:type="dxa"/>
        <w:jc w:val="center"/>
        <w:tblLayout w:type="fixed"/>
        <w:tblLook w:val="04A0" w:firstRow="1" w:lastRow="0" w:firstColumn="1" w:lastColumn="0" w:noHBand="0" w:noVBand="1"/>
      </w:tblPr>
      <w:tblGrid>
        <w:gridCol w:w="1399"/>
        <w:gridCol w:w="1314"/>
        <w:gridCol w:w="1741"/>
        <w:gridCol w:w="1742"/>
        <w:gridCol w:w="1742"/>
      </w:tblGrid>
      <w:tr w:rsidR="00E57E4B" w:rsidRPr="00F46944" w14:paraId="024D7295" w14:textId="77777777" w:rsidTr="0097547F">
        <w:trPr>
          <w:cnfStyle w:val="100000000000" w:firstRow="1" w:lastRow="0" w:firstColumn="0" w:lastColumn="0" w:oddVBand="0" w:evenVBand="0" w:oddHBand="0"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1399" w:type="dxa"/>
            <w:vMerge w:val="restart"/>
            <w:shd w:val="clear" w:color="auto" w:fill="F1BBA8" w:themeFill="accent5" w:themeFillTint="66"/>
            <w:vAlign w:val="center"/>
            <w:hideMark/>
          </w:tcPr>
          <w:p w14:paraId="02A55253" w14:textId="77777777" w:rsidR="00E57E4B" w:rsidRPr="0076762C" w:rsidRDefault="00E57E4B" w:rsidP="00160830">
            <w:pPr>
              <w:spacing w:after="0"/>
              <w:rPr>
                <w:rFonts w:ascii="Arial" w:hAnsi="Arial" w:cs="Arial"/>
                <w:color w:val="000000"/>
                <w:sz w:val="16"/>
                <w:szCs w:val="16"/>
              </w:rPr>
            </w:pPr>
            <w:r w:rsidRPr="004176A6">
              <w:rPr>
                <w:rFonts w:ascii="Arial" w:hAnsi="Arial" w:cs="Arial"/>
                <w:color w:val="000000"/>
                <w:sz w:val="16"/>
                <w:szCs w:val="16"/>
              </w:rPr>
              <w:t>Measure</w:t>
            </w:r>
          </w:p>
        </w:tc>
        <w:tc>
          <w:tcPr>
            <w:tcW w:w="1314" w:type="dxa"/>
            <w:vMerge w:val="restart"/>
            <w:shd w:val="clear" w:color="auto" w:fill="F1BBA8" w:themeFill="accent5" w:themeFillTint="66"/>
            <w:vAlign w:val="center"/>
            <w:hideMark/>
          </w:tcPr>
          <w:p w14:paraId="1B53E277" w14:textId="77777777" w:rsidR="00E57E4B" w:rsidRPr="0076762C" w:rsidRDefault="00E57E4B" w:rsidP="00160830">
            <w:pPr>
              <w:spacing w:after="0"/>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176A6">
              <w:rPr>
                <w:rFonts w:ascii="Arial" w:hAnsi="Arial" w:cs="Arial"/>
                <w:color w:val="000000"/>
                <w:sz w:val="16"/>
                <w:szCs w:val="16"/>
              </w:rPr>
              <w:t>Category</w:t>
            </w:r>
          </w:p>
        </w:tc>
        <w:tc>
          <w:tcPr>
            <w:tcW w:w="5225" w:type="dxa"/>
            <w:gridSpan w:val="3"/>
            <w:shd w:val="clear" w:color="auto" w:fill="F1BBA8" w:themeFill="accent5" w:themeFillTint="66"/>
            <w:vAlign w:val="center"/>
          </w:tcPr>
          <w:p w14:paraId="7C23BE6E" w14:textId="392EB3FB" w:rsidR="00E57E4B" w:rsidRPr="0076762C" w:rsidRDefault="00AF7A6D" w:rsidP="00160830">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176A6">
              <w:rPr>
                <w:rFonts w:ascii="Arial" w:hAnsi="Arial" w:cs="Arial"/>
                <w:color w:val="000000"/>
                <w:sz w:val="16"/>
                <w:szCs w:val="16"/>
              </w:rPr>
              <w:t xml:space="preserve">Percentage of patients prescribed </w:t>
            </w:r>
            <w:r w:rsidR="00E57E4B" w:rsidRPr="004176A6">
              <w:rPr>
                <w:rFonts w:ascii="Arial" w:hAnsi="Arial" w:cs="Arial"/>
                <w:color w:val="000000"/>
                <w:sz w:val="16"/>
                <w:szCs w:val="16"/>
              </w:rPr>
              <w:t>one or more antimicrobial</w:t>
            </w:r>
          </w:p>
        </w:tc>
      </w:tr>
      <w:tr w:rsidR="00E57E4B" w:rsidRPr="00F46944" w14:paraId="37DA46BD" w14:textId="77777777" w:rsidTr="0097547F">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1399" w:type="dxa"/>
            <w:vMerge/>
            <w:shd w:val="clear" w:color="auto" w:fill="F1BBA8" w:themeFill="accent5" w:themeFillTint="66"/>
            <w:vAlign w:val="center"/>
            <w:hideMark/>
          </w:tcPr>
          <w:p w14:paraId="703171E7" w14:textId="77777777" w:rsidR="00E57E4B" w:rsidRPr="00F46944" w:rsidRDefault="00E57E4B" w:rsidP="00160830">
            <w:pPr>
              <w:spacing w:after="0"/>
              <w:rPr>
                <w:rFonts w:ascii="Arial" w:hAnsi="Arial" w:cs="Arial"/>
                <w:b w:val="0"/>
                <w:bCs w:val="0"/>
                <w:color w:val="000000"/>
                <w:sz w:val="16"/>
                <w:szCs w:val="16"/>
              </w:rPr>
            </w:pPr>
          </w:p>
        </w:tc>
        <w:tc>
          <w:tcPr>
            <w:tcW w:w="1314" w:type="dxa"/>
            <w:vMerge/>
            <w:shd w:val="clear" w:color="auto" w:fill="F1BBA8" w:themeFill="accent5" w:themeFillTint="66"/>
            <w:vAlign w:val="center"/>
            <w:hideMark/>
          </w:tcPr>
          <w:p w14:paraId="33EB9877" w14:textId="77777777" w:rsidR="00E57E4B" w:rsidRPr="00F46944" w:rsidRDefault="00E57E4B" w:rsidP="00160830">
            <w:pPr>
              <w:spacing w:after="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p>
        </w:tc>
        <w:tc>
          <w:tcPr>
            <w:tcW w:w="1741" w:type="dxa"/>
            <w:shd w:val="clear" w:color="auto" w:fill="F1BBA8" w:themeFill="accent5" w:themeFillTint="66"/>
            <w:noWrap/>
            <w:vAlign w:val="center"/>
            <w:hideMark/>
          </w:tcPr>
          <w:p w14:paraId="6D822F0A" w14:textId="77777777" w:rsidR="00E57E4B" w:rsidRPr="00F46944" w:rsidRDefault="00E57E4B" w:rsidP="0016083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F46944">
              <w:rPr>
                <w:rFonts w:ascii="Arial" w:hAnsi="Arial" w:cs="Arial"/>
                <w:b/>
                <w:bCs/>
                <w:color w:val="000000"/>
                <w:sz w:val="16"/>
                <w:szCs w:val="16"/>
              </w:rPr>
              <w:t>2019</w:t>
            </w:r>
          </w:p>
        </w:tc>
        <w:tc>
          <w:tcPr>
            <w:tcW w:w="1742" w:type="dxa"/>
            <w:shd w:val="clear" w:color="auto" w:fill="F1BBA8" w:themeFill="accent5" w:themeFillTint="66"/>
            <w:noWrap/>
            <w:vAlign w:val="center"/>
            <w:hideMark/>
          </w:tcPr>
          <w:p w14:paraId="36537F94" w14:textId="77777777" w:rsidR="00E57E4B" w:rsidRPr="00F46944" w:rsidRDefault="00E57E4B" w:rsidP="0016083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F46944">
              <w:rPr>
                <w:rFonts w:ascii="Arial" w:hAnsi="Arial" w:cs="Arial"/>
                <w:b/>
                <w:bCs/>
                <w:color w:val="000000"/>
                <w:sz w:val="16"/>
                <w:szCs w:val="16"/>
              </w:rPr>
              <w:t>2020</w:t>
            </w:r>
          </w:p>
        </w:tc>
        <w:tc>
          <w:tcPr>
            <w:tcW w:w="1742" w:type="dxa"/>
            <w:shd w:val="clear" w:color="auto" w:fill="F1BBA8" w:themeFill="accent5" w:themeFillTint="66"/>
            <w:noWrap/>
            <w:vAlign w:val="center"/>
            <w:hideMark/>
          </w:tcPr>
          <w:p w14:paraId="3C522ECD" w14:textId="77777777" w:rsidR="00E57E4B" w:rsidRPr="00F46944" w:rsidRDefault="00E57E4B" w:rsidP="0016083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F46944">
              <w:rPr>
                <w:rFonts w:ascii="Arial" w:hAnsi="Arial" w:cs="Arial"/>
                <w:b/>
                <w:bCs/>
                <w:color w:val="000000"/>
                <w:sz w:val="16"/>
                <w:szCs w:val="16"/>
              </w:rPr>
              <w:t>2021</w:t>
            </w:r>
          </w:p>
        </w:tc>
      </w:tr>
      <w:tr w:rsidR="001F01CB" w:rsidRPr="00F46944" w14:paraId="0F86E4FC" w14:textId="77777777" w:rsidTr="0097547F">
        <w:trPr>
          <w:trHeight w:val="306"/>
          <w:jc w:val="center"/>
        </w:trPr>
        <w:tc>
          <w:tcPr>
            <w:cnfStyle w:val="001000000000" w:firstRow="0" w:lastRow="0" w:firstColumn="1" w:lastColumn="0" w:oddVBand="0" w:evenVBand="0" w:oddHBand="0" w:evenHBand="0" w:firstRowFirstColumn="0" w:firstRowLastColumn="0" w:lastRowFirstColumn="0" w:lastRowLastColumn="0"/>
            <w:tcW w:w="1399" w:type="dxa"/>
            <w:vMerge w:val="restart"/>
            <w:hideMark/>
          </w:tcPr>
          <w:p w14:paraId="4BD89973" w14:textId="77777777" w:rsidR="001F01CB" w:rsidRPr="00F46944" w:rsidRDefault="001F01CB" w:rsidP="001F01CB">
            <w:pPr>
              <w:spacing w:after="0"/>
              <w:rPr>
                <w:rFonts w:ascii="Arial" w:hAnsi="Arial" w:cs="Arial"/>
                <w:color w:val="000000"/>
                <w:sz w:val="16"/>
                <w:szCs w:val="16"/>
              </w:rPr>
            </w:pPr>
            <w:r w:rsidRPr="00F46944">
              <w:rPr>
                <w:rFonts w:ascii="Arial" w:hAnsi="Arial" w:cs="Arial"/>
                <w:color w:val="000000"/>
                <w:sz w:val="16"/>
                <w:szCs w:val="16"/>
              </w:rPr>
              <w:t>State or territory</w:t>
            </w:r>
          </w:p>
        </w:tc>
        <w:tc>
          <w:tcPr>
            <w:tcW w:w="1314" w:type="dxa"/>
            <w:noWrap/>
          </w:tcPr>
          <w:p w14:paraId="4F83B3FB" w14:textId="25CE3916" w:rsidR="001F01CB" w:rsidRPr="00F46944" w:rsidRDefault="001F01CB" w:rsidP="001F01CB">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NSW</w:t>
            </w:r>
          </w:p>
        </w:tc>
        <w:tc>
          <w:tcPr>
            <w:tcW w:w="1741" w:type="dxa"/>
            <w:noWrap/>
          </w:tcPr>
          <w:p w14:paraId="65882A08" w14:textId="49126B5F" w:rsidR="001F01CB" w:rsidRPr="00F46944" w:rsidRDefault="001F01CB" w:rsidP="001F01CB">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31.7</w:t>
            </w:r>
          </w:p>
        </w:tc>
        <w:tc>
          <w:tcPr>
            <w:tcW w:w="1742" w:type="dxa"/>
            <w:noWrap/>
          </w:tcPr>
          <w:p w14:paraId="33C154D1" w14:textId="49A12D3A" w:rsidR="001F01CB" w:rsidRPr="00F46944" w:rsidRDefault="001F01CB" w:rsidP="001F01CB">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24.4</w:t>
            </w:r>
          </w:p>
        </w:tc>
        <w:tc>
          <w:tcPr>
            <w:tcW w:w="1742" w:type="dxa"/>
            <w:noWrap/>
          </w:tcPr>
          <w:p w14:paraId="1ADF9C96" w14:textId="03220BE4" w:rsidR="001F01CB" w:rsidRPr="00F46944" w:rsidRDefault="001F01CB" w:rsidP="001F01CB">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6"/>
              </w:rPr>
            </w:pPr>
            <w:r w:rsidRPr="00F46944">
              <w:rPr>
                <w:rFonts w:ascii="Arial" w:hAnsi="Arial"/>
                <w:color w:val="000000"/>
                <w:sz w:val="16"/>
              </w:rPr>
              <w:t>22.3</w:t>
            </w:r>
          </w:p>
        </w:tc>
      </w:tr>
      <w:tr w:rsidR="001F01CB" w:rsidRPr="00F46944" w14:paraId="46530DAC" w14:textId="77777777" w:rsidTr="0097547F">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1399" w:type="dxa"/>
            <w:vMerge/>
            <w:hideMark/>
          </w:tcPr>
          <w:p w14:paraId="450B5DC1" w14:textId="77777777" w:rsidR="001F01CB" w:rsidRPr="00F46944" w:rsidRDefault="001F01CB" w:rsidP="001F01CB">
            <w:pPr>
              <w:spacing w:after="0"/>
              <w:rPr>
                <w:rFonts w:ascii="Arial" w:hAnsi="Arial" w:cs="Arial"/>
                <w:color w:val="000000"/>
                <w:sz w:val="16"/>
                <w:szCs w:val="16"/>
              </w:rPr>
            </w:pPr>
          </w:p>
        </w:tc>
        <w:tc>
          <w:tcPr>
            <w:tcW w:w="1314" w:type="dxa"/>
            <w:noWrap/>
          </w:tcPr>
          <w:p w14:paraId="60189685" w14:textId="4C2EEC97" w:rsidR="001F01CB" w:rsidRPr="00F46944" w:rsidRDefault="001F01CB" w:rsidP="001F01CB">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Vic</w:t>
            </w:r>
          </w:p>
        </w:tc>
        <w:tc>
          <w:tcPr>
            <w:tcW w:w="1741" w:type="dxa"/>
            <w:noWrap/>
          </w:tcPr>
          <w:p w14:paraId="768E4AD8" w14:textId="3F3730A1" w:rsidR="001F01CB" w:rsidRPr="00F46944" w:rsidRDefault="001F01CB" w:rsidP="001F01CB">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31.8</w:t>
            </w:r>
          </w:p>
        </w:tc>
        <w:tc>
          <w:tcPr>
            <w:tcW w:w="1742" w:type="dxa"/>
            <w:noWrap/>
          </w:tcPr>
          <w:p w14:paraId="4BDA282B" w14:textId="1B65EC0D" w:rsidR="001F01CB" w:rsidRPr="00F46944" w:rsidRDefault="001F01CB" w:rsidP="001F01CB">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24</w:t>
            </w:r>
            <w:r w:rsidR="009B02AE">
              <w:rPr>
                <w:rFonts w:ascii="Arial" w:hAnsi="Arial" w:cs="Arial"/>
                <w:color w:val="000000"/>
                <w:sz w:val="16"/>
                <w:szCs w:val="16"/>
              </w:rPr>
              <w:t>.0</w:t>
            </w:r>
          </w:p>
        </w:tc>
        <w:tc>
          <w:tcPr>
            <w:tcW w:w="1742" w:type="dxa"/>
            <w:noWrap/>
          </w:tcPr>
          <w:p w14:paraId="0B43E273" w14:textId="2388DFC9" w:rsidR="001F01CB" w:rsidRPr="00F46944" w:rsidRDefault="001F01CB" w:rsidP="001F01CB">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6"/>
              </w:rPr>
            </w:pPr>
            <w:r w:rsidRPr="00F46944">
              <w:rPr>
                <w:rFonts w:ascii="Arial" w:hAnsi="Arial" w:cs="Arial"/>
                <w:color w:val="000000"/>
                <w:sz w:val="16"/>
                <w:szCs w:val="16"/>
              </w:rPr>
              <w:t>22.9</w:t>
            </w:r>
          </w:p>
        </w:tc>
      </w:tr>
      <w:tr w:rsidR="001F01CB" w:rsidRPr="00F46944" w14:paraId="609BC628" w14:textId="77777777" w:rsidTr="0097547F">
        <w:trPr>
          <w:trHeight w:val="306"/>
          <w:jc w:val="center"/>
        </w:trPr>
        <w:tc>
          <w:tcPr>
            <w:cnfStyle w:val="001000000000" w:firstRow="0" w:lastRow="0" w:firstColumn="1" w:lastColumn="0" w:oddVBand="0" w:evenVBand="0" w:oddHBand="0" w:evenHBand="0" w:firstRowFirstColumn="0" w:firstRowLastColumn="0" w:lastRowFirstColumn="0" w:lastRowLastColumn="0"/>
            <w:tcW w:w="1399" w:type="dxa"/>
            <w:vMerge/>
          </w:tcPr>
          <w:p w14:paraId="7DC9E6BA" w14:textId="77777777" w:rsidR="001F01CB" w:rsidRPr="00F46944" w:rsidRDefault="001F01CB" w:rsidP="001F01CB">
            <w:pPr>
              <w:spacing w:after="0"/>
              <w:rPr>
                <w:rFonts w:ascii="Arial" w:hAnsi="Arial" w:cs="Arial"/>
                <w:color w:val="000000"/>
                <w:sz w:val="16"/>
                <w:szCs w:val="16"/>
              </w:rPr>
            </w:pPr>
          </w:p>
        </w:tc>
        <w:tc>
          <w:tcPr>
            <w:tcW w:w="1314" w:type="dxa"/>
            <w:noWrap/>
          </w:tcPr>
          <w:p w14:paraId="45A55CD7" w14:textId="54FDF916" w:rsidR="001F01CB" w:rsidRPr="00F46944" w:rsidRDefault="001F01CB" w:rsidP="001F01CB">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Qld</w:t>
            </w:r>
          </w:p>
        </w:tc>
        <w:tc>
          <w:tcPr>
            <w:tcW w:w="1741" w:type="dxa"/>
            <w:noWrap/>
          </w:tcPr>
          <w:p w14:paraId="73E773E7" w14:textId="2E499D61" w:rsidR="001F01CB" w:rsidRPr="00F46944" w:rsidRDefault="001F01CB" w:rsidP="001F01CB">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31.6</w:t>
            </w:r>
          </w:p>
        </w:tc>
        <w:tc>
          <w:tcPr>
            <w:tcW w:w="1742" w:type="dxa"/>
            <w:noWrap/>
          </w:tcPr>
          <w:p w14:paraId="11564FEB" w14:textId="59276AA7" w:rsidR="001F01CB" w:rsidRPr="00F46944" w:rsidRDefault="001F01CB" w:rsidP="001F01CB">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6"/>
              </w:rPr>
            </w:pPr>
            <w:r w:rsidRPr="00F46944">
              <w:rPr>
                <w:rFonts w:ascii="Arial" w:hAnsi="Arial" w:cs="Arial"/>
                <w:color w:val="000000"/>
                <w:sz w:val="16"/>
                <w:szCs w:val="16"/>
              </w:rPr>
              <w:t>25.5</w:t>
            </w:r>
          </w:p>
        </w:tc>
        <w:tc>
          <w:tcPr>
            <w:tcW w:w="1742" w:type="dxa"/>
            <w:noWrap/>
          </w:tcPr>
          <w:p w14:paraId="3744AC89" w14:textId="58336F65" w:rsidR="001F01CB" w:rsidRPr="00F46944" w:rsidRDefault="001F01CB" w:rsidP="001F01CB">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24.5</w:t>
            </w:r>
          </w:p>
        </w:tc>
      </w:tr>
      <w:tr w:rsidR="001F01CB" w:rsidRPr="00F46944" w14:paraId="34CD3BE1" w14:textId="77777777" w:rsidTr="0097547F">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1399" w:type="dxa"/>
            <w:vMerge/>
          </w:tcPr>
          <w:p w14:paraId="530DC3D2" w14:textId="77777777" w:rsidR="001F01CB" w:rsidRPr="00F46944" w:rsidRDefault="001F01CB" w:rsidP="001F01CB">
            <w:pPr>
              <w:spacing w:after="0"/>
              <w:rPr>
                <w:rFonts w:ascii="Arial" w:hAnsi="Arial" w:cs="Arial"/>
                <w:color w:val="000000"/>
                <w:sz w:val="16"/>
                <w:szCs w:val="16"/>
              </w:rPr>
            </w:pPr>
          </w:p>
        </w:tc>
        <w:tc>
          <w:tcPr>
            <w:tcW w:w="1314" w:type="dxa"/>
            <w:noWrap/>
          </w:tcPr>
          <w:p w14:paraId="521E4094" w14:textId="484550A7" w:rsidR="001F01CB" w:rsidRPr="00F46944" w:rsidRDefault="001F01CB" w:rsidP="001F01CB">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SA</w:t>
            </w:r>
          </w:p>
        </w:tc>
        <w:tc>
          <w:tcPr>
            <w:tcW w:w="1741" w:type="dxa"/>
            <w:noWrap/>
          </w:tcPr>
          <w:p w14:paraId="6DA0602E" w14:textId="26340424" w:rsidR="001F01CB" w:rsidRPr="00F46944" w:rsidRDefault="001F01CB" w:rsidP="001F01CB">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31.4</w:t>
            </w:r>
          </w:p>
        </w:tc>
        <w:tc>
          <w:tcPr>
            <w:tcW w:w="1742" w:type="dxa"/>
            <w:noWrap/>
          </w:tcPr>
          <w:p w14:paraId="3C96AC90" w14:textId="348F9B04" w:rsidR="001F01CB" w:rsidRPr="00F46944" w:rsidRDefault="001F01CB" w:rsidP="001F01CB">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6"/>
              </w:rPr>
            </w:pPr>
            <w:r w:rsidRPr="00F46944">
              <w:rPr>
                <w:rFonts w:ascii="Arial" w:hAnsi="Arial" w:cs="Arial"/>
                <w:color w:val="000000"/>
                <w:sz w:val="16"/>
                <w:szCs w:val="16"/>
              </w:rPr>
              <w:t>26.4</w:t>
            </w:r>
          </w:p>
        </w:tc>
        <w:tc>
          <w:tcPr>
            <w:tcW w:w="1742" w:type="dxa"/>
            <w:noWrap/>
          </w:tcPr>
          <w:p w14:paraId="7B66E0DB" w14:textId="043ABC4D" w:rsidR="001F01CB" w:rsidRPr="00F46944" w:rsidRDefault="001F01CB" w:rsidP="001F01CB">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24.8</w:t>
            </w:r>
          </w:p>
        </w:tc>
      </w:tr>
      <w:tr w:rsidR="001F01CB" w:rsidRPr="00F46944" w14:paraId="43582EF4" w14:textId="77777777" w:rsidTr="0097547F">
        <w:trPr>
          <w:trHeight w:val="306"/>
          <w:jc w:val="center"/>
        </w:trPr>
        <w:tc>
          <w:tcPr>
            <w:cnfStyle w:val="001000000000" w:firstRow="0" w:lastRow="0" w:firstColumn="1" w:lastColumn="0" w:oddVBand="0" w:evenVBand="0" w:oddHBand="0" w:evenHBand="0" w:firstRowFirstColumn="0" w:firstRowLastColumn="0" w:lastRowFirstColumn="0" w:lastRowLastColumn="0"/>
            <w:tcW w:w="1399" w:type="dxa"/>
            <w:vMerge/>
          </w:tcPr>
          <w:p w14:paraId="407EE634" w14:textId="77777777" w:rsidR="001F01CB" w:rsidRPr="00F46944" w:rsidRDefault="001F01CB" w:rsidP="001F01CB">
            <w:pPr>
              <w:spacing w:after="0"/>
              <w:rPr>
                <w:rFonts w:ascii="Arial" w:hAnsi="Arial" w:cs="Arial"/>
                <w:color w:val="000000"/>
                <w:sz w:val="16"/>
                <w:szCs w:val="16"/>
              </w:rPr>
            </w:pPr>
          </w:p>
        </w:tc>
        <w:tc>
          <w:tcPr>
            <w:tcW w:w="1314" w:type="dxa"/>
            <w:noWrap/>
          </w:tcPr>
          <w:p w14:paraId="5F522CF5" w14:textId="5C569343" w:rsidR="001F01CB" w:rsidRPr="00F46944" w:rsidRDefault="001F01CB" w:rsidP="001F01CB">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WA</w:t>
            </w:r>
          </w:p>
        </w:tc>
        <w:tc>
          <w:tcPr>
            <w:tcW w:w="1741" w:type="dxa"/>
            <w:noWrap/>
          </w:tcPr>
          <w:p w14:paraId="6E93AB90" w14:textId="005C6183" w:rsidR="001F01CB" w:rsidRPr="00F46944" w:rsidRDefault="001F01CB" w:rsidP="001F01CB">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29.4</w:t>
            </w:r>
          </w:p>
        </w:tc>
        <w:tc>
          <w:tcPr>
            <w:tcW w:w="1742" w:type="dxa"/>
            <w:noWrap/>
          </w:tcPr>
          <w:p w14:paraId="3229971E" w14:textId="73158ED7" w:rsidR="001F01CB" w:rsidRPr="00F46944" w:rsidRDefault="001F01CB" w:rsidP="001F01CB">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6"/>
              </w:rPr>
            </w:pPr>
            <w:r w:rsidRPr="00F46944">
              <w:rPr>
                <w:rFonts w:ascii="Arial" w:hAnsi="Arial" w:cs="Arial"/>
                <w:color w:val="000000"/>
                <w:sz w:val="16"/>
                <w:szCs w:val="16"/>
              </w:rPr>
              <w:t>25.3</w:t>
            </w:r>
          </w:p>
        </w:tc>
        <w:tc>
          <w:tcPr>
            <w:tcW w:w="1742" w:type="dxa"/>
            <w:noWrap/>
          </w:tcPr>
          <w:p w14:paraId="009731A5" w14:textId="1D15CD6A" w:rsidR="001F01CB" w:rsidRPr="00F46944" w:rsidRDefault="001F01CB" w:rsidP="001F01CB">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25.2</w:t>
            </w:r>
          </w:p>
        </w:tc>
      </w:tr>
      <w:tr w:rsidR="001F01CB" w:rsidRPr="00F46944" w14:paraId="73388C84" w14:textId="77777777" w:rsidTr="0097547F">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1399" w:type="dxa"/>
            <w:vMerge/>
          </w:tcPr>
          <w:p w14:paraId="290E2055" w14:textId="77777777" w:rsidR="001F01CB" w:rsidRPr="00F46944" w:rsidRDefault="001F01CB" w:rsidP="001F01CB">
            <w:pPr>
              <w:spacing w:after="0"/>
              <w:rPr>
                <w:rFonts w:ascii="Arial" w:hAnsi="Arial" w:cs="Arial"/>
                <w:color w:val="000000"/>
                <w:sz w:val="16"/>
                <w:szCs w:val="16"/>
              </w:rPr>
            </w:pPr>
          </w:p>
        </w:tc>
        <w:tc>
          <w:tcPr>
            <w:tcW w:w="1314" w:type="dxa"/>
            <w:noWrap/>
          </w:tcPr>
          <w:p w14:paraId="1DFB2C15" w14:textId="68760E62" w:rsidR="001F01CB" w:rsidRPr="00F46944" w:rsidRDefault="001F01CB" w:rsidP="001F01CB">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Tas</w:t>
            </w:r>
          </w:p>
        </w:tc>
        <w:tc>
          <w:tcPr>
            <w:tcW w:w="1741" w:type="dxa"/>
            <w:noWrap/>
          </w:tcPr>
          <w:p w14:paraId="47D6D4E1" w14:textId="1412AC42" w:rsidR="001F01CB" w:rsidRPr="00F46944" w:rsidRDefault="001F01CB" w:rsidP="001F01CB">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30.2</w:t>
            </w:r>
          </w:p>
        </w:tc>
        <w:tc>
          <w:tcPr>
            <w:tcW w:w="1742" w:type="dxa"/>
            <w:noWrap/>
          </w:tcPr>
          <w:p w14:paraId="17B19EDF" w14:textId="2B670D9C" w:rsidR="001F01CB" w:rsidRPr="00F46944" w:rsidRDefault="001F01CB" w:rsidP="001F01CB">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6"/>
              </w:rPr>
            </w:pPr>
            <w:r w:rsidRPr="00F46944">
              <w:rPr>
                <w:rFonts w:ascii="Arial" w:hAnsi="Arial"/>
                <w:color w:val="000000"/>
                <w:sz w:val="16"/>
              </w:rPr>
              <w:t>23.9</w:t>
            </w:r>
          </w:p>
        </w:tc>
        <w:tc>
          <w:tcPr>
            <w:tcW w:w="1742" w:type="dxa"/>
            <w:noWrap/>
          </w:tcPr>
          <w:p w14:paraId="14289067" w14:textId="2B81E4E7" w:rsidR="001F01CB" w:rsidRPr="00F46944" w:rsidRDefault="001F01CB" w:rsidP="001F01CB">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24.8</w:t>
            </w:r>
          </w:p>
        </w:tc>
      </w:tr>
      <w:tr w:rsidR="001F01CB" w:rsidRPr="00F46944" w14:paraId="40EED937" w14:textId="77777777" w:rsidTr="0097547F">
        <w:trPr>
          <w:trHeight w:val="306"/>
          <w:jc w:val="center"/>
        </w:trPr>
        <w:tc>
          <w:tcPr>
            <w:cnfStyle w:val="001000000000" w:firstRow="0" w:lastRow="0" w:firstColumn="1" w:lastColumn="0" w:oddVBand="0" w:evenVBand="0" w:oddHBand="0" w:evenHBand="0" w:firstRowFirstColumn="0" w:firstRowLastColumn="0" w:lastRowFirstColumn="0" w:lastRowLastColumn="0"/>
            <w:tcW w:w="1399" w:type="dxa"/>
            <w:vMerge/>
          </w:tcPr>
          <w:p w14:paraId="5B73A0A2" w14:textId="77777777" w:rsidR="001F01CB" w:rsidRPr="00F46944" w:rsidRDefault="001F01CB" w:rsidP="001F01CB">
            <w:pPr>
              <w:spacing w:after="0"/>
              <w:rPr>
                <w:rFonts w:ascii="Arial" w:hAnsi="Arial" w:cs="Arial"/>
                <w:color w:val="000000"/>
                <w:sz w:val="16"/>
                <w:szCs w:val="16"/>
              </w:rPr>
            </w:pPr>
          </w:p>
        </w:tc>
        <w:tc>
          <w:tcPr>
            <w:tcW w:w="1314" w:type="dxa"/>
            <w:noWrap/>
          </w:tcPr>
          <w:p w14:paraId="7DE64A47" w14:textId="3137337B" w:rsidR="001F01CB" w:rsidRPr="00F46944" w:rsidRDefault="001F01CB" w:rsidP="001F01CB">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NT</w:t>
            </w:r>
          </w:p>
        </w:tc>
        <w:tc>
          <w:tcPr>
            <w:tcW w:w="1741" w:type="dxa"/>
            <w:noWrap/>
          </w:tcPr>
          <w:p w14:paraId="06BC876C" w14:textId="2DBECD0D" w:rsidR="001F01CB" w:rsidRPr="00F46944" w:rsidRDefault="001F01CB" w:rsidP="001F01CB">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33.5</w:t>
            </w:r>
          </w:p>
        </w:tc>
        <w:tc>
          <w:tcPr>
            <w:tcW w:w="1742" w:type="dxa"/>
            <w:noWrap/>
          </w:tcPr>
          <w:p w14:paraId="09A3F701" w14:textId="0BCD3D9F" w:rsidR="001F01CB" w:rsidRPr="00F46944" w:rsidRDefault="001F01CB" w:rsidP="001F01CB">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6"/>
              </w:rPr>
            </w:pPr>
            <w:r w:rsidRPr="00F46944">
              <w:rPr>
                <w:rFonts w:ascii="Arial" w:hAnsi="Arial"/>
                <w:color w:val="000000"/>
                <w:sz w:val="16"/>
              </w:rPr>
              <w:t>28.8</w:t>
            </w:r>
          </w:p>
        </w:tc>
        <w:tc>
          <w:tcPr>
            <w:tcW w:w="1742" w:type="dxa"/>
            <w:noWrap/>
          </w:tcPr>
          <w:p w14:paraId="7247A0C0" w14:textId="5BC1C4B1" w:rsidR="001F01CB" w:rsidRPr="00F46944" w:rsidRDefault="001F01CB" w:rsidP="001F01CB">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25.2</w:t>
            </w:r>
          </w:p>
        </w:tc>
      </w:tr>
      <w:tr w:rsidR="001F01CB" w:rsidRPr="00F46944" w14:paraId="1266258B" w14:textId="77777777" w:rsidTr="0097547F">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1399" w:type="dxa"/>
            <w:vMerge/>
          </w:tcPr>
          <w:p w14:paraId="260FE960" w14:textId="77777777" w:rsidR="001F01CB" w:rsidRPr="00F46944" w:rsidRDefault="001F01CB" w:rsidP="001F01CB">
            <w:pPr>
              <w:spacing w:after="0"/>
              <w:rPr>
                <w:rFonts w:ascii="Arial" w:hAnsi="Arial" w:cs="Arial"/>
                <w:color w:val="000000"/>
                <w:sz w:val="16"/>
                <w:szCs w:val="16"/>
              </w:rPr>
            </w:pPr>
          </w:p>
        </w:tc>
        <w:tc>
          <w:tcPr>
            <w:tcW w:w="1314" w:type="dxa"/>
            <w:noWrap/>
          </w:tcPr>
          <w:p w14:paraId="4B78CBE9" w14:textId="33A3A287" w:rsidR="001F01CB" w:rsidRPr="00F46944" w:rsidRDefault="001F01CB" w:rsidP="001F01CB">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ACT</w:t>
            </w:r>
          </w:p>
        </w:tc>
        <w:tc>
          <w:tcPr>
            <w:tcW w:w="1741" w:type="dxa"/>
            <w:noWrap/>
          </w:tcPr>
          <w:p w14:paraId="743380C9" w14:textId="279EE1EC" w:rsidR="001F01CB" w:rsidRPr="00F46944" w:rsidRDefault="001F01CB" w:rsidP="001F01CB">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34.3</w:t>
            </w:r>
          </w:p>
        </w:tc>
        <w:tc>
          <w:tcPr>
            <w:tcW w:w="1742" w:type="dxa"/>
            <w:noWrap/>
          </w:tcPr>
          <w:p w14:paraId="76E0825F" w14:textId="154DDC26" w:rsidR="001F01CB" w:rsidRPr="00F46944" w:rsidRDefault="001F01CB" w:rsidP="001F01CB">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6"/>
              </w:rPr>
            </w:pPr>
            <w:r w:rsidRPr="00F46944">
              <w:rPr>
                <w:rFonts w:ascii="Arial" w:hAnsi="Arial" w:cs="Arial"/>
                <w:color w:val="000000"/>
                <w:sz w:val="16"/>
                <w:szCs w:val="16"/>
              </w:rPr>
              <w:t>27.2</w:t>
            </w:r>
          </w:p>
        </w:tc>
        <w:tc>
          <w:tcPr>
            <w:tcW w:w="1742" w:type="dxa"/>
            <w:noWrap/>
          </w:tcPr>
          <w:p w14:paraId="1DF67152" w14:textId="4D9FF5BD" w:rsidR="001F01CB" w:rsidRPr="00F46944" w:rsidRDefault="001F01CB" w:rsidP="001F01CB">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F46944">
              <w:rPr>
                <w:rFonts w:ascii="Arial" w:hAnsi="Arial"/>
                <w:color w:val="000000"/>
                <w:sz w:val="16"/>
              </w:rPr>
              <w:t>26</w:t>
            </w:r>
            <w:r w:rsidR="009B02AE">
              <w:rPr>
                <w:rFonts w:ascii="Arial" w:hAnsi="Arial"/>
                <w:color w:val="000000"/>
                <w:sz w:val="16"/>
              </w:rPr>
              <w:t>.0</w:t>
            </w:r>
          </w:p>
        </w:tc>
      </w:tr>
      <w:tr w:rsidR="001F01CB" w:rsidRPr="00F46944" w14:paraId="0666EDE8" w14:textId="77777777" w:rsidTr="0097547F">
        <w:trPr>
          <w:trHeight w:val="306"/>
          <w:jc w:val="center"/>
        </w:trPr>
        <w:tc>
          <w:tcPr>
            <w:cnfStyle w:val="001000000000" w:firstRow="0" w:lastRow="0" w:firstColumn="1" w:lastColumn="0" w:oddVBand="0" w:evenVBand="0" w:oddHBand="0" w:evenHBand="0" w:firstRowFirstColumn="0" w:firstRowLastColumn="0" w:lastRowFirstColumn="0" w:lastRowLastColumn="0"/>
            <w:tcW w:w="1399" w:type="dxa"/>
            <w:vMerge w:val="restart"/>
            <w:hideMark/>
          </w:tcPr>
          <w:p w14:paraId="667EAF3C" w14:textId="77777777" w:rsidR="001F01CB" w:rsidRPr="00F46944" w:rsidRDefault="001F01CB" w:rsidP="001F01CB">
            <w:pPr>
              <w:spacing w:after="0"/>
              <w:rPr>
                <w:rFonts w:ascii="Arial" w:hAnsi="Arial" w:cs="Arial"/>
                <w:color w:val="000000"/>
                <w:sz w:val="16"/>
                <w:szCs w:val="16"/>
              </w:rPr>
            </w:pPr>
            <w:r w:rsidRPr="00F46944">
              <w:rPr>
                <w:rFonts w:ascii="Arial" w:hAnsi="Arial" w:cs="Arial"/>
                <w:color w:val="000000"/>
                <w:sz w:val="16"/>
                <w:szCs w:val="16"/>
              </w:rPr>
              <w:t>Remoteness</w:t>
            </w:r>
          </w:p>
        </w:tc>
        <w:tc>
          <w:tcPr>
            <w:tcW w:w="1314" w:type="dxa"/>
            <w:noWrap/>
            <w:hideMark/>
          </w:tcPr>
          <w:p w14:paraId="25157055" w14:textId="77777777" w:rsidR="001F01CB" w:rsidRPr="00F46944" w:rsidRDefault="001F01CB" w:rsidP="001F01CB">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 xml:space="preserve">Major Cities </w:t>
            </w:r>
          </w:p>
        </w:tc>
        <w:tc>
          <w:tcPr>
            <w:tcW w:w="1741" w:type="dxa"/>
            <w:noWrap/>
            <w:hideMark/>
          </w:tcPr>
          <w:p w14:paraId="4DE87832" w14:textId="77777777" w:rsidR="001F01CB" w:rsidRPr="00F46944" w:rsidRDefault="001F01CB" w:rsidP="001F01CB">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32.1</w:t>
            </w:r>
          </w:p>
        </w:tc>
        <w:tc>
          <w:tcPr>
            <w:tcW w:w="1742" w:type="dxa"/>
            <w:noWrap/>
            <w:hideMark/>
          </w:tcPr>
          <w:p w14:paraId="6A57E2D0" w14:textId="756C7180" w:rsidR="001F01CB" w:rsidRPr="00F46944" w:rsidRDefault="001F01CB" w:rsidP="001F01CB">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25</w:t>
            </w:r>
            <w:r w:rsidR="009B02AE">
              <w:rPr>
                <w:rFonts w:ascii="Arial" w:hAnsi="Arial" w:cs="Arial"/>
                <w:color w:val="000000"/>
                <w:sz w:val="16"/>
                <w:szCs w:val="16"/>
              </w:rPr>
              <w:t>.0</w:t>
            </w:r>
          </w:p>
        </w:tc>
        <w:tc>
          <w:tcPr>
            <w:tcW w:w="1742" w:type="dxa"/>
            <w:noWrap/>
            <w:hideMark/>
          </w:tcPr>
          <w:p w14:paraId="48A53ECC" w14:textId="77777777" w:rsidR="001F01CB" w:rsidRPr="00F46944" w:rsidRDefault="001F01CB" w:rsidP="001F01CB">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23.5</w:t>
            </w:r>
          </w:p>
        </w:tc>
      </w:tr>
      <w:tr w:rsidR="001F01CB" w:rsidRPr="00F46944" w14:paraId="6C9FE82C" w14:textId="77777777" w:rsidTr="0097547F">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1399" w:type="dxa"/>
            <w:vMerge/>
            <w:hideMark/>
          </w:tcPr>
          <w:p w14:paraId="35C18FEF" w14:textId="77777777" w:rsidR="001F01CB" w:rsidRPr="00F46944" w:rsidRDefault="001F01CB" w:rsidP="001F01CB">
            <w:pPr>
              <w:spacing w:after="0"/>
              <w:rPr>
                <w:rFonts w:ascii="Arial" w:hAnsi="Arial" w:cs="Arial"/>
                <w:color w:val="000000"/>
                <w:sz w:val="16"/>
                <w:szCs w:val="16"/>
              </w:rPr>
            </w:pPr>
          </w:p>
        </w:tc>
        <w:tc>
          <w:tcPr>
            <w:tcW w:w="1314" w:type="dxa"/>
            <w:noWrap/>
            <w:hideMark/>
          </w:tcPr>
          <w:p w14:paraId="5DBB9592" w14:textId="77777777" w:rsidR="001F01CB" w:rsidRPr="00F46944" w:rsidRDefault="001F01CB" w:rsidP="001F01CB">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Inner Regional</w:t>
            </w:r>
          </w:p>
        </w:tc>
        <w:tc>
          <w:tcPr>
            <w:tcW w:w="1741" w:type="dxa"/>
            <w:noWrap/>
            <w:hideMark/>
          </w:tcPr>
          <w:p w14:paraId="44F04A06" w14:textId="3E055EED" w:rsidR="001F01CB" w:rsidRPr="00F46944" w:rsidRDefault="001F01CB" w:rsidP="001F01CB">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30</w:t>
            </w:r>
            <w:r w:rsidR="009B02AE">
              <w:rPr>
                <w:rFonts w:ascii="Arial" w:hAnsi="Arial" w:cs="Arial"/>
                <w:color w:val="000000"/>
                <w:sz w:val="16"/>
                <w:szCs w:val="16"/>
              </w:rPr>
              <w:t>.0</w:t>
            </w:r>
          </w:p>
        </w:tc>
        <w:tc>
          <w:tcPr>
            <w:tcW w:w="1742" w:type="dxa"/>
            <w:noWrap/>
            <w:hideMark/>
          </w:tcPr>
          <w:p w14:paraId="51549F05" w14:textId="77777777" w:rsidR="001F01CB" w:rsidRPr="00F46944" w:rsidRDefault="001F01CB" w:rsidP="001F01CB">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24.1</w:t>
            </w:r>
          </w:p>
        </w:tc>
        <w:tc>
          <w:tcPr>
            <w:tcW w:w="1742" w:type="dxa"/>
            <w:noWrap/>
            <w:hideMark/>
          </w:tcPr>
          <w:p w14:paraId="366570AA" w14:textId="77777777" w:rsidR="001F01CB" w:rsidRPr="00F46944" w:rsidRDefault="001F01CB" w:rsidP="001F01CB">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23.5</w:t>
            </w:r>
          </w:p>
        </w:tc>
      </w:tr>
      <w:tr w:rsidR="001F01CB" w:rsidRPr="00F46944" w14:paraId="341695A5" w14:textId="77777777" w:rsidTr="0097547F">
        <w:trPr>
          <w:trHeight w:val="306"/>
          <w:jc w:val="center"/>
        </w:trPr>
        <w:tc>
          <w:tcPr>
            <w:cnfStyle w:val="001000000000" w:firstRow="0" w:lastRow="0" w:firstColumn="1" w:lastColumn="0" w:oddVBand="0" w:evenVBand="0" w:oddHBand="0" w:evenHBand="0" w:firstRowFirstColumn="0" w:firstRowLastColumn="0" w:lastRowFirstColumn="0" w:lastRowLastColumn="0"/>
            <w:tcW w:w="1399" w:type="dxa"/>
            <w:vMerge/>
            <w:hideMark/>
          </w:tcPr>
          <w:p w14:paraId="4D9AC596" w14:textId="77777777" w:rsidR="001F01CB" w:rsidRPr="00F46944" w:rsidRDefault="001F01CB" w:rsidP="001F01CB">
            <w:pPr>
              <w:spacing w:after="0"/>
              <w:rPr>
                <w:rFonts w:ascii="Arial" w:hAnsi="Arial" w:cs="Arial"/>
                <w:color w:val="000000"/>
                <w:sz w:val="16"/>
                <w:szCs w:val="16"/>
              </w:rPr>
            </w:pPr>
          </w:p>
        </w:tc>
        <w:tc>
          <w:tcPr>
            <w:tcW w:w="1314" w:type="dxa"/>
            <w:noWrap/>
            <w:hideMark/>
          </w:tcPr>
          <w:p w14:paraId="459AF105" w14:textId="77777777" w:rsidR="001F01CB" w:rsidRPr="00F46944" w:rsidRDefault="001F01CB" w:rsidP="001F01CB">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 xml:space="preserve">Outer Regional </w:t>
            </w:r>
          </w:p>
        </w:tc>
        <w:tc>
          <w:tcPr>
            <w:tcW w:w="1741" w:type="dxa"/>
            <w:noWrap/>
            <w:hideMark/>
          </w:tcPr>
          <w:p w14:paraId="38EDFDE5" w14:textId="77777777" w:rsidR="001F01CB" w:rsidRPr="00F46944" w:rsidRDefault="001F01CB" w:rsidP="001F01CB">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31.1</w:t>
            </w:r>
          </w:p>
        </w:tc>
        <w:tc>
          <w:tcPr>
            <w:tcW w:w="1742" w:type="dxa"/>
            <w:noWrap/>
            <w:hideMark/>
          </w:tcPr>
          <w:p w14:paraId="1D31F9A8" w14:textId="213F2AA5" w:rsidR="001F01CB" w:rsidRPr="00F46944" w:rsidRDefault="001F01CB" w:rsidP="001F01CB">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25</w:t>
            </w:r>
            <w:r w:rsidR="009B02AE">
              <w:rPr>
                <w:rFonts w:ascii="Arial" w:hAnsi="Arial" w:cs="Arial"/>
                <w:color w:val="000000"/>
                <w:sz w:val="16"/>
                <w:szCs w:val="16"/>
              </w:rPr>
              <w:t>.0</w:t>
            </w:r>
          </w:p>
        </w:tc>
        <w:tc>
          <w:tcPr>
            <w:tcW w:w="1742" w:type="dxa"/>
            <w:noWrap/>
            <w:hideMark/>
          </w:tcPr>
          <w:p w14:paraId="2143761A" w14:textId="77777777" w:rsidR="001F01CB" w:rsidRPr="00F46944" w:rsidRDefault="001F01CB" w:rsidP="001F01CB">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24.2</w:t>
            </w:r>
          </w:p>
        </w:tc>
      </w:tr>
      <w:tr w:rsidR="001F01CB" w:rsidRPr="00F46944" w14:paraId="1556B81C" w14:textId="77777777" w:rsidTr="0097547F">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1399" w:type="dxa"/>
            <w:vMerge/>
            <w:hideMark/>
          </w:tcPr>
          <w:p w14:paraId="61779862" w14:textId="77777777" w:rsidR="001F01CB" w:rsidRPr="00F46944" w:rsidRDefault="001F01CB" w:rsidP="001F01CB">
            <w:pPr>
              <w:spacing w:after="0"/>
              <w:rPr>
                <w:rFonts w:ascii="Arial" w:hAnsi="Arial" w:cs="Arial"/>
                <w:color w:val="000000"/>
                <w:sz w:val="16"/>
                <w:szCs w:val="16"/>
              </w:rPr>
            </w:pPr>
          </w:p>
        </w:tc>
        <w:tc>
          <w:tcPr>
            <w:tcW w:w="1314" w:type="dxa"/>
            <w:noWrap/>
            <w:hideMark/>
          </w:tcPr>
          <w:p w14:paraId="441DBF58" w14:textId="77777777" w:rsidR="001F01CB" w:rsidRPr="00F46944" w:rsidRDefault="001F01CB" w:rsidP="001F01CB">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Remote</w:t>
            </w:r>
          </w:p>
        </w:tc>
        <w:tc>
          <w:tcPr>
            <w:tcW w:w="1741" w:type="dxa"/>
            <w:noWrap/>
            <w:hideMark/>
          </w:tcPr>
          <w:p w14:paraId="49AC8521" w14:textId="77777777" w:rsidR="001F01CB" w:rsidRPr="00F46944" w:rsidRDefault="001F01CB" w:rsidP="001F01CB">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24.6</w:t>
            </w:r>
          </w:p>
        </w:tc>
        <w:tc>
          <w:tcPr>
            <w:tcW w:w="1742" w:type="dxa"/>
            <w:noWrap/>
            <w:hideMark/>
          </w:tcPr>
          <w:p w14:paraId="7A7C249E" w14:textId="77777777" w:rsidR="001F01CB" w:rsidRPr="00F46944" w:rsidRDefault="001F01CB" w:rsidP="001F01CB">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20.8</w:t>
            </w:r>
          </w:p>
        </w:tc>
        <w:tc>
          <w:tcPr>
            <w:tcW w:w="1742" w:type="dxa"/>
            <w:noWrap/>
            <w:hideMark/>
          </w:tcPr>
          <w:p w14:paraId="0795B53E" w14:textId="77777777" w:rsidR="001F01CB" w:rsidRPr="00F46944" w:rsidRDefault="001F01CB" w:rsidP="001F01CB">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19.3</w:t>
            </w:r>
          </w:p>
        </w:tc>
      </w:tr>
      <w:tr w:rsidR="001F01CB" w:rsidRPr="00F46944" w14:paraId="1740A6F1" w14:textId="77777777" w:rsidTr="0097547F">
        <w:trPr>
          <w:trHeight w:val="306"/>
          <w:jc w:val="center"/>
        </w:trPr>
        <w:tc>
          <w:tcPr>
            <w:cnfStyle w:val="001000000000" w:firstRow="0" w:lastRow="0" w:firstColumn="1" w:lastColumn="0" w:oddVBand="0" w:evenVBand="0" w:oddHBand="0" w:evenHBand="0" w:firstRowFirstColumn="0" w:firstRowLastColumn="0" w:lastRowFirstColumn="0" w:lastRowLastColumn="0"/>
            <w:tcW w:w="1399" w:type="dxa"/>
            <w:vMerge/>
            <w:hideMark/>
          </w:tcPr>
          <w:p w14:paraId="3AE1C092" w14:textId="77777777" w:rsidR="001F01CB" w:rsidRPr="00F46944" w:rsidRDefault="001F01CB" w:rsidP="001F01CB">
            <w:pPr>
              <w:spacing w:after="0"/>
              <w:rPr>
                <w:rFonts w:ascii="Arial" w:hAnsi="Arial" w:cs="Arial"/>
                <w:color w:val="000000"/>
                <w:sz w:val="16"/>
                <w:szCs w:val="16"/>
              </w:rPr>
            </w:pPr>
          </w:p>
        </w:tc>
        <w:tc>
          <w:tcPr>
            <w:tcW w:w="1314" w:type="dxa"/>
            <w:noWrap/>
            <w:hideMark/>
          </w:tcPr>
          <w:p w14:paraId="01A575F0" w14:textId="77777777" w:rsidR="001F01CB" w:rsidRPr="00F46944" w:rsidRDefault="001F01CB" w:rsidP="001F01CB">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Very Remote</w:t>
            </w:r>
          </w:p>
        </w:tc>
        <w:tc>
          <w:tcPr>
            <w:tcW w:w="1741" w:type="dxa"/>
            <w:noWrap/>
            <w:hideMark/>
          </w:tcPr>
          <w:p w14:paraId="202EC814" w14:textId="77777777" w:rsidR="001F01CB" w:rsidRPr="00F46944" w:rsidRDefault="001F01CB" w:rsidP="001F01CB">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6"/>
              </w:rPr>
            </w:pPr>
            <w:r w:rsidRPr="00F46944">
              <w:rPr>
                <w:rFonts w:ascii="Arial" w:hAnsi="Arial"/>
                <w:color w:val="000000"/>
                <w:sz w:val="16"/>
              </w:rPr>
              <w:t>28.3</w:t>
            </w:r>
          </w:p>
        </w:tc>
        <w:tc>
          <w:tcPr>
            <w:tcW w:w="1742" w:type="dxa"/>
            <w:noWrap/>
            <w:hideMark/>
          </w:tcPr>
          <w:p w14:paraId="3DBE6D53" w14:textId="77777777" w:rsidR="001F01CB" w:rsidRPr="00F46944" w:rsidRDefault="001F01CB" w:rsidP="001F01CB">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6"/>
              </w:rPr>
            </w:pPr>
            <w:r w:rsidRPr="00F46944">
              <w:rPr>
                <w:rFonts w:ascii="Arial" w:hAnsi="Arial"/>
                <w:color w:val="000000"/>
                <w:sz w:val="16"/>
              </w:rPr>
              <w:t>26.9</w:t>
            </w:r>
          </w:p>
        </w:tc>
        <w:tc>
          <w:tcPr>
            <w:tcW w:w="1742" w:type="dxa"/>
            <w:noWrap/>
            <w:hideMark/>
          </w:tcPr>
          <w:p w14:paraId="4D74DC9F" w14:textId="77777777" w:rsidR="001F01CB" w:rsidRPr="00F46944" w:rsidRDefault="001F01CB" w:rsidP="001F01CB">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6"/>
              </w:rPr>
            </w:pPr>
            <w:r w:rsidRPr="00F46944">
              <w:rPr>
                <w:rFonts w:ascii="Arial" w:hAnsi="Arial"/>
                <w:color w:val="000000"/>
                <w:sz w:val="16"/>
              </w:rPr>
              <w:t>28.1</w:t>
            </w:r>
          </w:p>
        </w:tc>
      </w:tr>
      <w:tr w:rsidR="001F01CB" w:rsidRPr="00F46944" w14:paraId="0C67164B" w14:textId="77777777" w:rsidTr="0097547F">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1399" w:type="dxa"/>
            <w:vMerge/>
            <w:hideMark/>
          </w:tcPr>
          <w:p w14:paraId="26512399" w14:textId="77777777" w:rsidR="001F01CB" w:rsidRPr="00F46944" w:rsidRDefault="001F01CB" w:rsidP="001F01CB">
            <w:pPr>
              <w:spacing w:after="0"/>
              <w:rPr>
                <w:rFonts w:ascii="Arial" w:hAnsi="Arial" w:cs="Arial"/>
                <w:color w:val="000000"/>
                <w:sz w:val="16"/>
                <w:szCs w:val="16"/>
              </w:rPr>
            </w:pPr>
          </w:p>
        </w:tc>
        <w:tc>
          <w:tcPr>
            <w:tcW w:w="1314" w:type="dxa"/>
            <w:hideMark/>
          </w:tcPr>
          <w:p w14:paraId="11CF7954" w14:textId="77777777" w:rsidR="001F01CB" w:rsidRPr="00F46944" w:rsidRDefault="001F01CB" w:rsidP="001F01CB">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Unknown/other</w:t>
            </w:r>
          </w:p>
        </w:tc>
        <w:tc>
          <w:tcPr>
            <w:tcW w:w="1741" w:type="dxa"/>
            <w:noWrap/>
            <w:hideMark/>
          </w:tcPr>
          <w:p w14:paraId="2CBDC5EC" w14:textId="77777777" w:rsidR="001F01CB" w:rsidRPr="00F46944" w:rsidRDefault="001F01CB" w:rsidP="001F01CB">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22.7</w:t>
            </w:r>
          </w:p>
        </w:tc>
        <w:tc>
          <w:tcPr>
            <w:tcW w:w="1742" w:type="dxa"/>
            <w:noWrap/>
            <w:hideMark/>
          </w:tcPr>
          <w:p w14:paraId="075EC3C8" w14:textId="77777777" w:rsidR="001F01CB" w:rsidRPr="00F46944" w:rsidRDefault="001F01CB" w:rsidP="001F01CB">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22.8</w:t>
            </w:r>
          </w:p>
        </w:tc>
        <w:tc>
          <w:tcPr>
            <w:tcW w:w="1742" w:type="dxa"/>
            <w:noWrap/>
            <w:hideMark/>
          </w:tcPr>
          <w:p w14:paraId="5989895A" w14:textId="77777777" w:rsidR="001F01CB" w:rsidRPr="00F46944" w:rsidRDefault="001F01CB" w:rsidP="001F01CB">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16.8</w:t>
            </w:r>
          </w:p>
        </w:tc>
      </w:tr>
      <w:tr w:rsidR="001F01CB" w:rsidRPr="00F46944" w14:paraId="3A58D7E3" w14:textId="77777777" w:rsidTr="0097547F">
        <w:trPr>
          <w:trHeight w:val="337"/>
          <w:jc w:val="center"/>
        </w:trPr>
        <w:tc>
          <w:tcPr>
            <w:cnfStyle w:val="001000000000" w:firstRow="0" w:lastRow="0" w:firstColumn="1" w:lastColumn="0" w:oddVBand="0" w:evenVBand="0" w:oddHBand="0" w:evenHBand="0" w:firstRowFirstColumn="0" w:firstRowLastColumn="0" w:lastRowFirstColumn="0" w:lastRowLastColumn="0"/>
            <w:tcW w:w="1399" w:type="dxa"/>
            <w:vMerge w:val="restart"/>
            <w:hideMark/>
          </w:tcPr>
          <w:p w14:paraId="69CEF17E" w14:textId="77777777" w:rsidR="001F01CB" w:rsidRPr="00F46944" w:rsidRDefault="001F01CB" w:rsidP="001F01CB">
            <w:pPr>
              <w:spacing w:after="0"/>
              <w:rPr>
                <w:rFonts w:ascii="Arial" w:hAnsi="Arial" w:cs="Arial"/>
                <w:color w:val="000000"/>
                <w:sz w:val="16"/>
                <w:szCs w:val="16"/>
              </w:rPr>
            </w:pPr>
            <w:r w:rsidRPr="00F46944">
              <w:rPr>
                <w:rFonts w:ascii="Arial" w:hAnsi="Arial" w:cs="Arial"/>
                <w:color w:val="000000"/>
                <w:sz w:val="16"/>
                <w:szCs w:val="16"/>
              </w:rPr>
              <w:t>SEIFA decile</w:t>
            </w:r>
          </w:p>
        </w:tc>
        <w:tc>
          <w:tcPr>
            <w:tcW w:w="1314" w:type="dxa"/>
            <w:hideMark/>
          </w:tcPr>
          <w:p w14:paraId="43135C18" w14:textId="77777777" w:rsidR="001F01CB" w:rsidRPr="00F46944" w:rsidRDefault="001F01CB" w:rsidP="00852D08">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1 (most disadvantaged)</w:t>
            </w:r>
          </w:p>
        </w:tc>
        <w:tc>
          <w:tcPr>
            <w:tcW w:w="1741" w:type="dxa"/>
            <w:noWrap/>
            <w:hideMark/>
          </w:tcPr>
          <w:p w14:paraId="4530C363" w14:textId="77777777" w:rsidR="001F01CB" w:rsidRPr="00F46944" w:rsidRDefault="001F01CB" w:rsidP="001F01CB">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31.6</w:t>
            </w:r>
          </w:p>
        </w:tc>
        <w:tc>
          <w:tcPr>
            <w:tcW w:w="1742" w:type="dxa"/>
            <w:noWrap/>
            <w:hideMark/>
          </w:tcPr>
          <w:p w14:paraId="7AC47DCF" w14:textId="77777777" w:rsidR="001F01CB" w:rsidRPr="00F46944" w:rsidRDefault="001F01CB" w:rsidP="001F01CB">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25.9</w:t>
            </w:r>
          </w:p>
        </w:tc>
        <w:tc>
          <w:tcPr>
            <w:tcW w:w="1742" w:type="dxa"/>
            <w:noWrap/>
            <w:hideMark/>
          </w:tcPr>
          <w:p w14:paraId="5F1B6E06" w14:textId="77777777" w:rsidR="001F01CB" w:rsidRPr="00F46944" w:rsidRDefault="001F01CB" w:rsidP="001F01CB">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24.6</w:t>
            </w:r>
          </w:p>
        </w:tc>
      </w:tr>
      <w:tr w:rsidR="001F01CB" w:rsidRPr="00F46944" w14:paraId="28927518" w14:textId="77777777" w:rsidTr="0097547F">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1399" w:type="dxa"/>
            <w:vMerge/>
            <w:hideMark/>
          </w:tcPr>
          <w:p w14:paraId="7D5EF508" w14:textId="77777777" w:rsidR="001F01CB" w:rsidRPr="00F46944" w:rsidRDefault="001F01CB" w:rsidP="001F01CB">
            <w:pPr>
              <w:spacing w:after="0"/>
              <w:rPr>
                <w:rFonts w:ascii="Arial" w:hAnsi="Arial" w:cs="Arial"/>
                <w:color w:val="000000"/>
                <w:sz w:val="16"/>
                <w:szCs w:val="16"/>
              </w:rPr>
            </w:pPr>
          </w:p>
        </w:tc>
        <w:tc>
          <w:tcPr>
            <w:tcW w:w="1314" w:type="dxa"/>
            <w:hideMark/>
          </w:tcPr>
          <w:p w14:paraId="3EEB1E61" w14:textId="77777777" w:rsidR="001F01CB" w:rsidRPr="00F46944" w:rsidRDefault="001F01CB" w:rsidP="0076762C">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2</w:t>
            </w:r>
          </w:p>
        </w:tc>
        <w:tc>
          <w:tcPr>
            <w:tcW w:w="1741" w:type="dxa"/>
            <w:noWrap/>
            <w:hideMark/>
          </w:tcPr>
          <w:p w14:paraId="4662AF3C" w14:textId="77777777" w:rsidR="001F01CB" w:rsidRPr="00F46944" w:rsidRDefault="001F01CB" w:rsidP="001F01CB">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30.8</w:t>
            </w:r>
          </w:p>
        </w:tc>
        <w:tc>
          <w:tcPr>
            <w:tcW w:w="1742" w:type="dxa"/>
            <w:noWrap/>
            <w:hideMark/>
          </w:tcPr>
          <w:p w14:paraId="52E974C0" w14:textId="77777777" w:rsidR="001F01CB" w:rsidRPr="00F46944" w:rsidRDefault="001F01CB" w:rsidP="001F01CB">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25.1</w:t>
            </w:r>
          </w:p>
        </w:tc>
        <w:tc>
          <w:tcPr>
            <w:tcW w:w="1742" w:type="dxa"/>
            <w:noWrap/>
            <w:hideMark/>
          </w:tcPr>
          <w:p w14:paraId="6130CF6D" w14:textId="77777777" w:rsidR="001F01CB" w:rsidRPr="00F46944" w:rsidRDefault="001F01CB" w:rsidP="001F01CB">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24.1</w:t>
            </w:r>
          </w:p>
        </w:tc>
      </w:tr>
      <w:tr w:rsidR="001F01CB" w:rsidRPr="00F46944" w14:paraId="7074B085" w14:textId="77777777" w:rsidTr="0097547F">
        <w:trPr>
          <w:trHeight w:val="306"/>
          <w:jc w:val="center"/>
        </w:trPr>
        <w:tc>
          <w:tcPr>
            <w:cnfStyle w:val="001000000000" w:firstRow="0" w:lastRow="0" w:firstColumn="1" w:lastColumn="0" w:oddVBand="0" w:evenVBand="0" w:oddHBand="0" w:evenHBand="0" w:firstRowFirstColumn="0" w:firstRowLastColumn="0" w:lastRowFirstColumn="0" w:lastRowLastColumn="0"/>
            <w:tcW w:w="1399" w:type="dxa"/>
            <w:vMerge/>
            <w:hideMark/>
          </w:tcPr>
          <w:p w14:paraId="15A2F429" w14:textId="77777777" w:rsidR="001F01CB" w:rsidRPr="00F46944" w:rsidRDefault="001F01CB" w:rsidP="001F01CB">
            <w:pPr>
              <w:spacing w:after="0"/>
              <w:rPr>
                <w:rFonts w:ascii="Arial" w:hAnsi="Arial" w:cs="Arial"/>
                <w:color w:val="000000"/>
                <w:sz w:val="16"/>
                <w:szCs w:val="16"/>
              </w:rPr>
            </w:pPr>
          </w:p>
        </w:tc>
        <w:tc>
          <w:tcPr>
            <w:tcW w:w="1314" w:type="dxa"/>
            <w:hideMark/>
          </w:tcPr>
          <w:p w14:paraId="277D8597" w14:textId="77777777" w:rsidR="001F01CB" w:rsidRPr="00F46944" w:rsidRDefault="001F01CB" w:rsidP="0076762C">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3</w:t>
            </w:r>
          </w:p>
        </w:tc>
        <w:tc>
          <w:tcPr>
            <w:tcW w:w="1741" w:type="dxa"/>
            <w:noWrap/>
            <w:hideMark/>
          </w:tcPr>
          <w:p w14:paraId="30C26A66" w14:textId="77777777" w:rsidR="001F01CB" w:rsidRPr="00F46944" w:rsidRDefault="001F01CB" w:rsidP="001F01CB">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30.8</w:t>
            </w:r>
          </w:p>
        </w:tc>
        <w:tc>
          <w:tcPr>
            <w:tcW w:w="1742" w:type="dxa"/>
            <w:noWrap/>
            <w:hideMark/>
          </w:tcPr>
          <w:p w14:paraId="2D788BA5" w14:textId="77777777" w:rsidR="001F01CB" w:rsidRPr="00F46944" w:rsidRDefault="001F01CB" w:rsidP="001F01CB">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24.7</w:t>
            </w:r>
          </w:p>
        </w:tc>
        <w:tc>
          <w:tcPr>
            <w:tcW w:w="1742" w:type="dxa"/>
            <w:noWrap/>
            <w:hideMark/>
          </w:tcPr>
          <w:p w14:paraId="04920273" w14:textId="77777777" w:rsidR="001F01CB" w:rsidRPr="00F46944" w:rsidRDefault="001F01CB" w:rsidP="001F01CB">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24.7</w:t>
            </w:r>
          </w:p>
        </w:tc>
      </w:tr>
      <w:tr w:rsidR="001F01CB" w:rsidRPr="00F46944" w14:paraId="0665310E" w14:textId="77777777" w:rsidTr="0097547F">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1399" w:type="dxa"/>
            <w:vMerge/>
            <w:hideMark/>
          </w:tcPr>
          <w:p w14:paraId="47A4C7BE" w14:textId="77777777" w:rsidR="001F01CB" w:rsidRPr="00F46944" w:rsidRDefault="001F01CB" w:rsidP="001F01CB">
            <w:pPr>
              <w:spacing w:after="0"/>
              <w:rPr>
                <w:rFonts w:ascii="Arial" w:hAnsi="Arial" w:cs="Arial"/>
                <w:color w:val="000000"/>
                <w:sz w:val="16"/>
                <w:szCs w:val="16"/>
              </w:rPr>
            </w:pPr>
          </w:p>
        </w:tc>
        <w:tc>
          <w:tcPr>
            <w:tcW w:w="1314" w:type="dxa"/>
            <w:hideMark/>
          </w:tcPr>
          <w:p w14:paraId="178F8D62" w14:textId="77777777" w:rsidR="001F01CB" w:rsidRPr="00F46944" w:rsidRDefault="001F01CB" w:rsidP="0076762C">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4</w:t>
            </w:r>
          </w:p>
        </w:tc>
        <w:tc>
          <w:tcPr>
            <w:tcW w:w="1741" w:type="dxa"/>
            <w:noWrap/>
            <w:hideMark/>
          </w:tcPr>
          <w:p w14:paraId="22E20C63" w14:textId="77777777" w:rsidR="001F01CB" w:rsidRPr="00F46944" w:rsidRDefault="001F01CB" w:rsidP="001F01CB">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30.7</w:t>
            </w:r>
          </w:p>
        </w:tc>
        <w:tc>
          <w:tcPr>
            <w:tcW w:w="1742" w:type="dxa"/>
            <w:noWrap/>
            <w:hideMark/>
          </w:tcPr>
          <w:p w14:paraId="5501E5D0" w14:textId="77777777" w:rsidR="001F01CB" w:rsidRPr="00F46944" w:rsidRDefault="001F01CB" w:rsidP="001F01CB">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24.9</w:t>
            </w:r>
          </w:p>
        </w:tc>
        <w:tc>
          <w:tcPr>
            <w:tcW w:w="1742" w:type="dxa"/>
            <w:noWrap/>
            <w:hideMark/>
          </w:tcPr>
          <w:p w14:paraId="44DA5113" w14:textId="77777777" w:rsidR="001F01CB" w:rsidRPr="00F46944" w:rsidRDefault="001F01CB" w:rsidP="001F01CB">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23.8</w:t>
            </w:r>
          </w:p>
        </w:tc>
      </w:tr>
      <w:tr w:rsidR="001F01CB" w:rsidRPr="00F46944" w14:paraId="0BBE62CD" w14:textId="77777777" w:rsidTr="0097547F">
        <w:trPr>
          <w:trHeight w:val="306"/>
          <w:jc w:val="center"/>
        </w:trPr>
        <w:tc>
          <w:tcPr>
            <w:cnfStyle w:val="001000000000" w:firstRow="0" w:lastRow="0" w:firstColumn="1" w:lastColumn="0" w:oddVBand="0" w:evenVBand="0" w:oddHBand="0" w:evenHBand="0" w:firstRowFirstColumn="0" w:firstRowLastColumn="0" w:lastRowFirstColumn="0" w:lastRowLastColumn="0"/>
            <w:tcW w:w="1399" w:type="dxa"/>
            <w:vMerge/>
            <w:hideMark/>
          </w:tcPr>
          <w:p w14:paraId="73178FD1" w14:textId="77777777" w:rsidR="001F01CB" w:rsidRPr="00F46944" w:rsidRDefault="001F01CB" w:rsidP="001F01CB">
            <w:pPr>
              <w:spacing w:after="0"/>
              <w:rPr>
                <w:rFonts w:ascii="Arial" w:hAnsi="Arial" w:cs="Arial"/>
                <w:color w:val="000000"/>
                <w:sz w:val="16"/>
                <w:szCs w:val="16"/>
              </w:rPr>
            </w:pPr>
          </w:p>
        </w:tc>
        <w:tc>
          <w:tcPr>
            <w:tcW w:w="1314" w:type="dxa"/>
            <w:hideMark/>
          </w:tcPr>
          <w:p w14:paraId="69F54BCB" w14:textId="77777777" w:rsidR="001F01CB" w:rsidRPr="00F46944" w:rsidRDefault="001F01CB" w:rsidP="0076762C">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5</w:t>
            </w:r>
          </w:p>
        </w:tc>
        <w:tc>
          <w:tcPr>
            <w:tcW w:w="1741" w:type="dxa"/>
            <w:noWrap/>
            <w:hideMark/>
          </w:tcPr>
          <w:p w14:paraId="31B43F4B" w14:textId="77777777" w:rsidR="001F01CB" w:rsidRPr="00F46944" w:rsidRDefault="001F01CB" w:rsidP="001F01CB">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31.5</w:t>
            </w:r>
          </w:p>
        </w:tc>
        <w:tc>
          <w:tcPr>
            <w:tcW w:w="1742" w:type="dxa"/>
            <w:noWrap/>
            <w:hideMark/>
          </w:tcPr>
          <w:p w14:paraId="6AECFC7B" w14:textId="7B6824FB" w:rsidR="001F01CB" w:rsidRPr="00F46944" w:rsidRDefault="001F01CB" w:rsidP="001F01CB">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25</w:t>
            </w:r>
            <w:r w:rsidR="009B02AE">
              <w:rPr>
                <w:rFonts w:ascii="Arial" w:hAnsi="Arial" w:cs="Arial"/>
                <w:color w:val="000000"/>
                <w:sz w:val="16"/>
                <w:szCs w:val="16"/>
              </w:rPr>
              <w:t>.0</w:t>
            </w:r>
          </w:p>
        </w:tc>
        <w:tc>
          <w:tcPr>
            <w:tcW w:w="1742" w:type="dxa"/>
            <w:noWrap/>
            <w:hideMark/>
          </w:tcPr>
          <w:p w14:paraId="209EEB87" w14:textId="77777777" w:rsidR="001F01CB" w:rsidRPr="00F46944" w:rsidRDefault="001F01CB" w:rsidP="001F01CB">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23.6</w:t>
            </w:r>
          </w:p>
        </w:tc>
      </w:tr>
      <w:tr w:rsidR="001F01CB" w:rsidRPr="00F46944" w14:paraId="776DABA6" w14:textId="77777777" w:rsidTr="0097547F">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1399" w:type="dxa"/>
            <w:vMerge/>
            <w:hideMark/>
          </w:tcPr>
          <w:p w14:paraId="21E11443" w14:textId="77777777" w:rsidR="001F01CB" w:rsidRPr="00F46944" w:rsidRDefault="001F01CB" w:rsidP="001F01CB">
            <w:pPr>
              <w:spacing w:after="0"/>
              <w:rPr>
                <w:rFonts w:ascii="Arial" w:hAnsi="Arial" w:cs="Arial"/>
                <w:color w:val="000000"/>
                <w:sz w:val="16"/>
                <w:szCs w:val="16"/>
              </w:rPr>
            </w:pPr>
          </w:p>
        </w:tc>
        <w:tc>
          <w:tcPr>
            <w:tcW w:w="1314" w:type="dxa"/>
            <w:hideMark/>
          </w:tcPr>
          <w:p w14:paraId="52D3143F" w14:textId="77777777" w:rsidR="001F01CB" w:rsidRPr="00F46944" w:rsidRDefault="001F01CB" w:rsidP="0076762C">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6</w:t>
            </w:r>
          </w:p>
        </w:tc>
        <w:tc>
          <w:tcPr>
            <w:tcW w:w="1741" w:type="dxa"/>
            <w:noWrap/>
            <w:hideMark/>
          </w:tcPr>
          <w:p w14:paraId="444F9E90" w14:textId="77777777" w:rsidR="001F01CB" w:rsidRPr="00F46944" w:rsidRDefault="001F01CB" w:rsidP="001F01CB">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31.9</w:t>
            </w:r>
          </w:p>
        </w:tc>
        <w:tc>
          <w:tcPr>
            <w:tcW w:w="1742" w:type="dxa"/>
            <w:noWrap/>
            <w:hideMark/>
          </w:tcPr>
          <w:p w14:paraId="3D82D61A" w14:textId="77777777" w:rsidR="001F01CB" w:rsidRPr="00F46944" w:rsidRDefault="001F01CB" w:rsidP="001F01CB">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25.2</w:t>
            </w:r>
          </w:p>
        </w:tc>
        <w:tc>
          <w:tcPr>
            <w:tcW w:w="1742" w:type="dxa"/>
            <w:noWrap/>
            <w:hideMark/>
          </w:tcPr>
          <w:p w14:paraId="5F5C6A7A" w14:textId="77777777" w:rsidR="001F01CB" w:rsidRPr="00F46944" w:rsidRDefault="001F01CB" w:rsidP="001F01CB">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24.2</w:t>
            </w:r>
          </w:p>
        </w:tc>
      </w:tr>
      <w:tr w:rsidR="001F01CB" w:rsidRPr="00F46944" w14:paraId="1035DE4E" w14:textId="77777777" w:rsidTr="0097547F">
        <w:trPr>
          <w:trHeight w:val="306"/>
          <w:jc w:val="center"/>
        </w:trPr>
        <w:tc>
          <w:tcPr>
            <w:cnfStyle w:val="001000000000" w:firstRow="0" w:lastRow="0" w:firstColumn="1" w:lastColumn="0" w:oddVBand="0" w:evenVBand="0" w:oddHBand="0" w:evenHBand="0" w:firstRowFirstColumn="0" w:firstRowLastColumn="0" w:lastRowFirstColumn="0" w:lastRowLastColumn="0"/>
            <w:tcW w:w="1399" w:type="dxa"/>
            <w:vMerge/>
            <w:hideMark/>
          </w:tcPr>
          <w:p w14:paraId="455EFDA2" w14:textId="77777777" w:rsidR="001F01CB" w:rsidRPr="00F46944" w:rsidRDefault="001F01CB" w:rsidP="001F01CB">
            <w:pPr>
              <w:spacing w:after="0"/>
              <w:rPr>
                <w:rFonts w:ascii="Arial" w:hAnsi="Arial" w:cs="Arial"/>
                <w:color w:val="000000"/>
                <w:sz w:val="16"/>
                <w:szCs w:val="16"/>
              </w:rPr>
            </w:pPr>
          </w:p>
        </w:tc>
        <w:tc>
          <w:tcPr>
            <w:tcW w:w="1314" w:type="dxa"/>
            <w:hideMark/>
          </w:tcPr>
          <w:p w14:paraId="68351347" w14:textId="77777777" w:rsidR="001F01CB" w:rsidRPr="00F46944" w:rsidRDefault="001F01CB" w:rsidP="0076762C">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7</w:t>
            </w:r>
          </w:p>
        </w:tc>
        <w:tc>
          <w:tcPr>
            <w:tcW w:w="1741" w:type="dxa"/>
            <w:noWrap/>
            <w:hideMark/>
          </w:tcPr>
          <w:p w14:paraId="3DD3CE03" w14:textId="6E0F16E6" w:rsidR="001F01CB" w:rsidRPr="00F46944" w:rsidRDefault="001F01CB" w:rsidP="001F01CB">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32</w:t>
            </w:r>
            <w:r w:rsidR="009B02AE">
              <w:rPr>
                <w:rFonts w:ascii="Arial" w:hAnsi="Arial" w:cs="Arial"/>
                <w:color w:val="000000"/>
                <w:sz w:val="16"/>
                <w:szCs w:val="16"/>
              </w:rPr>
              <w:t>.0</w:t>
            </w:r>
          </w:p>
        </w:tc>
        <w:tc>
          <w:tcPr>
            <w:tcW w:w="1742" w:type="dxa"/>
            <w:noWrap/>
            <w:hideMark/>
          </w:tcPr>
          <w:p w14:paraId="01931E70" w14:textId="77777777" w:rsidR="001F01CB" w:rsidRPr="00F46944" w:rsidRDefault="001F01CB" w:rsidP="001F01CB">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25.2</w:t>
            </w:r>
          </w:p>
        </w:tc>
        <w:tc>
          <w:tcPr>
            <w:tcW w:w="1742" w:type="dxa"/>
            <w:noWrap/>
            <w:hideMark/>
          </w:tcPr>
          <w:p w14:paraId="04035DE5" w14:textId="77777777" w:rsidR="001F01CB" w:rsidRPr="00F46944" w:rsidRDefault="001F01CB" w:rsidP="001F01CB">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23.8</w:t>
            </w:r>
          </w:p>
        </w:tc>
      </w:tr>
      <w:tr w:rsidR="001F01CB" w:rsidRPr="00F46944" w14:paraId="5A6BBDB5" w14:textId="77777777" w:rsidTr="0097547F">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1399" w:type="dxa"/>
            <w:vMerge/>
            <w:hideMark/>
          </w:tcPr>
          <w:p w14:paraId="7D9E1993" w14:textId="77777777" w:rsidR="001F01CB" w:rsidRPr="00F46944" w:rsidRDefault="001F01CB" w:rsidP="001F01CB">
            <w:pPr>
              <w:spacing w:after="0"/>
              <w:rPr>
                <w:rFonts w:ascii="Arial" w:hAnsi="Arial" w:cs="Arial"/>
                <w:color w:val="000000"/>
                <w:sz w:val="16"/>
                <w:szCs w:val="16"/>
              </w:rPr>
            </w:pPr>
          </w:p>
        </w:tc>
        <w:tc>
          <w:tcPr>
            <w:tcW w:w="1314" w:type="dxa"/>
            <w:hideMark/>
          </w:tcPr>
          <w:p w14:paraId="35482906" w14:textId="77777777" w:rsidR="001F01CB" w:rsidRPr="00F46944" w:rsidRDefault="001F01CB" w:rsidP="0076762C">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8</w:t>
            </w:r>
          </w:p>
        </w:tc>
        <w:tc>
          <w:tcPr>
            <w:tcW w:w="1741" w:type="dxa"/>
            <w:noWrap/>
            <w:hideMark/>
          </w:tcPr>
          <w:p w14:paraId="2CEA6AB6" w14:textId="77777777" w:rsidR="001F01CB" w:rsidRPr="00F46944" w:rsidRDefault="001F01CB" w:rsidP="001F01CB">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31.8</w:t>
            </w:r>
          </w:p>
        </w:tc>
        <w:tc>
          <w:tcPr>
            <w:tcW w:w="1742" w:type="dxa"/>
            <w:noWrap/>
            <w:hideMark/>
          </w:tcPr>
          <w:p w14:paraId="380C8BB4" w14:textId="77777777" w:rsidR="001F01CB" w:rsidRPr="00F46944" w:rsidRDefault="001F01CB" w:rsidP="001F01CB">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25.2</w:t>
            </w:r>
          </w:p>
        </w:tc>
        <w:tc>
          <w:tcPr>
            <w:tcW w:w="1742" w:type="dxa"/>
            <w:noWrap/>
            <w:hideMark/>
          </w:tcPr>
          <w:p w14:paraId="54584C16" w14:textId="73416534" w:rsidR="001F01CB" w:rsidRPr="00F46944" w:rsidRDefault="001F01CB" w:rsidP="001F01CB">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24</w:t>
            </w:r>
            <w:r w:rsidR="009B02AE">
              <w:rPr>
                <w:rFonts w:ascii="Arial" w:hAnsi="Arial" w:cs="Arial"/>
                <w:color w:val="000000"/>
                <w:sz w:val="16"/>
                <w:szCs w:val="16"/>
              </w:rPr>
              <w:t>.0</w:t>
            </w:r>
          </w:p>
        </w:tc>
      </w:tr>
      <w:tr w:rsidR="001F01CB" w:rsidRPr="00F46944" w14:paraId="1D6D3578" w14:textId="77777777" w:rsidTr="0097547F">
        <w:trPr>
          <w:trHeight w:val="306"/>
          <w:jc w:val="center"/>
        </w:trPr>
        <w:tc>
          <w:tcPr>
            <w:cnfStyle w:val="001000000000" w:firstRow="0" w:lastRow="0" w:firstColumn="1" w:lastColumn="0" w:oddVBand="0" w:evenVBand="0" w:oddHBand="0" w:evenHBand="0" w:firstRowFirstColumn="0" w:firstRowLastColumn="0" w:lastRowFirstColumn="0" w:lastRowLastColumn="0"/>
            <w:tcW w:w="1399" w:type="dxa"/>
            <w:vMerge/>
            <w:hideMark/>
          </w:tcPr>
          <w:p w14:paraId="7259C129" w14:textId="77777777" w:rsidR="001F01CB" w:rsidRPr="00F46944" w:rsidRDefault="001F01CB" w:rsidP="001F01CB">
            <w:pPr>
              <w:spacing w:after="0"/>
              <w:rPr>
                <w:rFonts w:ascii="Arial" w:hAnsi="Arial" w:cs="Arial"/>
                <w:color w:val="000000"/>
                <w:sz w:val="16"/>
                <w:szCs w:val="16"/>
              </w:rPr>
            </w:pPr>
          </w:p>
        </w:tc>
        <w:tc>
          <w:tcPr>
            <w:tcW w:w="1314" w:type="dxa"/>
            <w:hideMark/>
          </w:tcPr>
          <w:p w14:paraId="78543E1F" w14:textId="77777777" w:rsidR="001F01CB" w:rsidRPr="00F46944" w:rsidRDefault="001F01CB" w:rsidP="0076762C">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9</w:t>
            </w:r>
          </w:p>
        </w:tc>
        <w:tc>
          <w:tcPr>
            <w:tcW w:w="1741" w:type="dxa"/>
            <w:noWrap/>
            <w:hideMark/>
          </w:tcPr>
          <w:p w14:paraId="57D426FE" w14:textId="77777777" w:rsidR="001F01CB" w:rsidRPr="00F46944" w:rsidRDefault="001F01CB" w:rsidP="001F01CB">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31.1</w:t>
            </w:r>
          </w:p>
        </w:tc>
        <w:tc>
          <w:tcPr>
            <w:tcW w:w="1742" w:type="dxa"/>
            <w:noWrap/>
            <w:hideMark/>
          </w:tcPr>
          <w:p w14:paraId="00E8C800" w14:textId="77777777" w:rsidR="001F01CB" w:rsidRPr="00F46944" w:rsidRDefault="001F01CB" w:rsidP="001F01CB">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23.8</w:t>
            </w:r>
          </w:p>
        </w:tc>
        <w:tc>
          <w:tcPr>
            <w:tcW w:w="1742" w:type="dxa"/>
            <w:noWrap/>
            <w:hideMark/>
          </w:tcPr>
          <w:p w14:paraId="7D4D66C9" w14:textId="77777777" w:rsidR="001F01CB" w:rsidRPr="00F46944" w:rsidRDefault="001F01CB" w:rsidP="001F01CB">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22.6</w:t>
            </w:r>
          </w:p>
        </w:tc>
      </w:tr>
      <w:tr w:rsidR="001F01CB" w:rsidRPr="00F46944" w14:paraId="0E367593" w14:textId="77777777" w:rsidTr="0097547F">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399" w:type="dxa"/>
            <w:vMerge/>
            <w:hideMark/>
          </w:tcPr>
          <w:p w14:paraId="01A8F2C5" w14:textId="77777777" w:rsidR="001F01CB" w:rsidRPr="00F46944" w:rsidRDefault="001F01CB" w:rsidP="001F01CB">
            <w:pPr>
              <w:spacing w:after="0"/>
              <w:rPr>
                <w:rFonts w:ascii="Arial" w:hAnsi="Arial" w:cs="Arial"/>
                <w:color w:val="000000"/>
                <w:sz w:val="16"/>
                <w:szCs w:val="16"/>
              </w:rPr>
            </w:pPr>
          </w:p>
        </w:tc>
        <w:tc>
          <w:tcPr>
            <w:tcW w:w="1314" w:type="dxa"/>
            <w:hideMark/>
          </w:tcPr>
          <w:p w14:paraId="49762F8E" w14:textId="77777777" w:rsidR="001F01CB" w:rsidRPr="00F46944" w:rsidRDefault="001F01CB" w:rsidP="00852D08">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10 (least disadvantaged)</w:t>
            </w:r>
          </w:p>
        </w:tc>
        <w:tc>
          <w:tcPr>
            <w:tcW w:w="1741" w:type="dxa"/>
            <w:noWrap/>
            <w:hideMark/>
          </w:tcPr>
          <w:p w14:paraId="1F6DA0E4" w14:textId="77777777" w:rsidR="001F01CB" w:rsidRPr="00F46944" w:rsidRDefault="001F01CB" w:rsidP="001F01CB">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31.6</w:t>
            </w:r>
          </w:p>
        </w:tc>
        <w:tc>
          <w:tcPr>
            <w:tcW w:w="1742" w:type="dxa"/>
            <w:noWrap/>
            <w:hideMark/>
          </w:tcPr>
          <w:p w14:paraId="4BC21F92" w14:textId="77777777" w:rsidR="001F01CB" w:rsidRPr="00F46944" w:rsidRDefault="001F01CB" w:rsidP="001F01CB">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23.3</w:t>
            </w:r>
          </w:p>
        </w:tc>
        <w:tc>
          <w:tcPr>
            <w:tcW w:w="1742" w:type="dxa"/>
            <w:noWrap/>
            <w:hideMark/>
          </w:tcPr>
          <w:p w14:paraId="71420E96" w14:textId="77777777" w:rsidR="001F01CB" w:rsidRPr="00F46944" w:rsidRDefault="001F01CB" w:rsidP="001F01CB">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21.3</w:t>
            </w:r>
          </w:p>
        </w:tc>
      </w:tr>
      <w:tr w:rsidR="001F01CB" w:rsidRPr="00F46944" w14:paraId="0A4D185F" w14:textId="77777777" w:rsidTr="0097547F">
        <w:trPr>
          <w:trHeight w:val="306"/>
          <w:jc w:val="center"/>
        </w:trPr>
        <w:tc>
          <w:tcPr>
            <w:cnfStyle w:val="001000000000" w:firstRow="0" w:lastRow="0" w:firstColumn="1" w:lastColumn="0" w:oddVBand="0" w:evenVBand="0" w:oddHBand="0" w:evenHBand="0" w:firstRowFirstColumn="0" w:firstRowLastColumn="0" w:lastRowFirstColumn="0" w:lastRowLastColumn="0"/>
            <w:tcW w:w="1399" w:type="dxa"/>
            <w:vMerge/>
            <w:hideMark/>
          </w:tcPr>
          <w:p w14:paraId="5A493D3A" w14:textId="77777777" w:rsidR="001F01CB" w:rsidRPr="00F46944" w:rsidRDefault="001F01CB" w:rsidP="001F01CB">
            <w:pPr>
              <w:spacing w:after="0"/>
              <w:rPr>
                <w:rFonts w:ascii="Arial" w:hAnsi="Arial" w:cs="Arial"/>
                <w:color w:val="000000"/>
                <w:sz w:val="16"/>
                <w:szCs w:val="16"/>
              </w:rPr>
            </w:pPr>
          </w:p>
        </w:tc>
        <w:tc>
          <w:tcPr>
            <w:tcW w:w="1314" w:type="dxa"/>
            <w:hideMark/>
          </w:tcPr>
          <w:p w14:paraId="46BEB615" w14:textId="77777777" w:rsidR="001F01CB" w:rsidRPr="00F46944" w:rsidRDefault="001F01CB" w:rsidP="001F01CB">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Unknown/other</w:t>
            </w:r>
          </w:p>
        </w:tc>
        <w:tc>
          <w:tcPr>
            <w:tcW w:w="1741" w:type="dxa"/>
            <w:noWrap/>
            <w:hideMark/>
          </w:tcPr>
          <w:p w14:paraId="4924DD08" w14:textId="77777777" w:rsidR="001F01CB" w:rsidRPr="00F46944" w:rsidRDefault="001F01CB" w:rsidP="001F01CB">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22.7</w:t>
            </w:r>
          </w:p>
        </w:tc>
        <w:tc>
          <w:tcPr>
            <w:tcW w:w="1742" w:type="dxa"/>
            <w:noWrap/>
            <w:hideMark/>
          </w:tcPr>
          <w:p w14:paraId="264054B3" w14:textId="77777777" w:rsidR="001F01CB" w:rsidRPr="00F46944" w:rsidRDefault="001F01CB" w:rsidP="001F01CB">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22.8</w:t>
            </w:r>
          </w:p>
        </w:tc>
        <w:tc>
          <w:tcPr>
            <w:tcW w:w="1742" w:type="dxa"/>
            <w:noWrap/>
            <w:hideMark/>
          </w:tcPr>
          <w:p w14:paraId="0CFE13DF" w14:textId="77777777" w:rsidR="001F01CB" w:rsidRPr="00F46944" w:rsidRDefault="001F01CB" w:rsidP="001F01CB">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F46944">
              <w:rPr>
                <w:rFonts w:ascii="Arial" w:hAnsi="Arial" w:cs="Arial"/>
                <w:color w:val="000000"/>
                <w:sz w:val="16"/>
                <w:szCs w:val="16"/>
              </w:rPr>
              <w:t>16.8</w:t>
            </w:r>
          </w:p>
        </w:tc>
      </w:tr>
    </w:tbl>
    <w:p w14:paraId="5FEE6177" w14:textId="77777777" w:rsidR="0093641B" w:rsidRPr="00F46944" w:rsidRDefault="0093641B" w:rsidP="00160830">
      <w:pPr>
        <w:spacing w:after="0"/>
        <w:rPr>
          <w:sz w:val="16"/>
          <w:szCs w:val="16"/>
        </w:rPr>
      </w:pPr>
      <w:r w:rsidRPr="00F46944">
        <w:rPr>
          <w:sz w:val="16"/>
          <w:szCs w:val="16"/>
        </w:rPr>
        <w:t xml:space="preserve">SEIFA = Socio-Economic Indexes for Areas </w:t>
      </w:r>
    </w:p>
    <w:p w14:paraId="571DF223" w14:textId="674A8B23" w:rsidR="0093641B" w:rsidRPr="00F46944" w:rsidRDefault="0093641B" w:rsidP="0076762C">
      <w:pPr>
        <w:tabs>
          <w:tab w:val="left" w:pos="142"/>
        </w:tabs>
        <w:spacing w:after="0"/>
        <w:rPr>
          <w:sz w:val="16"/>
          <w:szCs w:val="16"/>
        </w:rPr>
      </w:pPr>
      <w:r w:rsidRPr="00F46944">
        <w:rPr>
          <w:sz w:val="16"/>
          <w:szCs w:val="16"/>
        </w:rPr>
        <w:t>*</w:t>
      </w:r>
      <w:r w:rsidR="00112691">
        <w:rPr>
          <w:sz w:val="16"/>
          <w:szCs w:val="16"/>
        </w:rPr>
        <w:tab/>
      </w:r>
      <w:proofErr w:type="spellStart"/>
      <w:r w:rsidR="00C611E0" w:rsidRPr="00F46944">
        <w:rPr>
          <w:sz w:val="16"/>
          <w:szCs w:val="16"/>
        </w:rPr>
        <w:t>Anti</w:t>
      </w:r>
      <w:r w:rsidR="00870DCF">
        <w:rPr>
          <w:sz w:val="16"/>
          <w:szCs w:val="16"/>
        </w:rPr>
        <w:t>bacterials</w:t>
      </w:r>
      <w:proofErr w:type="spellEnd"/>
      <w:r w:rsidR="00C611E0" w:rsidRPr="00F46944">
        <w:rPr>
          <w:sz w:val="16"/>
          <w:szCs w:val="16"/>
        </w:rPr>
        <w:t xml:space="preserve"> for systemic use (</w:t>
      </w:r>
      <w:r w:rsidR="00D6375D">
        <w:rPr>
          <w:sz w:val="16"/>
          <w:szCs w:val="16"/>
        </w:rPr>
        <w:t xml:space="preserve">ATC code </w:t>
      </w:r>
      <w:r w:rsidR="00C611E0" w:rsidRPr="00F46944">
        <w:rPr>
          <w:sz w:val="16"/>
          <w:szCs w:val="16"/>
        </w:rPr>
        <w:t>J01)</w:t>
      </w:r>
      <w:r w:rsidRPr="00F46944">
        <w:rPr>
          <w:sz w:val="16"/>
          <w:szCs w:val="16"/>
        </w:rPr>
        <w:t xml:space="preserve"> </w:t>
      </w:r>
    </w:p>
    <w:p w14:paraId="32DF15BD" w14:textId="77777777" w:rsidR="0093641B" w:rsidRPr="00F46944" w:rsidRDefault="0093641B" w:rsidP="00160830">
      <w:pPr>
        <w:spacing w:after="0"/>
        <w:rPr>
          <w:sz w:val="16"/>
          <w:szCs w:val="16"/>
        </w:rPr>
      </w:pPr>
      <w:r w:rsidRPr="00F46944">
        <w:rPr>
          <w:sz w:val="16"/>
          <w:szCs w:val="16"/>
        </w:rPr>
        <w:t xml:space="preserve">Notes: </w:t>
      </w:r>
    </w:p>
    <w:p w14:paraId="3351B227" w14:textId="31C8B1EE" w:rsidR="0093641B" w:rsidRPr="0076762C" w:rsidRDefault="0093641B" w:rsidP="0076762C">
      <w:pPr>
        <w:pStyle w:val="ListParagraph"/>
        <w:numPr>
          <w:ilvl w:val="3"/>
          <w:numId w:val="12"/>
        </w:numPr>
        <w:spacing w:after="0"/>
        <w:ind w:left="360"/>
        <w:rPr>
          <w:sz w:val="16"/>
          <w:szCs w:val="16"/>
        </w:rPr>
      </w:pPr>
      <w:r w:rsidRPr="0076762C">
        <w:rPr>
          <w:sz w:val="16"/>
          <w:szCs w:val="16"/>
        </w:rPr>
        <w:t xml:space="preserve">The number of </w:t>
      </w:r>
      <w:proofErr w:type="spellStart"/>
      <w:r w:rsidRPr="0076762C">
        <w:rPr>
          <w:sz w:val="16"/>
          <w:szCs w:val="16"/>
        </w:rPr>
        <w:t>MedicineInsight</w:t>
      </w:r>
      <w:proofErr w:type="spellEnd"/>
      <w:r w:rsidRPr="0076762C">
        <w:rPr>
          <w:sz w:val="16"/>
          <w:szCs w:val="16"/>
        </w:rPr>
        <w:t xml:space="preserve"> practices was 498 in 2017, 502 in 2018, 502 in 2019, 503 in 2020 and 504 in 2021. </w:t>
      </w:r>
    </w:p>
    <w:p w14:paraId="602C4860" w14:textId="7B5EC6BB" w:rsidR="0093641B" w:rsidRPr="0076762C" w:rsidRDefault="0093641B" w:rsidP="0076762C">
      <w:pPr>
        <w:pStyle w:val="ListParagraph"/>
        <w:numPr>
          <w:ilvl w:val="3"/>
          <w:numId w:val="12"/>
        </w:numPr>
        <w:spacing w:after="0"/>
        <w:ind w:left="360"/>
        <w:rPr>
          <w:sz w:val="16"/>
          <w:szCs w:val="16"/>
        </w:rPr>
      </w:pPr>
      <w:r w:rsidRPr="0076762C">
        <w:rPr>
          <w:sz w:val="16"/>
          <w:szCs w:val="16"/>
        </w:rPr>
        <w:t>The number of patients in the denominator may change each year.</w:t>
      </w:r>
    </w:p>
    <w:p w14:paraId="1DE16C49" w14:textId="7DFAFAE0" w:rsidR="0093641B" w:rsidRPr="0076762C" w:rsidRDefault="0093641B" w:rsidP="0076762C">
      <w:pPr>
        <w:pStyle w:val="ListParagraph"/>
        <w:numPr>
          <w:ilvl w:val="3"/>
          <w:numId w:val="12"/>
        </w:numPr>
        <w:spacing w:after="0"/>
        <w:ind w:left="360"/>
        <w:rPr>
          <w:sz w:val="16"/>
          <w:szCs w:val="16"/>
        </w:rPr>
      </w:pPr>
      <w:r w:rsidRPr="0076762C">
        <w:rPr>
          <w:sz w:val="16"/>
          <w:szCs w:val="16"/>
        </w:rPr>
        <w:t xml:space="preserve">Differences across states and territories should be interpreted with caution because of non-random sampling and varying levels of participation in the </w:t>
      </w:r>
      <w:proofErr w:type="spellStart"/>
      <w:r w:rsidRPr="0076762C">
        <w:rPr>
          <w:sz w:val="16"/>
          <w:szCs w:val="16"/>
        </w:rPr>
        <w:t>MedicineInsight</w:t>
      </w:r>
      <w:proofErr w:type="spellEnd"/>
      <w:r w:rsidRPr="0076762C">
        <w:rPr>
          <w:sz w:val="16"/>
          <w:szCs w:val="16"/>
        </w:rPr>
        <w:t xml:space="preserve"> program.</w:t>
      </w:r>
    </w:p>
    <w:p w14:paraId="6C788283" w14:textId="01878773" w:rsidR="0093641B" w:rsidRPr="00F46944" w:rsidRDefault="0068313A" w:rsidP="00160830">
      <w:pPr>
        <w:rPr>
          <w:sz w:val="16"/>
          <w:szCs w:val="16"/>
        </w:rPr>
      </w:pPr>
      <w:r w:rsidRPr="00F46944">
        <w:rPr>
          <w:sz w:val="16"/>
          <w:szCs w:val="16"/>
        </w:rPr>
        <w:t>Source: NPS MedicineWise</w:t>
      </w:r>
      <w:r w:rsidRPr="00F46944">
        <w:rPr>
          <w:sz w:val="16"/>
          <w:szCs w:val="16"/>
        </w:rPr>
        <w:fldChar w:fldCharType="begin"/>
      </w:r>
      <w:r w:rsidR="00DB0DCB">
        <w:rPr>
          <w:sz w:val="16"/>
          <w:szCs w:val="16"/>
        </w:rPr>
        <w:instrText xml:space="preserve"> ADDIN EN.CITE &lt;EndNote&gt;&lt;Cite&gt;&lt;Author&gt;NPS MedicineWise&lt;/Author&gt;&lt;RecNum&gt;6&lt;/RecNum&gt;&lt;DisplayText&gt;&lt;style face="superscript"&gt;6&lt;/style&gt;&lt;/DisplayText&gt;&lt;record&gt;&lt;rec-number&gt;6&lt;/rec-number&gt;&lt;foreign-keys&gt;&lt;key app="EN" db-id="es9dr99ws90stoe5x2rp505nazvswdzppxa5" timestamp="1670810539"&gt;6&lt;/key&gt;&lt;/foreign-keys&gt;&lt;ref-type name="Unpublished Work"&gt;34&lt;/ref-type&gt;&lt;contributors&gt;&lt;authors&gt;&lt;author&gt;NPS MedicineWise,&lt;/author&gt;&lt;/authors&gt;&lt;/contributors&gt;&lt;titles&gt;&lt;title&gt;MedicineInsight data analyses for AURA Community report, May 2022 (unpublished)&lt;/title&gt;&lt;/titles&gt;&lt;dates&gt;&lt;/dates&gt;&lt;publisher&gt;NPS MedicineWise&lt;/publisher&gt;&lt;urls&gt;&lt;/urls&gt;&lt;/record&gt;&lt;/Cite&gt;&lt;/EndNote&gt;</w:instrText>
      </w:r>
      <w:r w:rsidRPr="00F46944">
        <w:rPr>
          <w:sz w:val="16"/>
          <w:szCs w:val="16"/>
        </w:rPr>
        <w:fldChar w:fldCharType="separate"/>
      </w:r>
      <w:r w:rsidR="001C0A42" w:rsidRPr="001C0A42">
        <w:rPr>
          <w:noProof/>
          <w:sz w:val="16"/>
          <w:szCs w:val="16"/>
          <w:vertAlign w:val="superscript"/>
        </w:rPr>
        <w:t>6</w:t>
      </w:r>
      <w:r w:rsidRPr="00F46944">
        <w:rPr>
          <w:sz w:val="16"/>
          <w:szCs w:val="16"/>
        </w:rPr>
        <w:fldChar w:fldCharType="end"/>
      </w:r>
    </w:p>
    <w:p w14:paraId="6480E678" w14:textId="04F7BB54" w:rsidR="00BA11C4" w:rsidRPr="00F46944" w:rsidRDefault="0093641B" w:rsidP="00BA11C4">
      <w:pPr>
        <w:keepNext/>
        <w:spacing w:before="240" w:after="60"/>
        <w:outlineLvl w:val="3"/>
        <w:rPr>
          <w:rFonts w:asciiTheme="majorHAnsi" w:hAnsiTheme="majorHAnsi" w:cstheme="majorHAnsi"/>
          <w:b/>
          <w:bCs/>
          <w:color w:val="404040" w:themeColor="text1" w:themeTint="BF"/>
          <w:sz w:val="26"/>
          <w:szCs w:val="26"/>
        </w:rPr>
      </w:pPr>
      <w:bookmarkStart w:id="94" w:name="_Hlk102555459"/>
      <w:r w:rsidRPr="00F46944">
        <w:rPr>
          <w:rFonts w:asciiTheme="majorHAnsi" w:hAnsiTheme="majorHAnsi" w:cstheme="majorHAnsi"/>
          <w:b/>
          <w:bCs/>
          <w:color w:val="404040" w:themeColor="text1" w:themeTint="BF"/>
          <w:sz w:val="26"/>
          <w:szCs w:val="26"/>
        </w:rPr>
        <w:t xml:space="preserve">Antimicrobial prescribing: trends from </w:t>
      </w:r>
      <w:r w:rsidR="006018ED" w:rsidRPr="00F46944">
        <w:rPr>
          <w:rFonts w:asciiTheme="majorHAnsi" w:hAnsiTheme="majorHAnsi" w:cstheme="majorHAnsi"/>
          <w:b/>
          <w:bCs/>
          <w:color w:val="404040" w:themeColor="text1" w:themeTint="BF"/>
          <w:sz w:val="26"/>
          <w:szCs w:val="26"/>
        </w:rPr>
        <w:t>201</w:t>
      </w:r>
      <w:r w:rsidR="006018ED">
        <w:rPr>
          <w:rFonts w:asciiTheme="majorHAnsi" w:hAnsiTheme="majorHAnsi" w:cstheme="majorHAnsi"/>
          <w:b/>
          <w:bCs/>
          <w:color w:val="404040" w:themeColor="text1" w:themeTint="BF"/>
          <w:sz w:val="26"/>
          <w:szCs w:val="26"/>
        </w:rPr>
        <w:t>5</w:t>
      </w:r>
      <w:r w:rsidR="006018ED" w:rsidRPr="00F46944">
        <w:rPr>
          <w:rFonts w:asciiTheme="majorHAnsi" w:hAnsiTheme="majorHAnsi" w:cstheme="majorHAnsi"/>
          <w:b/>
          <w:bCs/>
          <w:color w:val="404040" w:themeColor="text1" w:themeTint="BF"/>
          <w:sz w:val="26"/>
          <w:szCs w:val="26"/>
        </w:rPr>
        <w:t xml:space="preserve"> </w:t>
      </w:r>
      <w:r w:rsidRPr="00F46944">
        <w:rPr>
          <w:rFonts w:asciiTheme="majorHAnsi" w:hAnsiTheme="majorHAnsi" w:cstheme="majorHAnsi"/>
          <w:b/>
          <w:bCs/>
          <w:color w:val="404040" w:themeColor="text1" w:themeTint="BF"/>
          <w:sz w:val="26"/>
          <w:szCs w:val="26"/>
        </w:rPr>
        <w:t>to 2021</w:t>
      </w:r>
      <w:bookmarkEnd w:id="94"/>
    </w:p>
    <w:p w14:paraId="6D4E74B4" w14:textId="05F5783C" w:rsidR="00912D99" w:rsidRPr="00F46944" w:rsidRDefault="00B67C25" w:rsidP="00BC21D1">
      <w:pPr>
        <w:rPr>
          <w:rFonts w:asciiTheme="majorHAnsi" w:hAnsiTheme="majorHAnsi" w:cstheme="majorHAnsi"/>
          <w:b/>
          <w:bCs/>
          <w:color w:val="404040" w:themeColor="text1" w:themeTint="BF"/>
          <w:sz w:val="26"/>
          <w:szCs w:val="26"/>
        </w:rPr>
      </w:pPr>
      <w:r w:rsidRPr="00E0396F">
        <w:t>Figures</w:t>
      </w:r>
      <w:r w:rsidR="00564C4B" w:rsidRPr="0076762C">
        <w:t> </w:t>
      </w:r>
      <w:r w:rsidR="00641BA6" w:rsidRPr="0076762C">
        <w:t>9</w:t>
      </w:r>
      <w:r w:rsidR="004176A6">
        <w:t xml:space="preserve"> to </w:t>
      </w:r>
      <w:r w:rsidR="00641BA6" w:rsidRPr="0076762C">
        <w:t>11</w:t>
      </w:r>
      <w:r w:rsidRPr="00F46944">
        <w:t xml:space="preserve"> show data on the </w:t>
      </w:r>
      <w:r>
        <w:t>high use</w:t>
      </w:r>
      <w:r w:rsidRPr="00F46944">
        <w:t xml:space="preserve"> antimicrobials recorded in the </w:t>
      </w:r>
      <w:proofErr w:type="spellStart"/>
      <w:r w:rsidRPr="00F46944">
        <w:t>MedicineInsight</w:t>
      </w:r>
      <w:proofErr w:type="spellEnd"/>
      <w:r w:rsidRPr="00F46944">
        <w:t xml:space="preserve"> program</w:t>
      </w:r>
      <w:r w:rsidR="004176A6">
        <w:t>.</w:t>
      </w:r>
      <w:r>
        <w:t xml:space="preserve"> </w:t>
      </w:r>
      <w:r w:rsidR="004176A6">
        <w:t>B</w:t>
      </w:r>
      <w:r w:rsidR="0093641B" w:rsidRPr="00F46944">
        <w:t>etween January 201</w:t>
      </w:r>
      <w:r w:rsidR="00176F04" w:rsidRPr="00F46944">
        <w:t>5</w:t>
      </w:r>
      <w:r w:rsidR="0093641B" w:rsidRPr="00F46944">
        <w:t xml:space="preserve"> and December 2021, the </w:t>
      </w:r>
      <w:r w:rsidR="007452C7" w:rsidRPr="00F46944">
        <w:t xml:space="preserve">number </w:t>
      </w:r>
      <w:r w:rsidR="0093641B" w:rsidRPr="00F46944">
        <w:t xml:space="preserve">of antimicrobial prescriptions </w:t>
      </w:r>
      <w:r w:rsidR="00912D99" w:rsidRPr="00F46944">
        <w:t xml:space="preserve">(originals and repeats) per </w:t>
      </w:r>
      <w:r w:rsidR="0093641B" w:rsidRPr="00F46944">
        <w:t>100</w:t>
      </w:r>
      <w:r w:rsidR="00772DCB" w:rsidRPr="00F46944">
        <w:t> </w:t>
      </w:r>
      <w:r w:rsidR="0093641B" w:rsidRPr="00F46944">
        <w:t xml:space="preserve">GP consultations in participating </w:t>
      </w:r>
      <w:proofErr w:type="spellStart"/>
      <w:r w:rsidR="0093641B" w:rsidRPr="00F46944">
        <w:t>MedicineInsight</w:t>
      </w:r>
      <w:proofErr w:type="spellEnd"/>
      <w:r w:rsidR="0093641B" w:rsidRPr="00F46944">
        <w:t xml:space="preserve"> practices steadily declined, from a </w:t>
      </w:r>
      <w:r w:rsidR="00F24549" w:rsidRPr="00F46944">
        <w:t xml:space="preserve">peak </w:t>
      </w:r>
      <w:r w:rsidR="0093641B" w:rsidRPr="00F46944">
        <w:t xml:space="preserve">of </w:t>
      </w:r>
      <w:r w:rsidR="001C0218" w:rsidRPr="00F46944">
        <w:t xml:space="preserve">22.9 </w:t>
      </w:r>
      <w:bookmarkStart w:id="95" w:name="_Hlk105068563"/>
      <w:r w:rsidR="001C0218" w:rsidRPr="00F46944">
        <w:t xml:space="preserve">(229,672/1,001,891) </w:t>
      </w:r>
      <w:bookmarkEnd w:id="95"/>
      <w:r w:rsidR="0093641B" w:rsidRPr="00F46944">
        <w:t>in August 201</w:t>
      </w:r>
      <w:r w:rsidR="001C0218" w:rsidRPr="00F46944">
        <w:t>5</w:t>
      </w:r>
      <w:r w:rsidR="0093641B" w:rsidRPr="00F46944">
        <w:t xml:space="preserve"> to </w:t>
      </w:r>
      <w:r w:rsidR="00634D52" w:rsidRPr="00F46944">
        <w:t xml:space="preserve">a trough of </w:t>
      </w:r>
      <w:r w:rsidR="0093641B" w:rsidRPr="00F46944">
        <w:t>11.1</w:t>
      </w:r>
      <w:r w:rsidR="00B35D45" w:rsidRPr="00F46944">
        <w:t xml:space="preserve"> </w:t>
      </w:r>
      <w:r w:rsidR="00B22810" w:rsidRPr="00F46944">
        <w:t>(142,069/1,281,039)</w:t>
      </w:r>
      <w:r w:rsidR="0093641B" w:rsidRPr="00F46944">
        <w:t xml:space="preserve"> in June 2021</w:t>
      </w:r>
      <w:r w:rsidR="002A1A09" w:rsidRPr="00F46944">
        <w:t>.</w:t>
      </w:r>
      <w:r w:rsidR="0093641B" w:rsidRPr="00F46944">
        <w:t xml:space="preserve"> Monthly and seasonal variations were observed throughout th</w:t>
      </w:r>
      <w:r w:rsidR="00634D52" w:rsidRPr="00F46944">
        <w:t>is</w:t>
      </w:r>
      <w:r w:rsidR="0093641B" w:rsidRPr="00F46944">
        <w:t xml:space="preserve"> period. </w:t>
      </w:r>
      <w:r w:rsidR="00634D52" w:rsidRPr="00F46944">
        <w:t xml:space="preserve">However, the variation observed across </w:t>
      </w:r>
      <w:r w:rsidR="0093641B" w:rsidRPr="00F46944">
        <w:t xml:space="preserve">2020 and 2021 was </w:t>
      </w:r>
      <w:r w:rsidR="00912D99" w:rsidRPr="00F46944">
        <w:t>much smaller</w:t>
      </w:r>
      <w:r w:rsidR="00A729AC" w:rsidRPr="00F46944">
        <w:t xml:space="preserve"> compared </w:t>
      </w:r>
      <w:r w:rsidR="00634D52" w:rsidRPr="00F46944">
        <w:t xml:space="preserve">to </w:t>
      </w:r>
      <w:r w:rsidR="00A729AC" w:rsidRPr="00F46944">
        <w:t>previous years</w:t>
      </w:r>
      <w:r w:rsidR="00912D99" w:rsidRPr="00F46944">
        <w:t xml:space="preserve"> </w:t>
      </w:r>
      <w:r w:rsidR="0093641B" w:rsidRPr="00F46944">
        <w:t>(</w:t>
      </w:r>
      <w:r w:rsidR="0093641B" w:rsidRPr="00E0396F">
        <w:t>Figure</w:t>
      </w:r>
      <w:r w:rsidR="00C068ED" w:rsidRPr="00E0396F">
        <w:t>s</w:t>
      </w:r>
      <w:r w:rsidRPr="00E0396F">
        <w:t xml:space="preserve"> </w:t>
      </w:r>
      <w:r w:rsidR="00641BA6" w:rsidRPr="0076762C">
        <w:t>9</w:t>
      </w:r>
      <w:r w:rsidR="004176A6">
        <w:t xml:space="preserve"> and</w:t>
      </w:r>
      <w:r w:rsidR="00564C4B" w:rsidRPr="0076762C">
        <w:t> 10</w:t>
      </w:r>
      <w:r w:rsidR="0093641B" w:rsidRPr="00F46944">
        <w:t>). During the COVID-19 pandemic antimicrobial prescri</w:t>
      </w:r>
      <w:r w:rsidR="00542D5E" w:rsidRPr="00F46944">
        <w:t>bing</w:t>
      </w:r>
      <w:r w:rsidR="0093641B" w:rsidRPr="00F46944">
        <w:t xml:space="preserve"> </w:t>
      </w:r>
      <w:r w:rsidR="00176F04" w:rsidRPr="00F46944">
        <w:t>decreased from an average of 16 prescriptions per 100 GP visits in 2019 to an average of 7</w:t>
      </w:r>
      <w:r w:rsidR="00BC43F1" w:rsidRPr="00F46944">
        <w:t> prescriptions per 100 GP visits</w:t>
      </w:r>
      <w:r w:rsidR="00176F04" w:rsidRPr="00F46944">
        <w:t xml:space="preserve"> in </w:t>
      </w:r>
      <w:r w:rsidR="006C3459" w:rsidRPr="00F46944">
        <w:t xml:space="preserve">both </w:t>
      </w:r>
      <w:r w:rsidR="00176F04" w:rsidRPr="00F46944">
        <w:t>2020 and 2021</w:t>
      </w:r>
      <w:r w:rsidR="00912D99" w:rsidRPr="00F46944">
        <w:t>.</w:t>
      </w:r>
    </w:p>
    <w:p w14:paraId="013F31EE" w14:textId="1AF64411" w:rsidR="00634D52" w:rsidRPr="00F46944" w:rsidRDefault="007452C7" w:rsidP="00BC21D1">
      <w:r w:rsidRPr="00F46944">
        <w:lastRenderedPageBreak/>
        <w:t>S</w:t>
      </w:r>
      <w:r w:rsidR="0093641B" w:rsidRPr="00F46944">
        <w:t>easonal prescribing variation, with peaks in winter months</w:t>
      </w:r>
      <w:r w:rsidR="00634D52" w:rsidRPr="00F46944">
        <w:t xml:space="preserve">, </w:t>
      </w:r>
      <w:r w:rsidRPr="00F46944">
        <w:t>was observed for</w:t>
      </w:r>
      <w:r w:rsidR="00BF1C5D" w:rsidRPr="00F46944">
        <w:t xml:space="preserve"> all </w:t>
      </w:r>
      <w:r w:rsidRPr="00F46944">
        <w:t xml:space="preserve">antimicrobials, </w:t>
      </w:r>
      <w:r w:rsidR="00634D52" w:rsidRPr="00F46944">
        <w:t>except cefalexin</w:t>
      </w:r>
      <w:r w:rsidR="0093641B" w:rsidRPr="00F46944">
        <w:t xml:space="preserve">. </w:t>
      </w:r>
      <w:r w:rsidR="00634D52" w:rsidRPr="00F46944">
        <w:t xml:space="preserve">This is possibly because cefalexin </w:t>
      </w:r>
      <w:r w:rsidR="0093641B" w:rsidRPr="00F46944">
        <w:t xml:space="preserve">is </w:t>
      </w:r>
      <w:r w:rsidR="00B22810" w:rsidRPr="00F46944">
        <w:t xml:space="preserve">less </w:t>
      </w:r>
      <w:r w:rsidR="00D1279A" w:rsidRPr="00F46944">
        <w:t xml:space="preserve">commonly </w:t>
      </w:r>
      <w:r w:rsidR="0093641B" w:rsidRPr="00F46944">
        <w:t xml:space="preserve">prescribed </w:t>
      </w:r>
      <w:r w:rsidR="00634D52" w:rsidRPr="00F46944">
        <w:t xml:space="preserve">when an antimicrobial is indicated for a </w:t>
      </w:r>
      <w:r w:rsidR="00912D99" w:rsidRPr="00F46944">
        <w:t>respiratory tract infection</w:t>
      </w:r>
      <w:r w:rsidR="0093641B" w:rsidRPr="00F46944">
        <w:t xml:space="preserve">. </w:t>
      </w:r>
    </w:p>
    <w:p w14:paraId="08561B40" w14:textId="07CE2A1E" w:rsidR="00CE47D9" w:rsidRDefault="0093641B" w:rsidP="00BC21D1">
      <w:r w:rsidRPr="00F46944">
        <w:t xml:space="preserve">There were more prescriptions for cefalexin during the summer period, and it was also the most frequently prescribed antimicrobial in 2020 and 2021. </w:t>
      </w:r>
      <w:r w:rsidR="00E906E4" w:rsidRPr="00F46944">
        <w:t>However, c</w:t>
      </w:r>
      <w:r w:rsidR="00634D52" w:rsidRPr="00F46944">
        <w:t>efalexin prescribing rates declined by 36</w:t>
      </w:r>
      <w:r w:rsidR="00513951">
        <w:t>.4</w:t>
      </w:r>
      <w:r w:rsidR="00634D52" w:rsidRPr="00F46944">
        <w:t>% from 3.3 to 2.1 prescriptions per 100 GP visits f</w:t>
      </w:r>
      <w:r w:rsidRPr="00F46944">
        <w:t>rom March 2020</w:t>
      </w:r>
      <w:r w:rsidR="005C47DF" w:rsidRPr="00F46944">
        <w:t xml:space="preserve"> </w:t>
      </w:r>
      <w:r w:rsidRPr="00F46944">
        <w:t>to May 2020</w:t>
      </w:r>
      <w:r w:rsidR="004176A6">
        <w:t>, respectively</w:t>
      </w:r>
      <w:r w:rsidR="00634D52" w:rsidRPr="00F46944">
        <w:t>. T</w:t>
      </w:r>
      <w:r w:rsidRPr="00F46944">
        <w:t xml:space="preserve">he rate of amoxicillin </w:t>
      </w:r>
      <w:r w:rsidR="00912D99" w:rsidRPr="00F46944">
        <w:t>prescribing</w:t>
      </w:r>
      <w:r w:rsidR="00A729AC" w:rsidRPr="00F46944">
        <w:t xml:space="preserve"> also decreased</w:t>
      </w:r>
      <w:r w:rsidR="00693087" w:rsidRPr="00F46944">
        <w:t xml:space="preserve"> dramatically</w:t>
      </w:r>
      <w:r w:rsidR="00A729AC" w:rsidRPr="00F46944">
        <w:t xml:space="preserve"> at this time after a</w:t>
      </w:r>
      <w:r w:rsidR="00166301" w:rsidRPr="00F46944">
        <w:t xml:space="preserve">n overall ongoing </w:t>
      </w:r>
      <w:r w:rsidR="00912D99" w:rsidRPr="00F46944">
        <w:t xml:space="preserve">decline </w:t>
      </w:r>
      <w:r w:rsidR="00634D52" w:rsidRPr="00F46944">
        <w:t xml:space="preserve">since </w:t>
      </w:r>
      <w:r w:rsidRPr="00F46944">
        <w:t>201</w:t>
      </w:r>
      <w:r w:rsidR="00166301" w:rsidRPr="00F46944">
        <w:t>6</w:t>
      </w:r>
      <w:r w:rsidRPr="00F46944">
        <w:t xml:space="preserve">. </w:t>
      </w:r>
      <w:bookmarkStart w:id="96" w:name="_Hlk103163161"/>
    </w:p>
    <w:p w14:paraId="716981B2" w14:textId="3362E5EF" w:rsidR="003752AF" w:rsidRDefault="00641BA6" w:rsidP="00641BA6">
      <w:r w:rsidRPr="0076762C">
        <w:t>Figures</w:t>
      </w:r>
      <w:r w:rsidR="00564C4B" w:rsidRPr="0076762C">
        <w:t> </w:t>
      </w:r>
      <w:r w:rsidRPr="0076762C">
        <w:t>10 and</w:t>
      </w:r>
      <w:r w:rsidR="00564C4B" w:rsidRPr="0076762C">
        <w:t> </w:t>
      </w:r>
      <w:r w:rsidRPr="0076762C">
        <w:t>11</w:t>
      </w:r>
      <w:r w:rsidRPr="00F46944">
        <w:t xml:space="preserve"> show the rate of prescribing for originals and repeats respectively, and both demonstrate a decreasing pattern for amoxicillin, consistent with the trends observed for original and repeats combined in </w:t>
      </w:r>
      <w:r w:rsidRPr="0076762C">
        <w:t>Figure</w:t>
      </w:r>
      <w:r w:rsidR="00E0396F">
        <w:t> </w:t>
      </w:r>
      <w:r w:rsidRPr="0076762C">
        <w:t>9</w:t>
      </w:r>
      <w:r w:rsidRPr="00F46944">
        <w:t>. Smaller decreases in prescribing rates were observed for other antimicrobials commonly used for respiratory tract infections (amoxicillin–clavulanic acid, doxycycline, azithromycin and roxithromycin) but not for cefalexin, which is more frequently used for the treatment of skin and soft tissue infections and UTIs. Of note, there was only a marginal decrease in the rate of doxycycline repeat prescriptions following the introduction of PBS/RPBS restrictions, compared to other high use antimicrobials (</w:t>
      </w:r>
      <w:r w:rsidRPr="00E0396F">
        <w:t>Figure</w:t>
      </w:r>
      <w:r w:rsidR="00E0396F">
        <w:t> </w:t>
      </w:r>
      <w:r w:rsidRPr="00E0396F">
        <w:t>11</w:t>
      </w:r>
      <w:r w:rsidRPr="00F46944">
        <w:t xml:space="preserve">). This is possibly because doxycycline has a broader range of indications. </w:t>
      </w:r>
    </w:p>
    <w:p w14:paraId="33C4E156" w14:textId="04F88443" w:rsidR="0093641B" w:rsidRPr="00483C22" w:rsidRDefault="00483C22" w:rsidP="00483C22">
      <w:pPr>
        <w:pStyle w:val="Captions"/>
        <w:rPr>
          <w:b w:val="0"/>
          <w:bCs w:val="0"/>
        </w:rPr>
      </w:pPr>
      <w:bookmarkStart w:id="97" w:name="_Toc121491321"/>
      <w:bookmarkStart w:id="98" w:name="_Toc121840893"/>
      <w:r>
        <w:t>Figure</w:t>
      </w:r>
      <w:r w:rsidRPr="00F46944">
        <w:t> </w:t>
      </w:r>
      <w:fldSimple w:instr=" SEQ Figure \* ARABIC ">
        <w:r w:rsidR="00F34DDD">
          <w:rPr>
            <w:noProof/>
          </w:rPr>
          <w:t>9</w:t>
        </w:r>
      </w:fldSimple>
      <w:r w:rsidR="0093641B" w:rsidRPr="00F46944">
        <w:t>:</w:t>
      </w:r>
      <w:r w:rsidR="00E479E1" w:rsidRPr="00483C22">
        <w:rPr>
          <w:b w:val="0"/>
          <w:bCs w:val="0"/>
        </w:rPr>
        <w:t> </w:t>
      </w:r>
      <w:r w:rsidR="0093641B" w:rsidRPr="00483C22">
        <w:rPr>
          <w:b w:val="0"/>
          <w:bCs w:val="0"/>
        </w:rPr>
        <w:t xml:space="preserve">Rate of </w:t>
      </w:r>
      <w:r w:rsidR="00870DCF">
        <w:rPr>
          <w:b w:val="0"/>
          <w:bCs w:val="0"/>
        </w:rPr>
        <w:t xml:space="preserve">high use </w:t>
      </w:r>
      <w:r w:rsidR="0093641B" w:rsidRPr="00483C22">
        <w:rPr>
          <w:b w:val="0"/>
          <w:bCs w:val="0"/>
        </w:rPr>
        <w:t>antimicrobials</w:t>
      </w:r>
      <w:r w:rsidR="00C611E0" w:rsidRPr="00483C22">
        <w:rPr>
          <w:b w:val="0"/>
          <w:bCs w:val="0"/>
        </w:rPr>
        <w:t xml:space="preserve"> prescribed</w:t>
      </w:r>
      <w:r w:rsidR="0093641B" w:rsidRPr="00483C22">
        <w:rPr>
          <w:b w:val="0"/>
          <w:bCs w:val="0"/>
        </w:rPr>
        <w:t xml:space="preserve"> (</w:t>
      </w:r>
      <w:r w:rsidR="003C1BF3" w:rsidRPr="00483C22">
        <w:rPr>
          <w:b w:val="0"/>
          <w:bCs w:val="0"/>
        </w:rPr>
        <w:t xml:space="preserve">total prescriptions including </w:t>
      </w:r>
      <w:r w:rsidR="0093641B" w:rsidRPr="00483C22">
        <w:rPr>
          <w:b w:val="0"/>
          <w:bCs w:val="0"/>
        </w:rPr>
        <w:t>originals and repeats) per 100</w:t>
      </w:r>
      <w:r w:rsidR="007F4D3D" w:rsidRPr="00483C22">
        <w:rPr>
          <w:b w:val="0"/>
          <w:bCs w:val="0"/>
        </w:rPr>
        <w:t xml:space="preserve"> GP</w:t>
      </w:r>
      <w:r w:rsidR="00E479E1" w:rsidRPr="00483C22">
        <w:rPr>
          <w:b w:val="0"/>
          <w:bCs w:val="0"/>
        </w:rPr>
        <w:t> </w:t>
      </w:r>
      <w:r w:rsidR="0093641B" w:rsidRPr="00483C22">
        <w:rPr>
          <w:b w:val="0"/>
          <w:bCs w:val="0"/>
        </w:rPr>
        <w:t xml:space="preserve">visits, </w:t>
      </w:r>
      <w:proofErr w:type="spellStart"/>
      <w:r w:rsidR="0093641B" w:rsidRPr="00483C22">
        <w:rPr>
          <w:b w:val="0"/>
          <w:bCs w:val="0"/>
        </w:rPr>
        <w:t>MedicineInsight</w:t>
      </w:r>
      <w:proofErr w:type="spellEnd"/>
      <w:r w:rsidR="0093641B" w:rsidRPr="00483C22">
        <w:rPr>
          <w:b w:val="0"/>
          <w:bCs w:val="0"/>
        </w:rPr>
        <w:t xml:space="preserve"> practices, </w:t>
      </w:r>
      <w:r w:rsidR="00C8504C" w:rsidRPr="00483C22">
        <w:rPr>
          <w:b w:val="0"/>
          <w:bCs w:val="0"/>
        </w:rPr>
        <w:t>2015–</w:t>
      </w:r>
      <w:r w:rsidR="0093641B" w:rsidRPr="00483C22">
        <w:rPr>
          <w:b w:val="0"/>
          <w:bCs w:val="0"/>
        </w:rPr>
        <w:t>2021</w:t>
      </w:r>
      <w:bookmarkEnd w:id="97"/>
      <w:bookmarkEnd w:id="98"/>
      <w:r w:rsidR="0093641B" w:rsidRPr="00483C22">
        <w:rPr>
          <w:b w:val="0"/>
          <w:bCs w:val="0"/>
        </w:rPr>
        <w:t xml:space="preserve"> </w:t>
      </w:r>
    </w:p>
    <w:bookmarkEnd w:id="96"/>
    <w:p w14:paraId="23055E0F" w14:textId="469CA015" w:rsidR="0093641B" w:rsidRPr="00F46944" w:rsidRDefault="00580F90" w:rsidP="00EC277F">
      <w:pPr>
        <w:spacing w:after="0"/>
      </w:pPr>
      <w:r>
        <w:rPr>
          <w:noProof/>
        </w:rPr>
        <w:drawing>
          <wp:inline distT="0" distB="0" distL="0" distR="0" wp14:anchorId="281D8512" wp14:editId="0A78F597">
            <wp:extent cx="5925820" cy="3615055"/>
            <wp:effectExtent l="0" t="0" r="0" b="4445"/>
            <wp:docPr id="57" name="Picture 57" descr="Figure 9: Rate of high use antimicrobials prescribed (total prescriptions including originals and repeats) per 100 GP visits, MedicineInsight practices, 2015–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Figure 9: Rate of high use antimicrobials prescribed (total prescriptions including originals and repeats) per 100 GP visits, MedicineInsight practices, 2015–2021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5820" cy="3615055"/>
                    </a:xfrm>
                    <a:prstGeom prst="rect">
                      <a:avLst/>
                    </a:prstGeom>
                    <a:noFill/>
                  </pic:spPr>
                </pic:pic>
              </a:graphicData>
            </a:graphic>
          </wp:inline>
        </w:drawing>
      </w:r>
    </w:p>
    <w:p w14:paraId="5E7C3654" w14:textId="07944C2E" w:rsidR="004F32C1" w:rsidRPr="00F46944" w:rsidRDefault="00C22B0D" w:rsidP="0093641B">
      <w:pPr>
        <w:rPr>
          <w:sz w:val="16"/>
          <w:szCs w:val="16"/>
        </w:rPr>
      </w:pPr>
      <w:r w:rsidRPr="00F46944">
        <w:rPr>
          <w:rFonts w:asciiTheme="majorHAnsi" w:hAnsiTheme="majorHAnsi" w:cstheme="majorHAnsi"/>
          <w:sz w:val="16"/>
          <w:szCs w:val="16"/>
        </w:rPr>
        <w:t>GP = </w:t>
      </w:r>
      <w:r w:rsidR="00BF1C5D" w:rsidRPr="00F46944" w:rsidDel="00BF1C5D">
        <w:rPr>
          <w:rFonts w:asciiTheme="majorHAnsi" w:hAnsiTheme="majorHAnsi" w:cstheme="majorHAnsi"/>
          <w:sz w:val="16"/>
          <w:szCs w:val="16"/>
        </w:rPr>
        <w:t xml:space="preserve"> </w:t>
      </w:r>
      <w:r w:rsidR="009F3268">
        <w:rPr>
          <w:rFonts w:asciiTheme="majorHAnsi" w:hAnsiTheme="majorHAnsi" w:cstheme="majorHAnsi"/>
          <w:sz w:val="16"/>
          <w:szCs w:val="16"/>
        </w:rPr>
        <w:t>g</w:t>
      </w:r>
      <w:r w:rsidRPr="00F46944">
        <w:rPr>
          <w:rFonts w:asciiTheme="majorHAnsi" w:hAnsiTheme="majorHAnsi" w:cstheme="majorHAnsi"/>
          <w:sz w:val="16"/>
          <w:szCs w:val="16"/>
        </w:rPr>
        <w:t xml:space="preserve">eneral </w:t>
      </w:r>
      <w:r w:rsidR="009F3268">
        <w:rPr>
          <w:rFonts w:asciiTheme="majorHAnsi" w:hAnsiTheme="majorHAnsi" w:cstheme="majorHAnsi"/>
          <w:sz w:val="16"/>
          <w:szCs w:val="16"/>
        </w:rPr>
        <w:t>p</w:t>
      </w:r>
      <w:r w:rsidRPr="00F46944">
        <w:rPr>
          <w:rFonts w:asciiTheme="majorHAnsi" w:hAnsiTheme="majorHAnsi" w:cstheme="majorHAnsi"/>
          <w:sz w:val="16"/>
          <w:szCs w:val="16"/>
        </w:rPr>
        <w:t xml:space="preserve">ractitioner; </w:t>
      </w:r>
      <w:r w:rsidR="006620C9" w:rsidRPr="00F46944">
        <w:rPr>
          <w:rFonts w:asciiTheme="majorHAnsi" w:hAnsiTheme="majorHAnsi" w:cstheme="majorHAnsi"/>
          <w:sz w:val="16"/>
          <w:szCs w:val="16"/>
        </w:rPr>
        <w:t>PBS = Pharmaceutical Benefits Scheme; RPBS = Repatriation Pharmaceutical Benefits Scheme</w:t>
      </w:r>
      <w:r w:rsidR="006620C9" w:rsidRPr="00F46944">
        <w:rPr>
          <w:rFonts w:asciiTheme="majorHAnsi" w:hAnsiTheme="majorHAnsi" w:cstheme="majorHAnsi"/>
          <w:sz w:val="16"/>
          <w:szCs w:val="16"/>
        </w:rPr>
        <w:br/>
      </w:r>
      <w:r w:rsidR="0093641B" w:rsidRPr="00F46944">
        <w:rPr>
          <w:sz w:val="16"/>
          <w:szCs w:val="16"/>
        </w:rPr>
        <w:t>Note: Monthly variations were observed and were consistent with seasonal variations – the number of prescriptions per 100</w:t>
      </w:r>
      <w:r w:rsidR="00C53268" w:rsidRPr="00F46944">
        <w:rPr>
          <w:sz w:val="16"/>
          <w:szCs w:val="16"/>
        </w:rPr>
        <w:t> </w:t>
      </w:r>
      <w:r w:rsidR="0093641B" w:rsidRPr="00F46944">
        <w:rPr>
          <w:sz w:val="16"/>
          <w:szCs w:val="16"/>
        </w:rPr>
        <w:t>GP visits increased during the winter months</w:t>
      </w:r>
      <w:r w:rsidR="002A5B86" w:rsidRPr="00F46944">
        <w:rPr>
          <w:sz w:val="16"/>
          <w:szCs w:val="16"/>
        </w:rPr>
        <w:t>.</w:t>
      </w:r>
      <w:r w:rsidR="0012249A" w:rsidRPr="00F46944">
        <w:rPr>
          <w:sz w:val="16"/>
          <w:szCs w:val="16"/>
        </w:rPr>
        <w:br/>
      </w:r>
      <w:r w:rsidR="0068313A" w:rsidRPr="00F46944">
        <w:rPr>
          <w:sz w:val="16"/>
          <w:szCs w:val="16"/>
        </w:rPr>
        <w:t>Source: NPS MedicineWise</w:t>
      </w:r>
      <w:r w:rsidR="0068313A" w:rsidRPr="00F46944">
        <w:rPr>
          <w:sz w:val="16"/>
          <w:szCs w:val="16"/>
        </w:rPr>
        <w:fldChar w:fldCharType="begin"/>
      </w:r>
      <w:r w:rsidR="00DB0DCB">
        <w:rPr>
          <w:sz w:val="16"/>
          <w:szCs w:val="16"/>
        </w:rPr>
        <w:instrText xml:space="preserve"> ADDIN EN.CITE &lt;EndNote&gt;&lt;Cite&gt;&lt;Author&gt;NPS MedicineWise&lt;/Author&gt;&lt;RecNum&gt;6&lt;/RecNum&gt;&lt;DisplayText&gt;&lt;style face="superscript"&gt;6&lt;/style&gt;&lt;/DisplayText&gt;&lt;record&gt;&lt;rec-number&gt;6&lt;/rec-number&gt;&lt;foreign-keys&gt;&lt;key app="EN" db-id="es9dr99ws90stoe5x2rp505nazvswdzppxa5" timestamp="1670810539"&gt;6&lt;/key&gt;&lt;/foreign-keys&gt;&lt;ref-type name="Unpublished Work"&gt;34&lt;/ref-type&gt;&lt;contributors&gt;&lt;authors&gt;&lt;author&gt;NPS MedicineWise,&lt;/author&gt;&lt;/authors&gt;&lt;/contributors&gt;&lt;titles&gt;&lt;title&gt;MedicineInsight data analyses for AURA Community report, May 2022 (unpublished)&lt;/title&gt;&lt;/titles&gt;&lt;dates&gt;&lt;/dates&gt;&lt;publisher&gt;NPS MedicineWise&lt;/publisher&gt;&lt;urls&gt;&lt;/urls&gt;&lt;/record&gt;&lt;/Cite&gt;&lt;Cite&gt;&lt;Author&gt;NPS MedicineWise&lt;/Author&gt;&lt;RecNum&gt;6&lt;/RecNum&gt;&lt;record&gt;&lt;rec-number&gt;6&lt;/rec-number&gt;&lt;foreign-keys&gt;&lt;key app="EN" db-id="es9dr99ws90stoe5x2rp505nazvswdzppxa5" timestamp="1670810539"&gt;6&lt;/key&gt;&lt;/foreign-keys&gt;&lt;ref-type name="Unpublished Work"&gt;34&lt;/ref-type&gt;&lt;contributors&gt;&lt;authors&gt;&lt;author&gt;NPS MedicineWise,&lt;/author&gt;&lt;/authors&gt;&lt;/contributors&gt;&lt;titles&gt;&lt;title&gt;MedicineInsight data analyses for AURA Community report, May 2022 (unpublished)&lt;/title&gt;&lt;/titles&gt;&lt;dates&gt;&lt;/dates&gt;&lt;publisher&gt;NPS MedicineWise&lt;/publisher&gt;&lt;urls&gt;&lt;/urls&gt;&lt;/record&gt;&lt;/Cite&gt;&lt;/EndNote&gt;</w:instrText>
      </w:r>
      <w:r w:rsidR="0068313A" w:rsidRPr="00F46944">
        <w:rPr>
          <w:sz w:val="16"/>
          <w:szCs w:val="16"/>
        </w:rPr>
        <w:fldChar w:fldCharType="separate"/>
      </w:r>
      <w:r w:rsidR="001C0A42" w:rsidRPr="001C0A42">
        <w:rPr>
          <w:noProof/>
          <w:sz w:val="16"/>
          <w:szCs w:val="16"/>
          <w:vertAlign w:val="superscript"/>
        </w:rPr>
        <w:t>6</w:t>
      </w:r>
      <w:r w:rsidR="0068313A" w:rsidRPr="00F46944">
        <w:rPr>
          <w:sz w:val="16"/>
          <w:szCs w:val="16"/>
        </w:rPr>
        <w:fldChar w:fldCharType="end"/>
      </w:r>
    </w:p>
    <w:p w14:paraId="1B56B8B4" w14:textId="77777777" w:rsidR="004176A6" w:rsidRDefault="004176A6">
      <w:pPr>
        <w:spacing w:after="80"/>
        <w:rPr>
          <w:b/>
          <w:bCs/>
        </w:rPr>
      </w:pPr>
      <w:bookmarkStart w:id="99" w:name="_Hlk103241402"/>
      <w:r>
        <w:br w:type="page"/>
      </w:r>
    </w:p>
    <w:p w14:paraId="0210C8D8" w14:textId="25566C9F" w:rsidR="0093641B" w:rsidRPr="000E0DEB" w:rsidRDefault="000E0DEB" w:rsidP="000851F7">
      <w:pPr>
        <w:pStyle w:val="Captions"/>
        <w:rPr>
          <w:b w:val="0"/>
          <w:bCs w:val="0"/>
        </w:rPr>
      </w:pPr>
      <w:bookmarkStart w:id="100" w:name="_Toc121491322"/>
      <w:bookmarkStart w:id="101" w:name="_Toc121840894"/>
      <w:r>
        <w:lastRenderedPageBreak/>
        <w:t>Figure</w:t>
      </w:r>
      <w:r w:rsidRPr="00F46944">
        <w:t> </w:t>
      </w:r>
      <w:fldSimple w:instr=" SEQ Figure \* ARABIC ">
        <w:r w:rsidR="00F34DDD">
          <w:rPr>
            <w:noProof/>
          </w:rPr>
          <w:t>10</w:t>
        </w:r>
      </w:fldSimple>
      <w:r w:rsidR="0093641B" w:rsidRPr="00F46944">
        <w:t>:</w:t>
      </w:r>
      <w:r w:rsidR="00E479E1" w:rsidRPr="000E0DEB">
        <w:rPr>
          <w:b w:val="0"/>
          <w:bCs w:val="0"/>
        </w:rPr>
        <w:t> </w:t>
      </w:r>
      <w:r w:rsidR="0093641B" w:rsidRPr="000E0DEB">
        <w:rPr>
          <w:b w:val="0"/>
          <w:bCs w:val="0"/>
        </w:rPr>
        <w:t xml:space="preserve">Rate of </w:t>
      </w:r>
      <w:r w:rsidR="008F0BEF" w:rsidRPr="000E0DEB">
        <w:rPr>
          <w:b w:val="0"/>
          <w:bCs w:val="0"/>
        </w:rPr>
        <w:t xml:space="preserve">original </w:t>
      </w:r>
      <w:r w:rsidR="00870DCF">
        <w:rPr>
          <w:b w:val="0"/>
          <w:bCs w:val="0"/>
        </w:rPr>
        <w:t xml:space="preserve">high use </w:t>
      </w:r>
      <w:r w:rsidR="00C611E0" w:rsidRPr="000E0DEB">
        <w:rPr>
          <w:b w:val="0"/>
          <w:bCs w:val="0"/>
        </w:rPr>
        <w:t xml:space="preserve">antimicrobial prescriptions issued </w:t>
      </w:r>
      <w:r w:rsidR="0093641B" w:rsidRPr="000E0DEB">
        <w:rPr>
          <w:b w:val="0"/>
          <w:bCs w:val="0"/>
        </w:rPr>
        <w:t>per</w:t>
      </w:r>
      <w:r w:rsidR="00E479E1" w:rsidRPr="000E0DEB">
        <w:rPr>
          <w:b w:val="0"/>
          <w:bCs w:val="0"/>
        </w:rPr>
        <w:t> </w:t>
      </w:r>
      <w:r w:rsidR="0093641B" w:rsidRPr="000E0DEB">
        <w:rPr>
          <w:b w:val="0"/>
          <w:bCs w:val="0"/>
        </w:rPr>
        <w:t>100</w:t>
      </w:r>
      <w:r w:rsidR="00772DCB" w:rsidRPr="000E0DEB">
        <w:rPr>
          <w:b w:val="0"/>
          <w:bCs w:val="0"/>
        </w:rPr>
        <w:t> </w:t>
      </w:r>
      <w:r w:rsidR="00C611E0" w:rsidRPr="000E0DEB">
        <w:rPr>
          <w:b w:val="0"/>
          <w:bCs w:val="0"/>
        </w:rPr>
        <w:t xml:space="preserve">GP </w:t>
      </w:r>
      <w:r w:rsidR="0093641B" w:rsidRPr="000E0DEB">
        <w:rPr>
          <w:b w:val="0"/>
          <w:bCs w:val="0"/>
        </w:rPr>
        <w:t xml:space="preserve">visits, </w:t>
      </w:r>
      <w:proofErr w:type="spellStart"/>
      <w:r w:rsidR="0093641B" w:rsidRPr="000E0DEB">
        <w:rPr>
          <w:b w:val="0"/>
          <w:bCs w:val="0"/>
        </w:rPr>
        <w:t>MedicineInsight</w:t>
      </w:r>
      <w:proofErr w:type="spellEnd"/>
      <w:r w:rsidR="0093641B" w:rsidRPr="000E0DEB">
        <w:rPr>
          <w:b w:val="0"/>
          <w:bCs w:val="0"/>
        </w:rPr>
        <w:t xml:space="preserve"> practices, 201</w:t>
      </w:r>
      <w:r w:rsidR="00120D24" w:rsidRPr="000E0DEB">
        <w:rPr>
          <w:b w:val="0"/>
          <w:bCs w:val="0"/>
        </w:rPr>
        <w:t>5</w:t>
      </w:r>
      <w:r w:rsidR="00C611E0" w:rsidRPr="000E0DEB">
        <w:rPr>
          <w:b w:val="0"/>
          <w:bCs w:val="0"/>
        </w:rPr>
        <w:t>–</w:t>
      </w:r>
      <w:r w:rsidR="0093641B" w:rsidRPr="000E0DEB">
        <w:rPr>
          <w:b w:val="0"/>
          <w:bCs w:val="0"/>
        </w:rPr>
        <w:t>2021</w:t>
      </w:r>
      <w:bookmarkEnd w:id="100"/>
      <w:bookmarkEnd w:id="101"/>
    </w:p>
    <w:bookmarkEnd w:id="99"/>
    <w:p w14:paraId="70553E38" w14:textId="15D19BE5" w:rsidR="00912D99" w:rsidRPr="00F46944" w:rsidRDefault="00580F90" w:rsidP="00912D99">
      <w:r>
        <w:rPr>
          <w:rFonts w:asciiTheme="majorHAnsi" w:hAnsiTheme="majorHAnsi" w:cstheme="majorHAnsi"/>
          <w:noProof/>
          <w:sz w:val="16"/>
          <w:szCs w:val="16"/>
        </w:rPr>
        <w:drawing>
          <wp:inline distT="0" distB="0" distL="0" distR="0" wp14:anchorId="5EDEAF15" wp14:editId="49964FEC">
            <wp:extent cx="6010910" cy="3420110"/>
            <wp:effectExtent l="0" t="0" r="8890" b="8890"/>
            <wp:docPr id="59" name="Picture 59" descr="Figure 10: Rate of original high use antimicrobial prescriptions issued per 100 GP visits, MedicineInsight practices, 2015–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Figure 10: Rate of original high use antimicrobial prescriptions issued per 100 GP visits, MedicineInsight practices, 2015–20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10910" cy="3420110"/>
                    </a:xfrm>
                    <a:prstGeom prst="rect">
                      <a:avLst/>
                    </a:prstGeom>
                    <a:noFill/>
                  </pic:spPr>
                </pic:pic>
              </a:graphicData>
            </a:graphic>
          </wp:inline>
        </w:drawing>
      </w:r>
      <w:r w:rsidR="00E25265" w:rsidRPr="00F46944">
        <w:rPr>
          <w:rFonts w:asciiTheme="majorHAnsi" w:hAnsiTheme="majorHAnsi" w:cstheme="majorHAnsi"/>
          <w:sz w:val="16"/>
          <w:szCs w:val="16"/>
        </w:rPr>
        <w:t xml:space="preserve"> </w:t>
      </w:r>
      <w:r w:rsidR="00C22B0D" w:rsidRPr="00F46944">
        <w:rPr>
          <w:rFonts w:asciiTheme="majorHAnsi" w:hAnsiTheme="majorHAnsi" w:cstheme="majorHAnsi"/>
          <w:sz w:val="16"/>
          <w:szCs w:val="16"/>
        </w:rPr>
        <w:t>GP = </w:t>
      </w:r>
      <w:r w:rsidR="009F3268">
        <w:rPr>
          <w:rFonts w:asciiTheme="majorHAnsi" w:hAnsiTheme="majorHAnsi" w:cstheme="majorHAnsi"/>
          <w:sz w:val="16"/>
          <w:szCs w:val="16"/>
        </w:rPr>
        <w:t>g</w:t>
      </w:r>
      <w:r w:rsidR="00C22B0D" w:rsidRPr="00F46944">
        <w:rPr>
          <w:rFonts w:asciiTheme="majorHAnsi" w:hAnsiTheme="majorHAnsi" w:cstheme="majorHAnsi"/>
          <w:sz w:val="16"/>
          <w:szCs w:val="16"/>
        </w:rPr>
        <w:t xml:space="preserve">eneral </w:t>
      </w:r>
      <w:r w:rsidR="009F3268">
        <w:rPr>
          <w:rFonts w:asciiTheme="majorHAnsi" w:hAnsiTheme="majorHAnsi" w:cstheme="majorHAnsi"/>
          <w:sz w:val="16"/>
          <w:szCs w:val="16"/>
        </w:rPr>
        <w:t>p</w:t>
      </w:r>
      <w:r w:rsidR="00C22B0D" w:rsidRPr="00F46944">
        <w:rPr>
          <w:rFonts w:asciiTheme="majorHAnsi" w:hAnsiTheme="majorHAnsi" w:cstheme="majorHAnsi"/>
          <w:sz w:val="16"/>
          <w:szCs w:val="16"/>
        </w:rPr>
        <w:t xml:space="preserve">ractitioner; </w:t>
      </w:r>
      <w:r w:rsidR="006620C9" w:rsidRPr="00F46944">
        <w:rPr>
          <w:rFonts w:asciiTheme="majorHAnsi" w:hAnsiTheme="majorHAnsi" w:cstheme="majorHAnsi"/>
          <w:sz w:val="16"/>
          <w:szCs w:val="16"/>
        </w:rPr>
        <w:t>PBS = Pharmaceutical Benefits Scheme; RPBS = Repatriation Pharmaceutical Benefits Scheme</w:t>
      </w:r>
      <w:r w:rsidR="006620C9" w:rsidRPr="00F46944">
        <w:rPr>
          <w:rFonts w:asciiTheme="majorHAnsi" w:hAnsiTheme="majorHAnsi" w:cstheme="majorHAnsi"/>
          <w:sz w:val="16"/>
          <w:szCs w:val="16"/>
        </w:rPr>
        <w:br/>
      </w:r>
      <w:r w:rsidR="00912D99" w:rsidRPr="00F46944">
        <w:rPr>
          <w:sz w:val="16"/>
          <w:szCs w:val="16"/>
        </w:rPr>
        <w:t>Source: NPS MedicineWise</w:t>
      </w:r>
      <w:r w:rsidR="00912D99" w:rsidRPr="00F46944">
        <w:rPr>
          <w:sz w:val="16"/>
          <w:szCs w:val="16"/>
        </w:rPr>
        <w:fldChar w:fldCharType="begin"/>
      </w:r>
      <w:r w:rsidR="00DB0DCB">
        <w:rPr>
          <w:sz w:val="16"/>
          <w:szCs w:val="16"/>
        </w:rPr>
        <w:instrText xml:space="preserve"> ADDIN EN.CITE &lt;EndNote&gt;&lt;Cite&gt;&lt;Author&gt;NPS MedicineWise&lt;/Author&gt;&lt;RecNum&gt;6&lt;/RecNum&gt;&lt;DisplayText&gt;&lt;style face="superscript"&gt;6&lt;/style&gt;&lt;/DisplayText&gt;&lt;record&gt;&lt;rec-number&gt;6&lt;/rec-number&gt;&lt;foreign-keys&gt;&lt;key app="EN" db-id="es9dr99ws90stoe5x2rp505nazvswdzppxa5" timestamp="1670810539"&gt;6&lt;/key&gt;&lt;/foreign-keys&gt;&lt;ref-type name="Unpublished Work"&gt;34&lt;/ref-type&gt;&lt;contributors&gt;&lt;authors&gt;&lt;author&gt;NPS MedicineWise,&lt;/author&gt;&lt;/authors&gt;&lt;/contributors&gt;&lt;titles&gt;&lt;title&gt;MedicineInsight data analyses for AURA Community report, May 2022 (unpublished)&lt;/title&gt;&lt;/titles&gt;&lt;dates&gt;&lt;/dates&gt;&lt;publisher&gt;NPS MedicineWise&lt;/publisher&gt;&lt;urls&gt;&lt;/urls&gt;&lt;/record&gt;&lt;/Cite&gt;&lt;/EndNote&gt;</w:instrText>
      </w:r>
      <w:r w:rsidR="00912D99" w:rsidRPr="00F46944">
        <w:rPr>
          <w:sz w:val="16"/>
          <w:szCs w:val="16"/>
        </w:rPr>
        <w:fldChar w:fldCharType="separate"/>
      </w:r>
      <w:r w:rsidR="001C0A42" w:rsidRPr="001C0A42">
        <w:rPr>
          <w:noProof/>
          <w:sz w:val="16"/>
          <w:szCs w:val="16"/>
          <w:vertAlign w:val="superscript"/>
        </w:rPr>
        <w:t>6</w:t>
      </w:r>
      <w:r w:rsidR="00912D99" w:rsidRPr="00F46944">
        <w:rPr>
          <w:sz w:val="16"/>
          <w:szCs w:val="16"/>
        </w:rPr>
        <w:fldChar w:fldCharType="end"/>
      </w:r>
    </w:p>
    <w:p w14:paraId="1AC07FFD" w14:textId="6813761F" w:rsidR="004176A6" w:rsidRDefault="004176A6">
      <w:pPr>
        <w:spacing w:after="80"/>
        <w:rPr>
          <w:b/>
          <w:bCs/>
        </w:rPr>
      </w:pPr>
    </w:p>
    <w:p w14:paraId="0A42EA6C" w14:textId="794AD844" w:rsidR="0093641B" w:rsidRPr="000E0DEB" w:rsidRDefault="000E0DEB" w:rsidP="000E0DEB">
      <w:pPr>
        <w:pStyle w:val="Captions"/>
        <w:rPr>
          <w:b w:val="0"/>
          <w:bCs w:val="0"/>
        </w:rPr>
      </w:pPr>
      <w:bookmarkStart w:id="102" w:name="_Toc121491323"/>
      <w:bookmarkStart w:id="103" w:name="_Toc121840895"/>
      <w:r>
        <w:t>Figure</w:t>
      </w:r>
      <w:r w:rsidRPr="00F46944">
        <w:t> </w:t>
      </w:r>
      <w:fldSimple w:instr=" SEQ Figure \* ARABIC ">
        <w:r w:rsidR="00F34DDD">
          <w:rPr>
            <w:noProof/>
          </w:rPr>
          <w:t>11</w:t>
        </w:r>
      </w:fldSimple>
      <w:r w:rsidR="00E479E1" w:rsidRPr="00F46944">
        <w:t> </w:t>
      </w:r>
      <w:r w:rsidR="0093641B" w:rsidRPr="00F46944">
        <w:t>:</w:t>
      </w:r>
      <w:r w:rsidR="00E479E1" w:rsidRPr="000E0DEB">
        <w:rPr>
          <w:b w:val="0"/>
          <w:bCs w:val="0"/>
        </w:rPr>
        <w:t> </w:t>
      </w:r>
      <w:r w:rsidR="0093641B" w:rsidRPr="000E0DEB">
        <w:rPr>
          <w:b w:val="0"/>
          <w:bCs w:val="0"/>
        </w:rPr>
        <w:t>Rate of</w:t>
      </w:r>
      <w:r w:rsidR="00C611E0" w:rsidRPr="000E0DEB">
        <w:rPr>
          <w:b w:val="0"/>
          <w:bCs w:val="0"/>
        </w:rPr>
        <w:t xml:space="preserve"> </w:t>
      </w:r>
      <w:r w:rsidR="0093641B" w:rsidRPr="000E0DEB">
        <w:rPr>
          <w:b w:val="0"/>
          <w:bCs w:val="0"/>
        </w:rPr>
        <w:t xml:space="preserve">repeat </w:t>
      </w:r>
      <w:r w:rsidR="00870DCF">
        <w:rPr>
          <w:b w:val="0"/>
          <w:bCs w:val="0"/>
        </w:rPr>
        <w:t xml:space="preserve">high use </w:t>
      </w:r>
      <w:r w:rsidR="00C611E0" w:rsidRPr="000E0DEB">
        <w:rPr>
          <w:b w:val="0"/>
          <w:bCs w:val="0"/>
        </w:rPr>
        <w:t xml:space="preserve">antimicrobial </w:t>
      </w:r>
      <w:r w:rsidR="0093641B" w:rsidRPr="000E0DEB">
        <w:rPr>
          <w:b w:val="0"/>
          <w:bCs w:val="0"/>
        </w:rPr>
        <w:t>prescription</w:t>
      </w:r>
      <w:r w:rsidR="00C611E0" w:rsidRPr="000E0DEB">
        <w:rPr>
          <w:b w:val="0"/>
          <w:bCs w:val="0"/>
        </w:rPr>
        <w:t>s</w:t>
      </w:r>
      <w:r w:rsidR="0093641B" w:rsidRPr="000E0DEB">
        <w:rPr>
          <w:b w:val="0"/>
          <w:bCs w:val="0"/>
        </w:rPr>
        <w:t xml:space="preserve"> </w:t>
      </w:r>
      <w:r w:rsidR="00C611E0" w:rsidRPr="000E0DEB">
        <w:rPr>
          <w:b w:val="0"/>
          <w:bCs w:val="0"/>
        </w:rPr>
        <w:t xml:space="preserve">issued </w:t>
      </w:r>
      <w:r w:rsidR="0093641B" w:rsidRPr="000E0DEB">
        <w:rPr>
          <w:b w:val="0"/>
          <w:bCs w:val="0"/>
        </w:rPr>
        <w:t>per 100</w:t>
      </w:r>
      <w:r w:rsidR="00E479E1" w:rsidRPr="000E0DEB">
        <w:rPr>
          <w:b w:val="0"/>
          <w:bCs w:val="0"/>
        </w:rPr>
        <w:t> </w:t>
      </w:r>
      <w:r w:rsidR="00C611E0" w:rsidRPr="000E0DEB">
        <w:rPr>
          <w:b w:val="0"/>
          <w:bCs w:val="0"/>
        </w:rPr>
        <w:t xml:space="preserve">GP </w:t>
      </w:r>
      <w:r w:rsidR="0093641B" w:rsidRPr="000E0DEB">
        <w:rPr>
          <w:b w:val="0"/>
          <w:bCs w:val="0"/>
        </w:rPr>
        <w:t xml:space="preserve">visits, </w:t>
      </w:r>
      <w:proofErr w:type="spellStart"/>
      <w:r w:rsidR="0093641B" w:rsidRPr="000E0DEB">
        <w:rPr>
          <w:b w:val="0"/>
          <w:bCs w:val="0"/>
        </w:rPr>
        <w:t>MedicineInsight</w:t>
      </w:r>
      <w:proofErr w:type="spellEnd"/>
      <w:r w:rsidR="0093641B" w:rsidRPr="000E0DEB">
        <w:rPr>
          <w:b w:val="0"/>
          <w:bCs w:val="0"/>
        </w:rPr>
        <w:t xml:space="preserve"> practices, </w:t>
      </w:r>
      <w:r w:rsidR="00C611E0" w:rsidRPr="000E0DEB">
        <w:rPr>
          <w:b w:val="0"/>
          <w:bCs w:val="0"/>
        </w:rPr>
        <w:t>2015–2021</w:t>
      </w:r>
      <w:bookmarkEnd w:id="102"/>
      <w:bookmarkEnd w:id="103"/>
    </w:p>
    <w:p w14:paraId="4AC2BD2D" w14:textId="3B4FA3C7" w:rsidR="0093641B" w:rsidRPr="00F46944" w:rsidRDefault="00580F90" w:rsidP="0093641B">
      <w:r>
        <w:rPr>
          <w:noProof/>
        </w:rPr>
        <w:drawing>
          <wp:inline distT="0" distB="0" distL="0" distR="0" wp14:anchorId="716498C5" wp14:editId="1A46D8D8">
            <wp:extent cx="5925820" cy="3420110"/>
            <wp:effectExtent l="0" t="0" r="0" b="8890"/>
            <wp:docPr id="61" name="Picture 61" descr="Figure 11 : Rate of repeat high use antimicrobial prescriptions issued per 100 GP visits, MedicineInsight practices, 2015–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Figure 11 : Rate of repeat high use antimicrobial prescriptions issued per 100 GP visits, MedicineInsight practices, 2015–20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5820" cy="3420110"/>
                    </a:xfrm>
                    <a:prstGeom prst="rect">
                      <a:avLst/>
                    </a:prstGeom>
                    <a:noFill/>
                  </pic:spPr>
                </pic:pic>
              </a:graphicData>
            </a:graphic>
          </wp:inline>
        </w:drawing>
      </w:r>
    </w:p>
    <w:p w14:paraId="2BE03B6B" w14:textId="020A84BA" w:rsidR="0093641B" w:rsidRPr="00F46944" w:rsidRDefault="00C22B0D" w:rsidP="0093641B">
      <w:pPr>
        <w:spacing w:after="0"/>
        <w:rPr>
          <w:sz w:val="16"/>
          <w:szCs w:val="16"/>
        </w:rPr>
      </w:pPr>
      <w:r w:rsidRPr="00F46944">
        <w:rPr>
          <w:rFonts w:asciiTheme="majorHAnsi" w:hAnsiTheme="majorHAnsi" w:cstheme="majorHAnsi"/>
          <w:sz w:val="16"/>
          <w:szCs w:val="16"/>
        </w:rPr>
        <w:t>GP = </w:t>
      </w:r>
      <w:r w:rsidR="009F3268">
        <w:rPr>
          <w:rFonts w:asciiTheme="majorHAnsi" w:hAnsiTheme="majorHAnsi" w:cstheme="majorHAnsi"/>
          <w:sz w:val="16"/>
          <w:szCs w:val="16"/>
        </w:rPr>
        <w:t>g</w:t>
      </w:r>
      <w:r w:rsidRPr="00F46944">
        <w:rPr>
          <w:rFonts w:asciiTheme="majorHAnsi" w:hAnsiTheme="majorHAnsi" w:cstheme="majorHAnsi"/>
          <w:sz w:val="16"/>
          <w:szCs w:val="16"/>
        </w:rPr>
        <w:t xml:space="preserve">eneral </w:t>
      </w:r>
      <w:r w:rsidR="009F3268">
        <w:rPr>
          <w:rFonts w:asciiTheme="majorHAnsi" w:hAnsiTheme="majorHAnsi" w:cstheme="majorHAnsi"/>
          <w:sz w:val="16"/>
          <w:szCs w:val="16"/>
        </w:rPr>
        <w:t>p</w:t>
      </w:r>
      <w:r w:rsidRPr="00F46944">
        <w:rPr>
          <w:rFonts w:asciiTheme="majorHAnsi" w:hAnsiTheme="majorHAnsi" w:cstheme="majorHAnsi"/>
          <w:sz w:val="16"/>
          <w:szCs w:val="16"/>
        </w:rPr>
        <w:t xml:space="preserve">ractitioner; </w:t>
      </w:r>
      <w:r w:rsidR="006620C9" w:rsidRPr="00F46944">
        <w:rPr>
          <w:rFonts w:asciiTheme="majorHAnsi" w:hAnsiTheme="majorHAnsi" w:cstheme="majorHAnsi"/>
          <w:sz w:val="16"/>
          <w:szCs w:val="16"/>
        </w:rPr>
        <w:t>PBS = Pharmaceutical Benefits Scheme; RPBS = Repatriation Pharmaceutical Benefits Scheme</w:t>
      </w:r>
      <w:r w:rsidR="006620C9" w:rsidRPr="00F46944">
        <w:rPr>
          <w:rFonts w:asciiTheme="majorHAnsi" w:hAnsiTheme="majorHAnsi" w:cstheme="majorHAnsi"/>
          <w:sz w:val="16"/>
          <w:szCs w:val="16"/>
        </w:rPr>
        <w:br/>
      </w:r>
      <w:r w:rsidR="0068313A" w:rsidRPr="00F46944">
        <w:rPr>
          <w:sz w:val="16"/>
          <w:szCs w:val="16"/>
        </w:rPr>
        <w:t>Source: NPS MedicineWise</w:t>
      </w:r>
      <w:r w:rsidR="0068313A" w:rsidRPr="00F46944">
        <w:rPr>
          <w:sz w:val="16"/>
          <w:szCs w:val="16"/>
        </w:rPr>
        <w:fldChar w:fldCharType="begin"/>
      </w:r>
      <w:r w:rsidR="00DB0DCB">
        <w:rPr>
          <w:sz w:val="16"/>
          <w:szCs w:val="16"/>
        </w:rPr>
        <w:instrText xml:space="preserve"> ADDIN EN.CITE &lt;EndNote&gt;&lt;Cite&gt;&lt;Author&gt;NPS MedicineWise&lt;/Author&gt;&lt;RecNum&gt;6&lt;/RecNum&gt;&lt;DisplayText&gt;&lt;style face="superscript"&gt;6&lt;/style&gt;&lt;/DisplayText&gt;&lt;record&gt;&lt;rec-number&gt;6&lt;/rec-number&gt;&lt;foreign-keys&gt;&lt;key app="EN" db-id="es9dr99ws90stoe5x2rp505nazvswdzppxa5" timestamp="1670810539"&gt;6&lt;/key&gt;&lt;/foreign-keys&gt;&lt;ref-type name="Unpublished Work"&gt;34&lt;/ref-type&gt;&lt;contributors&gt;&lt;authors&gt;&lt;author&gt;NPS MedicineWise,&lt;/author&gt;&lt;/authors&gt;&lt;/contributors&gt;&lt;titles&gt;&lt;title&gt;MedicineInsight data analyses for AURA Community report, May 2022 (unpublished)&lt;/title&gt;&lt;/titles&gt;&lt;dates&gt;&lt;/dates&gt;&lt;publisher&gt;NPS MedicineWise&lt;/publisher&gt;&lt;urls&gt;&lt;/urls&gt;&lt;/record&gt;&lt;/Cite&gt;&lt;/EndNote&gt;</w:instrText>
      </w:r>
      <w:r w:rsidR="0068313A" w:rsidRPr="00F46944">
        <w:rPr>
          <w:sz w:val="16"/>
          <w:szCs w:val="16"/>
        </w:rPr>
        <w:fldChar w:fldCharType="separate"/>
      </w:r>
      <w:r w:rsidR="001C0A42" w:rsidRPr="001C0A42">
        <w:rPr>
          <w:noProof/>
          <w:sz w:val="16"/>
          <w:szCs w:val="16"/>
          <w:vertAlign w:val="superscript"/>
        </w:rPr>
        <w:t>6</w:t>
      </w:r>
      <w:r w:rsidR="0068313A" w:rsidRPr="00F46944">
        <w:rPr>
          <w:sz w:val="16"/>
          <w:szCs w:val="16"/>
        </w:rPr>
        <w:fldChar w:fldCharType="end"/>
      </w:r>
    </w:p>
    <w:p w14:paraId="585C2158" w14:textId="77777777" w:rsidR="008B1CB0" w:rsidRDefault="008B1CB0" w:rsidP="00852D08">
      <w:bookmarkStart w:id="104" w:name="_Hlk104285223"/>
    </w:p>
    <w:p w14:paraId="5F7BE993" w14:textId="107AF6D6" w:rsidR="00641BA6" w:rsidRDefault="001F0C99" w:rsidP="00852D08">
      <w:r>
        <w:lastRenderedPageBreak/>
        <w:t>Figure 12 shows the percentage of all antimicrobial prescriptions that were likely indicated for respiratory tract infections. From 2015 to 2019</w:t>
      </w:r>
      <w:r w:rsidR="004F7E22">
        <w:t xml:space="preserve">, approximately </w:t>
      </w:r>
      <w:r w:rsidR="00247988">
        <w:t>one</w:t>
      </w:r>
      <w:r w:rsidR="004F7E22">
        <w:t xml:space="preserve"> quarter of antimicrobial prescriptions were issued for respiratory tract infections. This decreased in 2020 to 16.0% but rose slightly to 17.3% in 2021. </w:t>
      </w:r>
    </w:p>
    <w:p w14:paraId="1E866FBD" w14:textId="7CCDF09A" w:rsidR="00351F1D" w:rsidRPr="00CE30EA" w:rsidRDefault="00CE30EA" w:rsidP="00CE30EA">
      <w:pPr>
        <w:pStyle w:val="Captions"/>
        <w:rPr>
          <w:b w:val="0"/>
          <w:bCs w:val="0"/>
        </w:rPr>
      </w:pPr>
      <w:bookmarkStart w:id="105" w:name="_Toc121491324"/>
      <w:bookmarkStart w:id="106" w:name="_Toc121840896"/>
      <w:r>
        <w:t>Figure</w:t>
      </w:r>
      <w:r w:rsidRPr="00F46944">
        <w:t> </w:t>
      </w:r>
      <w:fldSimple w:instr=" SEQ Figure \* ARABIC ">
        <w:r w:rsidR="00F34DDD">
          <w:rPr>
            <w:noProof/>
          </w:rPr>
          <w:t>12</w:t>
        </w:r>
      </w:fldSimple>
      <w:r w:rsidR="00351F1D" w:rsidRPr="00F46944">
        <w:t>:</w:t>
      </w:r>
      <w:r w:rsidR="00351F1D" w:rsidRPr="00CE30EA">
        <w:rPr>
          <w:b w:val="0"/>
          <w:bCs w:val="0"/>
        </w:rPr>
        <w:t> Percent</w:t>
      </w:r>
      <w:r w:rsidR="006E6608" w:rsidRPr="00CE30EA">
        <w:rPr>
          <w:b w:val="0"/>
          <w:bCs w:val="0"/>
        </w:rPr>
        <w:t>age</w:t>
      </w:r>
      <w:r w:rsidR="00351F1D" w:rsidRPr="00CE30EA">
        <w:rPr>
          <w:b w:val="0"/>
          <w:bCs w:val="0"/>
        </w:rPr>
        <w:t xml:space="preserve"> of </w:t>
      </w:r>
      <w:r w:rsidR="00F61D0A" w:rsidRPr="00CE30EA">
        <w:rPr>
          <w:b w:val="0"/>
          <w:bCs w:val="0"/>
        </w:rPr>
        <w:t>total antimicrobial</w:t>
      </w:r>
      <w:r w:rsidR="007770E2" w:rsidRPr="00CE30EA">
        <w:rPr>
          <w:b w:val="0"/>
          <w:bCs w:val="0"/>
        </w:rPr>
        <w:t>*</w:t>
      </w:r>
      <w:r w:rsidR="00F61D0A" w:rsidRPr="00CE30EA">
        <w:rPr>
          <w:b w:val="0"/>
          <w:bCs w:val="0"/>
        </w:rPr>
        <w:t xml:space="preserve"> prescriptions </w:t>
      </w:r>
      <w:r w:rsidR="006D0F3B" w:rsidRPr="00CE30EA">
        <w:rPr>
          <w:b w:val="0"/>
          <w:bCs w:val="0"/>
        </w:rPr>
        <w:t xml:space="preserve">recorded </w:t>
      </w:r>
      <w:r w:rsidR="004F7E22">
        <w:rPr>
          <w:b w:val="0"/>
          <w:bCs w:val="0"/>
        </w:rPr>
        <w:t>on the same day as</w:t>
      </w:r>
      <w:r w:rsidR="004F7E22" w:rsidRPr="00CE30EA">
        <w:rPr>
          <w:b w:val="0"/>
          <w:bCs w:val="0"/>
        </w:rPr>
        <w:t xml:space="preserve"> </w:t>
      </w:r>
      <w:r w:rsidR="004F7E22">
        <w:rPr>
          <w:b w:val="0"/>
          <w:bCs w:val="0"/>
        </w:rPr>
        <w:t xml:space="preserve">presentations for </w:t>
      </w:r>
      <w:r w:rsidR="00351F1D" w:rsidRPr="00CE30EA">
        <w:rPr>
          <w:b w:val="0"/>
          <w:bCs w:val="0"/>
        </w:rPr>
        <w:t xml:space="preserve">respiratory </w:t>
      </w:r>
      <w:r w:rsidR="00E8095D" w:rsidRPr="00CE30EA">
        <w:rPr>
          <w:b w:val="0"/>
          <w:bCs w:val="0"/>
        </w:rPr>
        <w:t xml:space="preserve">tract </w:t>
      </w:r>
      <w:r w:rsidR="00351F1D" w:rsidRPr="00CE30EA">
        <w:rPr>
          <w:b w:val="0"/>
          <w:bCs w:val="0"/>
        </w:rPr>
        <w:t>infections</w:t>
      </w:r>
      <w:r w:rsidR="0097547F" w:rsidRPr="00CE30EA">
        <w:rPr>
          <w:b w:val="0"/>
          <w:bCs w:val="0"/>
        </w:rPr>
        <w:t>,</w:t>
      </w:r>
      <w:r w:rsidR="00B21E98" w:rsidRPr="00CE30EA">
        <w:rPr>
          <w:b w:val="0"/>
          <w:bCs w:val="0"/>
        </w:rPr>
        <w:t xml:space="preserve"> </w:t>
      </w:r>
      <w:proofErr w:type="spellStart"/>
      <w:r w:rsidR="00351F1D" w:rsidRPr="00CE30EA">
        <w:rPr>
          <w:b w:val="0"/>
          <w:bCs w:val="0"/>
        </w:rPr>
        <w:t>MedicineInsight</w:t>
      </w:r>
      <w:proofErr w:type="spellEnd"/>
      <w:r w:rsidR="00351F1D" w:rsidRPr="00CE30EA">
        <w:rPr>
          <w:b w:val="0"/>
          <w:bCs w:val="0"/>
        </w:rPr>
        <w:t xml:space="preserve"> practices, 2015</w:t>
      </w:r>
      <w:r w:rsidR="007770E2" w:rsidRPr="00CE30EA">
        <w:rPr>
          <w:b w:val="0"/>
          <w:bCs w:val="0"/>
        </w:rPr>
        <w:t>–</w:t>
      </w:r>
      <w:r w:rsidR="00351F1D" w:rsidRPr="00CE30EA">
        <w:rPr>
          <w:b w:val="0"/>
          <w:bCs w:val="0"/>
        </w:rPr>
        <w:t>2021</w:t>
      </w:r>
      <w:bookmarkEnd w:id="105"/>
      <w:bookmarkEnd w:id="106"/>
      <w:r w:rsidR="00351F1D" w:rsidRPr="00CE30EA">
        <w:rPr>
          <w:b w:val="0"/>
          <w:bCs w:val="0"/>
        </w:rPr>
        <w:t xml:space="preserve"> </w:t>
      </w:r>
    </w:p>
    <w:p w14:paraId="501B1D8B" w14:textId="38F764F8" w:rsidR="0079450D" w:rsidRPr="00F46944" w:rsidRDefault="00580F90" w:rsidP="009C174B">
      <w:pPr>
        <w:spacing w:after="0"/>
        <w:rPr>
          <w:sz w:val="16"/>
          <w:szCs w:val="16"/>
        </w:rPr>
      </w:pPr>
      <w:r>
        <w:rPr>
          <w:noProof/>
          <w:sz w:val="16"/>
          <w:szCs w:val="16"/>
        </w:rPr>
        <w:drawing>
          <wp:inline distT="0" distB="0" distL="0" distR="0" wp14:anchorId="2C0F15F4" wp14:editId="4B93D54F">
            <wp:extent cx="5925820" cy="3420110"/>
            <wp:effectExtent l="0" t="0" r="0" b="8890"/>
            <wp:docPr id="63" name="Picture 63" descr="Figure 12: Percentage of total antimicrobial prescriptions recorded on the same day as presentations for respiratory tract infections, MedicineInsight practices, 2015–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Figure 12: Percentage of total antimicrobial prescriptions recorded on the same day as presentations for respiratory tract infections, MedicineInsight practices, 2015–2021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5820" cy="3420110"/>
                    </a:xfrm>
                    <a:prstGeom prst="rect">
                      <a:avLst/>
                    </a:prstGeom>
                    <a:noFill/>
                  </pic:spPr>
                </pic:pic>
              </a:graphicData>
            </a:graphic>
          </wp:inline>
        </w:drawing>
      </w:r>
    </w:p>
    <w:p w14:paraId="10C7CFF2" w14:textId="47290847" w:rsidR="007770E2" w:rsidRPr="00F46944" w:rsidRDefault="007770E2" w:rsidP="0076762C">
      <w:pPr>
        <w:tabs>
          <w:tab w:val="left" w:pos="142"/>
        </w:tabs>
        <w:spacing w:after="0"/>
        <w:rPr>
          <w:sz w:val="16"/>
          <w:szCs w:val="16"/>
        </w:rPr>
      </w:pPr>
      <w:r w:rsidRPr="00F46944">
        <w:rPr>
          <w:sz w:val="16"/>
          <w:szCs w:val="16"/>
        </w:rPr>
        <w:t>*</w:t>
      </w:r>
      <w:r w:rsidR="00112691">
        <w:rPr>
          <w:sz w:val="16"/>
          <w:szCs w:val="16"/>
        </w:rPr>
        <w:tab/>
      </w:r>
      <w:proofErr w:type="spellStart"/>
      <w:r w:rsidRPr="00F46944">
        <w:rPr>
          <w:sz w:val="16"/>
          <w:szCs w:val="16"/>
        </w:rPr>
        <w:t>Anti</w:t>
      </w:r>
      <w:r w:rsidR="00870DCF">
        <w:rPr>
          <w:sz w:val="16"/>
          <w:szCs w:val="16"/>
        </w:rPr>
        <w:t>bacterials</w:t>
      </w:r>
      <w:proofErr w:type="spellEnd"/>
      <w:r w:rsidRPr="00F46944">
        <w:rPr>
          <w:sz w:val="16"/>
          <w:szCs w:val="16"/>
        </w:rPr>
        <w:t xml:space="preserve"> for systemic use (</w:t>
      </w:r>
      <w:r w:rsidR="00D6375D">
        <w:rPr>
          <w:sz w:val="16"/>
          <w:szCs w:val="16"/>
        </w:rPr>
        <w:t>ATC code</w:t>
      </w:r>
      <w:r w:rsidR="00D6375D" w:rsidRPr="00F46944">
        <w:rPr>
          <w:sz w:val="16"/>
          <w:szCs w:val="16"/>
        </w:rPr>
        <w:t xml:space="preserve"> </w:t>
      </w:r>
      <w:r w:rsidRPr="00F46944">
        <w:rPr>
          <w:sz w:val="16"/>
          <w:szCs w:val="16"/>
        </w:rPr>
        <w:t>J01)</w:t>
      </w:r>
    </w:p>
    <w:p w14:paraId="4F179A98" w14:textId="234E535A" w:rsidR="007770E2" w:rsidRPr="00F46944" w:rsidRDefault="00351F1D" w:rsidP="009C174B">
      <w:pPr>
        <w:spacing w:after="0"/>
        <w:rPr>
          <w:sz w:val="16"/>
          <w:szCs w:val="16"/>
        </w:rPr>
      </w:pPr>
      <w:r w:rsidRPr="00F46944">
        <w:rPr>
          <w:sz w:val="16"/>
          <w:szCs w:val="16"/>
        </w:rPr>
        <w:t>Note</w:t>
      </w:r>
      <w:r w:rsidR="0079450D" w:rsidRPr="00F46944">
        <w:rPr>
          <w:sz w:val="16"/>
          <w:szCs w:val="16"/>
        </w:rPr>
        <w:t>s</w:t>
      </w:r>
      <w:r w:rsidRPr="00F46944">
        <w:rPr>
          <w:sz w:val="16"/>
          <w:szCs w:val="16"/>
        </w:rPr>
        <w:t>:</w:t>
      </w:r>
    </w:p>
    <w:p w14:paraId="4FD0DD7C" w14:textId="1BCD606C" w:rsidR="007770E2" w:rsidRPr="00F46944" w:rsidRDefault="00351F1D" w:rsidP="003140B6">
      <w:pPr>
        <w:pStyle w:val="ListParagraph"/>
        <w:numPr>
          <w:ilvl w:val="0"/>
          <w:numId w:val="29"/>
        </w:numPr>
        <w:spacing w:after="0"/>
        <w:ind w:left="360"/>
        <w:rPr>
          <w:sz w:val="16"/>
          <w:szCs w:val="16"/>
        </w:rPr>
      </w:pPr>
      <w:r w:rsidRPr="00F46944">
        <w:rPr>
          <w:sz w:val="16"/>
          <w:szCs w:val="16"/>
        </w:rPr>
        <w:t xml:space="preserve">Respiratory tract infections include acute bronchitis, acute </w:t>
      </w:r>
      <w:r w:rsidR="0089371C" w:rsidRPr="00F46944">
        <w:rPr>
          <w:sz w:val="16"/>
          <w:szCs w:val="16"/>
        </w:rPr>
        <w:t>upper respiratory tract infection</w:t>
      </w:r>
      <w:r w:rsidRPr="00F46944">
        <w:rPr>
          <w:sz w:val="16"/>
          <w:szCs w:val="16"/>
        </w:rPr>
        <w:t>, influenza/influenza</w:t>
      </w:r>
      <w:r w:rsidR="000E044C" w:rsidRPr="00F46944">
        <w:rPr>
          <w:sz w:val="16"/>
          <w:szCs w:val="16"/>
        </w:rPr>
        <w:t>-</w:t>
      </w:r>
      <w:r w:rsidRPr="00F46944">
        <w:rPr>
          <w:sz w:val="16"/>
          <w:szCs w:val="16"/>
        </w:rPr>
        <w:t>like illness, pneumonia, and sinusitis</w:t>
      </w:r>
      <w:r w:rsidR="007770E2" w:rsidRPr="00F46944">
        <w:rPr>
          <w:sz w:val="16"/>
          <w:szCs w:val="16"/>
        </w:rPr>
        <w:t>.</w:t>
      </w:r>
    </w:p>
    <w:p w14:paraId="20EE4A94" w14:textId="31229415" w:rsidR="007770E2" w:rsidRPr="00F46944" w:rsidRDefault="00351F1D" w:rsidP="003140B6">
      <w:pPr>
        <w:pStyle w:val="ListParagraph"/>
        <w:numPr>
          <w:ilvl w:val="0"/>
          <w:numId w:val="29"/>
        </w:numPr>
        <w:spacing w:after="0"/>
        <w:ind w:left="360"/>
        <w:rPr>
          <w:sz w:val="16"/>
          <w:szCs w:val="16"/>
        </w:rPr>
      </w:pPr>
      <w:r w:rsidRPr="00F46944">
        <w:rPr>
          <w:sz w:val="16"/>
          <w:szCs w:val="16"/>
        </w:rPr>
        <w:t>Percent of total antimicrobial prescription including indications not recorded</w:t>
      </w:r>
      <w:r w:rsidR="002A5B86" w:rsidRPr="00F46944">
        <w:rPr>
          <w:sz w:val="16"/>
          <w:szCs w:val="16"/>
        </w:rPr>
        <w:t>.</w:t>
      </w:r>
    </w:p>
    <w:p w14:paraId="3A490660" w14:textId="2D2EB18C" w:rsidR="00351F1D" w:rsidRPr="00F46944" w:rsidRDefault="00351F1D" w:rsidP="00C33DF0">
      <w:pPr>
        <w:rPr>
          <w:sz w:val="16"/>
          <w:szCs w:val="16"/>
        </w:rPr>
      </w:pPr>
      <w:r w:rsidRPr="00F46944">
        <w:rPr>
          <w:sz w:val="16"/>
          <w:szCs w:val="16"/>
        </w:rPr>
        <w:t>Source: NPS MedicineWise</w:t>
      </w:r>
      <w:r w:rsidRPr="00F46944">
        <w:rPr>
          <w:sz w:val="16"/>
          <w:szCs w:val="16"/>
        </w:rPr>
        <w:fldChar w:fldCharType="begin"/>
      </w:r>
      <w:r w:rsidR="00DB0DCB">
        <w:rPr>
          <w:sz w:val="16"/>
          <w:szCs w:val="16"/>
        </w:rPr>
        <w:instrText xml:space="preserve"> ADDIN EN.CITE &lt;EndNote&gt;&lt;Cite&gt;&lt;Author&gt;NPS MedicineWise&lt;/Author&gt;&lt;RecNum&gt;6&lt;/RecNum&gt;&lt;DisplayText&gt;&lt;style face="superscript"&gt;6&lt;/style&gt;&lt;/DisplayText&gt;&lt;record&gt;&lt;rec-number&gt;6&lt;/rec-number&gt;&lt;foreign-keys&gt;&lt;key app="EN" db-id="es9dr99ws90stoe5x2rp505nazvswdzppxa5" timestamp="1670810539"&gt;6&lt;/key&gt;&lt;/foreign-keys&gt;&lt;ref-type name="Unpublished Work"&gt;34&lt;/ref-type&gt;&lt;contributors&gt;&lt;authors&gt;&lt;author&gt;NPS MedicineWise,&lt;/author&gt;&lt;/authors&gt;&lt;/contributors&gt;&lt;titles&gt;&lt;title&gt;MedicineInsight data analyses for AURA Community report, May 2022 (unpublished)&lt;/title&gt;&lt;/titles&gt;&lt;dates&gt;&lt;/dates&gt;&lt;publisher&gt;NPS MedicineWise&lt;/publisher&gt;&lt;urls&gt;&lt;/urls&gt;&lt;/record&gt;&lt;/Cite&gt;&lt;/EndNote&gt;</w:instrText>
      </w:r>
      <w:r w:rsidRPr="00F46944">
        <w:rPr>
          <w:sz w:val="16"/>
          <w:szCs w:val="16"/>
        </w:rPr>
        <w:fldChar w:fldCharType="separate"/>
      </w:r>
      <w:r w:rsidR="001C0A42" w:rsidRPr="001C0A42">
        <w:rPr>
          <w:noProof/>
          <w:sz w:val="16"/>
          <w:szCs w:val="16"/>
          <w:vertAlign w:val="superscript"/>
        </w:rPr>
        <w:t>6</w:t>
      </w:r>
      <w:r w:rsidRPr="00F46944">
        <w:rPr>
          <w:sz w:val="16"/>
          <w:szCs w:val="16"/>
        </w:rPr>
        <w:fldChar w:fldCharType="end"/>
      </w:r>
    </w:p>
    <w:p w14:paraId="5A9C46E9" w14:textId="7D1F4B6A" w:rsidR="008764F2" w:rsidRDefault="007D07EB" w:rsidP="008764F2">
      <w:pPr>
        <w:spacing w:after="80"/>
      </w:pPr>
      <w:r w:rsidRPr="00F46944">
        <w:t>The number of n</w:t>
      </w:r>
      <w:r w:rsidR="009E11F0" w:rsidRPr="00F46944">
        <w:t>on-PBS/RPBS</w:t>
      </w:r>
      <w:r w:rsidR="0052076D" w:rsidRPr="00F46944">
        <w:t xml:space="preserve"> subsidised</w:t>
      </w:r>
      <w:r w:rsidR="009E11F0" w:rsidRPr="00F46944">
        <w:t xml:space="preserve"> antimicrobials, like those subsidised by the PBS/RPBS, rose steadily from 2015 to 2020 then</w:t>
      </w:r>
      <w:r w:rsidR="0052076D" w:rsidRPr="00F46944">
        <w:t xml:space="preserve"> decreased</w:t>
      </w:r>
      <w:r w:rsidR="009E11F0" w:rsidRPr="00F46944">
        <w:t xml:space="preserve"> dramatically from March 2020 to April 2020. </w:t>
      </w:r>
      <w:r w:rsidRPr="00F46944">
        <w:t xml:space="preserve">This reduction </w:t>
      </w:r>
      <w:r w:rsidR="00247988">
        <w:t>was</w:t>
      </w:r>
      <w:r w:rsidR="009E11F0" w:rsidRPr="00F46944">
        <w:t xml:space="preserve"> maintained, although it increased</w:t>
      </w:r>
      <w:r w:rsidR="0052076D" w:rsidRPr="00F46944">
        <w:t xml:space="preserve"> steadily </w:t>
      </w:r>
      <w:r w:rsidR="00247988">
        <w:t xml:space="preserve">from </w:t>
      </w:r>
      <w:r w:rsidR="009E11F0" w:rsidRPr="00F46944">
        <w:t>May 2020 (</w:t>
      </w:r>
      <w:r w:rsidR="009E11F0" w:rsidRPr="00870DCF">
        <w:t>Figure</w:t>
      </w:r>
      <w:r w:rsidR="0076762C">
        <w:t> </w:t>
      </w:r>
      <w:r w:rsidR="00641BA6" w:rsidRPr="00870DCF">
        <w:t>13</w:t>
      </w:r>
      <w:r w:rsidR="009E11F0" w:rsidRPr="00F46944">
        <w:t>).</w:t>
      </w:r>
    </w:p>
    <w:p w14:paraId="7395E32B" w14:textId="5CCEC775" w:rsidR="008764F2" w:rsidRDefault="008764F2" w:rsidP="008764F2">
      <w:pPr>
        <w:spacing w:after="80"/>
      </w:pPr>
      <w:r w:rsidRPr="00F46944">
        <w:t>While a decrease occurred in April 2020, the proportion of high use antimicrobial non-PBS/RPBS prescriptions continued to increase such that it more than doubled from 2.5% (54</w:t>
      </w:r>
      <w:r>
        <w:t>,</w:t>
      </w:r>
      <w:r w:rsidRPr="00F46944">
        <w:t>152/2,144,394) in 2015 to 5.3% (79</w:t>
      </w:r>
      <w:r>
        <w:t>,</w:t>
      </w:r>
      <w:r w:rsidRPr="00F46944">
        <w:t>207/1,502,438) in 2021 (</w:t>
      </w:r>
      <w:r w:rsidRPr="0010283A">
        <w:t>Figure 14</w:t>
      </w:r>
      <w:r w:rsidRPr="00F46944">
        <w:t xml:space="preserve">). This is notwithstanding this volume is relatively small compared </w:t>
      </w:r>
      <w:r w:rsidR="00E775A2">
        <w:t>to</w:t>
      </w:r>
      <w:r w:rsidRPr="00F46944">
        <w:t xml:space="preserve"> PBS/RPBS prescriptions.</w:t>
      </w:r>
    </w:p>
    <w:p w14:paraId="69E18FC8" w14:textId="470C3701" w:rsidR="0011068D" w:rsidRDefault="008764F2" w:rsidP="008764F2">
      <w:pPr>
        <w:rPr>
          <w:rFonts w:cs="Arial"/>
        </w:rPr>
      </w:pPr>
      <w:r w:rsidRPr="00F46944">
        <w:rPr>
          <w:rFonts w:cs="Arial"/>
        </w:rPr>
        <w:t xml:space="preserve">With the exception of these data from the </w:t>
      </w:r>
      <w:proofErr w:type="spellStart"/>
      <w:r w:rsidRPr="00F46944">
        <w:rPr>
          <w:rFonts w:cs="Arial"/>
        </w:rPr>
        <w:t>MedicineInsight</w:t>
      </w:r>
      <w:proofErr w:type="spellEnd"/>
      <w:r w:rsidRPr="00F46944">
        <w:rPr>
          <w:rFonts w:cs="Arial"/>
        </w:rPr>
        <w:t xml:space="preserve"> program, there are no reporting mechanisms available for non-PBS/RPBS prescriptions</w:t>
      </w:r>
      <w:r>
        <w:rPr>
          <w:rFonts w:cs="Arial"/>
        </w:rPr>
        <w:t>. T</w:t>
      </w:r>
      <w:r w:rsidRPr="00F46944">
        <w:rPr>
          <w:rFonts w:cs="Arial"/>
        </w:rPr>
        <w:t>his represents an important gap in the surveillance of antimicrobial use in Australia.</w:t>
      </w:r>
    </w:p>
    <w:p w14:paraId="3AA70970" w14:textId="77777777" w:rsidR="0011068D" w:rsidRDefault="0011068D">
      <w:pPr>
        <w:spacing w:after="80"/>
        <w:rPr>
          <w:rFonts w:cs="Arial"/>
        </w:rPr>
      </w:pPr>
      <w:r>
        <w:rPr>
          <w:rFonts w:cs="Arial"/>
        </w:rPr>
        <w:br w:type="page"/>
      </w:r>
    </w:p>
    <w:p w14:paraId="62AFB5E1" w14:textId="2445458C" w:rsidR="009E11F0" w:rsidRPr="00753233" w:rsidRDefault="00753233" w:rsidP="00753233">
      <w:pPr>
        <w:pStyle w:val="Captions"/>
        <w:rPr>
          <w:b w:val="0"/>
          <w:bCs w:val="0"/>
        </w:rPr>
      </w:pPr>
      <w:bookmarkStart w:id="107" w:name="_Toc121491325"/>
      <w:bookmarkStart w:id="108" w:name="_Toc121840897"/>
      <w:bookmarkStart w:id="109" w:name="_Hlk103591708"/>
      <w:bookmarkEnd w:id="77"/>
      <w:bookmarkEnd w:id="78"/>
      <w:bookmarkEnd w:id="104"/>
      <w:r>
        <w:lastRenderedPageBreak/>
        <w:t>Figure</w:t>
      </w:r>
      <w:r w:rsidRPr="00F46944">
        <w:t> </w:t>
      </w:r>
      <w:fldSimple w:instr=" SEQ Figure \* ARABIC ">
        <w:r w:rsidR="00F34DDD">
          <w:rPr>
            <w:noProof/>
          </w:rPr>
          <w:t>13</w:t>
        </w:r>
      </w:fldSimple>
      <w:r w:rsidR="009E11F0" w:rsidRPr="00F46944">
        <w:t>:</w:t>
      </w:r>
      <w:r w:rsidR="009E11F0" w:rsidRPr="00753233">
        <w:rPr>
          <w:b w:val="0"/>
          <w:bCs w:val="0"/>
        </w:rPr>
        <w:t> Number of non-PBS/RPBS antimicrobial*</w:t>
      </w:r>
      <w:r w:rsidR="009E11F0" w:rsidRPr="00753233">
        <w:rPr>
          <w:rFonts w:ascii="Times New Roman" w:hAnsi="Times New Roman"/>
          <w:b w:val="0"/>
          <w:bCs w:val="0"/>
          <w:sz w:val="24"/>
          <w:szCs w:val="24"/>
        </w:rPr>
        <w:t xml:space="preserve"> </w:t>
      </w:r>
      <w:r w:rsidR="009E11F0" w:rsidRPr="00753233">
        <w:rPr>
          <w:b w:val="0"/>
          <w:bCs w:val="0"/>
        </w:rPr>
        <w:t xml:space="preserve">prescriptions per 100 GP Visits, </w:t>
      </w:r>
      <w:proofErr w:type="spellStart"/>
      <w:r w:rsidR="009E11F0" w:rsidRPr="00753233">
        <w:rPr>
          <w:b w:val="0"/>
          <w:bCs w:val="0"/>
        </w:rPr>
        <w:t>MedicineInsight</w:t>
      </w:r>
      <w:proofErr w:type="spellEnd"/>
      <w:r w:rsidR="009E11F0" w:rsidRPr="00753233">
        <w:rPr>
          <w:b w:val="0"/>
          <w:bCs w:val="0"/>
        </w:rPr>
        <w:t xml:space="preserve"> practices, 2015–2021</w:t>
      </w:r>
      <w:bookmarkEnd w:id="107"/>
      <w:bookmarkEnd w:id="108"/>
    </w:p>
    <w:p w14:paraId="09E15415" w14:textId="341531DE" w:rsidR="009E11F0" w:rsidRPr="00F46944" w:rsidRDefault="00580F90" w:rsidP="00C33DF0">
      <w:pPr>
        <w:spacing w:after="0"/>
        <w:rPr>
          <w:noProof/>
        </w:rPr>
      </w:pPr>
      <w:r>
        <w:rPr>
          <w:noProof/>
        </w:rPr>
        <w:drawing>
          <wp:inline distT="0" distB="0" distL="0" distR="0" wp14:anchorId="5201BCFB" wp14:editId="497091DF">
            <wp:extent cx="5925820" cy="3060700"/>
            <wp:effectExtent l="0" t="0" r="0" b="6350"/>
            <wp:docPr id="65" name="Picture 65" descr="Figure 13: Number of non-PBS/RPBS antimicrobial prescriptions per 100 GP Visits, MedicineInsight practices, 2015–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Figure 13: Number of non-PBS/RPBS antimicrobial prescriptions per 100 GP Visits, MedicineInsight practices, 2015–20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5820" cy="3060700"/>
                    </a:xfrm>
                    <a:prstGeom prst="rect">
                      <a:avLst/>
                    </a:prstGeom>
                    <a:noFill/>
                  </pic:spPr>
                </pic:pic>
              </a:graphicData>
            </a:graphic>
          </wp:inline>
        </w:drawing>
      </w:r>
    </w:p>
    <w:p w14:paraId="24635DDB" w14:textId="7A200280" w:rsidR="009E11F0" w:rsidRPr="00F46944" w:rsidRDefault="009E11F0" w:rsidP="0076762C">
      <w:pPr>
        <w:tabs>
          <w:tab w:val="left" w:pos="142"/>
        </w:tabs>
        <w:spacing w:after="0"/>
        <w:rPr>
          <w:sz w:val="16"/>
          <w:szCs w:val="16"/>
        </w:rPr>
      </w:pPr>
      <w:r w:rsidRPr="00F46944">
        <w:rPr>
          <w:rFonts w:asciiTheme="majorHAnsi" w:hAnsiTheme="majorHAnsi" w:cstheme="majorHAnsi"/>
          <w:sz w:val="16"/>
          <w:szCs w:val="16"/>
        </w:rPr>
        <w:t>GP = </w:t>
      </w:r>
      <w:r w:rsidR="009F3268">
        <w:rPr>
          <w:rFonts w:asciiTheme="majorHAnsi" w:hAnsiTheme="majorHAnsi" w:cstheme="majorHAnsi"/>
          <w:sz w:val="16"/>
          <w:szCs w:val="16"/>
        </w:rPr>
        <w:t>g</w:t>
      </w:r>
      <w:r w:rsidRPr="00F46944">
        <w:rPr>
          <w:rFonts w:asciiTheme="majorHAnsi" w:hAnsiTheme="majorHAnsi" w:cstheme="majorHAnsi"/>
          <w:sz w:val="16"/>
          <w:szCs w:val="16"/>
        </w:rPr>
        <w:t xml:space="preserve">eneral </w:t>
      </w:r>
      <w:r w:rsidR="009F3268">
        <w:rPr>
          <w:rFonts w:asciiTheme="majorHAnsi" w:hAnsiTheme="majorHAnsi" w:cstheme="majorHAnsi"/>
          <w:sz w:val="16"/>
          <w:szCs w:val="16"/>
        </w:rPr>
        <w:t>p</w:t>
      </w:r>
      <w:r w:rsidRPr="00F46944">
        <w:rPr>
          <w:rFonts w:asciiTheme="majorHAnsi" w:hAnsiTheme="majorHAnsi" w:cstheme="majorHAnsi"/>
          <w:sz w:val="16"/>
          <w:szCs w:val="16"/>
        </w:rPr>
        <w:t>ractitioner; PBS = Pharmaceutical Benefits Scheme; RPBS = Repatriation Pharmaceutical Benefits Scheme</w:t>
      </w:r>
      <w:r w:rsidRPr="00F46944">
        <w:rPr>
          <w:rFonts w:asciiTheme="majorHAnsi" w:hAnsiTheme="majorHAnsi" w:cstheme="majorHAnsi"/>
          <w:sz w:val="16"/>
          <w:szCs w:val="16"/>
        </w:rPr>
        <w:br/>
      </w:r>
      <w:r w:rsidRPr="00F46944">
        <w:rPr>
          <w:sz w:val="16"/>
          <w:szCs w:val="16"/>
        </w:rPr>
        <w:t>*</w:t>
      </w:r>
      <w:r w:rsidR="00112691">
        <w:rPr>
          <w:sz w:val="16"/>
          <w:szCs w:val="16"/>
        </w:rPr>
        <w:tab/>
      </w:r>
      <w:proofErr w:type="spellStart"/>
      <w:r w:rsidRPr="00F46944">
        <w:rPr>
          <w:sz w:val="16"/>
          <w:szCs w:val="16"/>
        </w:rPr>
        <w:t>Anti</w:t>
      </w:r>
      <w:r w:rsidR="00870DCF">
        <w:rPr>
          <w:sz w:val="16"/>
          <w:szCs w:val="16"/>
        </w:rPr>
        <w:t>bacterials</w:t>
      </w:r>
      <w:proofErr w:type="spellEnd"/>
      <w:r w:rsidRPr="00F46944">
        <w:rPr>
          <w:sz w:val="16"/>
          <w:szCs w:val="16"/>
        </w:rPr>
        <w:t xml:space="preserve"> for systemic use (</w:t>
      </w:r>
      <w:r w:rsidR="00D6375D">
        <w:rPr>
          <w:sz w:val="16"/>
          <w:szCs w:val="16"/>
        </w:rPr>
        <w:t>ATC code</w:t>
      </w:r>
      <w:r w:rsidR="00D6375D" w:rsidRPr="00F46944">
        <w:rPr>
          <w:sz w:val="16"/>
          <w:szCs w:val="16"/>
        </w:rPr>
        <w:t xml:space="preserve"> </w:t>
      </w:r>
      <w:r w:rsidRPr="00F46944">
        <w:rPr>
          <w:sz w:val="16"/>
          <w:szCs w:val="16"/>
        </w:rPr>
        <w:t>J01)</w:t>
      </w:r>
    </w:p>
    <w:p w14:paraId="13146531" w14:textId="786B994E" w:rsidR="009E11F0" w:rsidRPr="00F46944" w:rsidRDefault="009E11F0" w:rsidP="009E11F0">
      <w:r w:rsidRPr="00F46944">
        <w:rPr>
          <w:sz w:val="16"/>
          <w:szCs w:val="16"/>
        </w:rPr>
        <w:t>Source: NPS MedicineWise</w:t>
      </w:r>
      <w:r w:rsidRPr="00F46944">
        <w:rPr>
          <w:sz w:val="16"/>
          <w:szCs w:val="16"/>
        </w:rPr>
        <w:fldChar w:fldCharType="begin"/>
      </w:r>
      <w:r w:rsidR="00DB0DCB">
        <w:rPr>
          <w:sz w:val="16"/>
          <w:szCs w:val="16"/>
        </w:rPr>
        <w:instrText xml:space="preserve"> ADDIN EN.CITE &lt;EndNote&gt;&lt;Cite&gt;&lt;Author&gt;NPS MedicineWise&lt;/Author&gt;&lt;RecNum&gt;6&lt;/RecNum&gt;&lt;DisplayText&gt;&lt;style face="superscript"&gt;6&lt;/style&gt;&lt;/DisplayText&gt;&lt;record&gt;&lt;rec-number&gt;6&lt;/rec-number&gt;&lt;foreign-keys&gt;&lt;key app="EN" db-id="es9dr99ws90stoe5x2rp505nazvswdzppxa5" timestamp="1670810539"&gt;6&lt;/key&gt;&lt;/foreign-keys&gt;&lt;ref-type name="Unpublished Work"&gt;34&lt;/ref-type&gt;&lt;contributors&gt;&lt;authors&gt;&lt;author&gt;NPS MedicineWise,&lt;/author&gt;&lt;/authors&gt;&lt;/contributors&gt;&lt;titles&gt;&lt;title&gt;MedicineInsight data analyses for AURA Community report, May 2022 (unpublished)&lt;/title&gt;&lt;/titles&gt;&lt;dates&gt;&lt;/dates&gt;&lt;publisher&gt;NPS MedicineWise&lt;/publisher&gt;&lt;urls&gt;&lt;/urls&gt;&lt;/record&gt;&lt;/Cite&gt;&lt;/EndNote&gt;</w:instrText>
      </w:r>
      <w:r w:rsidRPr="00F46944">
        <w:rPr>
          <w:sz w:val="16"/>
          <w:szCs w:val="16"/>
        </w:rPr>
        <w:fldChar w:fldCharType="separate"/>
      </w:r>
      <w:r w:rsidR="001C0A42" w:rsidRPr="001C0A42">
        <w:rPr>
          <w:noProof/>
          <w:sz w:val="16"/>
          <w:szCs w:val="16"/>
          <w:vertAlign w:val="superscript"/>
        </w:rPr>
        <w:t>6</w:t>
      </w:r>
      <w:r w:rsidRPr="00F46944">
        <w:rPr>
          <w:sz w:val="16"/>
          <w:szCs w:val="16"/>
        </w:rPr>
        <w:fldChar w:fldCharType="end"/>
      </w:r>
    </w:p>
    <w:p w14:paraId="4254EC1C" w14:textId="77777777" w:rsidR="008764F2" w:rsidRDefault="008764F2">
      <w:pPr>
        <w:spacing w:after="80"/>
      </w:pPr>
    </w:p>
    <w:p w14:paraId="32F3CEC5" w14:textId="12B8B94C" w:rsidR="00C00CFC" w:rsidRPr="00E60CBE" w:rsidRDefault="00E60CBE" w:rsidP="00E60CBE">
      <w:pPr>
        <w:pStyle w:val="Captions"/>
        <w:rPr>
          <w:b w:val="0"/>
          <w:bCs w:val="0"/>
        </w:rPr>
      </w:pPr>
      <w:bookmarkStart w:id="110" w:name="_Toc121491326"/>
      <w:bookmarkStart w:id="111" w:name="_Toc121840898"/>
      <w:r>
        <w:t>Figure</w:t>
      </w:r>
      <w:r w:rsidRPr="00F46944">
        <w:t> </w:t>
      </w:r>
      <w:fldSimple w:instr=" SEQ Figure \* ARABIC ">
        <w:r w:rsidR="00F34DDD">
          <w:rPr>
            <w:noProof/>
          </w:rPr>
          <w:t>14</w:t>
        </w:r>
      </w:fldSimple>
      <w:r w:rsidR="00C00CFC" w:rsidRPr="00F46944">
        <w:t>:</w:t>
      </w:r>
      <w:r w:rsidR="00C00CFC" w:rsidRPr="00E60CBE">
        <w:rPr>
          <w:b w:val="0"/>
          <w:bCs w:val="0"/>
        </w:rPr>
        <w:t> </w:t>
      </w:r>
      <w:r w:rsidR="006E6608" w:rsidRPr="00E60CBE">
        <w:rPr>
          <w:b w:val="0"/>
          <w:bCs w:val="0"/>
        </w:rPr>
        <w:t xml:space="preserve">Percentage of </w:t>
      </w:r>
      <w:r w:rsidR="00172E00" w:rsidRPr="00E60CBE">
        <w:rPr>
          <w:b w:val="0"/>
          <w:bCs w:val="0"/>
        </w:rPr>
        <w:t>non-PBS/RPBS</w:t>
      </w:r>
      <w:r w:rsidR="00B248F1" w:rsidRPr="00E60CBE">
        <w:rPr>
          <w:b w:val="0"/>
          <w:bCs w:val="0"/>
        </w:rPr>
        <w:t xml:space="preserve"> </w:t>
      </w:r>
      <w:r w:rsidR="007770E2" w:rsidRPr="00E60CBE">
        <w:rPr>
          <w:b w:val="0"/>
          <w:bCs w:val="0"/>
        </w:rPr>
        <w:t xml:space="preserve">antimicrobial* </w:t>
      </w:r>
      <w:r w:rsidR="00B248F1" w:rsidRPr="00E60CBE">
        <w:rPr>
          <w:b w:val="0"/>
          <w:bCs w:val="0"/>
        </w:rPr>
        <w:t>prescriptions</w:t>
      </w:r>
      <w:r w:rsidR="00C00CFC" w:rsidRPr="00E60CBE">
        <w:rPr>
          <w:b w:val="0"/>
          <w:bCs w:val="0"/>
        </w:rPr>
        <w:t xml:space="preserve"> (originals plus repeats) </w:t>
      </w:r>
      <w:r w:rsidR="006E6608" w:rsidRPr="00E60CBE">
        <w:rPr>
          <w:b w:val="0"/>
          <w:bCs w:val="0"/>
        </w:rPr>
        <w:t xml:space="preserve">of </w:t>
      </w:r>
      <w:r w:rsidR="00C00CFC" w:rsidRPr="00E60CBE">
        <w:rPr>
          <w:b w:val="0"/>
          <w:bCs w:val="0"/>
        </w:rPr>
        <w:t>total</w:t>
      </w:r>
      <w:r w:rsidR="007770E2" w:rsidRPr="00E60CBE">
        <w:rPr>
          <w:b w:val="0"/>
          <w:bCs w:val="0"/>
        </w:rPr>
        <w:t xml:space="preserve"> antimicrobial*</w:t>
      </w:r>
      <w:r w:rsidR="00C00CFC" w:rsidRPr="00E60CBE">
        <w:rPr>
          <w:b w:val="0"/>
          <w:bCs w:val="0"/>
        </w:rPr>
        <w:t xml:space="preserve"> prescriptions (originals plus repeats)</w:t>
      </w:r>
      <w:r w:rsidR="007770E2" w:rsidRPr="00E60CBE">
        <w:rPr>
          <w:b w:val="0"/>
          <w:bCs w:val="0"/>
        </w:rPr>
        <w:t xml:space="preserve">, </w:t>
      </w:r>
      <w:proofErr w:type="spellStart"/>
      <w:r w:rsidR="001829AF" w:rsidRPr="00E60CBE">
        <w:rPr>
          <w:b w:val="0"/>
          <w:bCs w:val="0"/>
        </w:rPr>
        <w:t>MedicineInsight</w:t>
      </w:r>
      <w:proofErr w:type="spellEnd"/>
      <w:r w:rsidR="001829AF" w:rsidRPr="00E60CBE">
        <w:rPr>
          <w:b w:val="0"/>
          <w:bCs w:val="0"/>
        </w:rPr>
        <w:t xml:space="preserve"> </w:t>
      </w:r>
      <w:r w:rsidR="00201776" w:rsidRPr="00E60CBE">
        <w:rPr>
          <w:b w:val="0"/>
          <w:bCs w:val="0"/>
        </w:rPr>
        <w:t>p</w:t>
      </w:r>
      <w:r w:rsidR="001829AF" w:rsidRPr="00E60CBE">
        <w:rPr>
          <w:b w:val="0"/>
          <w:bCs w:val="0"/>
        </w:rPr>
        <w:t xml:space="preserve">ractices, </w:t>
      </w:r>
      <w:r w:rsidR="007770E2" w:rsidRPr="00E60CBE">
        <w:rPr>
          <w:b w:val="0"/>
          <w:bCs w:val="0"/>
        </w:rPr>
        <w:t>2015–2021</w:t>
      </w:r>
      <w:bookmarkEnd w:id="110"/>
      <w:bookmarkEnd w:id="111"/>
    </w:p>
    <w:p w14:paraId="73B4C4B4" w14:textId="49E028B4" w:rsidR="00C00CFC" w:rsidRPr="00F46944" w:rsidRDefault="00580F90" w:rsidP="00C33DF0">
      <w:pPr>
        <w:spacing w:after="0"/>
      </w:pPr>
      <w:r>
        <w:rPr>
          <w:noProof/>
        </w:rPr>
        <w:drawing>
          <wp:inline distT="0" distB="0" distL="0" distR="0" wp14:anchorId="7FB974D0" wp14:editId="36578A38">
            <wp:extent cx="6035675" cy="3060700"/>
            <wp:effectExtent l="0" t="0" r="3175" b="6350"/>
            <wp:docPr id="70" name="Picture 70" descr="Figure 14: Percentage of non-PBS/RPBS antimicrobial prescriptions (originals plus repeats) of total antimicrobial* prescriptions (originals plus repeats), MedicineInsight practices, 2015–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Figure 14: Percentage of non-PBS/RPBS antimicrobial prescriptions (originals plus repeats) of total antimicrobial* prescriptions (originals plus repeats), MedicineInsight practices, 2015–20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5675" cy="3060700"/>
                    </a:xfrm>
                    <a:prstGeom prst="rect">
                      <a:avLst/>
                    </a:prstGeom>
                    <a:noFill/>
                  </pic:spPr>
                </pic:pic>
              </a:graphicData>
            </a:graphic>
          </wp:inline>
        </w:drawing>
      </w:r>
      <w:bookmarkStart w:id="112" w:name="_Hlk103954479"/>
      <w:bookmarkEnd w:id="109"/>
    </w:p>
    <w:p w14:paraId="062E0C4C" w14:textId="1614A364" w:rsidR="0048767A" w:rsidRPr="00F46944" w:rsidRDefault="006620C9" w:rsidP="0076762C">
      <w:pPr>
        <w:tabs>
          <w:tab w:val="left" w:pos="142"/>
        </w:tabs>
        <w:spacing w:after="0"/>
        <w:rPr>
          <w:sz w:val="16"/>
          <w:szCs w:val="16"/>
        </w:rPr>
      </w:pPr>
      <w:r w:rsidRPr="00F46944">
        <w:rPr>
          <w:rFonts w:asciiTheme="majorHAnsi" w:hAnsiTheme="majorHAnsi" w:cstheme="majorHAnsi"/>
          <w:sz w:val="16"/>
          <w:szCs w:val="16"/>
        </w:rPr>
        <w:t>PBS = Pharmaceutical Benefits Scheme; RPBS = Repatriation Pharmaceutical Benefits Scheme</w:t>
      </w:r>
      <w:r w:rsidRPr="00F46944">
        <w:rPr>
          <w:rFonts w:asciiTheme="majorHAnsi" w:hAnsiTheme="majorHAnsi" w:cstheme="majorHAnsi"/>
          <w:sz w:val="16"/>
          <w:szCs w:val="16"/>
        </w:rPr>
        <w:br/>
      </w:r>
      <w:r w:rsidR="0048767A" w:rsidRPr="00F46944">
        <w:rPr>
          <w:sz w:val="16"/>
          <w:szCs w:val="16"/>
        </w:rPr>
        <w:t>*</w:t>
      </w:r>
      <w:r w:rsidR="00112691">
        <w:rPr>
          <w:sz w:val="16"/>
          <w:szCs w:val="16"/>
        </w:rPr>
        <w:tab/>
      </w:r>
      <w:proofErr w:type="spellStart"/>
      <w:r w:rsidR="0048767A" w:rsidRPr="00F46944">
        <w:rPr>
          <w:sz w:val="16"/>
          <w:szCs w:val="16"/>
        </w:rPr>
        <w:t>Anti</w:t>
      </w:r>
      <w:r w:rsidR="00870DCF">
        <w:rPr>
          <w:sz w:val="16"/>
          <w:szCs w:val="16"/>
        </w:rPr>
        <w:t>bacterials</w:t>
      </w:r>
      <w:proofErr w:type="spellEnd"/>
      <w:r w:rsidR="00870DCF">
        <w:rPr>
          <w:sz w:val="16"/>
          <w:szCs w:val="16"/>
        </w:rPr>
        <w:t xml:space="preserve"> </w:t>
      </w:r>
      <w:r w:rsidR="0048767A" w:rsidRPr="00F46944">
        <w:rPr>
          <w:sz w:val="16"/>
          <w:szCs w:val="16"/>
        </w:rPr>
        <w:t>for systemic use (</w:t>
      </w:r>
      <w:r w:rsidR="00D6375D">
        <w:rPr>
          <w:sz w:val="16"/>
          <w:szCs w:val="16"/>
        </w:rPr>
        <w:t>ATC code</w:t>
      </w:r>
      <w:r w:rsidR="00D6375D" w:rsidRPr="00F46944">
        <w:rPr>
          <w:sz w:val="16"/>
          <w:szCs w:val="16"/>
        </w:rPr>
        <w:t xml:space="preserve"> </w:t>
      </w:r>
      <w:r w:rsidR="0048767A" w:rsidRPr="00F46944">
        <w:rPr>
          <w:sz w:val="16"/>
          <w:szCs w:val="16"/>
        </w:rPr>
        <w:t>J01)</w:t>
      </w:r>
    </w:p>
    <w:p w14:paraId="21DE46B2" w14:textId="32B3EA65" w:rsidR="002158D1" w:rsidRPr="00F46944" w:rsidRDefault="002158D1" w:rsidP="007770E2">
      <w:pPr>
        <w:spacing w:after="0"/>
        <w:rPr>
          <w:sz w:val="16"/>
          <w:szCs w:val="16"/>
        </w:rPr>
      </w:pPr>
      <w:r w:rsidRPr="00F46944">
        <w:rPr>
          <w:sz w:val="16"/>
          <w:szCs w:val="16"/>
        </w:rPr>
        <w:t>Note</w:t>
      </w:r>
      <w:r w:rsidR="00C01825" w:rsidRPr="00F46944">
        <w:rPr>
          <w:sz w:val="16"/>
          <w:szCs w:val="16"/>
        </w:rPr>
        <w:t>s</w:t>
      </w:r>
      <w:r w:rsidRPr="00F46944">
        <w:rPr>
          <w:sz w:val="16"/>
          <w:szCs w:val="16"/>
        </w:rPr>
        <w:t xml:space="preserve">: </w:t>
      </w:r>
    </w:p>
    <w:p w14:paraId="591F0855" w14:textId="190129BE" w:rsidR="009C174B" w:rsidRPr="00F46944" w:rsidRDefault="002158D1" w:rsidP="007631ED">
      <w:pPr>
        <w:pStyle w:val="ListParagraph"/>
        <w:numPr>
          <w:ilvl w:val="3"/>
          <w:numId w:val="13"/>
        </w:numPr>
        <w:spacing w:after="0"/>
        <w:ind w:left="426"/>
        <w:rPr>
          <w:sz w:val="16"/>
          <w:szCs w:val="16"/>
        </w:rPr>
      </w:pPr>
      <w:r w:rsidRPr="00F46944">
        <w:rPr>
          <w:sz w:val="16"/>
          <w:szCs w:val="16"/>
        </w:rPr>
        <w:t>Figure</w:t>
      </w:r>
      <w:r w:rsidR="009C174B" w:rsidRPr="00F46944">
        <w:rPr>
          <w:sz w:val="16"/>
          <w:szCs w:val="16"/>
        </w:rPr>
        <w:t> </w:t>
      </w:r>
      <w:r w:rsidR="00641BA6" w:rsidRPr="00F46944">
        <w:rPr>
          <w:sz w:val="16"/>
          <w:szCs w:val="16"/>
        </w:rPr>
        <w:t>1</w:t>
      </w:r>
      <w:r w:rsidR="00641BA6">
        <w:rPr>
          <w:sz w:val="16"/>
          <w:szCs w:val="16"/>
        </w:rPr>
        <w:t>4</w:t>
      </w:r>
      <w:r w:rsidR="00641BA6" w:rsidRPr="00F46944">
        <w:rPr>
          <w:sz w:val="16"/>
          <w:szCs w:val="16"/>
        </w:rPr>
        <w:t xml:space="preserve"> </w:t>
      </w:r>
      <w:r w:rsidRPr="00F46944">
        <w:rPr>
          <w:sz w:val="16"/>
          <w:szCs w:val="16"/>
        </w:rPr>
        <w:t xml:space="preserve">represents the proportion of prescriptions that are </w:t>
      </w:r>
      <w:r w:rsidR="00C01825" w:rsidRPr="00F46944">
        <w:rPr>
          <w:sz w:val="16"/>
          <w:szCs w:val="16"/>
        </w:rPr>
        <w:t xml:space="preserve">written with </w:t>
      </w:r>
      <w:r w:rsidRPr="00F46944">
        <w:rPr>
          <w:sz w:val="16"/>
          <w:szCs w:val="16"/>
        </w:rPr>
        <w:t>repeat</w:t>
      </w:r>
      <w:r w:rsidR="00C01825" w:rsidRPr="00F46944">
        <w:rPr>
          <w:sz w:val="16"/>
          <w:szCs w:val="16"/>
        </w:rPr>
        <w:t>s,</w:t>
      </w:r>
      <w:r w:rsidRPr="00F46944">
        <w:rPr>
          <w:sz w:val="16"/>
          <w:szCs w:val="16"/>
        </w:rPr>
        <w:t xml:space="preserve"> compared to prescriptions that are </w:t>
      </w:r>
      <w:r w:rsidR="00C01825" w:rsidRPr="00F46944">
        <w:rPr>
          <w:sz w:val="16"/>
          <w:szCs w:val="16"/>
        </w:rPr>
        <w:t xml:space="preserve">written </w:t>
      </w:r>
      <w:r w:rsidRPr="00F46944">
        <w:rPr>
          <w:sz w:val="16"/>
          <w:szCs w:val="16"/>
        </w:rPr>
        <w:t xml:space="preserve">as </w:t>
      </w:r>
      <w:r w:rsidR="00C01825" w:rsidRPr="00F46944">
        <w:rPr>
          <w:sz w:val="16"/>
          <w:szCs w:val="16"/>
        </w:rPr>
        <w:t>o</w:t>
      </w:r>
      <w:r w:rsidRPr="00F46944">
        <w:rPr>
          <w:sz w:val="16"/>
          <w:szCs w:val="16"/>
        </w:rPr>
        <w:t>riginal</w:t>
      </w:r>
      <w:r w:rsidR="00C01825" w:rsidRPr="00F46944">
        <w:rPr>
          <w:sz w:val="16"/>
          <w:szCs w:val="16"/>
        </w:rPr>
        <w:t>s</w:t>
      </w:r>
      <w:r w:rsidRPr="00F46944">
        <w:rPr>
          <w:sz w:val="16"/>
          <w:szCs w:val="16"/>
        </w:rPr>
        <w:t xml:space="preserve"> (repeat not stated)</w:t>
      </w:r>
      <w:r w:rsidR="00C01825" w:rsidRPr="00F46944">
        <w:rPr>
          <w:sz w:val="16"/>
          <w:szCs w:val="16"/>
        </w:rPr>
        <w:t>.</w:t>
      </w:r>
      <w:r w:rsidRPr="00F46944">
        <w:rPr>
          <w:sz w:val="16"/>
          <w:szCs w:val="16"/>
        </w:rPr>
        <w:t xml:space="preserve"> It is noted that changes in number of GP visits, practices and patients occur </w:t>
      </w:r>
      <w:r w:rsidR="00C01825" w:rsidRPr="00F46944">
        <w:rPr>
          <w:sz w:val="16"/>
          <w:szCs w:val="16"/>
        </w:rPr>
        <w:t>over time</w:t>
      </w:r>
      <w:r w:rsidRPr="00F46944">
        <w:rPr>
          <w:sz w:val="16"/>
          <w:szCs w:val="16"/>
        </w:rPr>
        <w:t xml:space="preserve">. </w:t>
      </w:r>
    </w:p>
    <w:p w14:paraId="2839A336" w14:textId="6E1FE624" w:rsidR="009C174B" w:rsidRPr="00F46944" w:rsidRDefault="002158D1" w:rsidP="007631ED">
      <w:pPr>
        <w:pStyle w:val="ListParagraph"/>
        <w:numPr>
          <w:ilvl w:val="3"/>
          <w:numId w:val="13"/>
        </w:numPr>
        <w:spacing w:after="0"/>
        <w:ind w:left="426"/>
        <w:rPr>
          <w:sz w:val="16"/>
          <w:szCs w:val="16"/>
        </w:rPr>
      </w:pPr>
      <w:r w:rsidRPr="00F46944">
        <w:rPr>
          <w:sz w:val="16"/>
          <w:szCs w:val="16"/>
        </w:rPr>
        <w:t>Number of practices was 480 in 2015, 493 in 2016, 498 in 2017, 502 in 2018, 502 in 2019, 503 in 2020</w:t>
      </w:r>
      <w:r w:rsidR="00C01825" w:rsidRPr="00F46944">
        <w:rPr>
          <w:sz w:val="16"/>
          <w:szCs w:val="16"/>
        </w:rPr>
        <w:t>,</w:t>
      </w:r>
      <w:r w:rsidRPr="00F46944">
        <w:rPr>
          <w:sz w:val="16"/>
          <w:szCs w:val="16"/>
        </w:rPr>
        <w:t xml:space="preserve"> and 504 in 2021. </w:t>
      </w:r>
    </w:p>
    <w:p w14:paraId="6288C2C8" w14:textId="6575F609" w:rsidR="00D852E7" w:rsidRPr="00F46944" w:rsidRDefault="00250E29" w:rsidP="0093641B">
      <w:pPr>
        <w:rPr>
          <w:sz w:val="16"/>
          <w:szCs w:val="16"/>
        </w:rPr>
      </w:pPr>
      <w:r w:rsidRPr="00F46944">
        <w:rPr>
          <w:sz w:val="16"/>
          <w:szCs w:val="16"/>
        </w:rPr>
        <w:t>Source: NPS MedicineWise</w:t>
      </w:r>
      <w:r w:rsidRPr="00F46944">
        <w:rPr>
          <w:sz w:val="16"/>
          <w:szCs w:val="16"/>
        </w:rPr>
        <w:fldChar w:fldCharType="begin"/>
      </w:r>
      <w:r w:rsidR="00DB0DCB">
        <w:rPr>
          <w:sz w:val="16"/>
          <w:szCs w:val="16"/>
        </w:rPr>
        <w:instrText xml:space="preserve"> ADDIN EN.CITE &lt;EndNote&gt;&lt;Cite&gt;&lt;Author&gt;NPS MedicineWise&lt;/Author&gt;&lt;RecNum&gt;6&lt;/RecNum&gt;&lt;DisplayText&gt;&lt;style face="superscript"&gt;6&lt;/style&gt;&lt;/DisplayText&gt;&lt;record&gt;&lt;rec-number&gt;6&lt;/rec-number&gt;&lt;foreign-keys&gt;&lt;key app="EN" db-id="es9dr99ws90stoe5x2rp505nazvswdzppxa5" timestamp="1670810539"&gt;6&lt;/key&gt;&lt;/foreign-keys&gt;&lt;ref-type name="Unpublished Work"&gt;34&lt;/ref-type&gt;&lt;contributors&gt;&lt;authors&gt;&lt;author&gt;NPS MedicineWise,&lt;/author&gt;&lt;/authors&gt;&lt;/contributors&gt;&lt;titles&gt;&lt;title&gt;MedicineInsight data analyses for AURA Community report, May 2022 (unpublished)&lt;/title&gt;&lt;/titles&gt;&lt;dates&gt;&lt;/dates&gt;&lt;publisher&gt;NPS MedicineWise&lt;/publisher&gt;&lt;urls&gt;&lt;/urls&gt;&lt;/record&gt;&lt;/Cite&gt;&lt;/EndNote&gt;</w:instrText>
      </w:r>
      <w:r w:rsidRPr="00F46944">
        <w:rPr>
          <w:sz w:val="16"/>
          <w:szCs w:val="16"/>
        </w:rPr>
        <w:fldChar w:fldCharType="separate"/>
      </w:r>
      <w:r w:rsidR="001C0A42" w:rsidRPr="001C0A42">
        <w:rPr>
          <w:noProof/>
          <w:sz w:val="16"/>
          <w:szCs w:val="16"/>
          <w:vertAlign w:val="superscript"/>
        </w:rPr>
        <w:t>6</w:t>
      </w:r>
      <w:r w:rsidRPr="00F46944">
        <w:rPr>
          <w:sz w:val="16"/>
          <w:szCs w:val="16"/>
        </w:rPr>
        <w:fldChar w:fldCharType="end"/>
      </w:r>
    </w:p>
    <w:p w14:paraId="0F90CF14" w14:textId="77777777" w:rsidR="00C33DF0" w:rsidRDefault="00C33DF0" w:rsidP="00C0220C"/>
    <w:p w14:paraId="42629A1D" w14:textId="09474E3A" w:rsidR="0093641B" w:rsidRPr="00F46944" w:rsidRDefault="0093641B" w:rsidP="00C0220C">
      <w:r w:rsidRPr="00F46944">
        <w:lastRenderedPageBreak/>
        <w:t xml:space="preserve">It is notable that there has been a high </w:t>
      </w:r>
      <w:r w:rsidR="00BE64C0" w:rsidRPr="00F46944">
        <w:t xml:space="preserve">and increasing </w:t>
      </w:r>
      <w:r w:rsidRPr="00F46944">
        <w:t xml:space="preserve">proportion of </w:t>
      </w:r>
      <w:r w:rsidR="00EF4A65" w:rsidRPr="00F46944">
        <w:t xml:space="preserve">non-PBS/RPBS </w:t>
      </w:r>
      <w:r w:rsidR="00250E29" w:rsidRPr="00F46944">
        <w:t xml:space="preserve">azithromycin </w:t>
      </w:r>
      <w:r w:rsidRPr="00F46944">
        <w:t xml:space="preserve">prescriptions </w:t>
      </w:r>
      <w:r w:rsidR="00C0220C" w:rsidRPr="00F46944">
        <w:t xml:space="preserve">between 2015 and 2021. </w:t>
      </w:r>
      <w:r w:rsidR="00BE64C0" w:rsidRPr="00F46944">
        <w:t xml:space="preserve">This </w:t>
      </w:r>
      <w:r w:rsidR="00C0220C" w:rsidRPr="00F46944">
        <w:t xml:space="preserve">was </w:t>
      </w:r>
      <w:r w:rsidR="00BE64C0" w:rsidRPr="00F46944">
        <w:t xml:space="preserve">at </w:t>
      </w:r>
      <w:r w:rsidRPr="00F46944">
        <w:t>5</w:t>
      </w:r>
      <w:r w:rsidR="00FA225A" w:rsidRPr="00F46944">
        <w:t>1</w:t>
      </w:r>
      <w:r w:rsidR="00513951">
        <w:t>.4</w:t>
      </w:r>
      <w:r w:rsidRPr="00F46944">
        <w:t>%</w:t>
      </w:r>
      <w:r w:rsidR="00FA225A" w:rsidRPr="00F46944">
        <w:t xml:space="preserve"> (22,299/43,391</w:t>
      </w:r>
      <w:r w:rsidR="00C0220C" w:rsidRPr="00F46944">
        <w:t>)</w:t>
      </w:r>
      <w:r w:rsidR="00BE64C0" w:rsidRPr="00F46944">
        <w:t xml:space="preserve"> in 2019</w:t>
      </w:r>
      <w:r w:rsidR="005067C8" w:rsidRPr="00F46944">
        <w:t>,</w:t>
      </w:r>
      <w:r w:rsidR="00BE64C0" w:rsidRPr="00F46944">
        <w:t xml:space="preserve"> which was</w:t>
      </w:r>
      <w:r w:rsidR="00C0220C" w:rsidRPr="00F46944">
        <w:t xml:space="preserve"> sustained </w:t>
      </w:r>
      <w:r w:rsidR="00FA225A" w:rsidRPr="00F46944">
        <w:t>in</w:t>
      </w:r>
      <w:r w:rsidR="00BE64C0" w:rsidRPr="00F46944">
        <w:t>to</w:t>
      </w:r>
      <w:r w:rsidR="00FA225A" w:rsidRPr="00F46944">
        <w:t xml:space="preserve"> 2020</w:t>
      </w:r>
      <w:r w:rsidR="00B06F87" w:rsidRPr="00F46944">
        <w:t xml:space="preserve"> (14,432/30,239</w:t>
      </w:r>
      <w:r w:rsidR="0079450D" w:rsidRPr="00F46944">
        <w:t>, 4</w:t>
      </w:r>
      <w:r w:rsidR="00513951">
        <w:t>7.7</w:t>
      </w:r>
      <w:r w:rsidR="0079450D" w:rsidRPr="00F46944">
        <w:t>%)</w:t>
      </w:r>
      <w:r w:rsidR="00B06F87" w:rsidRPr="00F46944">
        <w:t xml:space="preserve"> </w:t>
      </w:r>
      <w:r w:rsidR="00FA225A" w:rsidRPr="00F46944">
        <w:t>and 2021</w:t>
      </w:r>
      <w:r w:rsidR="00B06F87" w:rsidRPr="00F46944">
        <w:t xml:space="preserve"> (14,050/28,743</w:t>
      </w:r>
      <w:r w:rsidR="0079450D" w:rsidRPr="00F46944">
        <w:t>, 4</w:t>
      </w:r>
      <w:r w:rsidR="00513951">
        <w:t>8.</w:t>
      </w:r>
      <w:r w:rsidR="0079450D" w:rsidRPr="00F46944">
        <w:t>9%</w:t>
      </w:r>
      <w:r w:rsidR="00B06F87" w:rsidRPr="00F46944">
        <w:t>)</w:t>
      </w:r>
      <w:r w:rsidR="00BE64C0" w:rsidRPr="00F46944">
        <w:t>. It is possible</w:t>
      </w:r>
      <w:r w:rsidRPr="00F46944">
        <w:t xml:space="preserve"> </w:t>
      </w:r>
      <w:r w:rsidR="00464B99" w:rsidRPr="00F46944">
        <w:t xml:space="preserve">that </w:t>
      </w:r>
      <w:r w:rsidR="009A08B4" w:rsidRPr="00F46944">
        <w:t xml:space="preserve">azithromycin </w:t>
      </w:r>
      <w:r w:rsidR="00464B99" w:rsidRPr="00F46944">
        <w:t>is being prescribed</w:t>
      </w:r>
      <w:r w:rsidRPr="00F46944">
        <w:t xml:space="preserve"> </w:t>
      </w:r>
      <w:r w:rsidR="00BE64C0" w:rsidRPr="00F46944">
        <w:t xml:space="preserve">in favour </w:t>
      </w:r>
      <w:r w:rsidRPr="00F46944">
        <w:t>of roxithromycin</w:t>
      </w:r>
      <w:r w:rsidR="00353F96" w:rsidRPr="00F46944">
        <w:t xml:space="preserve"> – also a macrolide antibiotic – </w:t>
      </w:r>
      <w:r w:rsidR="00464B99" w:rsidRPr="00F46944">
        <w:t>in general practice</w:t>
      </w:r>
      <w:r w:rsidR="00BE64C0" w:rsidRPr="00F46944">
        <w:t>.</w:t>
      </w:r>
    </w:p>
    <w:p w14:paraId="2B9469D4" w14:textId="537615C3" w:rsidR="00434263" w:rsidRPr="00F46944" w:rsidRDefault="0093641B" w:rsidP="0093641B">
      <w:bookmarkStart w:id="113" w:name="_Hlk105366463"/>
      <w:r w:rsidRPr="00F46944">
        <w:t xml:space="preserve">There was also a steady rise in the proportion of </w:t>
      </w:r>
      <w:r w:rsidR="00BE64C0" w:rsidRPr="00F46944">
        <w:t xml:space="preserve">non-PBS/RPBS </w:t>
      </w:r>
      <w:r w:rsidRPr="00F46944">
        <w:t xml:space="preserve">prescriptions for ciprofloxacin, reaching </w:t>
      </w:r>
      <w:r w:rsidR="00BE64C0" w:rsidRPr="00F46944">
        <w:t>36</w:t>
      </w:r>
      <w:r w:rsidR="00513951">
        <w:t>.0</w:t>
      </w:r>
      <w:r w:rsidRPr="00F46944">
        <w:t>%</w:t>
      </w:r>
      <w:r w:rsidR="00434263" w:rsidRPr="00F46944">
        <w:t xml:space="preserve"> (6,405/17,771)</w:t>
      </w:r>
      <w:r w:rsidRPr="00F46944">
        <w:t xml:space="preserve"> by </w:t>
      </w:r>
      <w:r w:rsidR="007653E9" w:rsidRPr="00F46944">
        <w:t>2019</w:t>
      </w:r>
      <w:r w:rsidRPr="00F46944">
        <w:t xml:space="preserve">. This may be partly attributed </w:t>
      </w:r>
      <w:r w:rsidR="007653E9" w:rsidRPr="00F46944">
        <w:t xml:space="preserve">to </w:t>
      </w:r>
      <w:r w:rsidR="00A35996" w:rsidRPr="00F46944">
        <w:t xml:space="preserve">the </w:t>
      </w:r>
      <w:r w:rsidR="00912D99" w:rsidRPr="00F46944">
        <w:t>ciprofloxacin</w:t>
      </w:r>
      <w:r w:rsidR="00434263" w:rsidRPr="00F46944">
        <w:t xml:space="preserve"> </w:t>
      </w:r>
      <w:r w:rsidR="00BE64C0" w:rsidRPr="00F46944">
        <w:t xml:space="preserve">PBS/RPBS </w:t>
      </w:r>
      <w:r w:rsidR="00434263" w:rsidRPr="00F46944">
        <w:t>restriction category</w:t>
      </w:r>
      <w:r w:rsidR="00A35996" w:rsidRPr="00F46944">
        <w:t xml:space="preserve">. </w:t>
      </w:r>
      <w:r w:rsidR="008201AF" w:rsidRPr="00F46944">
        <w:t xml:space="preserve">Understanding the total use of </w:t>
      </w:r>
      <w:r w:rsidR="00434263" w:rsidRPr="00F46944">
        <w:t xml:space="preserve">ciprofloxacin </w:t>
      </w:r>
      <w:r w:rsidR="009A08B4" w:rsidRPr="00F46944">
        <w:t xml:space="preserve">as a broad-spectrum antimicrobial, </w:t>
      </w:r>
      <w:r w:rsidR="00434263" w:rsidRPr="00F46944">
        <w:t xml:space="preserve">is </w:t>
      </w:r>
      <w:r w:rsidR="008201AF" w:rsidRPr="00F46944">
        <w:t xml:space="preserve">important as </w:t>
      </w:r>
      <w:r w:rsidR="00434263" w:rsidRPr="00F46944">
        <w:t xml:space="preserve">Australia has historically </w:t>
      </w:r>
      <w:r w:rsidR="008201AF" w:rsidRPr="00F46944">
        <w:t xml:space="preserve">had </w:t>
      </w:r>
      <w:r w:rsidR="00434263" w:rsidRPr="00F46944">
        <w:t xml:space="preserve">low rates of </w:t>
      </w:r>
      <w:r w:rsidR="00634BB8" w:rsidRPr="00F46944">
        <w:t xml:space="preserve">ciprofloxacin </w:t>
      </w:r>
      <w:r w:rsidR="00434263" w:rsidRPr="00F46944">
        <w:t xml:space="preserve">use </w:t>
      </w:r>
      <w:r w:rsidR="00634BB8" w:rsidRPr="00F46944">
        <w:t>compared to other countries</w:t>
      </w:r>
      <w:r w:rsidR="009A08B4" w:rsidRPr="00F46944">
        <w:t>,</w:t>
      </w:r>
      <w:r w:rsidR="00434263" w:rsidRPr="00F46944">
        <w:t xml:space="preserve"> and limiting its use </w:t>
      </w:r>
      <w:r w:rsidR="008201AF" w:rsidRPr="00F46944">
        <w:t xml:space="preserve">is </w:t>
      </w:r>
      <w:r w:rsidR="00634BB8" w:rsidRPr="00F46944">
        <w:t xml:space="preserve">a </w:t>
      </w:r>
      <w:r w:rsidR="008201AF" w:rsidRPr="00F46944">
        <w:t xml:space="preserve">key </w:t>
      </w:r>
      <w:r w:rsidR="00634BB8" w:rsidRPr="00F46944">
        <w:t xml:space="preserve">aspect of </w:t>
      </w:r>
      <w:r w:rsidR="00AC7768" w:rsidRPr="00F46944">
        <w:t xml:space="preserve">AMS </w:t>
      </w:r>
      <w:r w:rsidR="00434263" w:rsidRPr="00F46944">
        <w:t>programs.</w:t>
      </w:r>
    </w:p>
    <w:bookmarkEnd w:id="113"/>
    <w:p w14:paraId="5BBF3322" w14:textId="0A88384A" w:rsidR="0093641B" w:rsidRPr="00F46944" w:rsidRDefault="00BE64C0" w:rsidP="0093641B">
      <w:r w:rsidRPr="00F46944">
        <w:t xml:space="preserve">Non-PBS/RPBS prescribing </w:t>
      </w:r>
      <w:r w:rsidR="0093641B" w:rsidRPr="00F46944">
        <w:t xml:space="preserve">of ciprofloxacin increased from </w:t>
      </w:r>
      <w:r w:rsidR="00D8331C" w:rsidRPr="00F46944">
        <w:t xml:space="preserve">an average of </w:t>
      </w:r>
      <w:r w:rsidR="00173859" w:rsidRPr="00F46944">
        <w:t>334</w:t>
      </w:r>
      <w:r w:rsidR="0093641B" w:rsidRPr="00F46944">
        <w:t xml:space="preserve"> </w:t>
      </w:r>
      <w:r w:rsidRPr="00F46944">
        <w:t xml:space="preserve">prescriptions </w:t>
      </w:r>
      <w:r w:rsidR="0093641B" w:rsidRPr="00F46944">
        <w:t>per month in 201</w:t>
      </w:r>
      <w:r w:rsidR="00173859" w:rsidRPr="00F46944">
        <w:t>5</w:t>
      </w:r>
      <w:r w:rsidR="0093641B" w:rsidRPr="00F46944">
        <w:t xml:space="preserve"> (0.0</w:t>
      </w:r>
      <w:r w:rsidR="00173859" w:rsidRPr="00F46944">
        <w:t>4</w:t>
      </w:r>
      <w:r w:rsidR="0093641B" w:rsidRPr="00F46944">
        <w:t xml:space="preserve"> </w:t>
      </w:r>
      <w:r w:rsidR="007D07EB" w:rsidRPr="00F46944">
        <w:t xml:space="preserve">prescriptions </w:t>
      </w:r>
      <w:r w:rsidR="0093641B" w:rsidRPr="00F46944">
        <w:t>per 100</w:t>
      </w:r>
      <w:r w:rsidR="00106BC3" w:rsidRPr="00F46944">
        <w:t> </w:t>
      </w:r>
      <w:r w:rsidR="0093641B" w:rsidRPr="00F46944">
        <w:t>GP</w:t>
      </w:r>
      <w:r w:rsidR="000A6EC4" w:rsidRPr="00F46944">
        <w:t> </w:t>
      </w:r>
      <w:r w:rsidR="0093641B" w:rsidRPr="00F46944">
        <w:t xml:space="preserve">visits) to </w:t>
      </w:r>
      <w:r w:rsidR="00D8331C" w:rsidRPr="00F46944">
        <w:t xml:space="preserve">an average of </w:t>
      </w:r>
      <w:r w:rsidR="0093641B" w:rsidRPr="00F46944">
        <w:t xml:space="preserve">534 </w:t>
      </w:r>
      <w:r w:rsidR="007D07EB" w:rsidRPr="00F46944">
        <w:t xml:space="preserve">prescriptions </w:t>
      </w:r>
      <w:r w:rsidR="009A08B4" w:rsidRPr="00F46944">
        <w:t xml:space="preserve">per month </w:t>
      </w:r>
      <w:r w:rsidR="0093641B" w:rsidRPr="00F46944">
        <w:t xml:space="preserve">in 2019 (0.05 </w:t>
      </w:r>
      <w:r w:rsidR="007D07EB" w:rsidRPr="00F46944">
        <w:t xml:space="preserve">prescriptions </w:t>
      </w:r>
      <w:r w:rsidR="0093641B" w:rsidRPr="00F46944">
        <w:t>per 100</w:t>
      </w:r>
      <w:r w:rsidR="000A6EC4" w:rsidRPr="00F46944">
        <w:t> </w:t>
      </w:r>
      <w:r w:rsidR="0093641B" w:rsidRPr="00F46944">
        <w:t xml:space="preserve">GP visits). There was a small decline in 2020 and 2021, with an average of </w:t>
      </w:r>
      <w:r w:rsidR="00E57E4B" w:rsidRPr="00F46944">
        <w:t>416 prescriptions</w:t>
      </w:r>
      <w:r w:rsidR="0093641B" w:rsidRPr="00F46944">
        <w:t xml:space="preserve"> per month (0.035 </w:t>
      </w:r>
      <w:r w:rsidR="007D07EB" w:rsidRPr="00F46944">
        <w:t xml:space="preserve">prescriptions </w:t>
      </w:r>
      <w:r w:rsidR="0093641B" w:rsidRPr="00F46944">
        <w:t>per 100</w:t>
      </w:r>
      <w:r w:rsidR="00E41942">
        <w:t> </w:t>
      </w:r>
      <w:r w:rsidR="0093641B" w:rsidRPr="00F46944">
        <w:t>GP visits). However, a small up</w:t>
      </w:r>
      <w:r w:rsidR="007D07EB" w:rsidRPr="00F46944">
        <w:t>tick</w:t>
      </w:r>
      <w:r w:rsidR="0093641B" w:rsidRPr="00F46944">
        <w:t xml:space="preserve"> </w:t>
      </w:r>
      <w:r w:rsidR="007D07EB" w:rsidRPr="00F46944">
        <w:t xml:space="preserve">occurred </w:t>
      </w:r>
      <w:r w:rsidR="0093641B" w:rsidRPr="00F46944">
        <w:t>in the second half of 2021</w:t>
      </w:r>
      <w:r w:rsidR="007D07EB" w:rsidRPr="00F46944">
        <w:t xml:space="preserve"> with </w:t>
      </w:r>
      <w:r w:rsidR="0093641B" w:rsidRPr="00F46944">
        <w:t>441</w:t>
      </w:r>
      <w:r w:rsidR="000A6EC4" w:rsidRPr="00F46944">
        <w:t> </w:t>
      </w:r>
      <w:r w:rsidR="002C021C" w:rsidRPr="00F46944">
        <w:t xml:space="preserve">non-PBS/RPBS </w:t>
      </w:r>
      <w:r w:rsidR="0093641B" w:rsidRPr="00F46944">
        <w:t xml:space="preserve">prescriptions </w:t>
      </w:r>
      <w:r w:rsidR="002C021C" w:rsidRPr="00F46944">
        <w:t xml:space="preserve">for ciprofloxacin </w:t>
      </w:r>
      <w:r w:rsidR="0093641B" w:rsidRPr="00F46944">
        <w:t xml:space="preserve">(0.041 </w:t>
      </w:r>
      <w:r w:rsidR="002C021C" w:rsidRPr="00F46944">
        <w:t xml:space="preserve">prescriptions </w:t>
      </w:r>
      <w:r w:rsidR="0093641B" w:rsidRPr="00F46944">
        <w:t>per 100</w:t>
      </w:r>
      <w:r w:rsidR="000A6EC4" w:rsidRPr="00F46944">
        <w:t> </w:t>
      </w:r>
      <w:r w:rsidR="0093641B" w:rsidRPr="00F46944">
        <w:t>GP visits)</w:t>
      </w:r>
      <w:r w:rsidR="00434263" w:rsidRPr="00F46944">
        <w:t xml:space="preserve"> </w:t>
      </w:r>
      <w:r w:rsidR="009A08B4" w:rsidRPr="00F46944">
        <w:t>in December 2021</w:t>
      </w:r>
      <w:r w:rsidR="00AB43AF" w:rsidRPr="00F46944">
        <w:t>.</w:t>
      </w:r>
      <w:r w:rsidR="00D8331C" w:rsidRPr="00F46944">
        <w:t xml:space="preserve"> </w:t>
      </w:r>
    </w:p>
    <w:p w14:paraId="6C4CB920" w14:textId="57A3247F" w:rsidR="00BA11C4" w:rsidRPr="00F46944" w:rsidRDefault="004314A4" w:rsidP="0093641B">
      <w:r w:rsidRPr="00F46944">
        <w:t>While a</w:t>
      </w:r>
      <w:r w:rsidR="0093641B" w:rsidRPr="00F46944">
        <w:t xml:space="preserve">moxicillin, roxithromycin and doxycycline are </w:t>
      </w:r>
      <w:r w:rsidR="00912D99" w:rsidRPr="00F46944">
        <w:t>available</w:t>
      </w:r>
      <w:r w:rsidR="0093641B" w:rsidRPr="00F46944">
        <w:t xml:space="preserve"> </w:t>
      </w:r>
      <w:r w:rsidRPr="00F46944">
        <w:t xml:space="preserve">for all common indications </w:t>
      </w:r>
      <w:r w:rsidR="0093641B" w:rsidRPr="00F46944">
        <w:t>on the PBS/RPBS</w:t>
      </w:r>
      <w:r w:rsidRPr="00F46944">
        <w:t xml:space="preserve">, approximately 10% of all doxycycline prescriptions were </w:t>
      </w:r>
      <w:r w:rsidR="00172E00" w:rsidRPr="00F46944">
        <w:t>non-PBS/RPBS</w:t>
      </w:r>
      <w:r w:rsidR="0093641B" w:rsidRPr="00F46944">
        <w:t xml:space="preserve"> </w:t>
      </w:r>
      <w:r w:rsidR="00912D99" w:rsidRPr="00F46944">
        <w:t>between 201</w:t>
      </w:r>
      <w:r w:rsidRPr="00F46944">
        <w:t>5</w:t>
      </w:r>
      <w:r w:rsidR="00912D99" w:rsidRPr="00F46944">
        <w:t xml:space="preserve"> and 2019</w:t>
      </w:r>
      <w:r w:rsidRPr="00F46944">
        <w:t xml:space="preserve">. This </w:t>
      </w:r>
      <w:r w:rsidR="0093641B" w:rsidRPr="00F46944">
        <w:t>declined</w:t>
      </w:r>
      <w:r w:rsidRPr="00F46944">
        <w:t xml:space="preserve"> slightly</w:t>
      </w:r>
      <w:r w:rsidR="0093641B" w:rsidRPr="00F46944">
        <w:t xml:space="preserve"> to </w:t>
      </w:r>
      <w:r w:rsidR="003D66D9" w:rsidRPr="00F46944">
        <w:t xml:space="preserve">approximately </w:t>
      </w:r>
      <w:r w:rsidR="0093641B" w:rsidRPr="00F46944">
        <w:t>8% during 2020</w:t>
      </w:r>
      <w:r w:rsidRPr="00F46944">
        <w:t xml:space="preserve"> to </w:t>
      </w:r>
      <w:r w:rsidR="0093641B" w:rsidRPr="00F46944">
        <w:t>2021</w:t>
      </w:r>
      <w:r w:rsidRPr="00F46944">
        <w:t xml:space="preserve">. </w:t>
      </w:r>
      <w:r w:rsidR="000A192D" w:rsidRPr="00F46944">
        <w:t xml:space="preserve">There was </w:t>
      </w:r>
      <w:r w:rsidRPr="00F46944">
        <w:t xml:space="preserve">also </w:t>
      </w:r>
      <w:r w:rsidR="000A192D" w:rsidRPr="00F46944">
        <w:t xml:space="preserve">an upward trend in </w:t>
      </w:r>
      <w:r w:rsidR="00D27E33" w:rsidRPr="00F46944">
        <w:t>non-PBS/RPBS</w:t>
      </w:r>
      <w:r w:rsidR="00812202" w:rsidRPr="00F46944">
        <w:t xml:space="preserve"> </w:t>
      </w:r>
      <w:r w:rsidR="000A192D" w:rsidRPr="00F46944">
        <w:t xml:space="preserve">prescribing of </w:t>
      </w:r>
      <w:r w:rsidR="0093641B" w:rsidRPr="00F46944">
        <w:t xml:space="preserve">doxycycline </w:t>
      </w:r>
      <w:r w:rsidR="00A729AC" w:rsidRPr="00F46944">
        <w:t xml:space="preserve">in </w:t>
      </w:r>
      <w:r w:rsidR="0093641B" w:rsidRPr="00F46944">
        <w:t xml:space="preserve">December 2021. </w:t>
      </w:r>
      <w:r w:rsidR="00A729AC" w:rsidRPr="00F46944">
        <w:t xml:space="preserve">These findings </w:t>
      </w:r>
      <w:r w:rsidR="00D852E7" w:rsidRPr="00F46944">
        <w:t xml:space="preserve">for doxycycline </w:t>
      </w:r>
      <w:r w:rsidRPr="00F46944">
        <w:t xml:space="preserve">and ciprofloxacin </w:t>
      </w:r>
      <w:r w:rsidR="00A729AC" w:rsidRPr="00F46944">
        <w:t xml:space="preserve">may be related to </w:t>
      </w:r>
      <w:r w:rsidR="009A08B4" w:rsidRPr="00F46944">
        <w:t xml:space="preserve">prescribing </w:t>
      </w:r>
      <w:r w:rsidR="00D92E3B" w:rsidRPr="00F46944">
        <w:t xml:space="preserve">for </w:t>
      </w:r>
      <w:r w:rsidR="00A729AC" w:rsidRPr="00F46944">
        <w:t xml:space="preserve">travel-related purposes, which is not subsidised </w:t>
      </w:r>
      <w:r w:rsidRPr="00F46944">
        <w:t xml:space="preserve">by </w:t>
      </w:r>
      <w:r w:rsidR="00A729AC" w:rsidRPr="00F46944">
        <w:t>the PBS</w:t>
      </w:r>
      <w:r w:rsidR="006E3CFC" w:rsidRPr="00F46944">
        <w:t>/RPBS</w:t>
      </w:r>
      <w:r w:rsidR="00A729AC" w:rsidRPr="00F46944">
        <w:t>.</w:t>
      </w:r>
    </w:p>
    <w:p w14:paraId="01C3E2D2" w14:textId="5F8C27A2" w:rsidR="006620C9" w:rsidRPr="00F46944" w:rsidRDefault="0093641B" w:rsidP="00AD3802">
      <w:r w:rsidRPr="00F46944">
        <w:t>There have been increasing restrictions placed on amoxicillin–clavulanic acid within the PBS/RPBS</w:t>
      </w:r>
      <w:r w:rsidR="00DA5A89" w:rsidRPr="00F46944">
        <w:t>. However,</w:t>
      </w:r>
      <w:r w:rsidRPr="00F46944">
        <w:t xml:space="preserve"> </w:t>
      </w:r>
      <w:r w:rsidR="00172E00" w:rsidRPr="00F46944">
        <w:t>non-PBS/RPBS</w:t>
      </w:r>
      <w:r w:rsidR="001D49C2" w:rsidRPr="00F46944">
        <w:t xml:space="preserve"> </w:t>
      </w:r>
      <w:r w:rsidRPr="00F46944">
        <w:t xml:space="preserve">prescriptions </w:t>
      </w:r>
      <w:r w:rsidR="00DA5A89" w:rsidRPr="00F46944">
        <w:t>for amoxicillin</w:t>
      </w:r>
      <w:r w:rsidR="00A050F6" w:rsidRPr="00F46944">
        <w:t>–</w:t>
      </w:r>
      <w:r w:rsidR="00DA5A89" w:rsidRPr="00F46944">
        <w:t xml:space="preserve">clavulanic acid </w:t>
      </w:r>
      <w:r w:rsidRPr="00F46944">
        <w:t>account</w:t>
      </w:r>
      <w:r w:rsidR="003D66D9" w:rsidRPr="00F46944">
        <w:t>ed</w:t>
      </w:r>
      <w:r w:rsidRPr="00F46944">
        <w:t xml:space="preserve"> for less than </w:t>
      </w:r>
      <w:r w:rsidR="00DA5A89" w:rsidRPr="00F46944">
        <w:t>2% (37,760/2,011,825)</w:t>
      </w:r>
      <w:r w:rsidRPr="00F46944">
        <w:t xml:space="preserve"> of total prescriptions</w:t>
      </w:r>
      <w:r w:rsidR="00DA5A89" w:rsidRPr="00F46944">
        <w:t xml:space="preserve"> </w:t>
      </w:r>
      <w:r w:rsidR="009D6827" w:rsidRPr="00F46944">
        <w:t>between</w:t>
      </w:r>
      <w:r w:rsidR="00230465" w:rsidRPr="00F46944">
        <w:t xml:space="preserve"> </w:t>
      </w:r>
      <w:r w:rsidR="00DA5A89" w:rsidRPr="00F46944">
        <w:t>2015</w:t>
      </w:r>
      <w:r w:rsidR="00230465" w:rsidRPr="00F46944">
        <w:t xml:space="preserve"> </w:t>
      </w:r>
      <w:r w:rsidR="009D6827" w:rsidRPr="00F46944">
        <w:t>and</w:t>
      </w:r>
      <w:r w:rsidR="00230465" w:rsidRPr="00F46944">
        <w:t xml:space="preserve"> </w:t>
      </w:r>
      <w:r w:rsidR="00DA5A89" w:rsidRPr="00F46944">
        <w:t>2021</w:t>
      </w:r>
      <w:r w:rsidR="00AD3802" w:rsidRPr="00F46944">
        <w:t xml:space="preserve">. In 2019, amoxicillin–clavulanic acid accounted for 2.4% (7,905/323,131) of total prescriptions. </w:t>
      </w:r>
      <w:r w:rsidR="00DA5A89" w:rsidRPr="00F46944">
        <w:t>D</w:t>
      </w:r>
      <w:r w:rsidRPr="00F46944">
        <w:t xml:space="preserve">uring 2020 and 2021 this increased to </w:t>
      </w:r>
      <w:r w:rsidR="00DA5A89" w:rsidRPr="00F46944">
        <w:t xml:space="preserve">3.6% (13,091/364,055) </w:t>
      </w:r>
      <w:r w:rsidRPr="00F46944">
        <w:t xml:space="preserve">of </w:t>
      </w:r>
      <w:r w:rsidR="00AD3802" w:rsidRPr="00F46944">
        <w:t>n</w:t>
      </w:r>
      <w:r w:rsidR="001D49C2" w:rsidRPr="00F46944">
        <w:t>on-PBS</w:t>
      </w:r>
      <w:r w:rsidR="00AD3802" w:rsidRPr="00F46944">
        <w:t>/RPBS</w:t>
      </w:r>
      <w:r w:rsidR="00B248F1" w:rsidRPr="00F46944">
        <w:t xml:space="preserve"> </w:t>
      </w:r>
      <w:r w:rsidRPr="00F46944">
        <w:t>prescriptions, with 4</w:t>
      </w:r>
      <w:r w:rsidR="00513951">
        <w:t>.1</w:t>
      </w:r>
      <w:r w:rsidRPr="00F46944">
        <w:t>%</w:t>
      </w:r>
      <w:r w:rsidR="00DA5A89" w:rsidRPr="00F46944">
        <w:t xml:space="preserve"> (534/13</w:t>
      </w:r>
      <w:r w:rsidR="00513951">
        <w:t>,</w:t>
      </w:r>
      <w:r w:rsidR="00DA5A89" w:rsidRPr="00F46944">
        <w:t>117)</w:t>
      </w:r>
      <w:r w:rsidRPr="00F46944">
        <w:t xml:space="preserve"> of amoxicillin–clavulanic acid prescriptions prescribed privately in December 2021. </w:t>
      </w:r>
      <w:r w:rsidR="00DA5A89" w:rsidRPr="00F46944">
        <w:t>Amoxicillin</w:t>
      </w:r>
      <w:r w:rsidR="00A050F6" w:rsidRPr="00F46944">
        <w:t>–</w:t>
      </w:r>
      <w:r w:rsidR="00DA5A89" w:rsidRPr="00F46944">
        <w:t>clavulanic acid is a broader spectrum antibiotic that should be restricted to guideline</w:t>
      </w:r>
      <w:r w:rsidR="006649C8" w:rsidRPr="00F46944">
        <w:t>-</w:t>
      </w:r>
      <w:r w:rsidR="00DA5A89" w:rsidRPr="00F46944">
        <w:t>indicated infections. Use outside of PBS</w:t>
      </w:r>
      <w:r w:rsidR="00230465" w:rsidRPr="00F46944">
        <w:t>/RPBS</w:t>
      </w:r>
      <w:r w:rsidR="00DA5A89" w:rsidRPr="00F46944">
        <w:t xml:space="preserve"> restrictions should be discouraged</w:t>
      </w:r>
      <w:r w:rsidR="00AD3802" w:rsidRPr="00F46944">
        <w:t xml:space="preserve"> unless clinically appropriate</w:t>
      </w:r>
      <w:r w:rsidR="00D92E3B" w:rsidRPr="00F46944">
        <w:t>.</w:t>
      </w:r>
    </w:p>
    <w:p w14:paraId="6CD43AB6" w14:textId="23033B7C" w:rsidR="0093641B" w:rsidRPr="00F46944" w:rsidRDefault="0093641B" w:rsidP="0093641B">
      <w:pPr>
        <w:keepNext/>
        <w:spacing w:before="240" w:after="60"/>
        <w:outlineLvl w:val="3"/>
        <w:rPr>
          <w:rFonts w:asciiTheme="majorHAnsi" w:hAnsiTheme="majorHAnsi" w:cstheme="majorHAnsi"/>
          <w:b/>
          <w:bCs/>
          <w:color w:val="404040" w:themeColor="text1" w:themeTint="BF"/>
          <w:sz w:val="26"/>
          <w:szCs w:val="26"/>
        </w:rPr>
      </w:pPr>
      <w:bookmarkStart w:id="114" w:name="_Hlk105594198"/>
      <w:bookmarkEnd w:id="112"/>
      <w:r w:rsidRPr="00F46944">
        <w:rPr>
          <w:rFonts w:asciiTheme="majorHAnsi" w:hAnsiTheme="majorHAnsi" w:cstheme="majorHAnsi"/>
          <w:b/>
          <w:bCs/>
          <w:color w:val="404040" w:themeColor="text1" w:themeTint="BF"/>
          <w:sz w:val="26"/>
          <w:szCs w:val="26"/>
        </w:rPr>
        <w:t>Patterns of prescribing</w:t>
      </w:r>
    </w:p>
    <w:bookmarkEnd w:id="114"/>
    <w:p w14:paraId="46DB2042" w14:textId="3ECE6016" w:rsidR="00FF4686" w:rsidRPr="00F46944" w:rsidRDefault="0093641B" w:rsidP="00CE47D9">
      <w:r w:rsidRPr="00870DCF">
        <w:t>Table</w:t>
      </w:r>
      <w:r w:rsidR="006B0AC7" w:rsidRPr="00870DCF">
        <w:t> </w:t>
      </w:r>
      <w:r w:rsidR="000A192D" w:rsidRPr="00870DCF">
        <w:t>9</w:t>
      </w:r>
      <w:r w:rsidRPr="00F46944">
        <w:t xml:space="preserve"> </w:t>
      </w:r>
      <w:r w:rsidR="008F0BEF" w:rsidRPr="00F46944">
        <w:t xml:space="preserve">shows </w:t>
      </w:r>
      <w:r w:rsidRPr="00F46944">
        <w:t>patterns of GP prescribing</w:t>
      </w:r>
      <w:r w:rsidR="00346465" w:rsidRPr="00F46944">
        <w:t xml:space="preserve"> in 2021</w:t>
      </w:r>
      <w:r w:rsidRPr="00F46944">
        <w:t xml:space="preserve"> for </w:t>
      </w:r>
      <w:r w:rsidR="00CB2727" w:rsidRPr="00F46944">
        <w:t xml:space="preserve">high use antimicrobials </w:t>
      </w:r>
      <w:r w:rsidR="00E122B4" w:rsidRPr="00F46944">
        <w:t xml:space="preserve">in </w:t>
      </w:r>
      <w:r w:rsidRPr="00F46944">
        <w:t xml:space="preserve">the </w:t>
      </w:r>
      <w:proofErr w:type="spellStart"/>
      <w:r w:rsidRPr="00F46944">
        <w:t>MedicineInsight</w:t>
      </w:r>
      <w:proofErr w:type="spellEnd"/>
      <w:r w:rsidRPr="00F46944">
        <w:t xml:space="preserve"> program.</w:t>
      </w:r>
      <w:r w:rsidR="00201776" w:rsidRPr="00F46944">
        <w:t xml:space="preserve"> </w:t>
      </w:r>
      <w:r w:rsidR="00346465" w:rsidRPr="00F46944">
        <w:t>In 2021</w:t>
      </w:r>
      <w:r w:rsidRPr="00F46944">
        <w:t>, cefalexin was the most frequently prescribed</w:t>
      </w:r>
      <w:r w:rsidR="00912D99" w:rsidRPr="00F46944">
        <w:t xml:space="preserve"> </w:t>
      </w:r>
      <w:r w:rsidR="00E122B4" w:rsidRPr="00F46944">
        <w:t xml:space="preserve">antimicrobial </w:t>
      </w:r>
      <w:r w:rsidR="00912D99" w:rsidRPr="00F46944">
        <w:t xml:space="preserve">followed by amoxicillin, amoxicillin–clavulanic acid, doxycycline, roxithromycin, azithromycin and ciprofloxacin. This order </w:t>
      </w:r>
      <w:r w:rsidR="00CB2727" w:rsidRPr="00F46944">
        <w:t xml:space="preserve">has </w:t>
      </w:r>
      <w:r w:rsidRPr="00F46944">
        <w:t xml:space="preserve">remained the same </w:t>
      </w:r>
      <w:r w:rsidR="00540C15" w:rsidRPr="00F46944">
        <w:t>since</w:t>
      </w:r>
      <w:r w:rsidRPr="00F46944">
        <w:t xml:space="preserve"> 2015</w:t>
      </w:r>
      <w:r w:rsidR="006649C8" w:rsidRPr="00F46944">
        <w:t>.</w:t>
      </w:r>
      <w:r w:rsidR="00CB2727" w:rsidRPr="00F46944">
        <w:t xml:space="preserve"> However, t</w:t>
      </w:r>
      <w:r w:rsidR="00FF4686" w:rsidRPr="00F46944">
        <w:t>h</w:t>
      </w:r>
      <w:r w:rsidR="00254E28" w:rsidRPr="00F46944">
        <w:t>e</w:t>
      </w:r>
      <w:r w:rsidR="00FF4686" w:rsidRPr="00F46944">
        <w:t xml:space="preserve"> proportion of cefalexin prescribed relative to the other high use antimicrobials </w:t>
      </w:r>
      <w:r w:rsidR="00E122B4" w:rsidRPr="00F46944">
        <w:t>increased during</w:t>
      </w:r>
      <w:r w:rsidR="00FF4686" w:rsidRPr="00F46944">
        <w:t xml:space="preserve"> 2020 and 2021. </w:t>
      </w:r>
    </w:p>
    <w:p w14:paraId="42B974FB" w14:textId="68FA97A7" w:rsidR="00CE47D9" w:rsidRPr="00F46944" w:rsidRDefault="0093641B" w:rsidP="0064779F">
      <w:r w:rsidRPr="00F46944">
        <w:t>The most</w:t>
      </w:r>
      <w:r w:rsidR="00D01E52" w:rsidRPr="00F46944">
        <w:t xml:space="preserve"> commonly</w:t>
      </w:r>
      <w:r w:rsidRPr="00F46944">
        <w:t xml:space="preserve"> </w:t>
      </w:r>
      <w:r w:rsidR="00D852E7" w:rsidRPr="00F46944">
        <w:t xml:space="preserve">recorded </w:t>
      </w:r>
      <w:r w:rsidRPr="00F46944">
        <w:t xml:space="preserve">indications for cefalexin prescribing in 2020 and 2021 were skin infections (22.3% and 20.7% </w:t>
      </w:r>
      <w:r w:rsidR="008003D4" w:rsidRPr="00F46944">
        <w:t>of prescriptions</w:t>
      </w:r>
      <w:r w:rsidR="00641BA6">
        <w:t>,</w:t>
      </w:r>
      <w:r w:rsidR="008003D4" w:rsidRPr="00F46944">
        <w:t xml:space="preserve"> </w:t>
      </w:r>
      <w:r w:rsidRPr="00F46944">
        <w:t xml:space="preserve">respectively) and UTIs (17.2% and 16.7% </w:t>
      </w:r>
      <w:r w:rsidR="00A0041F" w:rsidRPr="00F46944">
        <w:t xml:space="preserve">of </w:t>
      </w:r>
      <w:r w:rsidR="008003D4" w:rsidRPr="00F46944">
        <w:t>prescriptions</w:t>
      </w:r>
      <w:r w:rsidR="00641BA6">
        <w:t>,</w:t>
      </w:r>
      <w:r w:rsidR="008003D4" w:rsidRPr="00F46944">
        <w:t xml:space="preserve"> </w:t>
      </w:r>
      <w:r w:rsidRPr="00F46944">
        <w:t>respectively)</w:t>
      </w:r>
      <w:r w:rsidR="00540C15" w:rsidRPr="00F46944">
        <w:t>.</w:t>
      </w:r>
      <w:r w:rsidR="0064779F" w:rsidRPr="00F46944">
        <w:t xml:space="preserve"> Of </w:t>
      </w:r>
      <w:r w:rsidR="00A0041F" w:rsidRPr="00F46944">
        <w:t>these</w:t>
      </w:r>
      <w:r w:rsidR="0064779F" w:rsidRPr="00F46944">
        <w:t xml:space="preserve"> prescriptions, on average, 4.9% were </w:t>
      </w:r>
      <w:r w:rsidR="004C1810" w:rsidRPr="00F46944">
        <w:t xml:space="preserve">recorded as </w:t>
      </w:r>
      <w:r w:rsidR="0064779F" w:rsidRPr="00F46944">
        <w:t>indicated for respiratory-related conditions</w:t>
      </w:r>
      <w:r w:rsidR="004F2EDE" w:rsidRPr="00F46944">
        <w:t xml:space="preserve"> (acute bronchitis, acute tonsillitis, acute URTI, influenza/influenza</w:t>
      </w:r>
      <w:r w:rsidR="00DC243C" w:rsidRPr="00F46944">
        <w:t>-</w:t>
      </w:r>
      <w:r w:rsidR="004F2EDE" w:rsidRPr="00F46944">
        <w:t xml:space="preserve">like illness, pneumonia and sinusitis). This </w:t>
      </w:r>
      <w:r w:rsidR="002D6A72" w:rsidRPr="00F46944">
        <w:t>may be</w:t>
      </w:r>
      <w:r w:rsidR="004F2EDE" w:rsidRPr="00F46944">
        <w:t xml:space="preserve"> why there was </w:t>
      </w:r>
      <w:r w:rsidR="00E83406" w:rsidRPr="00F46944">
        <w:t xml:space="preserve">less </w:t>
      </w:r>
      <w:r w:rsidR="004F2EDE" w:rsidRPr="00F46944">
        <w:t xml:space="preserve">impact on </w:t>
      </w:r>
      <w:r w:rsidR="00925341" w:rsidRPr="00F46944">
        <w:t xml:space="preserve">the number of </w:t>
      </w:r>
      <w:r w:rsidR="004F2EDE" w:rsidRPr="00F46944">
        <w:t>original prescription</w:t>
      </w:r>
      <w:r w:rsidR="00540C15" w:rsidRPr="00F46944">
        <w:t xml:space="preserve">s for cefalexin compared to other high use antimicrobials </w:t>
      </w:r>
      <w:r w:rsidR="004F2EDE" w:rsidRPr="00F46944">
        <w:t xml:space="preserve">during the COVID-19 pandemic. </w:t>
      </w:r>
    </w:p>
    <w:p w14:paraId="371793CA" w14:textId="4C4FA1ED" w:rsidR="00794F2A" w:rsidRPr="00F46944" w:rsidRDefault="00201776" w:rsidP="0064779F">
      <w:r w:rsidRPr="00F46944">
        <w:t>The</w:t>
      </w:r>
      <w:r w:rsidR="00794F2A" w:rsidRPr="00F46944">
        <w:t xml:space="preserve"> </w:t>
      </w:r>
      <w:r w:rsidR="00971E25" w:rsidRPr="00F46944">
        <w:t>‘</w:t>
      </w:r>
      <w:r w:rsidR="001829AF" w:rsidRPr="00F46944">
        <w:t>R</w:t>
      </w:r>
      <w:r w:rsidR="00794F2A" w:rsidRPr="00F46944">
        <w:t xml:space="preserve">eason for </w:t>
      </w:r>
      <w:r w:rsidR="001829AF" w:rsidRPr="00F46944">
        <w:t>P</w:t>
      </w:r>
      <w:r w:rsidR="00794F2A" w:rsidRPr="00F46944">
        <w:t>rescription</w:t>
      </w:r>
      <w:r w:rsidR="00971E25" w:rsidRPr="00F46944">
        <w:t>’</w:t>
      </w:r>
      <w:r w:rsidR="00794F2A" w:rsidRPr="00F46944">
        <w:t xml:space="preserve"> field </w:t>
      </w:r>
      <w:r w:rsidRPr="00F46944">
        <w:t xml:space="preserve">was completed </w:t>
      </w:r>
      <w:r w:rsidR="00A60822" w:rsidRPr="00F46944">
        <w:t xml:space="preserve">for </w:t>
      </w:r>
      <w:r w:rsidR="00794F2A" w:rsidRPr="00F46944">
        <w:t xml:space="preserve">approximately 37% of prescriptions issued </w:t>
      </w:r>
      <w:r w:rsidR="001829AF" w:rsidRPr="00F46944">
        <w:t xml:space="preserve">by </w:t>
      </w:r>
      <w:proofErr w:type="spellStart"/>
      <w:r w:rsidR="001829AF" w:rsidRPr="00F46944">
        <w:t>MedicineInsight</w:t>
      </w:r>
      <w:proofErr w:type="spellEnd"/>
      <w:r w:rsidR="001829AF" w:rsidRPr="00F46944">
        <w:t xml:space="preserve"> practices </w:t>
      </w:r>
      <w:r w:rsidR="00794F2A" w:rsidRPr="00F46944">
        <w:t xml:space="preserve">between 2015 and 2021. If there was no data in the </w:t>
      </w:r>
      <w:r w:rsidR="00D01E52" w:rsidRPr="00F46944">
        <w:t>‘</w:t>
      </w:r>
      <w:r w:rsidR="001829AF" w:rsidRPr="00F46944">
        <w:t>R</w:t>
      </w:r>
      <w:r w:rsidR="00794F2A" w:rsidRPr="00F46944">
        <w:t xml:space="preserve">eason for </w:t>
      </w:r>
      <w:r w:rsidR="001829AF" w:rsidRPr="00F46944">
        <w:t>P</w:t>
      </w:r>
      <w:r w:rsidR="00794F2A" w:rsidRPr="00F46944">
        <w:t>rescription</w:t>
      </w:r>
      <w:r w:rsidR="00D01E52" w:rsidRPr="00F46944">
        <w:t>’</w:t>
      </w:r>
      <w:r w:rsidR="00794F2A" w:rsidRPr="00F46944">
        <w:t xml:space="preserve"> field that matched one of the identifiable conditions, then the analysis </w:t>
      </w:r>
      <w:r w:rsidR="00A60822" w:rsidRPr="00F46944">
        <w:t xml:space="preserve">included </w:t>
      </w:r>
      <w:r w:rsidR="00794F2A" w:rsidRPr="00F46944">
        <w:t xml:space="preserve">the </w:t>
      </w:r>
      <w:r w:rsidR="00971E25" w:rsidRPr="00F46944">
        <w:t>‘</w:t>
      </w:r>
      <w:r w:rsidR="001829AF" w:rsidRPr="00F46944">
        <w:t>R</w:t>
      </w:r>
      <w:r w:rsidR="00794F2A" w:rsidRPr="00F46944">
        <w:t xml:space="preserve">eason for </w:t>
      </w:r>
      <w:r w:rsidR="001829AF" w:rsidRPr="00F46944">
        <w:t>E</w:t>
      </w:r>
      <w:r w:rsidR="00794F2A" w:rsidRPr="00F46944">
        <w:t>ncounter and</w:t>
      </w:r>
      <w:r w:rsidR="00D01E52" w:rsidRPr="00F46944">
        <w:t xml:space="preserve"> </w:t>
      </w:r>
      <w:r w:rsidR="001829AF" w:rsidRPr="00F46944">
        <w:t>D</w:t>
      </w:r>
      <w:r w:rsidR="00794F2A" w:rsidRPr="00F46944">
        <w:t>iagnos</w:t>
      </w:r>
      <w:r w:rsidR="001829AF" w:rsidRPr="00F46944">
        <w:t>is</w:t>
      </w:r>
      <w:r w:rsidR="00D01E52" w:rsidRPr="00F46944">
        <w:t>’</w:t>
      </w:r>
      <w:r w:rsidR="00794F2A" w:rsidRPr="00F46944">
        <w:t xml:space="preserve"> recorded on the same day as the prescription</w:t>
      </w:r>
      <w:r w:rsidR="001F4193" w:rsidRPr="00F46944">
        <w:t xml:space="preserve"> to identify </w:t>
      </w:r>
      <w:r w:rsidR="001F4193" w:rsidRPr="00F46944">
        <w:lastRenderedPageBreak/>
        <w:t>the indication</w:t>
      </w:r>
      <w:r w:rsidR="00794F2A" w:rsidRPr="00F46944">
        <w:t xml:space="preserve">. As a result, NPS MedicineWise </w:t>
      </w:r>
      <w:r w:rsidR="00247988">
        <w:t>was</w:t>
      </w:r>
      <w:r w:rsidR="00794F2A" w:rsidRPr="00F46944">
        <w:t xml:space="preserve"> able to establish the likely indication for the prescription in more than </w:t>
      </w:r>
      <w:r w:rsidR="00690CF5" w:rsidRPr="00F46944">
        <w:t>65</w:t>
      </w:r>
      <w:r w:rsidR="00794F2A" w:rsidRPr="00F46944">
        <w:t xml:space="preserve">% of cases. </w:t>
      </w:r>
    </w:p>
    <w:p w14:paraId="0E0D9757" w14:textId="3ED22437" w:rsidR="0093641B" w:rsidRPr="00E60CBE" w:rsidRDefault="00E60CBE" w:rsidP="000851F7">
      <w:pPr>
        <w:pStyle w:val="Captions"/>
        <w:rPr>
          <w:b w:val="0"/>
          <w:bCs w:val="0"/>
        </w:rPr>
      </w:pPr>
      <w:bookmarkStart w:id="115" w:name="_Toc121744369"/>
      <w:bookmarkStart w:id="116" w:name="_Toc121491309"/>
      <w:bookmarkStart w:id="117" w:name="_Hlk105089156"/>
      <w:r>
        <w:t>Table</w:t>
      </w:r>
      <w:r w:rsidRPr="00F46944">
        <w:t> </w:t>
      </w:r>
      <w:fldSimple w:instr=" SEQ Table \* ARABIC ">
        <w:r w:rsidR="00F34DDD">
          <w:rPr>
            <w:noProof/>
          </w:rPr>
          <w:t>9</w:t>
        </w:r>
      </w:fldSimple>
      <w:r w:rsidR="0093641B" w:rsidRPr="00F46944">
        <w:t>:</w:t>
      </w:r>
      <w:r w:rsidR="0093641B" w:rsidRPr="00E60CBE">
        <w:rPr>
          <w:b w:val="0"/>
          <w:bCs w:val="0"/>
        </w:rPr>
        <w:t> </w:t>
      </w:r>
      <w:r w:rsidR="0093641B" w:rsidRPr="00E60CBE">
        <w:rPr>
          <w:b w:val="0"/>
          <w:bCs w:val="0"/>
        </w:rPr>
        <w:t xml:space="preserve">Patterns of </w:t>
      </w:r>
      <w:r w:rsidR="002E0811" w:rsidRPr="00E60CBE">
        <w:rPr>
          <w:b w:val="0"/>
          <w:bCs w:val="0"/>
        </w:rPr>
        <w:t>GP</w:t>
      </w:r>
      <w:r w:rsidR="0093641B" w:rsidRPr="00E60CBE">
        <w:rPr>
          <w:b w:val="0"/>
          <w:bCs w:val="0"/>
        </w:rPr>
        <w:t xml:space="preserve"> prescribing for </w:t>
      </w:r>
      <w:r w:rsidR="007770E2" w:rsidRPr="00E60CBE">
        <w:rPr>
          <w:b w:val="0"/>
          <w:bCs w:val="0"/>
        </w:rPr>
        <w:t xml:space="preserve">high use </w:t>
      </w:r>
      <w:r w:rsidR="0093641B" w:rsidRPr="00E60CBE">
        <w:rPr>
          <w:b w:val="0"/>
          <w:bCs w:val="0"/>
        </w:rPr>
        <w:t>antimicrobials</w:t>
      </w:r>
      <w:r w:rsidR="0097547F" w:rsidRPr="00E60CBE">
        <w:rPr>
          <w:b w:val="0"/>
          <w:bCs w:val="0"/>
        </w:rPr>
        <w:t>,</w:t>
      </w:r>
      <w:r w:rsidR="0093641B" w:rsidRPr="00E60CBE">
        <w:rPr>
          <w:b w:val="0"/>
          <w:bCs w:val="0"/>
        </w:rPr>
        <w:t xml:space="preserve"> </w:t>
      </w:r>
      <w:proofErr w:type="spellStart"/>
      <w:r w:rsidR="0093641B" w:rsidRPr="00E60CBE">
        <w:rPr>
          <w:b w:val="0"/>
          <w:bCs w:val="0"/>
        </w:rPr>
        <w:t>MedicineInsight</w:t>
      </w:r>
      <w:proofErr w:type="spellEnd"/>
      <w:r w:rsidR="0093641B" w:rsidRPr="00E60CBE">
        <w:rPr>
          <w:b w:val="0"/>
          <w:bCs w:val="0"/>
        </w:rPr>
        <w:t xml:space="preserve"> practices, 2021</w:t>
      </w:r>
      <w:bookmarkEnd w:id="115"/>
      <w:bookmarkEnd w:id="116"/>
      <w:r w:rsidR="0093641B" w:rsidRPr="00E60CBE">
        <w:rPr>
          <w:b w:val="0"/>
          <w:bCs w:val="0"/>
        </w:rPr>
        <w:t xml:space="preserve"> </w:t>
      </w:r>
      <w:bookmarkEnd w:id="117"/>
    </w:p>
    <w:tbl>
      <w:tblPr>
        <w:tblStyle w:val="PlainTable2"/>
        <w:tblW w:w="9584" w:type="dxa"/>
        <w:tblLook w:val="04A0" w:firstRow="1" w:lastRow="0" w:firstColumn="1" w:lastColumn="0" w:noHBand="0" w:noVBand="1"/>
      </w:tblPr>
      <w:tblGrid>
        <w:gridCol w:w="1477"/>
        <w:gridCol w:w="1301"/>
        <w:gridCol w:w="2773"/>
        <w:gridCol w:w="1197"/>
        <w:gridCol w:w="1341"/>
        <w:gridCol w:w="1495"/>
      </w:tblGrid>
      <w:tr w:rsidR="0093641B" w:rsidRPr="00F46944" w14:paraId="79AAE784" w14:textId="77777777" w:rsidTr="00E32452">
        <w:trPr>
          <w:cnfStyle w:val="100000000000" w:firstRow="1" w:lastRow="0" w:firstColumn="0" w:lastColumn="0" w:oddVBand="0" w:evenVBand="0" w:oddHBand="0" w:evenHBand="0" w:firstRowFirstColumn="0" w:firstRowLastColumn="0" w:lastRowFirstColumn="0" w:lastRowLastColumn="0"/>
          <w:trHeight w:val="1327"/>
        </w:trPr>
        <w:tc>
          <w:tcPr>
            <w:cnfStyle w:val="001000000000" w:firstRow="0" w:lastRow="0" w:firstColumn="1" w:lastColumn="0" w:oddVBand="0" w:evenVBand="0" w:oddHBand="0" w:evenHBand="0" w:firstRowFirstColumn="0" w:firstRowLastColumn="0" w:lastRowFirstColumn="0" w:lastRowLastColumn="0"/>
            <w:tcW w:w="1477" w:type="dxa"/>
            <w:shd w:val="clear" w:color="auto" w:fill="F1BBA8" w:themeFill="accent5" w:themeFillTint="66"/>
            <w:vAlign w:val="bottom"/>
            <w:hideMark/>
          </w:tcPr>
          <w:p w14:paraId="3A739AC7" w14:textId="77777777" w:rsidR="0093641B" w:rsidRPr="00F46944" w:rsidRDefault="0093641B" w:rsidP="0093641B">
            <w:pPr>
              <w:spacing w:before="60" w:after="60"/>
              <w:rPr>
                <w:rFonts w:ascii="Arial" w:hAnsi="Arial" w:cs="Arial"/>
                <w:color w:val="000000"/>
                <w:sz w:val="18"/>
                <w:szCs w:val="18"/>
              </w:rPr>
            </w:pPr>
            <w:bookmarkStart w:id="118" w:name="_Hlk105088882"/>
            <w:r w:rsidRPr="00F46944">
              <w:rPr>
                <w:rFonts w:ascii="Arial" w:hAnsi="Arial" w:cs="Arial"/>
                <w:color w:val="000000"/>
                <w:sz w:val="18"/>
                <w:szCs w:val="18"/>
              </w:rPr>
              <w:t>Antimicrobial</w:t>
            </w:r>
          </w:p>
        </w:tc>
        <w:tc>
          <w:tcPr>
            <w:tcW w:w="1301" w:type="dxa"/>
            <w:shd w:val="clear" w:color="auto" w:fill="F1BBA8" w:themeFill="accent5" w:themeFillTint="66"/>
            <w:vAlign w:val="bottom"/>
            <w:hideMark/>
          </w:tcPr>
          <w:p w14:paraId="0005AAA6" w14:textId="77777777" w:rsidR="0093641B" w:rsidRPr="00F46944" w:rsidRDefault="0093641B" w:rsidP="0093641B">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46944">
              <w:rPr>
                <w:rFonts w:ascii="Arial" w:hAnsi="Arial" w:cs="Arial"/>
                <w:color w:val="000000"/>
                <w:sz w:val="18"/>
                <w:szCs w:val="18"/>
              </w:rPr>
              <w:t>Patients issued a prescription (PBS/RPBS or private) (%)</w:t>
            </w:r>
            <w:r w:rsidRPr="00F46944">
              <w:rPr>
                <w:rFonts w:ascii="Arial" w:hAnsi="Arial" w:cs="Arial"/>
                <w:color w:val="000000"/>
                <w:sz w:val="18"/>
                <w:szCs w:val="18"/>
                <w:vertAlign w:val="superscript"/>
              </w:rPr>
              <w:t xml:space="preserve"> *</w:t>
            </w:r>
          </w:p>
        </w:tc>
        <w:tc>
          <w:tcPr>
            <w:tcW w:w="2773" w:type="dxa"/>
            <w:shd w:val="clear" w:color="auto" w:fill="F1BBA8" w:themeFill="accent5" w:themeFillTint="66"/>
            <w:vAlign w:val="bottom"/>
            <w:hideMark/>
          </w:tcPr>
          <w:p w14:paraId="74705A6C" w14:textId="77777777" w:rsidR="0093641B" w:rsidRPr="00F46944" w:rsidRDefault="0093641B" w:rsidP="0093641B">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46944">
              <w:rPr>
                <w:rFonts w:ascii="Arial" w:hAnsi="Arial" w:cs="Arial"/>
                <w:color w:val="000000"/>
                <w:sz w:val="18"/>
                <w:szCs w:val="18"/>
              </w:rPr>
              <w:t>Most common indication (%)</w:t>
            </w:r>
            <w:r w:rsidRPr="00F46944">
              <w:rPr>
                <w:rFonts w:ascii="Arial" w:hAnsi="Arial" w:cs="Arial"/>
                <w:color w:val="000000"/>
                <w:sz w:val="18"/>
                <w:szCs w:val="18"/>
                <w:vertAlign w:val="superscript"/>
              </w:rPr>
              <w:t xml:space="preserve"> †</w:t>
            </w:r>
          </w:p>
        </w:tc>
        <w:tc>
          <w:tcPr>
            <w:tcW w:w="1197" w:type="dxa"/>
            <w:shd w:val="clear" w:color="auto" w:fill="F1BBA8" w:themeFill="accent5" w:themeFillTint="66"/>
            <w:vAlign w:val="bottom"/>
            <w:hideMark/>
          </w:tcPr>
          <w:p w14:paraId="1549E350" w14:textId="77777777" w:rsidR="0093641B" w:rsidRPr="00F46944" w:rsidRDefault="0093641B" w:rsidP="0093641B">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46944">
              <w:rPr>
                <w:rFonts w:ascii="Arial" w:hAnsi="Arial" w:cs="Arial"/>
                <w:color w:val="000000"/>
                <w:sz w:val="18"/>
                <w:szCs w:val="18"/>
              </w:rPr>
              <w:t>Patient age group with highest rate</w:t>
            </w:r>
            <w:r w:rsidRPr="00F46944">
              <w:rPr>
                <w:rFonts w:ascii="Arial" w:hAnsi="Arial" w:cs="Arial"/>
                <w:color w:val="000000"/>
                <w:sz w:val="18"/>
                <w:szCs w:val="18"/>
                <w:vertAlign w:val="superscript"/>
              </w:rPr>
              <w:t>§</w:t>
            </w:r>
            <w:r w:rsidRPr="00F46944">
              <w:rPr>
                <w:rFonts w:ascii="Arial" w:hAnsi="Arial" w:cs="Arial"/>
                <w:color w:val="000000"/>
                <w:sz w:val="18"/>
                <w:szCs w:val="18"/>
              </w:rPr>
              <w:t xml:space="preserve"> of prescribing (years)</w:t>
            </w:r>
          </w:p>
        </w:tc>
        <w:tc>
          <w:tcPr>
            <w:tcW w:w="1341" w:type="dxa"/>
            <w:shd w:val="clear" w:color="auto" w:fill="F1BBA8" w:themeFill="accent5" w:themeFillTint="66"/>
            <w:vAlign w:val="bottom"/>
            <w:hideMark/>
          </w:tcPr>
          <w:p w14:paraId="4EA24210" w14:textId="683896E9" w:rsidR="0093641B" w:rsidRPr="00F46944" w:rsidRDefault="0093641B" w:rsidP="0093641B">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46944">
              <w:rPr>
                <w:rFonts w:ascii="Arial" w:hAnsi="Arial" w:cs="Arial"/>
                <w:color w:val="000000"/>
                <w:sz w:val="18"/>
                <w:szCs w:val="18"/>
              </w:rPr>
              <w:t>Prescrip</w:t>
            </w:r>
            <w:r w:rsidRPr="00F46944">
              <w:rPr>
                <w:rFonts w:ascii="Arial" w:hAnsi="Arial" w:cs="Arial"/>
                <w:color w:val="000000"/>
                <w:sz w:val="18"/>
                <w:szCs w:val="18"/>
              </w:rPr>
              <w:softHyphen/>
              <w:t xml:space="preserve">tions (PBS/RPBS or </w:t>
            </w:r>
            <w:r w:rsidR="00352374" w:rsidRPr="00F46944">
              <w:rPr>
                <w:rFonts w:ascii="Arial" w:hAnsi="Arial" w:cs="Arial"/>
                <w:color w:val="000000"/>
                <w:sz w:val="18"/>
                <w:szCs w:val="18"/>
              </w:rPr>
              <w:t>non-PBS</w:t>
            </w:r>
            <w:r w:rsidRPr="00F46944">
              <w:rPr>
                <w:rFonts w:ascii="Arial" w:hAnsi="Arial" w:cs="Arial"/>
                <w:color w:val="000000"/>
                <w:sz w:val="18"/>
                <w:szCs w:val="18"/>
              </w:rPr>
              <w:t>) ordered with repeats (%)</w:t>
            </w:r>
          </w:p>
        </w:tc>
        <w:tc>
          <w:tcPr>
            <w:tcW w:w="1495" w:type="dxa"/>
            <w:shd w:val="clear" w:color="auto" w:fill="F1BBA8" w:themeFill="accent5" w:themeFillTint="66"/>
            <w:vAlign w:val="bottom"/>
            <w:hideMark/>
          </w:tcPr>
          <w:p w14:paraId="41CD3D06" w14:textId="1FE805BA" w:rsidR="0093641B" w:rsidRPr="00F46944" w:rsidRDefault="0093641B" w:rsidP="0093641B">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46944">
              <w:rPr>
                <w:rFonts w:ascii="Arial" w:hAnsi="Arial" w:cs="Arial"/>
                <w:color w:val="000000"/>
                <w:sz w:val="18"/>
                <w:szCs w:val="18"/>
              </w:rPr>
              <w:t xml:space="preserve">Prescriptions ordered as </w:t>
            </w:r>
            <w:r w:rsidR="004A7E61" w:rsidRPr="00F46944">
              <w:rPr>
                <w:rFonts w:ascii="Arial" w:hAnsi="Arial" w:cs="Arial"/>
                <w:color w:val="000000"/>
                <w:sz w:val="18"/>
                <w:szCs w:val="18"/>
              </w:rPr>
              <w:t>non-PBS/RPBS</w:t>
            </w:r>
            <w:r w:rsidR="0003504A" w:rsidRPr="00F46944">
              <w:rPr>
                <w:rFonts w:ascii="Arial" w:hAnsi="Arial" w:cs="Arial"/>
                <w:color w:val="000000"/>
                <w:sz w:val="18"/>
                <w:szCs w:val="18"/>
              </w:rPr>
              <w:t xml:space="preserve"> ordered with repeats</w:t>
            </w:r>
            <w:r w:rsidRPr="00F46944">
              <w:rPr>
                <w:rFonts w:ascii="Arial" w:hAnsi="Arial" w:cs="Arial"/>
                <w:color w:val="000000"/>
                <w:sz w:val="18"/>
                <w:szCs w:val="18"/>
              </w:rPr>
              <w:t xml:space="preserve"> (%)</w:t>
            </w:r>
          </w:p>
        </w:tc>
      </w:tr>
      <w:tr w:rsidR="0093641B" w:rsidRPr="00F46944" w14:paraId="0D9B745D" w14:textId="77777777" w:rsidTr="00E32452">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1477" w:type="dxa"/>
            <w:hideMark/>
          </w:tcPr>
          <w:p w14:paraId="2C80B914" w14:textId="77777777" w:rsidR="0093641B" w:rsidRPr="00F46944" w:rsidRDefault="0093641B" w:rsidP="0093641B">
            <w:pPr>
              <w:spacing w:before="60" w:after="60"/>
              <w:rPr>
                <w:rFonts w:ascii="Arial" w:hAnsi="Arial" w:cs="Arial"/>
                <w:color w:val="000000"/>
                <w:sz w:val="18"/>
                <w:szCs w:val="18"/>
              </w:rPr>
            </w:pPr>
            <w:r w:rsidRPr="00F46944">
              <w:rPr>
                <w:rFonts w:ascii="Arial" w:hAnsi="Arial" w:cs="Arial"/>
                <w:color w:val="000000"/>
                <w:sz w:val="18"/>
                <w:szCs w:val="18"/>
              </w:rPr>
              <w:t>Cefalexin</w:t>
            </w:r>
          </w:p>
        </w:tc>
        <w:tc>
          <w:tcPr>
            <w:tcW w:w="1301" w:type="dxa"/>
            <w:hideMark/>
          </w:tcPr>
          <w:p w14:paraId="6148ED22" w14:textId="2401CA81" w:rsidR="0093641B" w:rsidRPr="00F46944" w:rsidRDefault="0093641B" w:rsidP="009364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F46944">
              <w:rPr>
                <w:rFonts w:ascii="Arial" w:hAnsi="Arial" w:cs="Arial"/>
                <w:color w:val="000000"/>
                <w:sz w:val="18"/>
                <w:szCs w:val="18"/>
              </w:rPr>
              <w:t xml:space="preserve">7.7 </w:t>
            </w:r>
          </w:p>
        </w:tc>
        <w:tc>
          <w:tcPr>
            <w:tcW w:w="2773" w:type="dxa"/>
            <w:hideMark/>
          </w:tcPr>
          <w:p w14:paraId="45BE2C62" w14:textId="52F6EDC7" w:rsidR="0093641B" w:rsidRPr="00F46944" w:rsidRDefault="0093641B" w:rsidP="007631ED">
            <w:pPr>
              <w:numPr>
                <w:ilvl w:val="0"/>
                <w:numId w:val="10"/>
              </w:numPr>
              <w:tabs>
                <w:tab w:val="left" w:pos="216"/>
              </w:tabs>
              <w:spacing w:before="60" w:after="60"/>
              <w:ind w:left="216" w:hanging="216"/>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F46944">
              <w:rPr>
                <w:rFonts w:ascii="Arial" w:hAnsi="Arial" w:cs="Arial"/>
                <w:color w:val="000000"/>
                <w:sz w:val="18"/>
                <w:szCs w:val="18"/>
              </w:rPr>
              <w:t xml:space="preserve">Skin/wound infection </w:t>
            </w:r>
            <w:r w:rsidR="00CB2727" w:rsidRPr="00F46944">
              <w:rPr>
                <w:rFonts w:ascii="Arial" w:hAnsi="Arial" w:cs="Arial"/>
                <w:color w:val="000000"/>
                <w:sz w:val="18"/>
                <w:szCs w:val="18"/>
              </w:rPr>
              <w:t>(</w:t>
            </w:r>
            <w:r w:rsidRPr="00F46944">
              <w:rPr>
                <w:rFonts w:ascii="Arial" w:hAnsi="Arial" w:cs="Arial"/>
                <w:color w:val="000000"/>
                <w:sz w:val="18"/>
                <w:szCs w:val="18"/>
              </w:rPr>
              <w:t>20.7</w:t>
            </w:r>
            <w:r w:rsidR="00CB2727" w:rsidRPr="00F46944">
              <w:rPr>
                <w:rFonts w:ascii="Arial" w:hAnsi="Arial" w:cs="Arial"/>
                <w:color w:val="000000"/>
                <w:sz w:val="18"/>
                <w:szCs w:val="18"/>
              </w:rPr>
              <w:t>)</w:t>
            </w:r>
            <w:r w:rsidRPr="00F46944">
              <w:rPr>
                <w:rFonts w:ascii="Arial" w:hAnsi="Arial" w:cs="Arial"/>
                <w:color w:val="000000"/>
                <w:sz w:val="18"/>
                <w:szCs w:val="18"/>
              </w:rPr>
              <w:t xml:space="preserve"> </w:t>
            </w:r>
          </w:p>
          <w:p w14:paraId="2BB98F2F" w14:textId="161E168E" w:rsidR="0093641B" w:rsidRPr="00F46944" w:rsidRDefault="0093641B" w:rsidP="007631ED">
            <w:pPr>
              <w:numPr>
                <w:ilvl w:val="0"/>
                <w:numId w:val="10"/>
              </w:numPr>
              <w:tabs>
                <w:tab w:val="left" w:pos="216"/>
              </w:tabs>
              <w:spacing w:before="60" w:after="60"/>
              <w:ind w:left="216" w:hanging="216"/>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F46944">
              <w:rPr>
                <w:rFonts w:ascii="Arial" w:hAnsi="Arial" w:cs="Arial"/>
                <w:color w:val="000000"/>
                <w:sz w:val="18"/>
                <w:szCs w:val="18"/>
              </w:rPr>
              <w:t xml:space="preserve">UTI </w:t>
            </w:r>
            <w:r w:rsidR="00CB2727" w:rsidRPr="00F46944">
              <w:rPr>
                <w:rFonts w:ascii="Arial" w:hAnsi="Arial" w:cs="Arial"/>
                <w:color w:val="000000"/>
                <w:sz w:val="18"/>
                <w:szCs w:val="18"/>
              </w:rPr>
              <w:t>(</w:t>
            </w:r>
            <w:r w:rsidRPr="00F46944">
              <w:rPr>
                <w:rFonts w:ascii="Arial" w:hAnsi="Arial" w:cs="Arial"/>
                <w:color w:val="000000"/>
                <w:sz w:val="18"/>
                <w:szCs w:val="18"/>
              </w:rPr>
              <w:t>16.7</w:t>
            </w:r>
            <w:r w:rsidR="00CB2727" w:rsidRPr="00F46944">
              <w:rPr>
                <w:rFonts w:ascii="Arial" w:hAnsi="Arial" w:cs="Arial"/>
                <w:color w:val="000000"/>
                <w:sz w:val="18"/>
                <w:szCs w:val="18"/>
              </w:rPr>
              <w:t>)</w:t>
            </w:r>
            <w:r w:rsidRPr="00F46944">
              <w:rPr>
                <w:rFonts w:ascii="Arial" w:hAnsi="Arial" w:cs="Arial"/>
                <w:color w:val="000000"/>
                <w:sz w:val="18"/>
                <w:szCs w:val="18"/>
              </w:rPr>
              <w:t xml:space="preserve"> </w:t>
            </w:r>
          </w:p>
          <w:p w14:paraId="08B6C0EA" w14:textId="17B5211A" w:rsidR="0093641B" w:rsidRPr="00F46944" w:rsidRDefault="0093641B" w:rsidP="007631ED">
            <w:pPr>
              <w:numPr>
                <w:ilvl w:val="0"/>
                <w:numId w:val="10"/>
              </w:numPr>
              <w:tabs>
                <w:tab w:val="left" w:pos="216"/>
              </w:tabs>
              <w:spacing w:before="60" w:after="60"/>
              <w:ind w:left="216" w:hanging="216"/>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F46944">
              <w:rPr>
                <w:rFonts w:ascii="Arial" w:hAnsi="Arial" w:cs="Arial"/>
                <w:color w:val="000000"/>
                <w:sz w:val="18"/>
                <w:szCs w:val="18"/>
              </w:rPr>
              <w:t xml:space="preserve">Other infection </w:t>
            </w:r>
            <w:r w:rsidR="00CB2727" w:rsidRPr="00F46944">
              <w:rPr>
                <w:rFonts w:ascii="Arial" w:hAnsi="Arial" w:cs="Arial"/>
                <w:color w:val="000000"/>
                <w:sz w:val="18"/>
                <w:szCs w:val="18"/>
              </w:rPr>
              <w:t>(</w:t>
            </w:r>
            <w:r w:rsidRPr="00F46944">
              <w:rPr>
                <w:rFonts w:ascii="Arial" w:hAnsi="Arial" w:cs="Arial"/>
                <w:color w:val="000000"/>
                <w:sz w:val="18"/>
                <w:szCs w:val="18"/>
              </w:rPr>
              <w:t>8.4</w:t>
            </w:r>
            <w:r w:rsidR="00CB2727" w:rsidRPr="00F46944">
              <w:rPr>
                <w:rFonts w:ascii="Arial" w:hAnsi="Arial" w:cs="Arial"/>
                <w:color w:val="000000"/>
                <w:sz w:val="18"/>
                <w:szCs w:val="18"/>
              </w:rPr>
              <w:t>)</w:t>
            </w:r>
            <w:r w:rsidRPr="00F46944">
              <w:rPr>
                <w:rFonts w:ascii="Arial" w:hAnsi="Arial" w:cs="Arial"/>
                <w:color w:val="000000"/>
                <w:sz w:val="18"/>
                <w:szCs w:val="18"/>
              </w:rPr>
              <w:t xml:space="preserve"> </w:t>
            </w:r>
          </w:p>
          <w:p w14:paraId="66138561" w14:textId="0DE06819" w:rsidR="0093641B" w:rsidRPr="00F46944" w:rsidRDefault="008A0513" w:rsidP="007631ED">
            <w:pPr>
              <w:keepNext/>
              <w:numPr>
                <w:ilvl w:val="0"/>
                <w:numId w:val="10"/>
              </w:numPr>
              <w:tabs>
                <w:tab w:val="left" w:pos="216"/>
              </w:tabs>
              <w:spacing w:before="60" w:after="60"/>
              <w:ind w:left="216" w:hanging="216"/>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F46944">
              <w:rPr>
                <w:rFonts w:ascii="Arial" w:hAnsi="Arial" w:cs="Arial"/>
                <w:color w:val="000000"/>
                <w:sz w:val="18"/>
                <w:szCs w:val="18"/>
              </w:rPr>
              <w:t>Respiratory-</w:t>
            </w:r>
            <w:r w:rsidR="00434263" w:rsidRPr="00F46944">
              <w:rPr>
                <w:rFonts w:ascii="Arial" w:hAnsi="Arial" w:cs="Arial"/>
                <w:color w:val="000000"/>
                <w:sz w:val="18"/>
                <w:szCs w:val="18"/>
              </w:rPr>
              <w:t xml:space="preserve">related infection </w:t>
            </w:r>
            <w:r w:rsidR="00CB2727" w:rsidRPr="00F46944">
              <w:rPr>
                <w:rFonts w:ascii="Arial" w:hAnsi="Arial" w:cs="Arial"/>
                <w:color w:val="000000"/>
                <w:sz w:val="18"/>
                <w:szCs w:val="18"/>
              </w:rPr>
              <w:t>(</w:t>
            </w:r>
            <w:r w:rsidR="00434263" w:rsidRPr="00F46944">
              <w:rPr>
                <w:rFonts w:ascii="Arial" w:hAnsi="Arial" w:cs="Arial"/>
                <w:color w:val="000000"/>
                <w:sz w:val="18"/>
                <w:szCs w:val="18"/>
              </w:rPr>
              <w:t>5.2</w:t>
            </w:r>
            <w:r w:rsidR="00CB2727" w:rsidRPr="00F46944">
              <w:rPr>
                <w:rFonts w:ascii="Arial" w:hAnsi="Arial" w:cs="Arial"/>
                <w:color w:val="000000"/>
                <w:sz w:val="18"/>
                <w:szCs w:val="18"/>
              </w:rPr>
              <w:t>)</w:t>
            </w:r>
            <w:r w:rsidR="0093641B" w:rsidRPr="00F46944">
              <w:rPr>
                <w:rFonts w:ascii="Arial" w:hAnsi="Arial" w:cs="Arial"/>
                <w:color w:val="000000"/>
                <w:sz w:val="18"/>
                <w:szCs w:val="18"/>
              </w:rPr>
              <w:t xml:space="preserve"> </w:t>
            </w:r>
          </w:p>
        </w:tc>
        <w:tc>
          <w:tcPr>
            <w:tcW w:w="1197" w:type="dxa"/>
            <w:hideMark/>
          </w:tcPr>
          <w:p w14:paraId="15F0D92B" w14:textId="40DB4A01" w:rsidR="0093641B" w:rsidRPr="00F46944" w:rsidRDefault="0093641B" w:rsidP="009364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8"/>
                <w:szCs w:val="18"/>
              </w:rPr>
            </w:pPr>
            <w:r w:rsidRPr="00F46944">
              <w:rPr>
                <w:rFonts w:ascii="Arial" w:eastAsiaTheme="minorEastAsia" w:hAnsi="Arial" w:cs="Arial"/>
                <w:color w:val="000000"/>
                <w:sz w:val="18"/>
                <w:szCs w:val="18"/>
              </w:rPr>
              <w:t>9</w:t>
            </w:r>
            <w:r w:rsidR="001F350A" w:rsidRPr="00F46944">
              <w:rPr>
                <w:rFonts w:ascii="Arial" w:eastAsiaTheme="minorEastAsia" w:hAnsi="Arial" w:cs="Arial"/>
                <w:color w:val="000000"/>
                <w:sz w:val="18"/>
                <w:szCs w:val="18"/>
              </w:rPr>
              <w:t>0</w:t>
            </w:r>
            <w:r w:rsidR="0048767A" w:rsidRPr="00F46944">
              <w:rPr>
                <w:rFonts w:ascii="Arial" w:eastAsiaTheme="minorEastAsia" w:hAnsi="Arial" w:cs="Arial"/>
                <w:color w:val="000000"/>
                <w:sz w:val="18"/>
                <w:szCs w:val="18"/>
              </w:rPr>
              <w:t>–</w:t>
            </w:r>
            <w:r w:rsidR="001F350A" w:rsidRPr="00F46944">
              <w:rPr>
                <w:rFonts w:ascii="Arial" w:eastAsiaTheme="minorEastAsia" w:hAnsi="Arial" w:cs="Arial"/>
                <w:color w:val="000000"/>
                <w:sz w:val="18"/>
                <w:szCs w:val="18"/>
              </w:rPr>
              <w:t>94</w:t>
            </w:r>
          </w:p>
        </w:tc>
        <w:tc>
          <w:tcPr>
            <w:tcW w:w="1341" w:type="dxa"/>
            <w:hideMark/>
          </w:tcPr>
          <w:p w14:paraId="53C814EC" w14:textId="7098DAE6" w:rsidR="0093641B" w:rsidRPr="00F46944" w:rsidRDefault="0065134A" w:rsidP="009364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F46944">
              <w:rPr>
                <w:rFonts w:ascii="Arial" w:hAnsi="Arial" w:cs="Arial"/>
                <w:color w:val="000000"/>
                <w:sz w:val="18"/>
                <w:szCs w:val="18"/>
              </w:rPr>
              <w:t>7.2</w:t>
            </w:r>
            <w:r w:rsidR="0093641B" w:rsidRPr="00F46944">
              <w:rPr>
                <w:rFonts w:ascii="Arial" w:hAnsi="Arial" w:cs="Arial"/>
                <w:color w:val="000000"/>
                <w:sz w:val="18"/>
                <w:szCs w:val="18"/>
              </w:rPr>
              <w:t xml:space="preserve"> </w:t>
            </w:r>
          </w:p>
        </w:tc>
        <w:tc>
          <w:tcPr>
            <w:tcW w:w="1495" w:type="dxa"/>
            <w:hideMark/>
          </w:tcPr>
          <w:p w14:paraId="3DD77475" w14:textId="3312A5B6" w:rsidR="0093641B" w:rsidRPr="00F46944" w:rsidRDefault="00236920" w:rsidP="009364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6944">
              <w:rPr>
                <w:rFonts w:ascii="Arial" w:hAnsi="Arial" w:cs="Arial"/>
                <w:color w:val="000000"/>
                <w:sz w:val="20"/>
                <w:szCs w:val="20"/>
              </w:rPr>
              <w:t>0.9</w:t>
            </w:r>
            <w:r w:rsidR="0093641B" w:rsidRPr="00F46944">
              <w:rPr>
                <w:rFonts w:ascii="Arial" w:hAnsi="Arial" w:cs="Arial"/>
                <w:color w:val="000000"/>
                <w:sz w:val="20"/>
                <w:szCs w:val="20"/>
              </w:rPr>
              <w:t xml:space="preserve"> </w:t>
            </w:r>
          </w:p>
        </w:tc>
      </w:tr>
      <w:tr w:rsidR="0093641B" w:rsidRPr="00F46944" w14:paraId="015BCBAA" w14:textId="77777777" w:rsidTr="00E32452">
        <w:trPr>
          <w:trHeight w:val="1164"/>
        </w:trPr>
        <w:tc>
          <w:tcPr>
            <w:cnfStyle w:val="001000000000" w:firstRow="0" w:lastRow="0" w:firstColumn="1" w:lastColumn="0" w:oddVBand="0" w:evenVBand="0" w:oddHBand="0" w:evenHBand="0" w:firstRowFirstColumn="0" w:firstRowLastColumn="0" w:lastRowFirstColumn="0" w:lastRowLastColumn="0"/>
            <w:tcW w:w="1477" w:type="dxa"/>
            <w:hideMark/>
          </w:tcPr>
          <w:p w14:paraId="1FCBCEAE" w14:textId="77777777" w:rsidR="0093641B" w:rsidRPr="00F46944" w:rsidRDefault="0093641B" w:rsidP="0093641B">
            <w:pPr>
              <w:spacing w:before="60" w:after="60"/>
              <w:rPr>
                <w:rFonts w:ascii="Arial" w:eastAsiaTheme="minorEastAsia" w:hAnsi="Arial" w:cs="Arial"/>
                <w:color w:val="000000"/>
                <w:sz w:val="18"/>
                <w:szCs w:val="18"/>
              </w:rPr>
            </w:pPr>
            <w:r w:rsidRPr="00F46944">
              <w:rPr>
                <w:rFonts w:ascii="Arial" w:hAnsi="Arial" w:cs="Arial"/>
                <w:color w:val="000000"/>
                <w:sz w:val="18"/>
                <w:szCs w:val="18"/>
              </w:rPr>
              <w:t>Amoxicillin</w:t>
            </w:r>
          </w:p>
        </w:tc>
        <w:tc>
          <w:tcPr>
            <w:tcW w:w="1301" w:type="dxa"/>
            <w:hideMark/>
          </w:tcPr>
          <w:p w14:paraId="68C4BA35" w14:textId="3E0BDB22" w:rsidR="0093641B" w:rsidRPr="00F46944" w:rsidRDefault="0093641B" w:rsidP="0093641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46944">
              <w:rPr>
                <w:rFonts w:ascii="Arial" w:hAnsi="Arial" w:cs="Arial"/>
                <w:color w:val="000000"/>
                <w:sz w:val="18"/>
                <w:szCs w:val="18"/>
              </w:rPr>
              <w:t xml:space="preserve">6.5 </w:t>
            </w:r>
          </w:p>
        </w:tc>
        <w:tc>
          <w:tcPr>
            <w:tcW w:w="2773" w:type="dxa"/>
            <w:hideMark/>
          </w:tcPr>
          <w:p w14:paraId="5E286AA7" w14:textId="16C8027C" w:rsidR="0093641B" w:rsidRPr="00F46944" w:rsidRDefault="0093641B" w:rsidP="007631ED">
            <w:pPr>
              <w:numPr>
                <w:ilvl w:val="0"/>
                <w:numId w:val="10"/>
              </w:numPr>
              <w:tabs>
                <w:tab w:val="left" w:pos="216"/>
              </w:tabs>
              <w:spacing w:before="60" w:after="60"/>
              <w:ind w:left="216" w:hanging="21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46944">
              <w:rPr>
                <w:rFonts w:ascii="Arial" w:hAnsi="Arial" w:cs="Arial"/>
                <w:color w:val="000000"/>
                <w:sz w:val="18"/>
                <w:szCs w:val="18"/>
              </w:rPr>
              <w:t xml:space="preserve">URTI (acute) </w:t>
            </w:r>
            <w:r w:rsidR="00CB2727" w:rsidRPr="00F46944">
              <w:rPr>
                <w:rFonts w:ascii="Arial" w:hAnsi="Arial" w:cs="Arial"/>
                <w:color w:val="000000"/>
                <w:sz w:val="18"/>
                <w:szCs w:val="18"/>
              </w:rPr>
              <w:t>(</w:t>
            </w:r>
            <w:r w:rsidRPr="00F46944">
              <w:rPr>
                <w:rFonts w:ascii="Arial" w:hAnsi="Arial" w:cs="Arial"/>
                <w:color w:val="000000"/>
                <w:sz w:val="18"/>
                <w:szCs w:val="18"/>
              </w:rPr>
              <w:t>16.3</w:t>
            </w:r>
            <w:r w:rsidR="00CB2727" w:rsidRPr="00F46944">
              <w:rPr>
                <w:rFonts w:ascii="Arial" w:hAnsi="Arial" w:cs="Arial"/>
                <w:color w:val="000000"/>
                <w:sz w:val="18"/>
                <w:szCs w:val="18"/>
              </w:rPr>
              <w:t>)</w:t>
            </w:r>
            <w:r w:rsidRPr="00F46944">
              <w:rPr>
                <w:rFonts w:ascii="Arial" w:hAnsi="Arial" w:cs="Arial"/>
                <w:color w:val="000000"/>
                <w:sz w:val="18"/>
                <w:szCs w:val="18"/>
              </w:rPr>
              <w:t xml:space="preserve"> </w:t>
            </w:r>
          </w:p>
          <w:p w14:paraId="4F907BFB" w14:textId="3450B1F6" w:rsidR="0093641B" w:rsidRPr="00F46944" w:rsidRDefault="0093641B" w:rsidP="007631ED">
            <w:pPr>
              <w:numPr>
                <w:ilvl w:val="0"/>
                <w:numId w:val="10"/>
              </w:numPr>
              <w:tabs>
                <w:tab w:val="left" w:pos="216"/>
              </w:tabs>
              <w:spacing w:before="60" w:after="60"/>
              <w:ind w:left="216" w:hanging="21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46944">
              <w:rPr>
                <w:rFonts w:ascii="Arial" w:hAnsi="Arial" w:cs="Arial"/>
                <w:color w:val="000000"/>
                <w:sz w:val="18"/>
                <w:szCs w:val="18"/>
              </w:rPr>
              <w:t xml:space="preserve">Pneumonia </w:t>
            </w:r>
            <w:r w:rsidR="00CB2727" w:rsidRPr="00F46944">
              <w:rPr>
                <w:rFonts w:ascii="Arial" w:hAnsi="Arial" w:cs="Arial"/>
                <w:color w:val="000000"/>
                <w:sz w:val="18"/>
                <w:szCs w:val="18"/>
              </w:rPr>
              <w:t>(</w:t>
            </w:r>
            <w:r w:rsidRPr="00F46944">
              <w:rPr>
                <w:rFonts w:ascii="Arial" w:hAnsi="Arial" w:cs="Arial"/>
                <w:color w:val="000000"/>
                <w:sz w:val="18"/>
                <w:szCs w:val="18"/>
              </w:rPr>
              <w:t>10.6</w:t>
            </w:r>
            <w:r w:rsidR="00CB2727" w:rsidRPr="00F46944">
              <w:rPr>
                <w:rFonts w:ascii="Arial" w:hAnsi="Arial" w:cs="Arial"/>
                <w:color w:val="000000"/>
                <w:sz w:val="18"/>
                <w:szCs w:val="18"/>
              </w:rPr>
              <w:t>)</w:t>
            </w:r>
            <w:r w:rsidRPr="00F46944">
              <w:rPr>
                <w:rFonts w:ascii="Arial" w:hAnsi="Arial" w:cs="Arial"/>
                <w:color w:val="000000"/>
                <w:sz w:val="18"/>
                <w:szCs w:val="18"/>
              </w:rPr>
              <w:t xml:space="preserve"> </w:t>
            </w:r>
          </w:p>
          <w:p w14:paraId="74F13AED" w14:textId="5AC7CE65" w:rsidR="0093641B" w:rsidRPr="00F46944" w:rsidRDefault="0093641B" w:rsidP="007631ED">
            <w:pPr>
              <w:numPr>
                <w:ilvl w:val="0"/>
                <w:numId w:val="10"/>
              </w:numPr>
              <w:tabs>
                <w:tab w:val="left" w:pos="216"/>
              </w:tabs>
              <w:spacing w:before="60" w:after="60"/>
              <w:ind w:left="216" w:hanging="21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46944">
              <w:rPr>
                <w:rFonts w:ascii="Arial" w:hAnsi="Arial" w:cs="Arial"/>
                <w:color w:val="000000"/>
                <w:sz w:val="18"/>
                <w:szCs w:val="18"/>
              </w:rPr>
              <w:t xml:space="preserve">Otitis media </w:t>
            </w:r>
            <w:r w:rsidR="00CB2727" w:rsidRPr="00F46944">
              <w:rPr>
                <w:rFonts w:ascii="Arial" w:hAnsi="Arial" w:cs="Arial"/>
                <w:color w:val="000000"/>
                <w:sz w:val="18"/>
                <w:szCs w:val="18"/>
              </w:rPr>
              <w:t>(</w:t>
            </w:r>
            <w:r w:rsidRPr="00F46944">
              <w:rPr>
                <w:rFonts w:ascii="Arial" w:hAnsi="Arial" w:cs="Arial"/>
                <w:color w:val="000000"/>
                <w:sz w:val="18"/>
                <w:szCs w:val="18"/>
              </w:rPr>
              <w:t>10.3</w:t>
            </w:r>
            <w:r w:rsidR="00CB2727" w:rsidRPr="00F46944">
              <w:rPr>
                <w:rFonts w:ascii="Arial" w:hAnsi="Arial" w:cs="Arial"/>
                <w:color w:val="000000"/>
                <w:sz w:val="18"/>
                <w:szCs w:val="18"/>
              </w:rPr>
              <w:t>)</w:t>
            </w:r>
            <w:r w:rsidRPr="00F46944">
              <w:rPr>
                <w:rFonts w:ascii="Arial" w:hAnsi="Arial" w:cs="Arial"/>
                <w:color w:val="000000"/>
                <w:sz w:val="18"/>
                <w:szCs w:val="18"/>
              </w:rPr>
              <w:t xml:space="preserve"> </w:t>
            </w:r>
          </w:p>
          <w:p w14:paraId="656E81C5" w14:textId="6A22F96E" w:rsidR="0093641B" w:rsidRPr="00F46944" w:rsidRDefault="0093641B" w:rsidP="007631ED">
            <w:pPr>
              <w:numPr>
                <w:ilvl w:val="0"/>
                <w:numId w:val="10"/>
              </w:numPr>
              <w:tabs>
                <w:tab w:val="left" w:pos="216"/>
              </w:tabs>
              <w:spacing w:before="60" w:after="60"/>
              <w:ind w:left="216" w:hanging="21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46944">
              <w:rPr>
                <w:rFonts w:ascii="Arial" w:hAnsi="Arial" w:cs="Arial"/>
                <w:color w:val="000000"/>
                <w:sz w:val="18"/>
                <w:szCs w:val="18"/>
              </w:rPr>
              <w:t xml:space="preserve">Sinusitis (acute/chronic) </w:t>
            </w:r>
            <w:r w:rsidR="00CB2727" w:rsidRPr="00F46944">
              <w:rPr>
                <w:rFonts w:ascii="Arial" w:hAnsi="Arial" w:cs="Arial"/>
                <w:color w:val="000000"/>
                <w:sz w:val="18"/>
                <w:szCs w:val="18"/>
              </w:rPr>
              <w:t>(</w:t>
            </w:r>
            <w:r w:rsidRPr="00F46944">
              <w:rPr>
                <w:rFonts w:ascii="Arial" w:hAnsi="Arial" w:cs="Arial"/>
                <w:color w:val="000000"/>
                <w:sz w:val="18"/>
                <w:szCs w:val="18"/>
              </w:rPr>
              <w:t>8.5</w:t>
            </w:r>
            <w:r w:rsidR="00CB2727" w:rsidRPr="00F46944">
              <w:rPr>
                <w:rFonts w:ascii="Arial" w:hAnsi="Arial" w:cs="Arial"/>
                <w:color w:val="000000"/>
                <w:sz w:val="18"/>
                <w:szCs w:val="18"/>
              </w:rPr>
              <w:t>)</w:t>
            </w:r>
            <w:r w:rsidRPr="00F46944">
              <w:rPr>
                <w:rFonts w:ascii="Arial" w:hAnsi="Arial" w:cs="Arial"/>
                <w:color w:val="000000"/>
                <w:sz w:val="18"/>
                <w:szCs w:val="18"/>
              </w:rPr>
              <w:t xml:space="preserve"> </w:t>
            </w:r>
          </w:p>
        </w:tc>
        <w:tc>
          <w:tcPr>
            <w:tcW w:w="1197" w:type="dxa"/>
            <w:hideMark/>
          </w:tcPr>
          <w:p w14:paraId="5B753D27" w14:textId="77777777" w:rsidR="0093641B" w:rsidRPr="00F46944" w:rsidRDefault="0093641B" w:rsidP="0093641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46944">
              <w:rPr>
                <w:rFonts w:ascii="Arial" w:hAnsi="Arial" w:cs="Arial"/>
                <w:color w:val="000000"/>
                <w:sz w:val="18"/>
                <w:szCs w:val="18"/>
              </w:rPr>
              <w:t>0–4</w:t>
            </w:r>
          </w:p>
        </w:tc>
        <w:tc>
          <w:tcPr>
            <w:tcW w:w="1341" w:type="dxa"/>
            <w:hideMark/>
          </w:tcPr>
          <w:p w14:paraId="3BB7F229" w14:textId="6D6C1034" w:rsidR="0093641B" w:rsidRPr="00F46944" w:rsidRDefault="0065134A" w:rsidP="0093641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46944">
              <w:rPr>
                <w:rFonts w:ascii="Arial" w:hAnsi="Arial" w:cs="Arial"/>
                <w:color w:val="000000"/>
                <w:sz w:val="18"/>
                <w:szCs w:val="18"/>
              </w:rPr>
              <w:t>9.1</w:t>
            </w:r>
          </w:p>
        </w:tc>
        <w:tc>
          <w:tcPr>
            <w:tcW w:w="1495" w:type="dxa"/>
            <w:hideMark/>
          </w:tcPr>
          <w:p w14:paraId="1AD1E570" w14:textId="1B1E2D1B" w:rsidR="0093641B" w:rsidRPr="00F46944" w:rsidRDefault="00236920" w:rsidP="0093641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6944">
              <w:rPr>
                <w:rFonts w:ascii="Arial" w:hAnsi="Arial" w:cs="Arial"/>
                <w:color w:val="000000"/>
                <w:sz w:val="20"/>
                <w:szCs w:val="20"/>
              </w:rPr>
              <w:t>0.9</w:t>
            </w:r>
            <w:r w:rsidR="0093641B" w:rsidRPr="00F46944">
              <w:rPr>
                <w:rFonts w:ascii="Arial" w:hAnsi="Arial" w:cs="Arial"/>
                <w:color w:val="000000"/>
                <w:sz w:val="20"/>
                <w:szCs w:val="20"/>
              </w:rPr>
              <w:t xml:space="preserve"> </w:t>
            </w:r>
          </w:p>
        </w:tc>
      </w:tr>
      <w:tr w:rsidR="0093641B" w:rsidRPr="00F46944" w14:paraId="3EF34CC8" w14:textId="77777777" w:rsidTr="00E32452">
        <w:trPr>
          <w:cnfStyle w:val="000000100000" w:firstRow="0" w:lastRow="0" w:firstColumn="0" w:lastColumn="0" w:oddVBand="0" w:evenVBand="0" w:oddHBand="1" w:evenHBand="0" w:firstRowFirstColumn="0" w:firstRowLastColumn="0" w:lastRowFirstColumn="0" w:lastRowLastColumn="0"/>
          <w:trHeight w:val="1141"/>
        </w:trPr>
        <w:tc>
          <w:tcPr>
            <w:cnfStyle w:val="001000000000" w:firstRow="0" w:lastRow="0" w:firstColumn="1" w:lastColumn="0" w:oddVBand="0" w:evenVBand="0" w:oddHBand="0" w:evenHBand="0" w:firstRowFirstColumn="0" w:firstRowLastColumn="0" w:lastRowFirstColumn="0" w:lastRowLastColumn="0"/>
            <w:tcW w:w="1477" w:type="dxa"/>
            <w:hideMark/>
          </w:tcPr>
          <w:p w14:paraId="39A0E14B" w14:textId="77777777" w:rsidR="0093641B" w:rsidRPr="00F46944" w:rsidRDefault="0093641B" w:rsidP="0093641B">
            <w:pPr>
              <w:spacing w:before="60" w:after="60"/>
              <w:rPr>
                <w:rFonts w:ascii="Arial" w:hAnsi="Arial" w:cs="Arial"/>
                <w:color w:val="000000"/>
                <w:sz w:val="18"/>
                <w:szCs w:val="18"/>
              </w:rPr>
            </w:pPr>
            <w:r w:rsidRPr="00F46944">
              <w:rPr>
                <w:rFonts w:ascii="Arial" w:hAnsi="Arial" w:cs="Arial"/>
                <w:color w:val="000000"/>
                <w:sz w:val="18"/>
                <w:szCs w:val="18"/>
              </w:rPr>
              <w:t>Amoxicillin–clavulanic acid</w:t>
            </w:r>
          </w:p>
        </w:tc>
        <w:tc>
          <w:tcPr>
            <w:tcW w:w="1301" w:type="dxa"/>
            <w:hideMark/>
          </w:tcPr>
          <w:p w14:paraId="6BEFDE59" w14:textId="7E5DDA9E" w:rsidR="0093641B" w:rsidRPr="00F46944" w:rsidRDefault="0093641B" w:rsidP="009364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F46944">
              <w:rPr>
                <w:rFonts w:ascii="Arial" w:hAnsi="Arial" w:cs="Arial"/>
                <w:color w:val="000000"/>
                <w:sz w:val="18"/>
                <w:szCs w:val="18"/>
              </w:rPr>
              <w:t xml:space="preserve">4.1 </w:t>
            </w:r>
          </w:p>
        </w:tc>
        <w:tc>
          <w:tcPr>
            <w:tcW w:w="2773" w:type="dxa"/>
            <w:hideMark/>
          </w:tcPr>
          <w:p w14:paraId="6C31FB68" w14:textId="6FB76823" w:rsidR="0093641B" w:rsidRPr="00F46944" w:rsidRDefault="0093641B" w:rsidP="007631ED">
            <w:pPr>
              <w:keepNext/>
              <w:numPr>
                <w:ilvl w:val="0"/>
                <w:numId w:val="10"/>
              </w:numPr>
              <w:tabs>
                <w:tab w:val="clear" w:pos="360"/>
                <w:tab w:val="left" w:pos="216"/>
              </w:tabs>
              <w:spacing w:before="60" w:after="60"/>
              <w:ind w:left="216" w:hanging="216"/>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F46944">
              <w:rPr>
                <w:rFonts w:ascii="Arial" w:hAnsi="Arial" w:cs="Arial"/>
                <w:color w:val="000000"/>
                <w:sz w:val="18"/>
                <w:szCs w:val="18"/>
              </w:rPr>
              <w:t xml:space="preserve">Other infection </w:t>
            </w:r>
            <w:r w:rsidR="00CB2727" w:rsidRPr="00F46944">
              <w:rPr>
                <w:rFonts w:ascii="Arial" w:hAnsi="Arial" w:cs="Arial"/>
                <w:color w:val="000000"/>
                <w:sz w:val="18"/>
                <w:szCs w:val="18"/>
              </w:rPr>
              <w:t>(</w:t>
            </w:r>
            <w:r w:rsidRPr="00F46944">
              <w:rPr>
                <w:rFonts w:ascii="Arial" w:hAnsi="Arial" w:cs="Arial"/>
                <w:color w:val="000000"/>
                <w:sz w:val="18"/>
                <w:szCs w:val="18"/>
              </w:rPr>
              <w:t>13.2</w:t>
            </w:r>
            <w:r w:rsidR="00CB2727" w:rsidRPr="00F46944">
              <w:rPr>
                <w:rFonts w:ascii="Arial" w:hAnsi="Arial" w:cs="Arial"/>
                <w:color w:val="000000"/>
                <w:sz w:val="18"/>
                <w:szCs w:val="18"/>
              </w:rPr>
              <w:t>)</w:t>
            </w:r>
            <w:r w:rsidRPr="00F46944">
              <w:rPr>
                <w:rFonts w:ascii="Arial" w:hAnsi="Arial" w:cs="Arial"/>
                <w:color w:val="000000"/>
                <w:sz w:val="18"/>
                <w:szCs w:val="18"/>
              </w:rPr>
              <w:t xml:space="preserve"> </w:t>
            </w:r>
          </w:p>
          <w:p w14:paraId="5486C761" w14:textId="0C1DD66A" w:rsidR="0093641B" w:rsidRPr="00F46944" w:rsidRDefault="0093641B" w:rsidP="007631ED">
            <w:pPr>
              <w:numPr>
                <w:ilvl w:val="0"/>
                <w:numId w:val="10"/>
              </w:numPr>
              <w:tabs>
                <w:tab w:val="left" w:pos="216"/>
              </w:tabs>
              <w:spacing w:before="60" w:after="60"/>
              <w:ind w:left="216" w:hanging="216"/>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F46944">
              <w:rPr>
                <w:rFonts w:ascii="Arial" w:hAnsi="Arial" w:cs="Arial"/>
                <w:color w:val="000000"/>
                <w:sz w:val="18"/>
                <w:szCs w:val="18"/>
              </w:rPr>
              <w:t xml:space="preserve">Sinusitis (acute/chronic) </w:t>
            </w:r>
            <w:r w:rsidR="00CB2727" w:rsidRPr="00F46944">
              <w:rPr>
                <w:rFonts w:ascii="Arial" w:hAnsi="Arial" w:cs="Arial"/>
                <w:color w:val="000000"/>
                <w:sz w:val="18"/>
                <w:szCs w:val="18"/>
              </w:rPr>
              <w:t>(</w:t>
            </w:r>
            <w:r w:rsidRPr="00F46944">
              <w:rPr>
                <w:rFonts w:ascii="Arial" w:hAnsi="Arial" w:cs="Arial"/>
                <w:color w:val="000000"/>
                <w:sz w:val="18"/>
                <w:szCs w:val="18"/>
              </w:rPr>
              <w:t>8.1</w:t>
            </w:r>
            <w:r w:rsidR="00CB2727" w:rsidRPr="00F46944">
              <w:rPr>
                <w:rFonts w:ascii="Arial" w:hAnsi="Arial" w:cs="Arial"/>
                <w:color w:val="000000"/>
                <w:sz w:val="18"/>
                <w:szCs w:val="18"/>
              </w:rPr>
              <w:t>)</w:t>
            </w:r>
            <w:r w:rsidRPr="00F46944">
              <w:rPr>
                <w:rFonts w:ascii="Arial" w:hAnsi="Arial" w:cs="Arial"/>
                <w:color w:val="000000"/>
                <w:sz w:val="18"/>
                <w:szCs w:val="18"/>
              </w:rPr>
              <w:t xml:space="preserve"> </w:t>
            </w:r>
          </w:p>
          <w:p w14:paraId="519BC528" w14:textId="1D8B8299" w:rsidR="0093641B" w:rsidRPr="00F46944" w:rsidRDefault="0093641B" w:rsidP="007631ED">
            <w:pPr>
              <w:numPr>
                <w:ilvl w:val="0"/>
                <w:numId w:val="10"/>
              </w:numPr>
              <w:tabs>
                <w:tab w:val="left" w:pos="216"/>
              </w:tabs>
              <w:spacing w:before="60" w:after="60"/>
              <w:ind w:left="216" w:hanging="216"/>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F46944">
              <w:rPr>
                <w:rFonts w:ascii="Arial" w:hAnsi="Arial" w:cs="Arial"/>
                <w:color w:val="000000"/>
                <w:sz w:val="18"/>
                <w:szCs w:val="18"/>
              </w:rPr>
              <w:t xml:space="preserve">Skin/wound infection </w:t>
            </w:r>
            <w:r w:rsidR="00CB2727" w:rsidRPr="00F46944">
              <w:rPr>
                <w:rFonts w:ascii="Arial" w:hAnsi="Arial" w:cs="Arial"/>
                <w:color w:val="000000"/>
                <w:sz w:val="18"/>
                <w:szCs w:val="18"/>
              </w:rPr>
              <w:t>(</w:t>
            </w:r>
            <w:r w:rsidRPr="00F46944">
              <w:rPr>
                <w:rFonts w:ascii="Arial" w:hAnsi="Arial" w:cs="Arial"/>
                <w:color w:val="000000"/>
                <w:sz w:val="18"/>
                <w:szCs w:val="18"/>
              </w:rPr>
              <w:t>6.2</w:t>
            </w:r>
            <w:r w:rsidR="00CB2727" w:rsidRPr="00F46944">
              <w:rPr>
                <w:rFonts w:ascii="Arial" w:hAnsi="Arial" w:cs="Arial"/>
                <w:color w:val="000000"/>
                <w:sz w:val="18"/>
                <w:szCs w:val="18"/>
              </w:rPr>
              <w:t>)</w:t>
            </w:r>
            <w:r w:rsidRPr="00F46944">
              <w:rPr>
                <w:rFonts w:ascii="Arial" w:hAnsi="Arial" w:cs="Arial"/>
                <w:color w:val="000000"/>
                <w:sz w:val="18"/>
                <w:szCs w:val="18"/>
              </w:rPr>
              <w:t xml:space="preserve"> </w:t>
            </w:r>
          </w:p>
          <w:p w14:paraId="5FE75F1A" w14:textId="711068A5" w:rsidR="0093641B" w:rsidRPr="00F46944" w:rsidRDefault="0093641B" w:rsidP="007631ED">
            <w:pPr>
              <w:numPr>
                <w:ilvl w:val="0"/>
                <w:numId w:val="10"/>
              </w:numPr>
              <w:tabs>
                <w:tab w:val="left" w:pos="216"/>
              </w:tabs>
              <w:spacing w:before="60" w:after="60"/>
              <w:ind w:left="216" w:hanging="216"/>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F46944">
              <w:rPr>
                <w:rFonts w:ascii="Arial" w:hAnsi="Arial" w:cs="Arial"/>
                <w:color w:val="000000"/>
                <w:sz w:val="18"/>
                <w:szCs w:val="18"/>
              </w:rPr>
              <w:t xml:space="preserve">Pneumonia </w:t>
            </w:r>
            <w:r w:rsidR="00CB2727" w:rsidRPr="00F46944">
              <w:rPr>
                <w:rFonts w:ascii="Arial" w:hAnsi="Arial" w:cs="Arial"/>
                <w:color w:val="000000"/>
                <w:sz w:val="18"/>
                <w:szCs w:val="18"/>
              </w:rPr>
              <w:t>(</w:t>
            </w:r>
            <w:r w:rsidRPr="00F46944">
              <w:rPr>
                <w:rFonts w:ascii="Arial" w:hAnsi="Arial" w:cs="Arial"/>
                <w:color w:val="000000"/>
                <w:sz w:val="18"/>
                <w:szCs w:val="18"/>
              </w:rPr>
              <w:t>5.8</w:t>
            </w:r>
            <w:r w:rsidR="00CB2727" w:rsidRPr="00F46944">
              <w:rPr>
                <w:rFonts w:ascii="Arial" w:hAnsi="Arial" w:cs="Arial"/>
                <w:color w:val="000000"/>
                <w:sz w:val="18"/>
                <w:szCs w:val="18"/>
              </w:rPr>
              <w:t>)</w:t>
            </w:r>
            <w:r w:rsidRPr="00F46944">
              <w:rPr>
                <w:rFonts w:ascii="Arial" w:hAnsi="Arial" w:cs="Arial"/>
                <w:color w:val="000000"/>
                <w:sz w:val="18"/>
                <w:szCs w:val="18"/>
              </w:rPr>
              <w:t xml:space="preserve"> </w:t>
            </w:r>
          </w:p>
        </w:tc>
        <w:tc>
          <w:tcPr>
            <w:tcW w:w="1197" w:type="dxa"/>
            <w:hideMark/>
          </w:tcPr>
          <w:p w14:paraId="4A3864E7" w14:textId="54EA102B" w:rsidR="0093641B" w:rsidRPr="00F46944" w:rsidRDefault="0093641B" w:rsidP="009364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8"/>
                <w:szCs w:val="18"/>
              </w:rPr>
            </w:pPr>
            <w:r w:rsidRPr="00F46944">
              <w:rPr>
                <w:rFonts w:ascii="Arial" w:eastAsiaTheme="minorEastAsia" w:hAnsi="Arial" w:cs="Arial"/>
                <w:color w:val="000000"/>
                <w:sz w:val="18"/>
                <w:szCs w:val="18"/>
              </w:rPr>
              <w:t>80</w:t>
            </w:r>
            <w:r w:rsidR="0048767A" w:rsidRPr="00F46944">
              <w:rPr>
                <w:rFonts w:ascii="Arial" w:eastAsiaTheme="minorEastAsia" w:hAnsi="Arial" w:cs="Arial"/>
                <w:color w:val="000000"/>
                <w:sz w:val="18"/>
                <w:szCs w:val="18"/>
              </w:rPr>
              <w:t>–</w:t>
            </w:r>
            <w:r w:rsidRPr="00F46944">
              <w:rPr>
                <w:rFonts w:ascii="Arial" w:eastAsiaTheme="minorEastAsia" w:hAnsi="Arial" w:cs="Arial"/>
                <w:color w:val="000000"/>
                <w:sz w:val="18"/>
                <w:szCs w:val="18"/>
              </w:rPr>
              <w:t>84</w:t>
            </w:r>
          </w:p>
        </w:tc>
        <w:tc>
          <w:tcPr>
            <w:tcW w:w="1341" w:type="dxa"/>
            <w:hideMark/>
          </w:tcPr>
          <w:p w14:paraId="7083C071" w14:textId="65B699F8" w:rsidR="0093641B" w:rsidRPr="00F46944" w:rsidRDefault="0065134A" w:rsidP="009364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F46944">
              <w:rPr>
                <w:rFonts w:ascii="Arial" w:hAnsi="Arial" w:cs="Arial"/>
                <w:color w:val="000000"/>
                <w:sz w:val="18"/>
                <w:szCs w:val="18"/>
              </w:rPr>
              <w:t>5.4</w:t>
            </w:r>
          </w:p>
        </w:tc>
        <w:tc>
          <w:tcPr>
            <w:tcW w:w="1495" w:type="dxa"/>
            <w:hideMark/>
          </w:tcPr>
          <w:p w14:paraId="097A96AE" w14:textId="293D9B55" w:rsidR="0093641B" w:rsidRPr="00F46944" w:rsidRDefault="00236920" w:rsidP="009364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6944">
              <w:rPr>
                <w:rFonts w:ascii="Arial" w:hAnsi="Arial" w:cs="Arial"/>
                <w:color w:val="000000"/>
                <w:sz w:val="20"/>
                <w:szCs w:val="20"/>
              </w:rPr>
              <w:t>2.9</w:t>
            </w:r>
          </w:p>
        </w:tc>
      </w:tr>
      <w:tr w:rsidR="0093641B" w:rsidRPr="00F46944" w14:paraId="3AC713B0" w14:textId="77777777" w:rsidTr="00E32452">
        <w:trPr>
          <w:trHeight w:val="1164"/>
        </w:trPr>
        <w:tc>
          <w:tcPr>
            <w:cnfStyle w:val="001000000000" w:firstRow="0" w:lastRow="0" w:firstColumn="1" w:lastColumn="0" w:oddVBand="0" w:evenVBand="0" w:oddHBand="0" w:evenHBand="0" w:firstRowFirstColumn="0" w:firstRowLastColumn="0" w:lastRowFirstColumn="0" w:lastRowLastColumn="0"/>
            <w:tcW w:w="1477" w:type="dxa"/>
            <w:hideMark/>
          </w:tcPr>
          <w:p w14:paraId="16D557A5" w14:textId="77777777" w:rsidR="0093641B" w:rsidRPr="00F46944" w:rsidRDefault="0093641B" w:rsidP="0093641B">
            <w:pPr>
              <w:spacing w:before="60" w:after="60"/>
              <w:rPr>
                <w:rFonts w:ascii="Arial" w:hAnsi="Arial" w:cs="Arial"/>
                <w:color w:val="000000"/>
                <w:sz w:val="18"/>
                <w:szCs w:val="18"/>
              </w:rPr>
            </w:pPr>
            <w:r w:rsidRPr="00F46944">
              <w:rPr>
                <w:rFonts w:ascii="Arial" w:hAnsi="Arial" w:cs="Arial"/>
                <w:color w:val="000000"/>
                <w:sz w:val="18"/>
                <w:szCs w:val="18"/>
              </w:rPr>
              <w:t>Doxycycline</w:t>
            </w:r>
          </w:p>
        </w:tc>
        <w:tc>
          <w:tcPr>
            <w:tcW w:w="1301" w:type="dxa"/>
            <w:hideMark/>
          </w:tcPr>
          <w:p w14:paraId="11901742" w14:textId="5D15A73A" w:rsidR="0093641B" w:rsidRPr="00F46944" w:rsidRDefault="0093641B" w:rsidP="0093641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46944">
              <w:rPr>
                <w:rFonts w:ascii="Arial" w:hAnsi="Arial" w:cs="Arial"/>
                <w:color w:val="000000"/>
                <w:sz w:val="18"/>
                <w:szCs w:val="18"/>
              </w:rPr>
              <w:t xml:space="preserve">3.9 </w:t>
            </w:r>
          </w:p>
        </w:tc>
        <w:tc>
          <w:tcPr>
            <w:tcW w:w="2773" w:type="dxa"/>
            <w:hideMark/>
          </w:tcPr>
          <w:p w14:paraId="5FD8E8EF" w14:textId="50769A75" w:rsidR="0093641B" w:rsidRPr="00F46944" w:rsidRDefault="0093641B" w:rsidP="007631ED">
            <w:pPr>
              <w:numPr>
                <w:ilvl w:val="0"/>
                <w:numId w:val="10"/>
              </w:numPr>
              <w:tabs>
                <w:tab w:val="left" w:pos="216"/>
              </w:tabs>
              <w:spacing w:before="60" w:after="60"/>
              <w:ind w:left="216" w:hanging="21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46944">
              <w:rPr>
                <w:rFonts w:ascii="Arial" w:hAnsi="Arial" w:cs="Arial"/>
                <w:color w:val="000000"/>
                <w:sz w:val="18"/>
                <w:szCs w:val="18"/>
              </w:rPr>
              <w:t xml:space="preserve">Acne </w:t>
            </w:r>
            <w:r w:rsidR="00CB2727" w:rsidRPr="00F46944">
              <w:rPr>
                <w:rFonts w:ascii="Arial" w:hAnsi="Arial" w:cs="Arial"/>
                <w:color w:val="000000"/>
                <w:sz w:val="18"/>
                <w:szCs w:val="18"/>
              </w:rPr>
              <w:t>(</w:t>
            </w:r>
            <w:r w:rsidRPr="00F46944">
              <w:rPr>
                <w:rFonts w:ascii="Arial" w:hAnsi="Arial" w:cs="Arial"/>
                <w:color w:val="000000"/>
                <w:sz w:val="18"/>
                <w:szCs w:val="18"/>
              </w:rPr>
              <w:t>16.4</w:t>
            </w:r>
            <w:r w:rsidR="00CB2727" w:rsidRPr="00F46944">
              <w:rPr>
                <w:rFonts w:ascii="Arial" w:hAnsi="Arial" w:cs="Arial"/>
                <w:color w:val="000000"/>
                <w:sz w:val="18"/>
                <w:szCs w:val="18"/>
              </w:rPr>
              <w:t>)</w:t>
            </w:r>
            <w:r w:rsidRPr="00F46944">
              <w:rPr>
                <w:rFonts w:ascii="Arial" w:hAnsi="Arial" w:cs="Arial"/>
                <w:color w:val="000000"/>
                <w:sz w:val="18"/>
                <w:szCs w:val="18"/>
              </w:rPr>
              <w:t xml:space="preserve"> </w:t>
            </w:r>
          </w:p>
          <w:p w14:paraId="1F6D0E3D" w14:textId="209D5FF2" w:rsidR="0093641B" w:rsidRPr="00F46944" w:rsidRDefault="0093641B" w:rsidP="007631ED">
            <w:pPr>
              <w:keepNext/>
              <w:numPr>
                <w:ilvl w:val="0"/>
                <w:numId w:val="10"/>
              </w:numPr>
              <w:tabs>
                <w:tab w:val="clear" w:pos="360"/>
                <w:tab w:val="left" w:pos="216"/>
              </w:tabs>
              <w:spacing w:before="60" w:after="60"/>
              <w:ind w:left="216" w:hanging="21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46944">
              <w:rPr>
                <w:rFonts w:ascii="Arial" w:hAnsi="Arial" w:cs="Arial"/>
                <w:color w:val="000000"/>
                <w:sz w:val="18"/>
                <w:szCs w:val="18"/>
              </w:rPr>
              <w:t xml:space="preserve">Pneumonia </w:t>
            </w:r>
            <w:r w:rsidR="00CB2727" w:rsidRPr="00F46944">
              <w:rPr>
                <w:rFonts w:ascii="Arial" w:hAnsi="Arial" w:cs="Arial"/>
                <w:color w:val="000000"/>
                <w:sz w:val="18"/>
                <w:szCs w:val="18"/>
              </w:rPr>
              <w:t>(</w:t>
            </w:r>
            <w:r w:rsidRPr="00F46944">
              <w:rPr>
                <w:rFonts w:ascii="Arial" w:hAnsi="Arial" w:cs="Arial"/>
                <w:color w:val="000000"/>
                <w:sz w:val="18"/>
                <w:szCs w:val="18"/>
              </w:rPr>
              <w:t>10.2</w:t>
            </w:r>
            <w:r w:rsidR="00CB2727" w:rsidRPr="00F46944">
              <w:rPr>
                <w:rFonts w:ascii="Arial" w:hAnsi="Arial" w:cs="Arial"/>
                <w:color w:val="000000"/>
                <w:sz w:val="18"/>
                <w:szCs w:val="18"/>
              </w:rPr>
              <w:t>)</w:t>
            </w:r>
            <w:r w:rsidRPr="00F46944">
              <w:rPr>
                <w:rFonts w:ascii="Arial" w:hAnsi="Arial" w:cs="Arial"/>
                <w:color w:val="000000"/>
                <w:sz w:val="18"/>
                <w:szCs w:val="18"/>
              </w:rPr>
              <w:t xml:space="preserve"> </w:t>
            </w:r>
          </w:p>
          <w:p w14:paraId="35C805D7" w14:textId="7DAE3E6A" w:rsidR="0093641B" w:rsidRPr="00F46944" w:rsidRDefault="0093641B" w:rsidP="007631ED">
            <w:pPr>
              <w:keepNext/>
              <w:numPr>
                <w:ilvl w:val="0"/>
                <w:numId w:val="10"/>
              </w:numPr>
              <w:tabs>
                <w:tab w:val="clear" w:pos="360"/>
                <w:tab w:val="left" w:pos="216"/>
              </w:tabs>
              <w:spacing w:before="60" w:after="60"/>
              <w:ind w:left="216" w:hanging="21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46944">
              <w:rPr>
                <w:rFonts w:ascii="Arial" w:hAnsi="Arial" w:cs="Arial"/>
                <w:color w:val="000000"/>
                <w:sz w:val="18"/>
                <w:szCs w:val="18"/>
              </w:rPr>
              <w:t xml:space="preserve">Skin/wound infection </w:t>
            </w:r>
            <w:r w:rsidR="00CB2727" w:rsidRPr="00F46944">
              <w:rPr>
                <w:rFonts w:ascii="Arial" w:hAnsi="Arial" w:cs="Arial"/>
                <w:color w:val="000000"/>
                <w:sz w:val="18"/>
                <w:szCs w:val="18"/>
              </w:rPr>
              <w:t>(</w:t>
            </w:r>
            <w:r w:rsidRPr="00F46944">
              <w:rPr>
                <w:rFonts w:ascii="Arial" w:hAnsi="Arial" w:cs="Arial"/>
                <w:color w:val="000000"/>
                <w:sz w:val="18"/>
                <w:szCs w:val="18"/>
              </w:rPr>
              <w:t>6.2</w:t>
            </w:r>
            <w:r w:rsidR="00CB2727" w:rsidRPr="00F46944">
              <w:rPr>
                <w:rFonts w:ascii="Arial" w:hAnsi="Arial" w:cs="Arial"/>
                <w:color w:val="000000"/>
                <w:sz w:val="18"/>
                <w:szCs w:val="18"/>
              </w:rPr>
              <w:t>)</w:t>
            </w:r>
            <w:r w:rsidRPr="00F46944">
              <w:rPr>
                <w:rFonts w:ascii="Arial" w:hAnsi="Arial" w:cs="Arial"/>
                <w:color w:val="000000"/>
                <w:sz w:val="18"/>
                <w:szCs w:val="18"/>
              </w:rPr>
              <w:t xml:space="preserve"> </w:t>
            </w:r>
          </w:p>
          <w:p w14:paraId="5594CE1D" w14:textId="010D7E2D" w:rsidR="0093641B" w:rsidRPr="00F46944" w:rsidRDefault="0093641B" w:rsidP="007631ED">
            <w:pPr>
              <w:numPr>
                <w:ilvl w:val="0"/>
                <w:numId w:val="10"/>
              </w:numPr>
              <w:tabs>
                <w:tab w:val="left" w:pos="216"/>
              </w:tabs>
              <w:spacing w:before="60" w:after="60"/>
              <w:ind w:left="216" w:hanging="21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46944">
              <w:rPr>
                <w:rFonts w:ascii="Arial" w:hAnsi="Arial" w:cs="Arial"/>
                <w:color w:val="000000"/>
                <w:sz w:val="18"/>
                <w:szCs w:val="18"/>
              </w:rPr>
              <w:t xml:space="preserve">Sinusitis </w:t>
            </w:r>
            <w:r w:rsidR="00CB2727" w:rsidRPr="00F46944">
              <w:rPr>
                <w:rFonts w:ascii="Arial" w:hAnsi="Arial" w:cs="Arial"/>
                <w:color w:val="000000"/>
                <w:sz w:val="18"/>
                <w:szCs w:val="18"/>
              </w:rPr>
              <w:t>(</w:t>
            </w:r>
            <w:r w:rsidRPr="00F46944">
              <w:rPr>
                <w:rFonts w:ascii="Arial" w:hAnsi="Arial" w:cs="Arial"/>
                <w:color w:val="000000"/>
                <w:sz w:val="18"/>
                <w:szCs w:val="18"/>
              </w:rPr>
              <w:t>6.0</w:t>
            </w:r>
            <w:r w:rsidR="00CB2727" w:rsidRPr="00F46944">
              <w:rPr>
                <w:rFonts w:ascii="Arial" w:hAnsi="Arial" w:cs="Arial"/>
                <w:color w:val="000000"/>
                <w:sz w:val="18"/>
                <w:szCs w:val="18"/>
              </w:rPr>
              <w:t>)</w:t>
            </w:r>
            <w:r w:rsidRPr="00F46944">
              <w:rPr>
                <w:rFonts w:ascii="Arial" w:hAnsi="Arial" w:cs="Arial"/>
                <w:color w:val="000000"/>
                <w:sz w:val="18"/>
                <w:szCs w:val="18"/>
              </w:rPr>
              <w:t xml:space="preserve"> </w:t>
            </w:r>
          </w:p>
        </w:tc>
        <w:tc>
          <w:tcPr>
            <w:tcW w:w="1197" w:type="dxa"/>
            <w:hideMark/>
          </w:tcPr>
          <w:p w14:paraId="48B4138A" w14:textId="4D1AF4A9" w:rsidR="0093641B" w:rsidRPr="00F46944" w:rsidRDefault="0093641B" w:rsidP="0093641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46944">
              <w:rPr>
                <w:rFonts w:ascii="Arial" w:hAnsi="Arial" w:cs="Arial"/>
                <w:color w:val="000000"/>
                <w:sz w:val="18"/>
                <w:szCs w:val="18"/>
              </w:rPr>
              <w:t>15</w:t>
            </w:r>
            <w:r w:rsidR="0048767A" w:rsidRPr="00F46944">
              <w:rPr>
                <w:rFonts w:ascii="Arial" w:hAnsi="Arial" w:cs="Arial"/>
                <w:color w:val="000000"/>
                <w:sz w:val="18"/>
                <w:szCs w:val="18"/>
              </w:rPr>
              <w:t>–</w:t>
            </w:r>
            <w:r w:rsidRPr="00F46944">
              <w:rPr>
                <w:rFonts w:ascii="Arial" w:hAnsi="Arial" w:cs="Arial"/>
                <w:color w:val="000000"/>
                <w:sz w:val="18"/>
                <w:szCs w:val="18"/>
              </w:rPr>
              <w:t>19</w:t>
            </w:r>
          </w:p>
        </w:tc>
        <w:tc>
          <w:tcPr>
            <w:tcW w:w="1341" w:type="dxa"/>
            <w:hideMark/>
          </w:tcPr>
          <w:p w14:paraId="3F5E6947" w14:textId="3B7CD65C" w:rsidR="0093641B" w:rsidRPr="00F46944" w:rsidRDefault="0065134A" w:rsidP="0093641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46944">
              <w:rPr>
                <w:rFonts w:ascii="Arial" w:hAnsi="Arial" w:cs="Arial"/>
                <w:color w:val="000000"/>
                <w:sz w:val="18"/>
                <w:szCs w:val="18"/>
              </w:rPr>
              <w:t>60.9</w:t>
            </w:r>
            <w:r w:rsidR="0093641B" w:rsidRPr="00F46944">
              <w:rPr>
                <w:rFonts w:ascii="Arial" w:hAnsi="Arial" w:cs="Arial"/>
                <w:color w:val="000000"/>
                <w:sz w:val="18"/>
                <w:szCs w:val="18"/>
              </w:rPr>
              <w:t xml:space="preserve"> </w:t>
            </w:r>
          </w:p>
        </w:tc>
        <w:tc>
          <w:tcPr>
            <w:tcW w:w="1495" w:type="dxa"/>
            <w:hideMark/>
          </w:tcPr>
          <w:p w14:paraId="23F9A1F6" w14:textId="3F385007" w:rsidR="0093641B" w:rsidRPr="00F46944" w:rsidRDefault="00236920" w:rsidP="0093641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6944">
              <w:rPr>
                <w:rFonts w:ascii="Arial" w:hAnsi="Arial" w:cs="Arial"/>
                <w:color w:val="000000"/>
                <w:sz w:val="20"/>
                <w:szCs w:val="20"/>
              </w:rPr>
              <w:t>6.</w:t>
            </w:r>
            <w:r w:rsidR="00513951">
              <w:rPr>
                <w:rFonts w:ascii="Arial" w:hAnsi="Arial" w:cs="Arial"/>
                <w:color w:val="000000"/>
                <w:sz w:val="20"/>
                <w:szCs w:val="20"/>
              </w:rPr>
              <w:t>8</w:t>
            </w:r>
            <w:r w:rsidR="0093641B" w:rsidRPr="00F46944">
              <w:rPr>
                <w:rFonts w:ascii="Arial" w:hAnsi="Arial" w:cs="Arial"/>
                <w:color w:val="000000"/>
                <w:sz w:val="20"/>
                <w:szCs w:val="20"/>
              </w:rPr>
              <w:t xml:space="preserve"> </w:t>
            </w:r>
          </w:p>
        </w:tc>
      </w:tr>
      <w:tr w:rsidR="0093641B" w:rsidRPr="00F46944" w14:paraId="52E801B5" w14:textId="77777777" w:rsidTr="00E32452">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1477" w:type="dxa"/>
            <w:hideMark/>
          </w:tcPr>
          <w:p w14:paraId="024B1F0F" w14:textId="77777777" w:rsidR="0093641B" w:rsidRPr="00F46944" w:rsidRDefault="0093641B" w:rsidP="0093641B">
            <w:pPr>
              <w:spacing w:before="60" w:after="60"/>
              <w:rPr>
                <w:rFonts w:ascii="Arial" w:hAnsi="Arial" w:cs="Arial"/>
                <w:color w:val="000000"/>
                <w:sz w:val="18"/>
                <w:szCs w:val="18"/>
              </w:rPr>
            </w:pPr>
            <w:r w:rsidRPr="00F46944">
              <w:rPr>
                <w:rFonts w:ascii="Arial" w:hAnsi="Arial" w:cs="Arial"/>
                <w:color w:val="000000"/>
                <w:sz w:val="18"/>
                <w:szCs w:val="18"/>
              </w:rPr>
              <w:t>Roxithromycin</w:t>
            </w:r>
          </w:p>
        </w:tc>
        <w:tc>
          <w:tcPr>
            <w:tcW w:w="1301" w:type="dxa"/>
            <w:hideMark/>
          </w:tcPr>
          <w:p w14:paraId="16F326F1" w14:textId="746938E9" w:rsidR="0093641B" w:rsidRPr="00F46944" w:rsidRDefault="0093641B" w:rsidP="009364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F46944">
              <w:rPr>
                <w:rFonts w:ascii="Arial" w:hAnsi="Arial" w:cs="Arial"/>
                <w:color w:val="000000"/>
                <w:sz w:val="18"/>
                <w:szCs w:val="18"/>
              </w:rPr>
              <w:t xml:space="preserve">1.7 </w:t>
            </w:r>
          </w:p>
        </w:tc>
        <w:tc>
          <w:tcPr>
            <w:tcW w:w="2773" w:type="dxa"/>
            <w:hideMark/>
          </w:tcPr>
          <w:p w14:paraId="0929B0A4" w14:textId="39760E40" w:rsidR="0093641B" w:rsidRPr="00F46944" w:rsidRDefault="0093641B" w:rsidP="007631ED">
            <w:pPr>
              <w:numPr>
                <w:ilvl w:val="0"/>
                <w:numId w:val="10"/>
              </w:numPr>
              <w:tabs>
                <w:tab w:val="left" w:pos="216"/>
              </w:tabs>
              <w:spacing w:before="60" w:after="60"/>
              <w:ind w:left="216" w:hanging="216"/>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F46944">
              <w:rPr>
                <w:rFonts w:ascii="Arial" w:hAnsi="Arial" w:cs="Arial"/>
                <w:color w:val="000000"/>
                <w:sz w:val="18"/>
                <w:szCs w:val="18"/>
              </w:rPr>
              <w:t xml:space="preserve">URTI (acute) </w:t>
            </w:r>
            <w:r w:rsidR="00CB2727" w:rsidRPr="00F46944">
              <w:rPr>
                <w:rFonts w:ascii="Arial" w:hAnsi="Arial" w:cs="Arial"/>
                <w:color w:val="000000"/>
                <w:sz w:val="18"/>
                <w:szCs w:val="18"/>
              </w:rPr>
              <w:t>(</w:t>
            </w:r>
            <w:r w:rsidRPr="00F46944">
              <w:rPr>
                <w:rFonts w:ascii="Arial" w:hAnsi="Arial" w:cs="Arial"/>
                <w:color w:val="000000"/>
                <w:sz w:val="18"/>
                <w:szCs w:val="18"/>
              </w:rPr>
              <w:t>17.2</w:t>
            </w:r>
            <w:r w:rsidR="00CB2727" w:rsidRPr="00F46944">
              <w:rPr>
                <w:rFonts w:ascii="Arial" w:hAnsi="Arial" w:cs="Arial"/>
                <w:color w:val="000000"/>
                <w:sz w:val="18"/>
                <w:szCs w:val="18"/>
              </w:rPr>
              <w:t>)</w:t>
            </w:r>
            <w:r w:rsidRPr="00F46944">
              <w:rPr>
                <w:rFonts w:ascii="Arial" w:hAnsi="Arial" w:cs="Arial"/>
                <w:color w:val="000000"/>
                <w:sz w:val="18"/>
                <w:szCs w:val="18"/>
              </w:rPr>
              <w:t xml:space="preserve"> </w:t>
            </w:r>
          </w:p>
          <w:p w14:paraId="1F6A39D4" w14:textId="28936428" w:rsidR="0093641B" w:rsidRPr="00F46944" w:rsidRDefault="0093641B" w:rsidP="007631ED">
            <w:pPr>
              <w:numPr>
                <w:ilvl w:val="0"/>
                <w:numId w:val="10"/>
              </w:numPr>
              <w:tabs>
                <w:tab w:val="left" w:pos="216"/>
              </w:tabs>
              <w:spacing w:before="60" w:after="60"/>
              <w:ind w:left="216" w:hanging="216"/>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F46944">
              <w:rPr>
                <w:rFonts w:ascii="Arial" w:hAnsi="Arial" w:cs="Arial"/>
                <w:color w:val="000000"/>
                <w:sz w:val="18"/>
                <w:szCs w:val="18"/>
              </w:rPr>
              <w:t xml:space="preserve">Pneumonia </w:t>
            </w:r>
            <w:r w:rsidR="00CB2727" w:rsidRPr="00F46944">
              <w:rPr>
                <w:rFonts w:ascii="Arial" w:hAnsi="Arial" w:cs="Arial"/>
                <w:color w:val="000000"/>
                <w:sz w:val="18"/>
                <w:szCs w:val="18"/>
              </w:rPr>
              <w:t>(</w:t>
            </w:r>
            <w:r w:rsidRPr="00F46944">
              <w:rPr>
                <w:rFonts w:ascii="Arial" w:hAnsi="Arial" w:cs="Arial"/>
                <w:color w:val="000000"/>
                <w:sz w:val="18"/>
                <w:szCs w:val="18"/>
              </w:rPr>
              <w:t>12.1</w:t>
            </w:r>
            <w:r w:rsidR="00CB2727" w:rsidRPr="00F46944">
              <w:rPr>
                <w:rFonts w:ascii="Arial" w:hAnsi="Arial" w:cs="Arial"/>
                <w:color w:val="000000"/>
                <w:sz w:val="18"/>
                <w:szCs w:val="18"/>
              </w:rPr>
              <w:t>)</w:t>
            </w:r>
            <w:r w:rsidRPr="00F46944">
              <w:rPr>
                <w:rFonts w:ascii="Arial" w:hAnsi="Arial" w:cs="Arial"/>
                <w:color w:val="000000"/>
                <w:sz w:val="18"/>
                <w:szCs w:val="18"/>
              </w:rPr>
              <w:t xml:space="preserve"> </w:t>
            </w:r>
          </w:p>
          <w:p w14:paraId="493940F9" w14:textId="2C5A8B01" w:rsidR="0093641B" w:rsidRPr="00F46944" w:rsidRDefault="0093641B" w:rsidP="007631ED">
            <w:pPr>
              <w:numPr>
                <w:ilvl w:val="0"/>
                <w:numId w:val="10"/>
              </w:numPr>
              <w:tabs>
                <w:tab w:val="left" w:pos="216"/>
              </w:tabs>
              <w:spacing w:before="60" w:after="60"/>
              <w:ind w:left="216" w:hanging="216"/>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F46944">
              <w:rPr>
                <w:rFonts w:ascii="Arial" w:hAnsi="Arial" w:cs="Arial"/>
                <w:color w:val="000000"/>
                <w:sz w:val="18"/>
                <w:szCs w:val="18"/>
              </w:rPr>
              <w:t xml:space="preserve">Sinusitis (acute/chronic) </w:t>
            </w:r>
            <w:r w:rsidR="00CB2727" w:rsidRPr="00F46944">
              <w:rPr>
                <w:rFonts w:ascii="Arial" w:hAnsi="Arial" w:cs="Arial"/>
                <w:color w:val="000000"/>
                <w:sz w:val="18"/>
                <w:szCs w:val="18"/>
              </w:rPr>
              <w:t>(</w:t>
            </w:r>
            <w:r w:rsidRPr="00F46944">
              <w:rPr>
                <w:rFonts w:ascii="Arial" w:hAnsi="Arial" w:cs="Arial"/>
                <w:color w:val="000000"/>
                <w:sz w:val="18"/>
                <w:szCs w:val="18"/>
              </w:rPr>
              <w:t>7.6</w:t>
            </w:r>
            <w:r w:rsidR="00CB2727" w:rsidRPr="00F46944">
              <w:rPr>
                <w:rFonts w:ascii="Arial" w:hAnsi="Arial" w:cs="Arial"/>
                <w:color w:val="000000"/>
                <w:sz w:val="18"/>
                <w:szCs w:val="18"/>
              </w:rPr>
              <w:t>)</w:t>
            </w:r>
            <w:r w:rsidRPr="00F46944">
              <w:rPr>
                <w:rFonts w:ascii="Arial" w:hAnsi="Arial" w:cs="Arial"/>
                <w:color w:val="000000"/>
                <w:sz w:val="18"/>
                <w:szCs w:val="18"/>
              </w:rPr>
              <w:t xml:space="preserve"> </w:t>
            </w:r>
          </w:p>
          <w:p w14:paraId="347E6AD2" w14:textId="57ECA3F3" w:rsidR="0093641B" w:rsidRPr="00F46944" w:rsidRDefault="0093641B" w:rsidP="007631ED">
            <w:pPr>
              <w:keepNext/>
              <w:numPr>
                <w:ilvl w:val="0"/>
                <w:numId w:val="10"/>
              </w:numPr>
              <w:tabs>
                <w:tab w:val="clear" w:pos="360"/>
                <w:tab w:val="left" w:pos="216"/>
              </w:tabs>
              <w:spacing w:before="60" w:after="60"/>
              <w:ind w:left="216" w:hanging="216"/>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F46944">
              <w:rPr>
                <w:rFonts w:ascii="Arial" w:hAnsi="Arial" w:cs="Arial"/>
                <w:color w:val="000000"/>
                <w:sz w:val="18"/>
                <w:szCs w:val="18"/>
              </w:rPr>
              <w:t xml:space="preserve">Other infection </w:t>
            </w:r>
            <w:r w:rsidR="00CB2727" w:rsidRPr="00F46944">
              <w:rPr>
                <w:rFonts w:ascii="Arial" w:hAnsi="Arial" w:cs="Arial"/>
                <w:color w:val="000000"/>
                <w:sz w:val="18"/>
                <w:szCs w:val="18"/>
              </w:rPr>
              <w:t>(</w:t>
            </w:r>
            <w:r w:rsidRPr="00F46944">
              <w:rPr>
                <w:rFonts w:ascii="Arial" w:hAnsi="Arial" w:cs="Arial"/>
                <w:color w:val="000000"/>
                <w:sz w:val="18"/>
                <w:szCs w:val="18"/>
              </w:rPr>
              <w:t>6.8</w:t>
            </w:r>
            <w:r w:rsidR="00CB2727" w:rsidRPr="00F46944">
              <w:rPr>
                <w:rFonts w:ascii="Arial" w:hAnsi="Arial" w:cs="Arial"/>
                <w:color w:val="000000"/>
                <w:sz w:val="18"/>
                <w:szCs w:val="18"/>
              </w:rPr>
              <w:t>)</w:t>
            </w:r>
            <w:r w:rsidRPr="00F46944">
              <w:rPr>
                <w:rFonts w:ascii="Arial" w:hAnsi="Arial" w:cs="Arial"/>
                <w:color w:val="000000"/>
                <w:sz w:val="18"/>
                <w:szCs w:val="18"/>
              </w:rPr>
              <w:t xml:space="preserve"> </w:t>
            </w:r>
          </w:p>
          <w:p w14:paraId="70D4D660" w14:textId="7B85D295" w:rsidR="0093641B" w:rsidRPr="00F46944" w:rsidRDefault="0093641B" w:rsidP="007631ED">
            <w:pPr>
              <w:numPr>
                <w:ilvl w:val="0"/>
                <w:numId w:val="10"/>
              </w:numPr>
              <w:tabs>
                <w:tab w:val="left" w:pos="216"/>
              </w:tabs>
              <w:spacing w:before="60" w:after="60"/>
              <w:ind w:left="216" w:hanging="216"/>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F46944">
              <w:rPr>
                <w:rFonts w:ascii="Arial" w:hAnsi="Arial" w:cs="Arial"/>
                <w:color w:val="000000"/>
                <w:sz w:val="18"/>
                <w:szCs w:val="18"/>
              </w:rPr>
              <w:t xml:space="preserve">Bronchitis (acute) </w:t>
            </w:r>
            <w:r w:rsidR="00CB2727" w:rsidRPr="00F46944">
              <w:rPr>
                <w:rFonts w:ascii="Arial" w:hAnsi="Arial" w:cs="Arial"/>
                <w:color w:val="000000"/>
                <w:sz w:val="18"/>
                <w:szCs w:val="18"/>
              </w:rPr>
              <w:t>(</w:t>
            </w:r>
            <w:r w:rsidRPr="00F46944">
              <w:rPr>
                <w:rFonts w:ascii="Arial" w:hAnsi="Arial" w:cs="Arial"/>
                <w:color w:val="000000"/>
                <w:sz w:val="18"/>
                <w:szCs w:val="18"/>
              </w:rPr>
              <w:t>5.4</w:t>
            </w:r>
            <w:r w:rsidR="00CB2727" w:rsidRPr="00F46944">
              <w:rPr>
                <w:rFonts w:ascii="Arial" w:hAnsi="Arial" w:cs="Arial"/>
                <w:color w:val="000000"/>
                <w:sz w:val="18"/>
                <w:szCs w:val="18"/>
              </w:rPr>
              <w:t>)</w:t>
            </w:r>
            <w:r w:rsidRPr="00F46944">
              <w:rPr>
                <w:rFonts w:ascii="Arial" w:hAnsi="Arial" w:cs="Arial"/>
                <w:color w:val="000000"/>
                <w:sz w:val="18"/>
                <w:szCs w:val="18"/>
              </w:rPr>
              <w:t xml:space="preserve"> </w:t>
            </w:r>
          </w:p>
        </w:tc>
        <w:tc>
          <w:tcPr>
            <w:tcW w:w="1197" w:type="dxa"/>
            <w:hideMark/>
          </w:tcPr>
          <w:p w14:paraId="303103C8" w14:textId="0FB497C5" w:rsidR="0093641B" w:rsidRPr="00F46944" w:rsidRDefault="0093641B" w:rsidP="009364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F46944">
              <w:rPr>
                <w:rFonts w:ascii="Arial" w:hAnsi="Arial" w:cs="Arial"/>
                <w:color w:val="000000"/>
                <w:sz w:val="18"/>
                <w:szCs w:val="18"/>
              </w:rPr>
              <w:t>80</w:t>
            </w:r>
            <w:r w:rsidR="0048767A" w:rsidRPr="00F46944">
              <w:rPr>
                <w:rFonts w:ascii="Arial" w:hAnsi="Arial" w:cs="Arial"/>
                <w:color w:val="000000"/>
                <w:sz w:val="18"/>
                <w:szCs w:val="18"/>
              </w:rPr>
              <w:t>–</w:t>
            </w:r>
            <w:r w:rsidRPr="00F46944">
              <w:rPr>
                <w:rFonts w:ascii="Arial" w:hAnsi="Arial" w:cs="Arial"/>
                <w:color w:val="000000"/>
                <w:sz w:val="18"/>
                <w:szCs w:val="18"/>
              </w:rPr>
              <w:t>84</w:t>
            </w:r>
          </w:p>
        </w:tc>
        <w:tc>
          <w:tcPr>
            <w:tcW w:w="1341" w:type="dxa"/>
            <w:hideMark/>
          </w:tcPr>
          <w:p w14:paraId="636AE081" w14:textId="6E62F6C1" w:rsidR="0093641B" w:rsidRPr="00F46944" w:rsidRDefault="0065134A" w:rsidP="009364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F46944">
              <w:rPr>
                <w:rFonts w:ascii="Arial" w:hAnsi="Arial" w:cs="Arial"/>
                <w:color w:val="000000"/>
                <w:sz w:val="18"/>
                <w:szCs w:val="18"/>
              </w:rPr>
              <w:t>2.</w:t>
            </w:r>
            <w:r w:rsidR="00513951">
              <w:rPr>
                <w:rFonts w:ascii="Arial" w:hAnsi="Arial" w:cs="Arial"/>
                <w:color w:val="000000"/>
                <w:sz w:val="18"/>
                <w:szCs w:val="18"/>
              </w:rPr>
              <w:t>7</w:t>
            </w:r>
            <w:r w:rsidR="0093641B" w:rsidRPr="00F46944">
              <w:rPr>
                <w:rFonts w:ascii="Arial" w:hAnsi="Arial" w:cs="Arial"/>
                <w:color w:val="000000"/>
                <w:sz w:val="18"/>
                <w:szCs w:val="18"/>
              </w:rPr>
              <w:t xml:space="preserve"> </w:t>
            </w:r>
          </w:p>
        </w:tc>
        <w:tc>
          <w:tcPr>
            <w:tcW w:w="1495" w:type="dxa"/>
            <w:hideMark/>
          </w:tcPr>
          <w:p w14:paraId="16338E55" w14:textId="65A13EA0" w:rsidR="0093641B" w:rsidRPr="00F46944" w:rsidRDefault="00236920" w:rsidP="009364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6944">
              <w:rPr>
                <w:rFonts w:ascii="Arial" w:hAnsi="Arial" w:cs="Arial"/>
                <w:color w:val="000000"/>
                <w:sz w:val="20"/>
                <w:szCs w:val="20"/>
              </w:rPr>
              <w:t>1.6</w:t>
            </w:r>
            <w:r w:rsidR="0093641B" w:rsidRPr="00F46944">
              <w:rPr>
                <w:rFonts w:ascii="Arial" w:hAnsi="Arial" w:cs="Arial"/>
                <w:color w:val="000000"/>
                <w:sz w:val="20"/>
                <w:szCs w:val="20"/>
              </w:rPr>
              <w:t xml:space="preserve"> </w:t>
            </w:r>
          </w:p>
        </w:tc>
      </w:tr>
      <w:tr w:rsidR="0093641B" w:rsidRPr="00F46944" w14:paraId="5DC85DFC" w14:textId="77777777" w:rsidTr="00E32452">
        <w:trPr>
          <w:trHeight w:val="1350"/>
        </w:trPr>
        <w:tc>
          <w:tcPr>
            <w:cnfStyle w:val="001000000000" w:firstRow="0" w:lastRow="0" w:firstColumn="1" w:lastColumn="0" w:oddVBand="0" w:evenVBand="0" w:oddHBand="0" w:evenHBand="0" w:firstRowFirstColumn="0" w:firstRowLastColumn="0" w:lastRowFirstColumn="0" w:lastRowLastColumn="0"/>
            <w:tcW w:w="1477" w:type="dxa"/>
            <w:hideMark/>
          </w:tcPr>
          <w:p w14:paraId="29966AC0" w14:textId="77777777" w:rsidR="0093641B" w:rsidRPr="00F46944" w:rsidRDefault="0093641B" w:rsidP="0093641B">
            <w:pPr>
              <w:spacing w:before="60" w:after="60"/>
              <w:rPr>
                <w:rFonts w:ascii="Arial" w:hAnsi="Arial" w:cs="Arial"/>
                <w:color w:val="000000"/>
                <w:sz w:val="18"/>
                <w:szCs w:val="18"/>
              </w:rPr>
            </w:pPr>
            <w:r w:rsidRPr="00F46944">
              <w:rPr>
                <w:rFonts w:ascii="Arial" w:hAnsi="Arial" w:cs="Arial"/>
                <w:color w:val="000000"/>
                <w:sz w:val="18"/>
                <w:szCs w:val="18"/>
              </w:rPr>
              <w:t>Azithromycin</w:t>
            </w:r>
          </w:p>
        </w:tc>
        <w:tc>
          <w:tcPr>
            <w:tcW w:w="1301" w:type="dxa"/>
            <w:hideMark/>
          </w:tcPr>
          <w:p w14:paraId="0A8A141B" w14:textId="0DE4C40C" w:rsidR="0093641B" w:rsidRPr="00F46944" w:rsidRDefault="0093641B" w:rsidP="0093641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46944">
              <w:rPr>
                <w:rFonts w:ascii="Arial" w:hAnsi="Arial" w:cs="Arial"/>
                <w:color w:val="000000"/>
                <w:sz w:val="18"/>
                <w:szCs w:val="18"/>
              </w:rPr>
              <w:t xml:space="preserve">0.6 </w:t>
            </w:r>
          </w:p>
        </w:tc>
        <w:tc>
          <w:tcPr>
            <w:tcW w:w="2773" w:type="dxa"/>
            <w:hideMark/>
          </w:tcPr>
          <w:p w14:paraId="6E3206CE" w14:textId="15871D90" w:rsidR="0093641B" w:rsidRPr="00F46944" w:rsidRDefault="0093641B" w:rsidP="007631ED">
            <w:pPr>
              <w:numPr>
                <w:ilvl w:val="0"/>
                <w:numId w:val="10"/>
              </w:numPr>
              <w:tabs>
                <w:tab w:val="left" w:pos="216"/>
              </w:tabs>
              <w:spacing w:before="60" w:after="60"/>
              <w:ind w:left="216" w:hanging="21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46944">
              <w:rPr>
                <w:rFonts w:ascii="Arial" w:hAnsi="Arial" w:cs="Arial"/>
                <w:i/>
                <w:iCs/>
                <w:color w:val="000000"/>
                <w:sz w:val="18"/>
                <w:szCs w:val="18"/>
              </w:rPr>
              <w:t>Chlamydia</w:t>
            </w:r>
            <w:r w:rsidRPr="00F46944">
              <w:rPr>
                <w:rFonts w:ascii="Arial" w:hAnsi="Arial" w:cs="Arial"/>
                <w:color w:val="000000"/>
                <w:sz w:val="18"/>
                <w:szCs w:val="18"/>
              </w:rPr>
              <w:t xml:space="preserve"> infection </w:t>
            </w:r>
            <w:r w:rsidR="00CB2727" w:rsidRPr="00F46944">
              <w:rPr>
                <w:rFonts w:ascii="Arial" w:hAnsi="Arial" w:cs="Arial"/>
                <w:color w:val="000000"/>
                <w:sz w:val="18"/>
                <w:szCs w:val="18"/>
              </w:rPr>
              <w:t>(</w:t>
            </w:r>
            <w:r w:rsidRPr="00F46944">
              <w:rPr>
                <w:rFonts w:ascii="Arial" w:hAnsi="Arial" w:cs="Arial"/>
                <w:color w:val="000000"/>
                <w:sz w:val="18"/>
                <w:szCs w:val="18"/>
              </w:rPr>
              <w:t>12.2</w:t>
            </w:r>
            <w:r w:rsidR="00CB2727" w:rsidRPr="00F46944">
              <w:rPr>
                <w:rFonts w:ascii="Arial" w:hAnsi="Arial" w:cs="Arial"/>
                <w:color w:val="000000"/>
                <w:sz w:val="18"/>
                <w:szCs w:val="18"/>
              </w:rPr>
              <w:t>)</w:t>
            </w:r>
            <w:r w:rsidRPr="00F46944">
              <w:rPr>
                <w:rFonts w:ascii="Arial" w:hAnsi="Arial" w:cs="Arial"/>
                <w:color w:val="000000"/>
                <w:sz w:val="18"/>
                <w:szCs w:val="18"/>
              </w:rPr>
              <w:t xml:space="preserve"> </w:t>
            </w:r>
          </w:p>
          <w:p w14:paraId="103BF31E" w14:textId="6EA6F162" w:rsidR="0093641B" w:rsidRPr="00F46944" w:rsidRDefault="0093641B" w:rsidP="007631ED">
            <w:pPr>
              <w:numPr>
                <w:ilvl w:val="0"/>
                <w:numId w:val="10"/>
              </w:numPr>
              <w:tabs>
                <w:tab w:val="left" w:pos="216"/>
              </w:tabs>
              <w:spacing w:before="60" w:after="60"/>
              <w:ind w:left="216" w:hanging="21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46944">
              <w:rPr>
                <w:rFonts w:ascii="Arial" w:hAnsi="Arial" w:cs="Arial"/>
                <w:color w:val="000000"/>
                <w:sz w:val="18"/>
                <w:szCs w:val="18"/>
              </w:rPr>
              <w:t>Unclassified reason for prescription</w:t>
            </w:r>
            <w:r w:rsidRPr="00F46944">
              <w:rPr>
                <w:rFonts w:ascii="Arial" w:hAnsi="Arial" w:cs="Arial"/>
                <w:color w:val="000000"/>
                <w:sz w:val="18"/>
                <w:szCs w:val="18"/>
                <w:vertAlign w:val="superscript"/>
              </w:rPr>
              <w:t>#</w:t>
            </w:r>
            <w:r w:rsidRPr="00F46944">
              <w:rPr>
                <w:rFonts w:ascii="Arial" w:hAnsi="Arial" w:cs="Arial"/>
                <w:color w:val="000000"/>
                <w:sz w:val="18"/>
                <w:szCs w:val="18"/>
              </w:rPr>
              <w:t xml:space="preserve"> </w:t>
            </w:r>
            <w:r w:rsidR="00CB2727" w:rsidRPr="00F46944">
              <w:rPr>
                <w:rFonts w:ascii="Arial" w:hAnsi="Arial" w:cs="Arial"/>
                <w:color w:val="000000"/>
                <w:sz w:val="18"/>
                <w:szCs w:val="18"/>
              </w:rPr>
              <w:t>(</w:t>
            </w:r>
            <w:r w:rsidRPr="00F46944">
              <w:rPr>
                <w:rFonts w:ascii="Arial" w:hAnsi="Arial" w:cs="Arial"/>
                <w:color w:val="000000"/>
                <w:sz w:val="18"/>
                <w:szCs w:val="18"/>
              </w:rPr>
              <w:t>9.6</w:t>
            </w:r>
            <w:r w:rsidR="00CB2727" w:rsidRPr="00F46944">
              <w:rPr>
                <w:rFonts w:ascii="Arial" w:hAnsi="Arial" w:cs="Arial"/>
                <w:color w:val="000000"/>
                <w:sz w:val="18"/>
                <w:szCs w:val="18"/>
              </w:rPr>
              <w:t>)</w:t>
            </w:r>
            <w:r w:rsidRPr="00F46944">
              <w:rPr>
                <w:rFonts w:ascii="Arial" w:hAnsi="Arial" w:cs="Arial"/>
                <w:color w:val="000000"/>
                <w:sz w:val="18"/>
                <w:szCs w:val="18"/>
              </w:rPr>
              <w:t xml:space="preserve"> </w:t>
            </w:r>
          </w:p>
          <w:p w14:paraId="66EA7720" w14:textId="50628576" w:rsidR="0093641B" w:rsidRPr="00F46944" w:rsidRDefault="0093641B" w:rsidP="007631ED">
            <w:pPr>
              <w:numPr>
                <w:ilvl w:val="0"/>
                <w:numId w:val="10"/>
              </w:numPr>
              <w:tabs>
                <w:tab w:val="left" w:pos="216"/>
              </w:tabs>
              <w:spacing w:before="60" w:after="60"/>
              <w:ind w:left="216" w:hanging="21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46944">
              <w:rPr>
                <w:rFonts w:ascii="Arial" w:hAnsi="Arial" w:cs="Arial"/>
                <w:color w:val="000000"/>
                <w:sz w:val="18"/>
                <w:szCs w:val="18"/>
              </w:rPr>
              <w:t xml:space="preserve">Pneumonia </w:t>
            </w:r>
            <w:r w:rsidR="00CB2727" w:rsidRPr="00F46944">
              <w:rPr>
                <w:rFonts w:ascii="Arial" w:hAnsi="Arial" w:cs="Arial"/>
                <w:color w:val="000000"/>
                <w:sz w:val="18"/>
                <w:szCs w:val="18"/>
              </w:rPr>
              <w:t>(</w:t>
            </w:r>
            <w:r w:rsidRPr="00F46944">
              <w:rPr>
                <w:rFonts w:ascii="Arial" w:hAnsi="Arial" w:cs="Arial"/>
                <w:color w:val="000000"/>
                <w:sz w:val="18"/>
                <w:szCs w:val="18"/>
              </w:rPr>
              <w:t>6.8</w:t>
            </w:r>
            <w:r w:rsidR="00CB2727" w:rsidRPr="00F46944">
              <w:rPr>
                <w:rFonts w:ascii="Arial" w:hAnsi="Arial" w:cs="Arial"/>
                <w:color w:val="000000"/>
                <w:sz w:val="18"/>
                <w:szCs w:val="18"/>
              </w:rPr>
              <w:t>)</w:t>
            </w:r>
            <w:r w:rsidRPr="00F46944">
              <w:rPr>
                <w:rFonts w:ascii="Arial" w:hAnsi="Arial" w:cs="Arial"/>
                <w:color w:val="000000"/>
                <w:sz w:val="18"/>
                <w:szCs w:val="18"/>
              </w:rPr>
              <w:t xml:space="preserve"> </w:t>
            </w:r>
          </w:p>
          <w:p w14:paraId="4BE8ED6D" w14:textId="7E319D0A" w:rsidR="0093641B" w:rsidRPr="00F46944" w:rsidRDefault="0093641B" w:rsidP="007631ED">
            <w:pPr>
              <w:numPr>
                <w:ilvl w:val="0"/>
                <w:numId w:val="10"/>
              </w:numPr>
              <w:tabs>
                <w:tab w:val="left" w:pos="216"/>
              </w:tabs>
              <w:spacing w:before="60" w:after="60"/>
              <w:ind w:left="216" w:hanging="21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46944">
              <w:rPr>
                <w:rFonts w:ascii="Arial" w:hAnsi="Arial" w:cs="Arial"/>
                <w:color w:val="000000"/>
                <w:sz w:val="18"/>
                <w:szCs w:val="18"/>
              </w:rPr>
              <w:t xml:space="preserve">Other infection </w:t>
            </w:r>
            <w:r w:rsidR="00CB2727" w:rsidRPr="00F46944">
              <w:rPr>
                <w:rFonts w:ascii="Arial" w:hAnsi="Arial" w:cs="Arial"/>
                <w:color w:val="000000"/>
                <w:sz w:val="18"/>
                <w:szCs w:val="18"/>
              </w:rPr>
              <w:t>(</w:t>
            </w:r>
            <w:r w:rsidRPr="00F46944">
              <w:rPr>
                <w:rFonts w:ascii="Arial" w:hAnsi="Arial" w:cs="Arial"/>
                <w:color w:val="000000"/>
                <w:sz w:val="18"/>
                <w:szCs w:val="18"/>
              </w:rPr>
              <w:t>6.6</w:t>
            </w:r>
            <w:r w:rsidR="00CB2727" w:rsidRPr="00F46944">
              <w:rPr>
                <w:rFonts w:ascii="Arial" w:hAnsi="Arial" w:cs="Arial"/>
                <w:color w:val="000000"/>
                <w:sz w:val="18"/>
                <w:szCs w:val="18"/>
              </w:rPr>
              <w:t>)</w:t>
            </w:r>
          </w:p>
        </w:tc>
        <w:tc>
          <w:tcPr>
            <w:tcW w:w="1197" w:type="dxa"/>
            <w:hideMark/>
          </w:tcPr>
          <w:p w14:paraId="41E95087" w14:textId="28D9B1CF" w:rsidR="0093641B" w:rsidRPr="00F46944" w:rsidRDefault="0093641B" w:rsidP="0093641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8"/>
                <w:szCs w:val="18"/>
              </w:rPr>
            </w:pPr>
            <w:r w:rsidRPr="00F46944">
              <w:rPr>
                <w:rFonts w:ascii="Arial" w:eastAsiaTheme="minorEastAsia" w:hAnsi="Arial" w:cs="Arial"/>
                <w:color w:val="000000"/>
                <w:sz w:val="18"/>
                <w:szCs w:val="18"/>
              </w:rPr>
              <w:t>20</w:t>
            </w:r>
            <w:r w:rsidR="0048767A" w:rsidRPr="00F46944">
              <w:rPr>
                <w:rFonts w:ascii="Arial" w:eastAsiaTheme="minorEastAsia" w:hAnsi="Arial" w:cs="Arial"/>
                <w:color w:val="000000"/>
                <w:sz w:val="18"/>
                <w:szCs w:val="18"/>
              </w:rPr>
              <w:t>–</w:t>
            </w:r>
            <w:r w:rsidRPr="00F46944">
              <w:rPr>
                <w:rFonts w:ascii="Arial" w:eastAsiaTheme="minorEastAsia" w:hAnsi="Arial" w:cs="Arial"/>
                <w:color w:val="000000"/>
                <w:sz w:val="18"/>
                <w:szCs w:val="18"/>
              </w:rPr>
              <w:t>24</w:t>
            </w:r>
          </w:p>
          <w:p w14:paraId="2EC33465" w14:textId="77777777" w:rsidR="0093641B" w:rsidRPr="00F46944" w:rsidRDefault="0093641B" w:rsidP="0093641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8"/>
                <w:szCs w:val="18"/>
              </w:rPr>
            </w:pPr>
          </w:p>
        </w:tc>
        <w:tc>
          <w:tcPr>
            <w:tcW w:w="1341" w:type="dxa"/>
            <w:hideMark/>
          </w:tcPr>
          <w:p w14:paraId="11BDC902" w14:textId="75EC6B58" w:rsidR="0093641B" w:rsidRPr="00F46944" w:rsidRDefault="0065134A" w:rsidP="0093641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46944">
              <w:rPr>
                <w:rFonts w:ascii="Arial" w:hAnsi="Arial" w:cs="Arial"/>
                <w:color w:val="000000"/>
                <w:sz w:val="18"/>
                <w:szCs w:val="18"/>
              </w:rPr>
              <w:t>16.</w:t>
            </w:r>
            <w:r w:rsidR="00513951">
              <w:rPr>
                <w:rFonts w:ascii="Arial" w:hAnsi="Arial" w:cs="Arial"/>
                <w:color w:val="000000"/>
                <w:sz w:val="18"/>
                <w:szCs w:val="18"/>
              </w:rPr>
              <w:t>8</w:t>
            </w:r>
            <w:r w:rsidR="0093641B" w:rsidRPr="00F46944">
              <w:rPr>
                <w:rFonts w:ascii="Arial" w:hAnsi="Arial" w:cs="Arial"/>
                <w:color w:val="000000"/>
                <w:sz w:val="18"/>
                <w:szCs w:val="18"/>
              </w:rPr>
              <w:t xml:space="preserve"> </w:t>
            </w:r>
          </w:p>
        </w:tc>
        <w:tc>
          <w:tcPr>
            <w:tcW w:w="1495" w:type="dxa"/>
            <w:hideMark/>
          </w:tcPr>
          <w:p w14:paraId="38D4FBB0" w14:textId="346C61D2" w:rsidR="0093641B" w:rsidRPr="00F46944" w:rsidRDefault="00236920" w:rsidP="0093641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6944">
              <w:rPr>
                <w:rFonts w:ascii="Arial" w:hAnsi="Arial" w:cs="Arial"/>
                <w:color w:val="000000"/>
                <w:sz w:val="20"/>
                <w:szCs w:val="20"/>
              </w:rPr>
              <w:t>44.6</w:t>
            </w:r>
            <w:r w:rsidR="0093641B" w:rsidRPr="00F46944">
              <w:rPr>
                <w:rFonts w:ascii="Arial" w:hAnsi="Arial" w:cs="Arial"/>
                <w:color w:val="000000"/>
                <w:sz w:val="20"/>
                <w:szCs w:val="20"/>
              </w:rPr>
              <w:t xml:space="preserve"> </w:t>
            </w:r>
          </w:p>
        </w:tc>
      </w:tr>
      <w:tr w:rsidR="0093641B" w:rsidRPr="00F46944" w14:paraId="3FB86586" w14:textId="77777777" w:rsidTr="00E32452">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1477" w:type="dxa"/>
            <w:hideMark/>
          </w:tcPr>
          <w:p w14:paraId="6ACA7E96" w14:textId="77777777" w:rsidR="0093641B" w:rsidRPr="00F46944" w:rsidRDefault="0093641B" w:rsidP="0093641B">
            <w:pPr>
              <w:spacing w:before="60" w:after="60"/>
              <w:rPr>
                <w:rFonts w:ascii="Arial" w:hAnsi="Arial" w:cs="Arial"/>
                <w:color w:val="000000"/>
                <w:sz w:val="18"/>
                <w:szCs w:val="18"/>
              </w:rPr>
            </w:pPr>
            <w:r w:rsidRPr="00F46944">
              <w:rPr>
                <w:rFonts w:ascii="Arial" w:hAnsi="Arial" w:cs="Arial"/>
                <w:color w:val="000000"/>
                <w:sz w:val="18"/>
                <w:szCs w:val="18"/>
              </w:rPr>
              <w:t>Ciprofloxacin</w:t>
            </w:r>
          </w:p>
        </w:tc>
        <w:tc>
          <w:tcPr>
            <w:tcW w:w="1301" w:type="dxa"/>
            <w:hideMark/>
          </w:tcPr>
          <w:p w14:paraId="75672BDD" w14:textId="1F38C242" w:rsidR="0093641B" w:rsidRPr="00F46944" w:rsidRDefault="0093641B" w:rsidP="009364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F46944">
              <w:rPr>
                <w:rFonts w:ascii="Arial" w:hAnsi="Arial" w:cs="Arial"/>
                <w:color w:val="000000"/>
                <w:sz w:val="18"/>
                <w:szCs w:val="18"/>
              </w:rPr>
              <w:t xml:space="preserve">0.3 </w:t>
            </w:r>
          </w:p>
        </w:tc>
        <w:tc>
          <w:tcPr>
            <w:tcW w:w="2773" w:type="dxa"/>
            <w:hideMark/>
          </w:tcPr>
          <w:p w14:paraId="120AA25E" w14:textId="55E2F082" w:rsidR="0093641B" w:rsidRPr="00F46944" w:rsidRDefault="0093641B" w:rsidP="007631ED">
            <w:pPr>
              <w:numPr>
                <w:ilvl w:val="0"/>
                <w:numId w:val="10"/>
              </w:numPr>
              <w:tabs>
                <w:tab w:val="left" w:pos="216"/>
              </w:tabs>
              <w:spacing w:before="60" w:after="60"/>
              <w:ind w:left="216" w:hanging="216"/>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F46944">
              <w:rPr>
                <w:rFonts w:ascii="Arial" w:hAnsi="Arial" w:cs="Arial"/>
                <w:color w:val="000000"/>
                <w:sz w:val="18"/>
                <w:szCs w:val="18"/>
              </w:rPr>
              <w:t xml:space="preserve">Other infection </w:t>
            </w:r>
            <w:r w:rsidR="00CB2727" w:rsidRPr="00F46944">
              <w:rPr>
                <w:rFonts w:ascii="Arial" w:hAnsi="Arial" w:cs="Arial"/>
                <w:color w:val="000000"/>
                <w:sz w:val="18"/>
                <w:szCs w:val="18"/>
              </w:rPr>
              <w:t>(</w:t>
            </w:r>
            <w:r w:rsidRPr="00F46944">
              <w:rPr>
                <w:rFonts w:ascii="Arial" w:hAnsi="Arial" w:cs="Arial"/>
                <w:color w:val="000000"/>
                <w:sz w:val="18"/>
                <w:szCs w:val="18"/>
              </w:rPr>
              <w:t>31.6</w:t>
            </w:r>
            <w:r w:rsidR="00CB2727" w:rsidRPr="00F46944">
              <w:rPr>
                <w:rFonts w:ascii="Arial" w:hAnsi="Arial" w:cs="Arial"/>
                <w:color w:val="000000"/>
                <w:sz w:val="18"/>
                <w:szCs w:val="18"/>
              </w:rPr>
              <w:t>)</w:t>
            </w:r>
            <w:r w:rsidRPr="00F46944">
              <w:rPr>
                <w:rFonts w:ascii="Arial" w:hAnsi="Arial" w:cs="Arial"/>
                <w:color w:val="000000"/>
                <w:sz w:val="18"/>
                <w:szCs w:val="18"/>
              </w:rPr>
              <w:t xml:space="preserve"> </w:t>
            </w:r>
          </w:p>
          <w:p w14:paraId="3D03A4F9" w14:textId="6B091120" w:rsidR="0093641B" w:rsidRPr="00F46944" w:rsidRDefault="0093641B" w:rsidP="007631ED">
            <w:pPr>
              <w:numPr>
                <w:ilvl w:val="0"/>
                <w:numId w:val="10"/>
              </w:numPr>
              <w:tabs>
                <w:tab w:val="left" w:pos="216"/>
              </w:tabs>
              <w:spacing w:before="60" w:after="60"/>
              <w:ind w:left="216" w:hanging="216"/>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F46944">
              <w:rPr>
                <w:rFonts w:ascii="Arial" w:hAnsi="Arial" w:cs="Arial"/>
                <w:color w:val="000000"/>
                <w:sz w:val="18"/>
                <w:szCs w:val="18"/>
              </w:rPr>
              <w:t>Unclassified reason for prescription</w:t>
            </w:r>
            <w:r w:rsidRPr="00F46944">
              <w:rPr>
                <w:rFonts w:ascii="Arial" w:hAnsi="Arial" w:cs="Arial"/>
                <w:color w:val="000000"/>
                <w:sz w:val="18"/>
                <w:szCs w:val="18"/>
                <w:vertAlign w:val="superscript"/>
              </w:rPr>
              <w:t>#</w:t>
            </w:r>
            <w:r w:rsidRPr="00F46944">
              <w:rPr>
                <w:rFonts w:ascii="Arial" w:hAnsi="Arial" w:cs="Arial"/>
                <w:color w:val="000000"/>
                <w:sz w:val="18"/>
                <w:szCs w:val="18"/>
              </w:rPr>
              <w:t xml:space="preserve"> </w:t>
            </w:r>
            <w:r w:rsidR="00CB2727" w:rsidRPr="00F46944">
              <w:rPr>
                <w:rFonts w:ascii="Arial" w:hAnsi="Arial" w:cs="Arial"/>
                <w:color w:val="000000"/>
                <w:sz w:val="18"/>
                <w:szCs w:val="18"/>
              </w:rPr>
              <w:t>(</w:t>
            </w:r>
            <w:r w:rsidRPr="00F46944">
              <w:rPr>
                <w:rFonts w:ascii="Arial" w:hAnsi="Arial" w:cs="Arial"/>
                <w:color w:val="000000"/>
                <w:sz w:val="18"/>
                <w:szCs w:val="18"/>
              </w:rPr>
              <w:t>10.8</w:t>
            </w:r>
            <w:r w:rsidR="00CB2727" w:rsidRPr="00F46944">
              <w:rPr>
                <w:rFonts w:ascii="Arial" w:hAnsi="Arial" w:cs="Arial"/>
                <w:color w:val="000000"/>
                <w:sz w:val="18"/>
                <w:szCs w:val="18"/>
              </w:rPr>
              <w:t>)</w:t>
            </w:r>
            <w:r w:rsidRPr="00F46944">
              <w:rPr>
                <w:rFonts w:ascii="Arial" w:hAnsi="Arial" w:cs="Arial"/>
                <w:color w:val="000000"/>
                <w:sz w:val="18"/>
                <w:szCs w:val="18"/>
              </w:rPr>
              <w:t xml:space="preserve"> </w:t>
            </w:r>
          </w:p>
          <w:p w14:paraId="4FDCC078" w14:textId="419A92F8" w:rsidR="0093641B" w:rsidRPr="00F46944" w:rsidRDefault="0093641B" w:rsidP="007631ED">
            <w:pPr>
              <w:numPr>
                <w:ilvl w:val="0"/>
                <w:numId w:val="10"/>
              </w:numPr>
              <w:tabs>
                <w:tab w:val="left" w:pos="216"/>
              </w:tabs>
              <w:spacing w:before="60" w:after="60"/>
              <w:ind w:left="216" w:hanging="216"/>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F46944">
              <w:rPr>
                <w:rFonts w:ascii="Arial" w:hAnsi="Arial" w:cs="Arial"/>
                <w:color w:val="000000"/>
                <w:sz w:val="18"/>
                <w:szCs w:val="18"/>
              </w:rPr>
              <w:t xml:space="preserve">UTI </w:t>
            </w:r>
            <w:r w:rsidR="00CB2727" w:rsidRPr="00F46944">
              <w:rPr>
                <w:rFonts w:ascii="Arial" w:hAnsi="Arial" w:cs="Arial"/>
                <w:color w:val="000000"/>
                <w:sz w:val="18"/>
                <w:szCs w:val="18"/>
              </w:rPr>
              <w:t>(</w:t>
            </w:r>
            <w:r w:rsidRPr="00F46944">
              <w:rPr>
                <w:rFonts w:ascii="Arial" w:hAnsi="Arial" w:cs="Arial"/>
                <w:color w:val="000000"/>
                <w:sz w:val="18"/>
                <w:szCs w:val="18"/>
              </w:rPr>
              <w:t>9.7</w:t>
            </w:r>
            <w:r w:rsidR="00CB2727" w:rsidRPr="00F46944">
              <w:rPr>
                <w:rFonts w:ascii="Arial" w:hAnsi="Arial" w:cs="Arial"/>
                <w:color w:val="000000"/>
                <w:sz w:val="18"/>
                <w:szCs w:val="18"/>
              </w:rPr>
              <w:t>)</w:t>
            </w:r>
          </w:p>
          <w:p w14:paraId="62D09787" w14:textId="6D638EDA" w:rsidR="0093641B" w:rsidRPr="00F46944" w:rsidRDefault="0093641B" w:rsidP="007631ED">
            <w:pPr>
              <w:numPr>
                <w:ilvl w:val="0"/>
                <w:numId w:val="10"/>
              </w:numPr>
              <w:tabs>
                <w:tab w:val="left" w:pos="216"/>
              </w:tabs>
              <w:spacing w:before="60" w:after="60"/>
              <w:ind w:left="216" w:hanging="216"/>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F46944">
              <w:rPr>
                <w:rFonts w:ascii="Arial" w:hAnsi="Arial" w:cs="Arial"/>
                <w:color w:val="000000"/>
                <w:sz w:val="18"/>
                <w:szCs w:val="18"/>
              </w:rPr>
              <w:t xml:space="preserve">Skin/wound infection </w:t>
            </w:r>
            <w:r w:rsidR="00CB2727" w:rsidRPr="00F46944">
              <w:rPr>
                <w:rFonts w:ascii="Arial" w:hAnsi="Arial" w:cs="Arial"/>
                <w:color w:val="000000"/>
                <w:sz w:val="18"/>
                <w:szCs w:val="18"/>
              </w:rPr>
              <w:t>(</w:t>
            </w:r>
            <w:r w:rsidRPr="00F46944">
              <w:rPr>
                <w:rFonts w:ascii="Arial" w:hAnsi="Arial" w:cs="Arial"/>
                <w:color w:val="000000"/>
                <w:sz w:val="18"/>
                <w:szCs w:val="18"/>
              </w:rPr>
              <w:t>8.3</w:t>
            </w:r>
            <w:r w:rsidR="00CB2727" w:rsidRPr="00F46944">
              <w:rPr>
                <w:rFonts w:ascii="Arial" w:hAnsi="Arial" w:cs="Arial"/>
                <w:color w:val="000000"/>
                <w:sz w:val="18"/>
                <w:szCs w:val="18"/>
              </w:rPr>
              <w:t>)</w:t>
            </w:r>
            <w:r w:rsidRPr="00F46944">
              <w:rPr>
                <w:rFonts w:ascii="Arial" w:hAnsi="Arial" w:cs="Arial"/>
                <w:color w:val="000000"/>
                <w:sz w:val="18"/>
                <w:szCs w:val="18"/>
              </w:rPr>
              <w:t xml:space="preserve"> </w:t>
            </w:r>
          </w:p>
        </w:tc>
        <w:tc>
          <w:tcPr>
            <w:tcW w:w="1197" w:type="dxa"/>
            <w:hideMark/>
          </w:tcPr>
          <w:p w14:paraId="7752115F" w14:textId="77777777" w:rsidR="0093641B" w:rsidRPr="00F46944" w:rsidRDefault="0093641B" w:rsidP="009364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8"/>
                <w:szCs w:val="18"/>
              </w:rPr>
            </w:pPr>
            <w:r w:rsidRPr="00F46944">
              <w:rPr>
                <w:rFonts w:ascii="Arial" w:eastAsiaTheme="minorEastAsia" w:hAnsi="Arial" w:cs="Arial"/>
                <w:color w:val="000000"/>
                <w:sz w:val="18"/>
                <w:szCs w:val="18"/>
              </w:rPr>
              <w:t>95+</w:t>
            </w:r>
          </w:p>
        </w:tc>
        <w:tc>
          <w:tcPr>
            <w:tcW w:w="1341" w:type="dxa"/>
            <w:hideMark/>
          </w:tcPr>
          <w:p w14:paraId="227168F8" w14:textId="09DF0C67" w:rsidR="0093641B" w:rsidRPr="00F46944" w:rsidRDefault="0065134A" w:rsidP="009364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F46944">
              <w:rPr>
                <w:rFonts w:ascii="Arial" w:hAnsi="Arial" w:cs="Arial"/>
                <w:color w:val="000000"/>
                <w:sz w:val="18"/>
                <w:szCs w:val="18"/>
              </w:rPr>
              <w:t>24.</w:t>
            </w:r>
            <w:r w:rsidR="00513951">
              <w:rPr>
                <w:rFonts w:ascii="Arial" w:hAnsi="Arial" w:cs="Arial"/>
                <w:color w:val="000000"/>
                <w:sz w:val="18"/>
                <w:szCs w:val="18"/>
              </w:rPr>
              <w:t>5</w:t>
            </w:r>
            <w:r w:rsidR="0093641B" w:rsidRPr="00F46944">
              <w:rPr>
                <w:rFonts w:ascii="Arial" w:hAnsi="Arial" w:cs="Arial"/>
                <w:color w:val="000000"/>
                <w:sz w:val="18"/>
                <w:szCs w:val="18"/>
              </w:rPr>
              <w:t xml:space="preserve"> </w:t>
            </w:r>
          </w:p>
        </w:tc>
        <w:tc>
          <w:tcPr>
            <w:tcW w:w="1495" w:type="dxa"/>
            <w:hideMark/>
          </w:tcPr>
          <w:p w14:paraId="73D4A485" w14:textId="6F87C5FF" w:rsidR="0093641B" w:rsidRPr="00F46944" w:rsidRDefault="00236920" w:rsidP="0093641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6944">
              <w:rPr>
                <w:rFonts w:ascii="Arial" w:hAnsi="Arial" w:cs="Arial"/>
                <w:color w:val="000000"/>
                <w:sz w:val="20"/>
                <w:szCs w:val="20"/>
              </w:rPr>
              <w:t>37.4</w:t>
            </w:r>
            <w:r w:rsidR="0093641B" w:rsidRPr="00F46944">
              <w:rPr>
                <w:rFonts w:ascii="Arial" w:hAnsi="Arial" w:cs="Arial"/>
                <w:color w:val="000000"/>
                <w:sz w:val="20"/>
                <w:szCs w:val="20"/>
              </w:rPr>
              <w:t xml:space="preserve"> </w:t>
            </w:r>
          </w:p>
        </w:tc>
      </w:tr>
    </w:tbl>
    <w:bookmarkEnd w:id="118"/>
    <w:p w14:paraId="6874CC7A" w14:textId="262A7E4A" w:rsidR="0093641B" w:rsidRPr="00F46944" w:rsidRDefault="002E0811" w:rsidP="00E32452">
      <w:pPr>
        <w:tabs>
          <w:tab w:val="left" w:pos="142"/>
        </w:tabs>
        <w:spacing w:after="0"/>
        <w:ind w:right="-24"/>
        <w:rPr>
          <w:sz w:val="16"/>
          <w:szCs w:val="16"/>
        </w:rPr>
      </w:pPr>
      <w:r w:rsidRPr="00F46944">
        <w:rPr>
          <w:rFonts w:asciiTheme="majorHAnsi" w:hAnsiTheme="majorHAnsi" w:cstheme="majorHAnsi"/>
          <w:sz w:val="16"/>
          <w:szCs w:val="16"/>
        </w:rPr>
        <w:t xml:space="preserve">GP = </w:t>
      </w:r>
      <w:r w:rsidR="009F3268">
        <w:rPr>
          <w:rFonts w:asciiTheme="majorHAnsi" w:hAnsiTheme="majorHAnsi" w:cstheme="majorHAnsi"/>
          <w:sz w:val="16"/>
          <w:szCs w:val="16"/>
        </w:rPr>
        <w:t>g</w:t>
      </w:r>
      <w:r w:rsidRPr="00F46944">
        <w:rPr>
          <w:rFonts w:asciiTheme="majorHAnsi" w:hAnsiTheme="majorHAnsi" w:cstheme="majorHAnsi"/>
          <w:sz w:val="16"/>
          <w:szCs w:val="16"/>
        </w:rPr>
        <w:t xml:space="preserve">eneral </w:t>
      </w:r>
      <w:r w:rsidR="009F3268">
        <w:rPr>
          <w:rFonts w:asciiTheme="majorHAnsi" w:hAnsiTheme="majorHAnsi" w:cstheme="majorHAnsi"/>
          <w:sz w:val="16"/>
          <w:szCs w:val="16"/>
        </w:rPr>
        <w:t>p</w:t>
      </w:r>
      <w:r w:rsidRPr="00F46944">
        <w:rPr>
          <w:rFonts w:asciiTheme="majorHAnsi" w:hAnsiTheme="majorHAnsi" w:cstheme="majorHAnsi"/>
          <w:sz w:val="16"/>
          <w:szCs w:val="16"/>
        </w:rPr>
        <w:t xml:space="preserve">ractitioner; </w:t>
      </w:r>
      <w:r w:rsidR="006620C9" w:rsidRPr="00F46944">
        <w:rPr>
          <w:rFonts w:asciiTheme="majorHAnsi" w:hAnsiTheme="majorHAnsi" w:cstheme="majorHAnsi"/>
          <w:sz w:val="16"/>
          <w:szCs w:val="16"/>
        </w:rPr>
        <w:t xml:space="preserve">PBS = Pharmaceutical Benefits Scheme; RPBS = Repatriation Pharmaceutical Benefits Scheme; </w:t>
      </w:r>
      <w:r w:rsidR="007770E2" w:rsidRPr="00F46944">
        <w:rPr>
          <w:sz w:val="16"/>
          <w:szCs w:val="16"/>
        </w:rPr>
        <w:t xml:space="preserve">URTI = upper respiratory tract infection; UTI = urinary tract infection </w:t>
      </w:r>
      <w:r w:rsidR="007770E2" w:rsidRPr="00F46944">
        <w:rPr>
          <w:sz w:val="16"/>
          <w:szCs w:val="16"/>
        </w:rPr>
        <w:br/>
      </w:r>
      <w:r w:rsidR="0093641B" w:rsidRPr="00F46944">
        <w:rPr>
          <w:sz w:val="16"/>
          <w:szCs w:val="16"/>
        </w:rPr>
        <w:t xml:space="preserve">* </w:t>
      </w:r>
      <w:r w:rsidR="0097547F">
        <w:rPr>
          <w:sz w:val="16"/>
          <w:szCs w:val="16"/>
        </w:rPr>
        <w:tab/>
      </w:r>
      <w:r w:rsidR="0093641B" w:rsidRPr="00F46944">
        <w:rPr>
          <w:sz w:val="16"/>
          <w:szCs w:val="16"/>
        </w:rPr>
        <w:t xml:space="preserve">Percentage of </w:t>
      </w:r>
      <w:r w:rsidR="001F4193" w:rsidRPr="00F46944">
        <w:rPr>
          <w:sz w:val="16"/>
          <w:szCs w:val="16"/>
        </w:rPr>
        <w:t xml:space="preserve">patients who visited a </w:t>
      </w:r>
      <w:proofErr w:type="spellStart"/>
      <w:r w:rsidR="0093641B" w:rsidRPr="00F46944">
        <w:rPr>
          <w:sz w:val="16"/>
          <w:szCs w:val="16"/>
        </w:rPr>
        <w:t>MedicineInsight</w:t>
      </w:r>
      <w:proofErr w:type="spellEnd"/>
      <w:r w:rsidR="0093641B" w:rsidRPr="00F46944">
        <w:rPr>
          <w:sz w:val="16"/>
          <w:szCs w:val="16"/>
        </w:rPr>
        <w:t xml:space="preserve"> </w:t>
      </w:r>
      <w:r w:rsidR="001F4193" w:rsidRPr="00F46944">
        <w:rPr>
          <w:sz w:val="16"/>
          <w:szCs w:val="16"/>
        </w:rPr>
        <w:t xml:space="preserve">practice </w:t>
      </w:r>
      <w:r w:rsidR="0093641B" w:rsidRPr="00F46944">
        <w:rPr>
          <w:sz w:val="16"/>
          <w:szCs w:val="16"/>
        </w:rPr>
        <w:t xml:space="preserve">general practitioner at least once between 1 January and </w:t>
      </w:r>
      <w:r w:rsidR="0097547F">
        <w:rPr>
          <w:sz w:val="16"/>
          <w:szCs w:val="16"/>
        </w:rPr>
        <w:tab/>
      </w:r>
      <w:r w:rsidR="0093641B" w:rsidRPr="00F46944">
        <w:rPr>
          <w:sz w:val="16"/>
          <w:szCs w:val="16"/>
        </w:rPr>
        <w:t>31</w:t>
      </w:r>
      <w:r w:rsidR="00106BC3" w:rsidRPr="00F46944">
        <w:rPr>
          <w:sz w:val="16"/>
          <w:szCs w:val="16"/>
        </w:rPr>
        <w:t> </w:t>
      </w:r>
      <w:r w:rsidR="009833A3" w:rsidRPr="00F46944">
        <w:rPr>
          <w:sz w:val="16"/>
          <w:szCs w:val="16"/>
        </w:rPr>
        <w:t>December 2021</w:t>
      </w:r>
      <w:r w:rsidR="00E83406" w:rsidRPr="00F46944">
        <w:rPr>
          <w:sz w:val="16"/>
          <w:szCs w:val="16"/>
        </w:rPr>
        <w:t xml:space="preserve"> </w:t>
      </w:r>
      <w:r w:rsidR="0093641B" w:rsidRPr="00F46944">
        <w:rPr>
          <w:sz w:val="16"/>
          <w:szCs w:val="16"/>
        </w:rPr>
        <w:t xml:space="preserve">and had one or more prescriptions for the specified antimicrobial issued on the day of the visit </w:t>
      </w:r>
      <w:r w:rsidR="00E83406" w:rsidRPr="00F46944">
        <w:rPr>
          <w:sz w:val="16"/>
          <w:szCs w:val="16"/>
        </w:rPr>
        <w:br/>
      </w:r>
      <w:r w:rsidR="0093641B" w:rsidRPr="00F46944">
        <w:rPr>
          <w:sz w:val="16"/>
          <w:szCs w:val="16"/>
        </w:rPr>
        <w:t>†</w:t>
      </w:r>
      <w:r w:rsidR="0097547F">
        <w:rPr>
          <w:sz w:val="16"/>
          <w:szCs w:val="16"/>
        </w:rPr>
        <w:tab/>
      </w:r>
      <w:r w:rsidR="0093641B" w:rsidRPr="00F46944">
        <w:rPr>
          <w:sz w:val="16"/>
          <w:szCs w:val="16"/>
        </w:rPr>
        <w:t xml:space="preserve">34.7% of prescriptions in 2019 </w:t>
      </w:r>
      <w:r w:rsidR="00A60822" w:rsidRPr="00F46944">
        <w:rPr>
          <w:sz w:val="16"/>
          <w:szCs w:val="16"/>
        </w:rPr>
        <w:t>included</w:t>
      </w:r>
      <w:r w:rsidR="0093641B" w:rsidRPr="00F46944">
        <w:rPr>
          <w:sz w:val="16"/>
          <w:szCs w:val="16"/>
        </w:rPr>
        <w:t xml:space="preserve"> an explicit reason for prescription recorded. If an explicit recorded reason for the </w:t>
      </w:r>
      <w:r w:rsidR="0097547F">
        <w:rPr>
          <w:sz w:val="16"/>
          <w:szCs w:val="16"/>
        </w:rPr>
        <w:tab/>
      </w:r>
      <w:r w:rsidR="0093641B" w:rsidRPr="00F46944">
        <w:rPr>
          <w:sz w:val="16"/>
          <w:szCs w:val="16"/>
        </w:rPr>
        <w:t xml:space="preserve">prescription was </w:t>
      </w:r>
      <w:r w:rsidR="00A60822" w:rsidRPr="00F46944">
        <w:rPr>
          <w:sz w:val="16"/>
          <w:szCs w:val="16"/>
        </w:rPr>
        <w:t>incomplete</w:t>
      </w:r>
      <w:r w:rsidR="0093641B" w:rsidRPr="00F46944">
        <w:rPr>
          <w:sz w:val="16"/>
          <w:szCs w:val="16"/>
        </w:rPr>
        <w:t xml:space="preserve">, an association was assumed between the antimicrobial prescribed and a reason for the encounter </w:t>
      </w:r>
      <w:r w:rsidR="00E32452">
        <w:rPr>
          <w:sz w:val="16"/>
          <w:szCs w:val="16"/>
        </w:rPr>
        <w:tab/>
      </w:r>
      <w:r w:rsidR="0093641B" w:rsidRPr="00F46944">
        <w:rPr>
          <w:sz w:val="16"/>
          <w:szCs w:val="16"/>
        </w:rPr>
        <w:t xml:space="preserve">and/or a diagnosis </w:t>
      </w:r>
      <w:r w:rsidR="00A60822" w:rsidRPr="00F46944">
        <w:rPr>
          <w:sz w:val="16"/>
          <w:szCs w:val="16"/>
        </w:rPr>
        <w:t xml:space="preserve">that was </w:t>
      </w:r>
      <w:r w:rsidR="0093641B" w:rsidRPr="00F46944">
        <w:rPr>
          <w:sz w:val="16"/>
          <w:szCs w:val="16"/>
        </w:rPr>
        <w:t xml:space="preserve">recorded on the same day as the prescription </w:t>
      </w:r>
    </w:p>
    <w:p w14:paraId="63D55157" w14:textId="6C65B58F" w:rsidR="0093641B" w:rsidRPr="00F46944" w:rsidRDefault="0093641B" w:rsidP="00E32452">
      <w:pPr>
        <w:tabs>
          <w:tab w:val="left" w:pos="142"/>
        </w:tabs>
        <w:spacing w:after="0"/>
        <w:ind w:right="-24"/>
        <w:rPr>
          <w:sz w:val="16"/>
          <w:szCs w:val="16"/>
        </w:rPr>
      </w:pPr>
      <w:r w:rsidRPr="00F46944">
        <w:rPr>
          <w:sz w:val="16"/>
          <w:szCs w:val="16"/>
        </w:rPr>
        <w:t>§</w:t>
      </w:r>
      <w:r w:rsidR="0097547F">
        <w:rPr>
          <w:sz w:val="16"/>
          <w:szCs w:val="16"/>
        </w:rPr>
        <w:tab/>
      </w:r>
      <w:r w:rsidRPr="00F46944">
        <w:rPr>
          <w:sz w:val="16"/>
          <w:szCs w:val="16"/>
        </w:rPr>
        <w:t>Number</w:t>
      </w:r>
      <w:r w:rsidR="008A0513" w:rsidRPr="00F46944">
        <w:rPr>
          <w:sz w:val="16"/>
          <w:szCs w:val="16"/>
        </w:rPr>
        <w:t xml:space="preserve"> of</w:t>
      </w:r>
      <w:r w:rsidRPr="00F46944">
        <w:rPr>
          <w:sz w:val="16"/>
          <w:szCs w:val="16"/>
        </w:rPr>
        <w:t xml:space="preserve"> </w:t>
      </w:r>
      <w:proofErr w:type="spellStart"/>
      <w:r w:rsidRPr="00F46944">
        <w:rPr>
          <w:sz w:val="16"/>
          <w:szCs w:val="16"/>
        </w:rPr>
        <w:t>MedicineInsight</w:t>
      </w:r>
      <w:proofErr w:type="spellEnd"/>
      <w:r w:rsidRPr="00F46944">
        <w:rPr>
          <w:sz w:val="16"/>
          <w:szCs w:val="16"/>
        </w:rPr>
        <w:t xml:space="preserve"> </w:t>
      </w:r>
      <w:r w:rsidR="00A60822" w:rsidRPr="00F46944">
        <w:rPr>
          <w:sz w:val="16"/>
          <w:szCs w:val="16"/>
        </w:rPr>
        <w:t xml:space="preserve">patients </w:t>
      </w:r>
      <w:r w:rsidRPr="00F46944">
        <w:rPr>
          <w:sz w:val="16"/>
          <w:szCs w:val="16"/>
        </w:rPr>
        <w:t>prescribed one or more antimicrobial prescriptions, per 100 patients</w:t>
      </w:r>
    </w:p>
    <w:p w14:paraId="2F844864" w14:textId="57474FF1" w:rsidR="00D374F5" w:rsidRPr="00F46944" w:rsidRDefault="00D374F5" w:rsidP="00E32452">
      <w:pPr>
        <w:tabs>
          <w:tab w:val="left" w:pos="142"/>
        </w:tabs>
        <w:spacing w:after="0"/>
        <w:ind w:right="-24"/>
        <w:rPr>
          <w:sz w:val="16"/>
          <w:szCs w:val="16"/>
        </w:rPr>
      </w:pPr>
      <w:r w:rsidRPr="00F46944">
        <w:rPr>
          <w:sz w:val="16"/>
          <w:szCs w:val="16"/>
        </w:rPr>
        <w:t>#</w:t>
      </w:r>
      <w:r w:rsidR="00E32452">
        <w:rPr>
          <w:sz w:val="16"/>
          <w:szCs w:val="16"/>
        </w:rPr>
        <w:tab/>
      </w:r>
      <w:r w:rsidRPr="00F46944">
        <w:rPr>
          <w:sz w:val="16"/>
          <w:szCs w:val="16"/>
        </w:rPr>
        <w:t>Prescriptions with a recorded entry in the reason for prescription</w:t>
      </w:r>
      <w:r w:rsidR="004A7E61" w:rsidRPr="00F46944">
        <w:rPr>
          <w:sz w:val="16"/>
          <w:szCs w:val="16"/>
        </w:rPr>
        <w:t xml:space="preserve">, or a reason for encounter or diagnosis on the same day </w:t>
      </w:r>
      <w:r w:rsidRPr="00F46944">
        <w:rPr>
          <w:sz w:val="16"/>
          <w:szCs w:val="16"/>
        </w:rPr>
        <w:t xml:space="preserve">that did </w:t>
      </w:r>
      <w:r w:rsidR="00E32452">
        <w:rPr>
          <w:sz w:val="16"/>
          <w:szCs w:val="16"/>
        </w:rPr>
        <w:tab/>
      </w:r>
      <w:r w:rsidRPr="00F46944">
        <w:rPr>
          <w:sz w:val="16"/>
          <w:szCs w:val="16"/>
        </w:rPr>
        <w:t>not</w:t>
      </w:r>
      <w:r w:rsidR="00E32452">
        <w:rPr>
          <w:sz w:val="16"/>
          <w:szCs w:val="16"/>
        </w:rPr>
        <w:t xml:space="preserve"> </w:t>
      </w:r>
      <w:r w:rsidRPr="00F46944">
        <w:rPr>
          <w:sz w:val="16"/>
          <w:szCs w:val="16"/>
        </w:rPr>
        <w:t>match an antimicrobial-related indication</w:t>
      </w:r>
    </w:p>
    <w:p w14:paraId="6F059505" w14:textId="77777777" w:rsidR="00E32452" w:rsidRDefault="002A5B86" w:rsidP="00E32452">
      <w:pPr>
        <w:spacing w:after="0"/>
        <w:ind w:right="-24"/>
        <w:rPr>
          <w:sz w:val="16"/>
          <w:szCs w:val="16"/>
        </w:rPr>
        <w:sectPr w:rsidR="00E32452" w:rsidSect="005A3AF9">
          <w:footerReference w:type="default" r:id="rId28"/>
          <w:pgSz w:w="11906" w:h="16838"/>
          <w:pgMar w:top="1440" w:right="1134" w:bottom="1134" w:left="1440" w:header="709" w:footer="709" w:gutter="0"/>
          <w:cols w:space="708"/>
          <w:titlePg/>
          <w:docGrid w:linePitch="360"/>
        </w:sectPr>
      </w:pPr>
      <w:r w:rsidRPr="00F46944">
        <w:rPr>
          <w:sz w:val="16"/>
          <w:szCs w:val="16"/>
        </w:rPr>
        <w:t xml:space="preserve">Note: The denominator reflects number of patients and therefore </w:t>
      </w:r>
      <w:proofErr w:type="gramStart"/>
      <w:r w:rsidRPr="00F46944">
        <w:rPr>
          <w:sz w:val="16"/>
          <w:szCs w:val="16"/>
        </w:rPr>
        <w:t>ranking</w:t>
      </w:r>
      <w:proofErr w:type="gramEnd"/>
      <w:r w:rsidRPr="00F46944">
        <w:rPr>
          <w:sz w:val="16"/>
          <w:szCs w:val="16"/>
        </w:rPr>
        <w:t xml:space="preserve"> and values will be different to denominator using GP visits. </w:t>
      </w:r>
      <w:r w:rsidR="0068313A" w:rsidRPr="00F46944">
        <w:rPr>
          <w:sz w:val="16"/>
          <w:szCs w:val="16"/>
        </w:rPr>
        <w:t>Source: NPS MedicineWise</w:t>
      </w:r>
      <w:r w:rsidR="0068313A" w:rsidRPr="00F46944">
        <w:rPr>
          <w:sz w:val="16"/>
          <w:szCs w:val="16"/>
        </w:rPr>
        <w:fldChar w:fldCharType="begin"/>
      </w:r>
      <w:r w:rsidR="00DB0DCB">
        <w:rPr>
          <w:sz w:val="16"/>
          <w:szCs w:val="16"/>
        </w:rPr>
        <w:instrText xml:space="preserve"> ADDIN EN.CITE &lt;EndNote&gt;&lt;Cite&gt;&lt;Author&gt;NPS MedicineWise&lt;/Author&gt;&lt;RecNum&gt;6&lt;/RecNum&gt;&lt;DisplayText&gt;&lt;style face="superscript"&gt;6&lt;/style&gt;&lt;/DisplayText&gt;&lt;record&gt;&lt;rec-number&gt;6&lt;/rec-number&gt;&lt;foreign-keys&gt;&lt;key app="EN" db-id="es9dr99ws90stoe5x2rp505nazvswdzppxa5" timestamp="1670810539"&gt;6&lt;/key&gt;&lt;/foreign-keys&gt;&lt;ref-type name="Unpublished Work"&gt;34&lt;/ref-type&gt;&lt;contributors&gt;&lt;authors&gt;&lt;author&gt;NPS MedicineWise,&lt;/author&gt;&lt;/authors&gt;&lt;/contributors&gt;&lt;titles&gt;&lt;title&gt;MedicineInsight data analyses for AURA Community report, May 2022 (unpublished)&lt;/title&gt;&lt;/titles&gt;&lt;dates&gt;&lt;/dates&gt;&lt;publisher&gt;NPS MedicineWise&lt;/publisher&gt;&lt;urls&gt;&lt;/urls&gt;&lt;/record&gt;&lt;/Cite&gt;&lt;/EndNote&gt;</w:instrText>
      </w:r>
      <w:r w:rsidR="0068313A" w:rsidRPr="00F46944">
        <w:rPr>
          <w:sz w:val="16"/>
          <w:szCs w:val="16"/>
        </w:rPr>
        <w:fldChar w:fldCharType="separate"/>
      </w:r>
      <w:r w:rsidR="001C0A42" w:rsidRPr="001C0A42">
        <w:rPr>
          <w:noProof/>
          <w:sz w:val="16"/>
          <w:szCs w:val="16"/>
          <w:vertAlign w:val="superscript"/>
        </w:rPr>
        <w:t>6</w:t>
      </w:r>
      <w:r w:rsidR="0068313A" w:rsidRPr="00F46944">
        <w:rPr>
          <w:sz w:val="16"/>
          <w:szCs w:val="16"/>
        </w:rPr>
        <w:fldChar w:fldCharType="end"/>
      </w:r>
    </w:p>
    <w:p w14:paraId="06788C5F" w14:textId="543E5770" w:rsidR="001A65CB" w:rsidRPr="00F46944" w:rsidRDefault="00881332" w:rsidP="001A65CB">
      <w:r w:rsidRPr="00F46944">
        <w:lastRenderedPageBreak/>
        <w:t>In 2019</w:t>
      </w:r>
      <w:r w:rsidR="006649C8" w:rsidRPr="00F46944">
        <w:t>,</w:t>
      </w:r>
      <w:r w:rsidRPr="00F46944">
        <w:t xml:space="preserve"> </w:t>
      </w:r>
      <w:r w:rsidR="002D6A72" w:rsidRPr="00F46944">
        <w:t>one fifth (20.2%) of ciprofloxacin prescriptions did not have a clear indication</w:t>
      </w:r>
      <w:r w:rsidR="00925341" w:rsidRPr="00F46944">
        <w:t>, with</w:t>
      </w:r>
      <w:r w:rsidR="002D6A72" w:rsidRPr="00F46944">
        <w:t xml:space="preserve"> </w:t>
      </w:r>
      <w:r w:rsidR="00270389" w:rsidRPr="00F46944">
        <w:t xml:space="preserve">‘other infection’ </w:t>
      </w:r>
      <w:r w:rsidR="00925341" w:rsidRPr="00F46944">
        <w:t xml:space="preserve">being </w:t>
      </w:r>
      <w:r w:rsidR="002D6A72" w:rsidRPr="00F46944">
        <w:t>the most common indication</w:t>
      </w:r>
      <w:r w:rsidR="00270389" w:rsidRPr="00F46944">
        <w:t xml:space="preserve">. This pattern continued into 2020 and 2021, </w:t>
      </w:r>
      <w:r w:rsidR="002D6A72" w:rsidRPr="00F46944">
        <w:t xml:space="preserve">as </w:t>
      </w:r>
      <w:r w:rsidR="00925341" w:rsidRPr="00F46944">
        <w:t>‘</w:t>
      </w:r>
      <w:r w:rsidR="00270389" w:rsidRPr="00F46944">
        <w:t>other</w:t>
      </w:r>
      <w:r w:rsidR="002D6A72" w:rsidRPr="00F46944">
        <w:t xml:space="preserve"> infection’</w:t>
      </w:r>
      <w:r w:rsidR="00270389" w:rsidRPr="00F46944">
        <w:t xml:space="preserve"> (23.5</w:t>
      </w:r>
      <w:r w:rsidR="00A019F0" w:rsidRPr="00F46944">
        <w:t xml:space="preserve">% and </w:t>
      </w:r>
      <w:r w:rsidR="00270389" w:rsidRPr="00F46944">
        <w:t>31.6%</w:t>
      </w:r>
      <w:r w:rsidR="00A019F0" w:rsidRPr="00F46944">
        <w:t xml:space="preserve"> respectively</w:t>
      </w:r>
      <w:r w:rsidR="00270389" w:rsidRPr="00F46944">
        <w:t xml:space="preserve">) and </w:t>
      </w:r>
      <w:r w:rsidR="00925341" w:rsidRPr="00F46944">
        <w:t>‘</w:t>
      </w:r>
      <w:r w:rsidR="00270389" w:rsidRPr="00F46944">
        <w:t>unclassified reason for prescription</w:t>
      </w:r>
      <w:r w:rsidR="002D6A72" w:rsidRPr="00F46944">
        <w:t>’</w:t>
      </w:r>
      <w:r w:rsidR="00270389" w:rsidRPr="00F46944">
        <w:t xml:space="preserve"> (12.2%</w:t>
      </w:r>
      <w:r w:rsidR="00A019F0" w:rsidRPr="00F46944">
        <w:t xml:space="preserve"> and </w:t>
      </w:r>
      <w:r w:rsidR="00270389" w:rsidRPr="00F46944">
        <w:t>10.8%</w:t>
      </w:r>
      <w:r w:rsidR="00A019F0" w:rsidRPr="00F46944">
        <w:t xml:space="preserve"> respectively</w:t>
      </w:r>
      <w:r w:rsidR="00270389" w:rsidRPr="00F46944">
        <w:t xml:space="preserve">) </w:t>
      </w:r>
      <w:r w:rsidR="002D6A72" w:rsidRPr="00F46944">
        <w:t xml:space="preserve">were </w:t>
      </w:r>
      <w:r w:rsidR="00270389" w:rsidRPr="00F46944">
        <w:t>the most</w:t>
      </w:r>
      <w:r w:rsidR="008A0513" w:rsidRPr="00F46944">
        <w:t xml:space="preserve"> commonly</w:t>
      </w:r>
      <w:r w:rsidR="002D6A72" w:rsidRPr="00F46944">
        <w:t xml:space="preserve"> </w:t>
      </w:r>
      <w:r w:rsidR="00270389" w:rsidRPr="00F46944">
        <w:t>recorded reason</w:t>
      </w:r>
      <w:r w:rsidR="002D6A72" w:rsidRPr="00F46944">
        <w:t>s</w:t>
      </w:r>
      <w:r w:rsidR="00270389" w:rsidRPr="00F46944">
        <w:t xml:space="preserve"> for </w:t>
      </w:r>
      <w:r w:rsidR="002D6A72" w:rsidRPr="00F46944">
        <w:t>prescribing ciprofloxacin.</w:t>
      </w:r>
      <w:r w:rsidR="00270389" w:rsidRPr="00F46944">
        <w:t xml:space="preserve"> </w:t>
      </w:r>
      <w:r w:rsidR="002D6A72" w:rsidRPr="00F46944">
        <w:t xml:space="preserve">This was followed by </w:t>
      </w:r>
      <w:r w:rsidR="00270389" w:rsidRPr="00F46944">
        <w:t>UTI</w:t>
      </w:r>
      <w:r w:rsidR="008A0513" w:rsidRPr="00F46944">
        <w:t>s</w:t>
      </w:r>
      <w:r w:rsidR="00270389" w:rsidRPr="00F46944">
        <w:t xml:space="preserve"> (10.6%</w:t>
      </w:r>
      <w:r w:rsidR="00A019F0" w:rsidRPr="00F46944">
        <w:t xml:space="preserve"> </w:t>
      </w:r>
      <w:r w:rsidR="00A60822" w:rsidRPr="00F46944">
        <w:t xml:space="preserve">in 2020; </w:t>
      </w:r>
      <w:r w:rsidR="00270389" w:rsidRPr="00F46944">
        <w:t>9.7%</w:t>
      </w:r>
      <w:r w:rsidR="00A019F0" w:rsidRPr="00F46944">
        <w:t xml:space="preserve"> </w:t>
      </w:r>
      <w:r w:rsidR="00A60822" w:rsidRPr="00F46944">
        <w:t>in 2021</w:t>
      </w:r>
      <w:r w:rsidR="00270389" w:rsidRPr="00F46944">
        <w:t xml:space="preserve">). </w:t>
      </w:r>
      <w:r w:rsidR="006649C8" w:rsidRPr="00F46944">
        <w:t xml:space="preserve">As ciprofloxacin has a broad-spectrum of activity, </w:t>
      </w:r>
      <w:r w:rsidR="00E03074" w:rsidRPr="00F46944">
        <w:t xml:space="preserve">recording its indication is important </w:t>
      </w:r>
      <w:r w:rsidR="00925341" w:rsidRPr="00F46944">
        <w:t xml:space="preserve">in order </w:t>
      </w:r>
      <w:r w:rsidR="00E03074" w:rsidRPr="00F46944">
        <w:t xml:space="preserve">to understand </w:t>
      </w:r>
      <w:r w:rsidR="00925341" w:rsidRPr="00F46944">
        <w:t>appropriateness of prescribing, identify</w:t>
      </w:r>
      <w:r w:rsidR="00E03074" w:rsidRPr="00F46944">
        <w:t xml:space="preserve"> focus areas</w:t>
      </w:r>
      <w:r w:rsidR="00E11D63" w:rsidRPr="00F46944">
        <w:t xml:space="preserve"> for </w:t>
      </w:r>
      <w:r w:rsidR="00A60822" w:rsidRPr="00F46944">
        <w:t xml:space="preserve">AMS </w:t>
      </w:r>
      <w:r w:rsidR="00E11D63" w:rsidRPr="00F46944">
        <w:t>intervention</w:t>
      </w:r>
      <w:r w:rsidR="00A60822" w:rsidRPr="00F46944">
        <w:t>s</w:t>
      </w:r>
      <w:r w:rsidR="006649C8" w:rsidRPr="00F46944">
        <w:t xml:space="preserve">, and limit </w:t>
      </w:r>
      <w:r w:rsidR="00A60822" w:rsidRPr="00F46944">
        <w:t xml:space="preserve">the </w:t>
      </w:r>
      <w:r w:rsidR="006649C8" w:rsidRPr="00F46944">
        <w:t xml:space="preserve">impact on </w:t>
      </w:r>
      <w:r w:rsidR="002D6A72" w:rsidRPr="00F46944">
        <w:t>AMR</w:t>
      </w:r>
      <w:r w:rsidR="00E03074" w:rsidRPr="00F46944">
        <w:t>.</w:t>
      </w:r>
    </w:p>
    <w:p w14:paraId="33EE4E1C" w14:textId="4CEB8197" w:rsidR="00F7557F" w:rsidRPr="00F46944" w:rsidRDefault="00F7557F" w:rsidP="00F7557F">
      <w:r w:rsidRPr="00F46944">
        <w:t>PBS/RPBS benefits are restricted for both azithromycin and ciprofloxacin. Prescribing of azithromycin has steadily increased in contrast to the declining prescribing of ciprofloxacin (</w:t>
      </w:r>
      <w:r w:rsidRPr="004413B7">
        <w:t>Figure</w:t>
      </w:r>
      <w:r w:rsidR="00641BA6" w:rsidRPr="004413B7">
        <w:t>15</w:t>
      </w:r>
      <w:r w:rsidRPr="00F46944">
        <w:t xml:space="preserve">). It is important to note that the use of azithromycin for the treatment of conditions such as chlamydia and gonorrhoea in the sexual health clinic setting may not be captured in these data. </w:t>
      </w:r>
    </w:p>
    <w:p w14:paraId="24886C6F" w14:textId="1AB42C05" w:rsidR="00E11D63" w:rsidRPr="00F93018" w:rsidRDefault="001C0761" w:rsidP="000851F7">
      <w:pPr>
        <w:pStyle w:val="Captions"/>
        <w:rPr>
          <w:b w:val="0"/>
          <w:bCs w:val="0"/>
        </w:rPr>
      </w:pPr>
      <w:bookmarkStart w:id="119" w:name="_Toc121491327"/>
      <w:bookmarkStart w:id="120" w:name="_Toc121840899"/>
      <w:r>
        <w:t>Figure</w:t>
      </w:r>
      <w:r w:rsidR="00F93018" w:rsidRPr="00F46944">
        <w:t> </w:t>
      </w:r>
      <w:fldSimple w:instr=" SEQ Figure \* ARABIC ">
        <w:r w:rsidR="00F34DDD">
          <w:rPr>
            <w:noProof/>
          </w:rPr>
          <w:t>15</w:t>
        </w:r>
      </w:fldSimple>
      <w:r w:rsidR="0093641B" w:rsidRPr="00F46944">
        <w:t>:</w:t>
      </w:r>
      <w:r w:rsidR="00E479E1" w:rsidRPr="00F93018">
        <w:rPr>
          <w:b w:val="0"/>
          <w:bCs w:val="0"/>
        </w:rPr>
        <w:t> </w:t>
      </w:r>
      <w:r w:rsidR="006E6608" w:rsidRPr="00F93018">
        <w:rPr>
          <w:b w:val="0"/>
          <w:bCs w:val="0"/>
        </w:rPr>
        <w:t xml:space="preserve">Number of </w:t>
      </w:r>
      <w:r w:rsidR="0093641B" w:rsidRPr="00F93018">
        <w:rPr>
          <w:b w:val="0"/>
          <w:bCs w:val="0"/>
        </w:rPr>
        <w:t>PBS</w:t>
      </w:r>
      <w:r w:rsidR="006E3CFC" w:rsidRPr="00F93018">
        <w:rPr>
          <w:b w:val="0"/>
          <w:bCs w:val="0"/>
        </w:rPr>
        <w:t>/RPBS</w:t>
      </w:r>
      <w:r w:rsidR="0093641B" w:rsidRPr="00F93018">
        <w:rPr>
          <w:b w:val="0"/>
          <w:bCs w:val="0"/>
        </w:rPr>
        <w:t xml:space="preserve"> </w:t>
      </w:r>
      <w:r w:rsidR="0019777E" w:rsidRPr="00F93018">
        <w:rPr>
          <w:b w:val="0"/>
          <w:bCs w:val="0"/>
        </w:rPr>
        <w:t>p</w:t>
      </w:r>
      <w:r w:rsidR="0093641B" w:rsidRPr="00F93018">
        <w:rPr>
          <w:b w:val="0"/>
          <w:bCs w:val="0"/>
        </w:rPr>
        <w:t>rescriptions</w:t>
      </w:r>
      <w:r w:rsidR="00E479E1" w:rsidRPr="00F93018">
        <w:rPr>
          <w:b w:val="0"/>
          <w:bCs w:val="0"/>
        </w:rPr>
        <w:t xml:space="preserve"> </w:t>
      </w:r>
      <w:r w:rsidR="0019777E" w:rsidRPr="00F93018">
        <w:rPr>
          <w:b w:val="0"/>
          <w:bCs w:val="0"/>
        </w:rPr>
        <w:t xml:space="preserve">for azithromycin and ciprofloxacin </w:t>
      </w:r>
      <w:r w:rsidR="00E479E1" w:rsidRPr="00F93018">
        <w:rPr>
          <w:b w:val="0"/>
          <w:bCs w:val="0"/>
        </w:rPr>
        <w:t xml:space="preserve">per </w:t>
      </w:r>
      <w:r w:rsidR="0093641B" w:rsidRPr="00F93018">
        <w:rPr>
          <w:b w:val="0"/>
          <w:bCs w:val="0"/>
        </w:rPr>
        <w:t>100</w:t>
      </w:r>
      <w:r w:rsidR="00E479E1" w:rsidRPr="00F93018">
        <w:rPr>
          <w:b w:val="0"/>
          <w:bCs w:val="0"/>
        </w:rPr>
        <w:t> </w:t>
      </w:r>
      <w:r w:rsidR="0093641B" w:rsidRPr="00F93018">
        <w:rPr>
          <w:b w:val="0"/>
          <w:bCs w:val="0"/>
        </w:rPr>
        <w:t xml:space="preserve">GP </w:t>
      </w:r>
      <w:r w:rsidR="006E6608" w:rsidRPr="00F93018">
        <w:rPr>
          <w:b w:val="0"/>
          <w:bCs w:val="0"/>
        </w:rPr>
        <w:t>v</w:t>
      </w:r>
      <w:r w:rsidR="0093641B" w:rsidRPr="00F93018">
        <w:rPr>
          <w:b w:val="0"/>
          <w:bCs w:val="0"/>
        </w:rPr>
        <w:t>isits</w:t>
      </w:r>
      <w:r w:rsidR="007770E2" w:rsidRPr="00F93018">
        <w:rPr>
          <w:b w:val="0"/>
          <w:bCs w:val="0"/>
        </w:rPr>
        <w:t>,</w:t>
      </w:r>
      <w:r w:rsidR="0093641B" w:rsidRPr="00F93018">
        <w:rPr>
          <w:b w:val="0"/>
          <w:bCs w:val="0"/>
        </w:rPr>
        <w:t xml:space="preserve"> </w:t>
      </w:r>
      <w:proofErr w:type="spellStart"/>
      <w:r w:rsidR="001F4193" w:rsidRPr="00F93018">
        <w:rPr>
          <w:b w:val="0"/>
          <w:bCs w:val="0"/>
        </w:rPr>
        <w:t>MedicineInsight</w:t>
      </w:r>
      <w:proofErr w:type="spellEnd"/>
      <w:r w:rsidR="001F4193" w:rsidRPr="00F93018">
        <w:rPr>
          <w:b w:val="0"/>
          <w:bCs w:val="0"/>
        </w:rPr>
        <w:t xml:space="preserve"> </w:t>
      </w:r>
      <w:r w:rsidR="00201776" w:rsidRPr="00F93018">
        <w:rPr>
          <w:b w:val="0"/>
          <w:bCs w:val="0"/>
        </w:rPr>
        <w:t>p</w:t>
      </w:r>
      <w:r w:rsidR="001F4193" w:rsidRPr="00F93018">
        <w:rPr>
          <w:b w:val="0"/>
          <w:bCs w:val="0"/>
        </w:rPr>
        <w:t xml:space="preserve">ractices, </w:t>
      </w:r>
      <w:r w:rsidR="0093641B" w:rsidRPr="00F93018">
        <w:rPr>
          <w:b w:val="0"/>
          <w:bCs w:val="0"/>
        </w:rPr>
        <w:t>201</w:t>
      </w:r>
      <w:r w:rsidR="00F14B8F" w:rsidRPr="00F93018">
        <w:rPr>
          <w:b w:val="0"/>
          <w:bCs w:val="0"/>
        </w:rPr>
        <w:t>5</w:t>
      </w:r>
      <w:r w:rsidR="007770E2" w:rsidRPr="00F93018">
        <w:rPr>
          <w:b w:val="0"/>
          <w:bCs w:val="0"/>
        </w:rPr>
        <w:t>–</w:t>
      </w:r>
      <w:r w:rsidR="00F14B8F" w:rsidRPr="00F93018">
        <w:rPr>
          <w:b w:val="0"/>
          <w:bCs w:val="0"/>
        </w:rPr>
        <w:t>2021</w:t>
      </w:r>
      <w:bookmarkEnd w:id="119"/>
      <w:bookmarkEnd w:id="120"/>
      <w:r w:rsidR="00F14B8F" w:rsidRPr="00F93018">
        <w:rPr>
          <w:b w:val="0"/>
          <w:bCs w:val="0"/>
        </w:rPr>
        <w:t xml:space="preserve"> </w:t>
      </w:r>
    </w:p>
    <w:p w14:paraId="0DC9DA29" w14:textId="0CB3427D" w:rsidR="0093641B" w:rsidRPr="00F46944" w:rsidRDefault="00580F90" w:rsidP="00C33DF0">
      <w:pPr>
        <w:spacing w:after="0"/>
        <w:jc w:val="center"/>
      </w:pPr>
      <w:r>
        <w:rPr>
          <w:noProof/>
        </w:rPr>
        <w:drawing>
          <wp:inline distT="0" distB="0" distL="0" distR="0" wp14:anchorId="13B2B61E" wp14:editId="5C6B0AF2">
            <wp:extent cx="5925820" cy="3420110"/>
            <wp:effectExtent l="0" t="0" r="0" b="8890"/>
            <wp:docPr id="79" name="Picture 79" descr="Figure 15: Number of PBS/RPBS prescriptions for azithromycin and ciprofloxacin per 100 GP visits, MedicineInsight practices, 2015–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Figure 15: Number of PBS/RPBS prescriptions for azithromycin and ciprofloxacin per 100 GP visits, MedicineInsight practices, 2015–2021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5820" cy="3420110"/>
                    </a:xfrm>
                    <a:prstGeom prst="rect">
                      <a:avLst/>
                    </a:prstGeom>
                    <a:noFill/>
                  </pic:spPr>
                </pic:pic>
              </a:graphicData>
            </a:graphic>
          </wp:inline>
        </w:drawing>
      </w:r>
    </w:p>
    <w:p w14:paraId="13C32054" w14:textId="53A4E7F4" w:rsidR="0093641B" w:rsidRPr="00F46944" w:rsidRDefault="00C22B0D" w:rsidP="0052113A">
      <w:pPr>
        <w:rPr>
          <w:sz w:val="20"/>
          <w:szCs w:val="20"/>
        </w:rPr>
      </w:pPr>
      <w:r w:rsidRPr="00F46944">
        <w:rPr>
          <w:rFonts w:asciiTheme="majorHAnsi" w:hAnsiTheme="majorHAnsi" w:cstheme="majorHAnsi"/>
          <w:sz w:val="16"/>
          <w:szCs w:val="16"/>
        </w:rPr>
        <w:t>GP = </w:t>
      </w:r>
      <w:r w:rsidR="009F3268">
        <w:rPr>
          <w:rFonts w:asciiTheme="majorHAnsi" w:hAnsiTheme="majorHAnsi" w:cstheme="majorHAnsi"/>
          <w:sz w:val="16"/>
          <w:szCs w:val="16"/>
        </w:rPr>
        <w:t>g</w:t>
      </w:r>
      <w:r w:rsidRPr="00F46944">
        <w:rPr>
          <w:rFonts w:asciiTheme="majorHAnsi" w:hAnsiTheme="majorHAnsi" w:cstheme="majorHAnsi"/>
          <w:sz w:val="16"/>
          <w:szCs w:val="16"/>
        </w:rPr>
        <w:t xml:space="preserve">eneral </w:t>
      </w:r>
      <w:r w:rsidR="009F3268">
        <w:rPr>
          <w:rFonts w:asciiTheme="majorHAnsi" w:hAnsiTheme="majorHAnsi" w:cstheme="majorHAnsi"/>
          <w:sz w:val="16"/>
          <w:szCs w:val="16"/>
        </w:rPr>
        <w:t>p</w:t>
      </w:r>
      <w:r w:rsidRPr="00F46944">
        <w:rPr>
          <w:rFonts w:asciiTheme="majorHAnsi" w:hAnsiTheme="majorHAnsi" w:cstheme="majorHAnsi"/>
          <w:sz w:val="16"/>
          <w:szCs w:val="16"/>
        </w:rPr>
        <w:t xml:space="preserve">ractitioner; </w:t>
      </w:r>
      <w:r w:rsidR="006620C9" w:rsidRPr="00F46944">
        <w:rPr>
          <w:rFonts w:asciiTheme="majorHAnsi" w:hAnsiTheme="majorHAnsi" w:cstheme="majorHAnsi"/>
          <w:sz w:val="16"/>
          <w:szCs w:val="16"/>
        </w:rPr>
        <w:t>PBS = Pharmaceutical Benefits Scheme; RPBS = Repatriation Pharmaceutical Benefits Scheme</w:t>
      </w:r>
      <w:r w:rsidR="006620C9" w:rsidRPr="00F46944">
        <w:rPr>
          <w:rFonts w:asciiTheme="majorHAnsi" w:hAnsiTheme="majorHAnsi" w:cstheme="majorHAnsi"/>
          <w:sz w:val="16"/>
          <w:szCs w:val="16"/>
        </w:rPr>
        <w:br/>
      </w:r>
      <w:r w:rsidR="0068313A" w:rsidRPr="00F46944">
        <w:rPr>
          <w:sz w:val="16"/>
          <w:szCs w:val="16"/>
        </w:rPr>
        <w:t>Source: NPS MedicineWise</w:t>
      </w:r>
      <w:r w:rsidR="0068313A" w:rsidRPr="00F46944">
        <w:rPr>
          <w:sz w:val="16"/>
          <w:szCs w:val="16"/>
        </w:rPr>
        <w:fldChar w:fldCharType="begin"/>
      </w:r>
      <w:r w:rsidR="00DB0DCB">
        <w:rPr>
          <w:sz w:val="16"/>
          <w:szCs w:val="16"/>
        </w:rPr>
        <w:instrText xml:space="preserve"> ADDIN EN.CITE &lt;EndNote&gt;&lt;Cite&gt;&lt;Author&gt;NPS MedicineWise&lt;/Author&gt;&lt;RecNum&gt;6&lt;/RecNum&gt;&lt;DisplayText&gt;&lt;style face="superscript"&gt;6&lt;/style&gt;&lt;/DisplayText&gt;&lt;record&gt;&lt;rec-number&gt;6&lt;/rec-number&gt;&lt;foreign-keys&gt;&lt;key app="EN" db-id="es9dr99ws90stoe5x2rp505nazvswdzppxa5" timestamp="1670810539"&gt;6&lt;/key&gt;&lt;/foreign-keys&gt;&lt;ref-type name="Unpublished Work"&gt;34&lt;/ref-type&gt;&lt;contributors&gt;&lt;authors&gt;&lt;author&gt;NPS MedicineWise,&lt;/author&gt;&lt;/authors&gt;&lt;/contributors&gt;&lt;titles&gt;&lt;title&gt;MedicineInsight data analyses for AURA Community report, May 2022 (unpublished)&lt;/title&gt;&lt;/titles&gt;&lt;dates&gt;&lt;/dates&gt;&lt;publisher&gt;NPS MedicineWise&lt;/publisher&gt;&lt;urls&gt;&lt;/urls&gt;&lt;/record&gt;&lt;/Cite&gt;&lt;/EndNote&gt;</w:instrText>
      </w:r>
      <w:r w:rsidR="0068313A" w:rsidRPr="00F46944">
        <w:rPr>
          <w:sz w:val="16"/>
          <w:szCs w:val="16"/>
        </w:rPr>
        <w:fldChar w:fldCharType="separate"/>
      </w:r>
      <w:r w:rsidR="001C0A42" w:rsidRPr="001C0A42">
        <w:rPr>
          <w:noProof/>
          <w:sz w:val="16"/>
          <w:szCs w:val="16"/>
          <w:vertAlign w:val="superscript"/>
        </w:rPr>
        <w:t>6</w:t>
      </w:r>
      <w:r w:rsidR="0068313A" w:rsidRPr="00F46944">
        <w:rPr>
          <w:sz w:val="16"/>
          <w:szCs w:val="16"/>
        </w:rPr>
        <w:fldChar w:fldCharType="end"/>
      </w:r>
    </w:p>
    <w:p w14:paraId="14F7BF3C" w14:textId="53DB9086" w:rsidR="00151123" w:rsidRPr="00F46944" w:rsidRDefault="00F7557F">
      <w:pPr>
        <w:spacing w:after="80"/>
        <w:rPr>
          <w:b/>
          <w:bCs/>
        </w:rPr>
      </w:pPr>
      <w:r w:rsidRPr="00F46944">
        <w:t>As in previous reports</w:t>
      </w:r>
      <w:r w:rsidRPr="00F46944">
        <w:fldChar w:fldCharType="begin"/>
      </w:r>
      <w:r w:rsidR="00412507">
        <w:instrText xml:space="preserve"> ADDIN EN.CITE &lt;EndNote&gt;&lt;Cite&gt;&lt;Author&gt;Care&lt;/Author&gt;&lt;Year&gt;2021&lt;/Year&gt;&lt;RecNum&gt;1&lt;/RecNum&gt;&lt;DisplayText&gt;&lt;style face="superscript"&gt;1&lt;/style&gt;&lt;/DisplayText&gt;&lt;record&gt;&lt;rec-number&gt;1&lt;/rec-number&gt;&lt;foreign-keys&gt;&lt;key app="EN" db-id="es9dr99ws90stoe5x2rp505nazvswdzppxa5" timestamp="1670810538"&gt;1&lt;/key&gt;&lt;/foreign-keys&gt;&lt;ref-type name="Report"&gt;27&lt;/ref-type&gt;&lt;contributors&gt;&lt;authors&gt;&lt;author&gt;Australian Commission on Safety and Quality in Health Care&lt;/author&gt;&lt;/authors&gt;&lt;/contributors&gt;&lt;titles&gt;&lt;title&gt;AURA 2021: fourth Australian report on antimicrobial use and resistance in human health&lt;/title&gt;&lt;/titles&gt;&lt;dates&gt;&lt;year&gt;2021&lt;/year&gt;&lt;/dates&gt;&lt;pub-location&gt;Sydney&lt;/pub-location&gt;&lt;publisher&gt;ACSQHC&lt;/publisher&gt;&lt;urls&gt;&lt;/urls&gt;&lt;/record&gt;&lt;/Cite&gt;&lt;/EndNote&gt;</w:instrText>
      </w:r>
      <w:r w:rsidRPr="00F46944">
        <w:fldChar w:fldCharType="separate"/>
      </w:r>
      <w:r w:rsidR="00DB0DCB" w:rsidRPr="00DB0DCB">
        <w:rPr>
          <w:noProof/>
          <w:vertAlign w:val="superscript"/>
        </w:rPr>
        <w:t>1</w:t>
      </w:r>
      <w:r w:rsidRPr="00F46944">
        <w:fldChar w:fldCharType="end"/>
      </w:r>
      <w:r w:rsidRPr="00F46944">
        <w:t xml:space="preserve">, similar prescribing patterns were </w:t>
      </w:r>
      <w:r w:rsidR="00840BEB">
        <w:t>identified</w:t>
      </w:r>
      <w:r w:rsidR="00840BEB" w:rsidRPr="00F46944">
        <w:t xml:space="preserve"> </w:t>
      </w:r>
      <w:r w:rsidRPr="00F46944">
        <w:t xml:space="preserve">across patient age groups for amoxicillin, cefalexin, doxycycline, azithromycin, and ciprofloxacin, but less so for amoxicillin–clavulanic acid and roxithromycin. Amoxicillin was commonly prescribed for children aged 0–4 years </w:t>
      </w:r>
      <w:bookmarkStart w:id="121" w:name="_Hlk102641254"/>
      <w:r w:rsidRPr="00F46944">
        <w:t>(15.0 per 100 patients)</w:t>
      </w:r>
      <w:bookmarkEnd w:id="121"/>
      <w:r w:rsidRPr="00F46944">
        <w:t xml:space="preserve">, while cefalexin and ciprofloxacin were commonly prescribed for </w:t>
      </w:r>
      <w:bookmarkStart w:id="122" w:name="_Hlk103096584"/>
      <w:r w:rsidRPr="00F46944">
        <w:t xml:space="preserve">adults aged 85 years or </w:t>
      </w:r>
      <w:bookmarkEnd w:id="122"/>
      <w:r w:rsidRPr="00F46944">
        <w:t>over (19.2–21 per 100 patients; 1.4-1.8 per 100 patients). Doxycycline was commonly prescribed for the 15–19 year age group (4.7 per 100 patients) and azithromycin for the 20–24 year age group (1.9 per 100 patients) (</w:t>
      </w:r>
      <w:r w:rsidRPr="00870DCF">
        <w:t>Figure </w:t>
      </w:r>
      <w:r w:rsidR="00641BA6" w:rsidRPr="00870DCF">
        <w:t>16</w:t>
      </w:r>
      <w:r w:rsidRPr="00F46944">
        <w:t>). This pattern of prescribing likely reflects the common infection types most seen in these age groups (</w:t>
      </w:r>
      <w:r w:rsidRPr="00870DCF">
        <w:t>Table 9</w:t>
      </w:r>
      <w:r w:rsidRPr="00F46944">
        <w:t>).</w:t>
      </w:r>
    </w:p>
    <w:p w14:paraId="69D3295C" w14:textId="77777777" w:rsidR="00BF3614" w:rsidRPr="00F46944" w:rsidRDefault="00BF3614">
      <w:pPr>
        <w:spacing w:after="80"/>
        <w:rPr>
          <w:b/>
          <w:bCs/>
        </w:rPr>
      </w:pPr>
      <w:r w:rsidRPr="00F46944">
        <w:rPr>
          <w:b/>
          <w:bCs/>
        </w:rPr>
        <w:br w:type="page"/>
      </w:r>
    </w:p>
    <w:p w14:paraId="5FBB72DD" w14:textId="0D08A8DB" w:rsidR="0093641B" w:rsidRPr="000851F7" w:rsidRDefault="000851F7" w:rsidP="000851F7">
      <w:pPr>
        <w:pStyle w:val="Captions"/>
        <w:rPr>
          <w:b w:val="0"/>
          <w:bCs w:val="0"/>
        </w:rPr>
      </w:pPr>
      <w:bookmarkStart w:id="123" w:name="_Toc121491328"/>
      <w:bookmarkStart w:id="124" w:name="_Toc121840900"/>
      <w:r>
        <w:lastRenderedPageBreak/>
        <w:t>Figure</w:t>
      </w:r>
      <w:r w:rsidRPr="00F46944">
        <w:t> </w:t>
      </w:r>
      <w:fldSimple w:instr=" SEQ Figure \* ARABIC ">
        <w:r w:rsidR="00F34DDD">
          <w:rPr>
            <w:noProof/>
          </w:rPr>
          <w:t>16</w:t>
        </w:r>
      </w:fldSimple>
      <w:r w:rsidR="0093641B" w:rsidRPr="00F46944">
        <w:t>:</w:t>
      </w:r>
      <w:r w:rsidR="00E479E1" w:rsidRPr="000851F7">
        <w:rPr>
          <w:b w:val="0"/>
          <w:bCs w:val="0"/>
        </w:rPr>
        <w:t> </w:t>
      </w:r>
      <w:r w:rsidR="007969B0" w:rsidRPr="000851F7">
        <w:rPr>
          <w:b w:val="0"/>
          <w:bCs w:val="0"/>
        </w:rPr>
        <w:t>N</w:t>
      </w:r>
      <w:r w:rsidR="0093641B" w:rsidRPr="000851F7">
        <w:rPr>
          <w:b w:val="0"/>
          <w:bCs w:val="0"/>
        </w:rPr>
        <w:t>umber of patients per 100</w:t>
      </w:r>
      <w:r w:rsidR="00E479E1" w:rsidRPr="000851F7">
        <w:rPr>
          <w:b w:val="0"/>
          <w:bCs w:val="0"/>
        </w:rPr>
        <w:t> </w:t>
      </w:r>
      <w:r w:rsidR="0093641B" w:rsidRPr="000851F7">
        <w:rPr>
          <w:b w:val="0"/>
          <w:bCs w:val="0"/>
        </w:rPr>
        <w:t>patients prescribed one or more</w:t>
      </w:r>
      <w:r w:rsidR="00870DCF">
        <w:rPr>
          <w:b w:val="0"/>
          <w:bCs w:val="0"/>
        </w:rPr>
        <w:t xml:space="preserve"> high use</w:t>
      </w:r>
      <w:r w:rsidR="0093641B" w:rsidRPr="000851F7">
        <w:rPr>
          <w:b w:val="0"/>
          <w:bCs w:val="0"/>
        </w:rPr>
        <w:t xml:space="preserve"> antimicrobials, by age group, </w:t>
      </w:r>
      <w:proofErr w:type="spellStart"/>
      <w:r w:rsidR="008915FC" w:rsidRPr="000851F7">
        <w:rPr>
          <w:b w:val="0"/>
          <w:bCs w:val="0"/>
        </w:rPr>
        <w:t>MedicineInsight</w:t>
      </w:r>
      <w:proofErr w:type="spellEnd"/>
      <w:r w:rsidR="008915FC" w:rsidRPr="000851F7">
        <w:rPr>
          <w:b w:val="0"/>
          <w:bCs w:val="0"/>
        </w:rPr>
        <w:t xml:space="preserve"> practices</w:t>
      </w:r>
      <w:r w:rsidR="0093641B" w:rsidRPr="000851F7">
        <w:rPr>
          <w:b w:val="0"/>
          <w:bCs w:val="0"/>
        </w:rPr>
        <w:t>, 2020</w:t>
      </w:r>
      <w:r w:rsidR="002A7F2E" w:rsidRPr="000851F7">
        <w:rPr>
          <w:b w:val="0"/>
          <w:bCs w:val="0"/>
        </w:rPr>
        <w:t>–</w:t>
      </w:r>
      <w:r w:rsidR="00852D08">
        <w:rPr>
          <w:b w:val="0"/>
          <w:bCs w:val="0"/>
        </w:rPr>
        <w:t>20</w:t>
      </w:r>
      <w:r w:rsidR="0093641B" w:rsidRPr="000851F7">
        <w:rPr>
          <w:b w:val="0"/>
          <w:bCs w:val="0"/>
        </w:rPr>
        <w:t>21</w:t>
      </w:r>
      <w:bookmarkEnd w:id="123"/>
      <w:bookmarkEnd w:id="124"/>
    </w:p>
    <w:p w14:paraId="35327E60" w14:textId="683943DE" w:rsidR="0093641B" w:rsidRPr="00F46944" w:rsidRDefault="00580F90" w:rsidP="00C33DF0">
      <w:pPr>
        <w:spacing w:after="0"/>
        <w:jc w:val="center"/>
        <w:rPr>
          <w:rFonts w:asciiTheme="majorHAnsi" w:eastAsiaTheme="minorEastAsia" w:hAnsiTheme="majorHAnsi" w:cstheme="majorHAnsi"/>
        </w:rPr>
      </w:pPr>
      <w:r>
        <w:rPr>
          <w:rFonts w:asciiTheme="majorHAnsi" w:eastAsiaTheme="minorEastAsia" w:hAnsiTheme="majorHAnsi" w:cstheme="majorHAnsi"/>
          <w:noProof/>
        </w:rPr>
        <w:drawing>
          <wp:inline distT="0" distB="0" distL="0" distR="0" wp14:anchorId="6FB633B0" wp14:editId="0496DB8F">
            <wp:extent cx="6193790" cy="4681855"/>
            <wp:effectExtent l="0" t="0" r="0" b="4445"/>
            <wp:docPr id="84" name="Picture 84" descr="Figure 16: Number of patients per 100 patients prescribed one or more high use antimicrobials, by age group, MedicineInsight practices, 20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Figure 16: Number of patients per 100 patients prescribed one or more high use antimicrobials, by age group, MedicineInsight practices, 2020–20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3790" cy="4681855"/>
                    </a:xfrm>
                    <a:prstGeom prst="rect">
                      <a:avLst/>
                    </a:prstGeom>
                    <a:noFill/>
                  </pic:spPr>
                </pic:pic>
              </a:graphicData>
            </a:graphic>
          </wp:inline>
        </w:drawing>
      </w:r>
    </w:p>
    <w:p w14:paraId="76F49E24" w14:textId="23239A99" w:rsidR="00E27C81" w:rsidRPr="00F46944" w:rsidRDefault="0093641B" w:rsidP="00CE47D9">
      <w:pPr>
        <w:rPr>
          <w:sz w:val="16"/>
          <w:szCs w:val="16"/>
        </w:rPr>
      </w:pPr>
      <w:r w:rsidRPr="00F46944">
        <w:rPr>
          <w:sz w:val="16"/>
          <w:szCs w:val="16"/>
        </w:rPr>
        <w:t xml:space="preserve">Note: The number of practices in 2020 was 503, and 504 in 2021. </w:t>
      </w:r>
      <w:r w:rsidR="00CE47D9" w:rsidRPr="00F46944">
        <w:rPr>
          <w:sz w:val="16"/>
          <w:szCs w:val="16"/>
        </w:rPr>
        <w:br/>
      </w:r>
      <w:r w:rsidR="0068313A" w:rsidRPr="00F46944">
        <w:rPr>
          <w:sz w:val="16"/>
          <w:szCs w:val="16"/>
        </w:rPr>
        <w:t>Source: NPS MedicineWise</w:t>
      </w:r>
      <w:r w:rsidR="0068313A" w:rsidRPr="00F46944">
        <w:rPr>
          <w:sz w:val="16"/>
          <w:szCs w:val="16"/>
        </w:rPr>
        <w:fldChar w:fldCharType="begin"/>
      </w:r>
      <w:r w:rsidR="00DB0DCB">
        <w:rPr>
          <w:sz w:val="16"/>
          <w:szCs w:val="16"/>
        </w:rPr>
        <w:instrText xml:space="preserve"> ADDIN EN.CITE &lt;EndNote&gt;&lt;Cite&gt;&lt;Author&gt;NPS MedicineWise&lt;/Author&gt;&lt;RecNum&gt;6&lt;/RecNum&gt;&lt;DisplayText&gt;&lt;style face="superscript"&gt;6&lt;/style&gt;&lt;/DisplayText&gt;&lt;record&gt;&lt;rec-number&gt;6&lt;/rec-number&gt;&lt;foreign-keys&gt;&lt;key app="EN" db-id="es9dr99ws90stoe5x2rp505nazvswdzppxa5" timestamp="1670810539"&gt;6&lt;/key&gt;&lt;/foreign-keys&gt;&lt;ref-type name="Unpublished Work"&gt;34&lt;/ref-type&gt;&lt;contributors&gt;&lt;authors&gt;&lt;author&gt;NPS MedicineWise,&lt;/author&gt;&lt;/authors&gt;&lt;/contributors&gt;&lt;titles&gt;&lt;title&gt;MedicineInsight data analyses for AURA Community report, May 2022 (unpublished)&lt;/title&gt;&lt;/titles&gt;&lt;dates&gt;&lt;/dates&gt;&lt;publisher&gt;NPS MedicineWise&lt;/publisher&gt;&lt;urls&gt;&lt;/urls&gt;&lt;/record&gt;&lt;/Cite&gt;&lt;/EndNote&gt;</w:instrText>
      </w:r>
      <w:r w:rsidR="0068313A" w:rsidRPr="00F46944">
        <w:rPr>
          <w:sz w:val="16"/>
          <w:szCs w:val="16"/>
        </w:rPr>
        <w:fldChar w:fldCharType="separate"/>
      </w:r>
      <w:r w:rsidR="001C0A42" w:rsidRPr="001C0A42">
        <w:rPr>
          <w:noProof/>
          <w:sz w:val="16"/>
          <w:szCs w:val="16"/>
          <w:vertAlign w:val="superscript"/>
        </w:rPr>
        <w:t>6</w:t>
      </w:r>
      <w:r w:rsidR="0068313A" w:rsidRPr="00F46944">
        <w:rPr>
          <w:sz w:val="16"/>
          <w:szCs w:val="16"/>
        </w:rPr>
        <w:fldChar w:fldCharType="end"/>
      </w:r>
    </w:p>
    <w:p w14:paraId="01DD9E65" w14:textId="61FFD077" w:rsidR="00E27C81" w:rsidRPr="00F46944" w:rsidRDefault="0093641B" w:rsidP="00E27C81">
      <w:pPr>
        <w:pStyle w:val="Heading4"/>
      </w:pPr>
      <w:r w:rsidRPr="00F46944">
        <w:t>Appropriateness of prescribing</w:t>
      </w:r>
    </w:p>
    <w:p w14:paraId="5ED29C39" w14:textId="32397039" w:rsidR="00E27C81" w:rsidRPr="00F46944" w:rsidRDefault="00F04D24" w:rsidP="00A92E12">
      <w:r w:rsidRPr="00F46944">
        <w:t>For conditions such as</w:t>
      </w:r>
      <w:r w:rsidR="00E11D63" w:rsidRPr="00F46944">
        <w:t xml:space="preserve"> acute bronchitis for which antimicrobials are </w:t>
      </w:r>
      <w:r w:rsidR="006649C8" w:rsidRPr="00F46944">
        <w:t xml:space="preserve">not </w:t>
      </w:r>
      <w:r w:rsidR="00E11D63" w:rsidRPr="00F46944">
        <w:t>recommended, antimicrobials were prescribed in almost 80% of presenting patients aged 18</w:t>
      </w:r>
      <w:r w:rsidR="00FA4777">
        <w:t>–</w:t>
      </w:r>
      <w:r w:rsidR="00E11D63" w:rsidRPr="00F46944">
        <w:t xml:space="preserve">75 years. </w:t>
      </w:r>
      <w:r w:rsidR="00694DB0" w:rsidRPr="00F46944">
        <w:t xml:space="preserve">Approximately </w:t>
      </w:r>
      <w:r w:rsidR="00E11D63" w:rsidRPr="00F46944">
        <w:t>19</w:t>
      </w:r>
      <w:r w:rsidR="001C0A42" w:rsidRPr="00F46944">
        <w:t>–</w:t>
      </w:r>
      <w:r w:rsidR="00E11D63" w:rsidRPr="00F46944">
        <w:t xml:space="preserve">40% of patients presenting with acute tonsillitis are expected to require antimicrobial treatment. However, </w:t>
      </w:r>
      <w:r w:rsidR="00A75FBF" w:rsidRPr="000D00FE">
        <w:t>8</w:t>
      </w:r>
      <w:r w:rsidR="00B56E31" w:rsidRPr="000D00FE">
        <w:t>4.</w:t>
      </w:r>
      <w:r w:rsidR="00A75FBF" w:rsidRPr="000D00FE">
        <w:t xml:space="preserve">5% of </w:t>
      </w:r>
      <w:r w:rsidR="00E11D63" w:rsidRPr="000D00FE">
        <w:t>patients</w:t>
      </w:r>
      <w:r w:rsidR="00A75FBF" w:rsidRPr="000D00FE">
        <w:t xml:space="preserve"> with tonsillitis who were</w:t>
      </w:r>
      <w:r w:rsidR="00E11D63" w:rsidRPr="000D00FE">
        <w:t xml:space="preserve"> older than 1</w:t>
      </w:r>
      <w:r w:rsidR="001C41FD">
        <w:t xml:space="preserve"> </w:t>
      </w:r>
      <w:r w:rsidR="00E11D63" w:rsidRPr="000D00FE">
        <w:t>year were treated with an antimicrobial in 2020</w:t>
      </w:r>
      <w:r w:rsidR="00A75FBF" w:rsidRPr="000D00FE">
        <w:t>,</w:t>
      </w:r>
      <w:r w:rsidR="00E11D63" w:rsidRPr="000D00FE">
        <w:t xml:space="preserve"> and 86</w:t>
      </w:r>
      <w:r w:rsidR="000D00FE" w:rsidRPr="000D00FE">
        <w:t>.1</w:t>
      </w:r>
      <w:r w:rsidR="00E11D63" w:rsidRPr="000D00FE">
        <w:t>% in 2021. Similarly, 83</w:t>
      </w:r>
      <w:r w:rsidR="000D00FE" w:rsidRPr="000D00FE">
        <w:t>.3</w:t>
      </w:r>
      <w:r w:rsidR="00E11D63" w:rsidRPr="000D00FE">
        <w:t xml:space="preserve">% </w:t>
      </w:r>
      <w:r w:rsidR="00A60822" w:rsidRPr="000D00FE">
        <w:t>and 8</w:t>
      </w:r>
      <w:r w:rsidR="000D00FE">
        <w:t>5.8</w:t>
      </w:r>
      <w:r w:rsidR="00A60822" w:rsidRPr="00F46944">
        <w:t xml:space="preserve">% of patients in </w:t>
      </w:r>
      <w:r w:rsidR="00E11D63" w:rsidRPr="00F46944">
        <w:t>2020</w:t>
      </w:r>
      <w:r w:rsidR="00A60822" w:rsidRPr="00F46944">
        <w:t xml:space="preserve"> and 2021</w:t>
      </w:r>
      <w:r w:rsidR="00AA4584" w:rsidRPr="00F46944">
        <w:t>,</w:t>
      </w:r>
      <w:r w:rsidR="00A60822" w:rsidRPr="00F46944">
        <w:t xml:space="preserve"> respectively,</w:t>
      </w:r>
      <w:r w:rsidR="00E11D63" w:rsidRPr="00F46944">
        <w:t xml:space="preserve"> were </w:t>
      </w:r>
      <w:r w:rsidR="00A60822" w:rsidRPr="00F46944">
        <w:t xml:space="preserve">provided </w:t>
      </w:r>
      <w:r w:rsidR="00E11D63" w:rsidRPr="00F46944">
        <w:t>a</w:t>
      </w:r>
      <w:r w:rsidR="00A60822" w:rsidRPr="00F46944">
        <w:t xml:space="preserve">n antimicrobial </w:t>
      </w:r>
      <w:r w:rsidR="00E11D63" w:rsidRPr="00F46944">
        <w:t xml:space="preserve">prescription for acute otitis media despite </w:t>
      </w:r>
      <w:r w:rsidR="00A60822" w:rsidRPr="00F46944">
        <w:t>estimates that antimicrobials may be required in only 20</w:t>
      </w:r>
      <w:r w:rsidR="001C0A42" w:rsidRPr="00F46944">
        <w:t>–</w:t>
      </w:r>
      <w:r w:rsidR="00A60822" w:rsidRPr="00F46944">
        <w:t>31% of cases</w:t>
      </w:r>
      <w:r w:rsidR="00E11D63" w:rsidRPr="00F46944">
        <w:t>.</w:t>
      </w:r>
      <w:r w:rsidR="002E2746" w:rsidRPr="00F46944">
        <w:rPr>
          <w:sz w:val="16"/>
          <w:szCs w:val="16"/>
        </w:rPr>
        <w:fldChar w:fldCharType="begin"/>
      </w:r>
      <w:r w:rsidR="00C16B8F">
        <w:rPr>
          <w:sz w:val="16"/>
          <w:szCs w:val="16"/>
        </w:rPr>
        <w:instrText xml:space="preserve"> ADDIN EN.CITE &lt;EndNote&gt;&lt;Cite&gt;&lt;Author&gt;McCullough&lt;/Author&gt;&lt;Year&gt;2017&lt;/Year&gt;&lt;RecNum&gt;20&lt;/RecNum&gt;&lt;DisplayText&gt;&lt;style face="superscript"&gt;21&lt;/style&gt;&lt;/DisplayText&gt;&lt;record&gt;&lt;rec-number&gt;20&lt;/rec-number&gt;&lt;foreign-keys&gt;&lt;key app="EN" db-id="es9dr99ws90stoe5x2rp505nazvswdzppxa5" timestamp="1670810546"&gt;20&lt;/key&gt;&lt;/foreign-keys&gt;&lt;ref-type name="Journal Article"&gt;17&lt;/ref-type&gt;&lt;contributors&gt;&lt;authors&gt;&lt;author&gt;McCullough, A.R.&lt;/author&gt;&lt;author&gt;Pollack, A.J.&lt;/author&gt;&lt;author&gt;Plejdrup Hansen, M.&lt;/author&gt;&lt;author&gt;Glasziou, P.P.&lt;/author&gt;&lt;author&gt;Looke, D.F.&lt;/author&gt;&lt;author&gt;Britt, H.C.&lt;/author&gt;&lt;author&gt;Del Mar, C.B.&lt;/author&gt;&lt;/authors&gt;&lt;/contributors&gt;&lt;titles&gt;&lt;title&gt;Antibiotics for acute respiratory infections in general practice: comparison of prescribing rates with guideline recommendations&lt;/title&gt;&lt;secondary-title&gt;Med J Aust &lt;/secondary-title&gt;&lt;/titles&gt;&lt;pages&gt;65–69&lt;/pages&gt;&lt;volume&gt;207&lt;/volume&gt;&lt;number&gt;2&lt;/number&gt;&lt;dates&gt;&lt;year&gt;2017&lt;/year&gt;&lt;/dates&gt;&lt;urls&gt;&lt;/urls&gt;&lt;/record&gt;&lt;/Cite&gt;&lt;/EndNote&gt;</w:instrText>
      </w:r>
      <w:r w:rsidR="002E2746" w:rsidRPr="00F46944">
        <w:rPr>
          <w:sz w:val="16"/>
          <w:szCs w:val="16"/>
        </w:rPr>
        <w:fldChar w:fldCharType="separate"/>
      </w:r>
      <w:r w:rsidR="00C16B8F" w:rsidRPr="00C16B8F">
        <w:rPr>
          <w:noProof/>
          <w:sz w:val="16"/>
          <w:szCs w:val="16"/>
          <w:vertAlign w:val="superscript"/>
        </w:rPr>
        <w:t>21</w:t>
      </w:r>
      <w:r w:rsidR="002E2746" w:rsidRPr="00F46944">
        <w:rPr>
          <w:sz w:val="16"/>
          <w:szCs w:val="16"/>
        </w:rPr>
        <w:fldChar w:fldCharType="end"/>
      </w:r>
      <w:r w:rsidR="00E11D63" w:rsidRPr="00F46944">
        <w:t xml:space="preserve"> Although direct comparisons should be made with caution, these percentages </w:t>
      </w:r>
      <w:r w:rsidR="003F44C2" w:rsidRPr="00F46944">
        <w:t xml:space="preserve">suggest </w:t>
      </w:r>
      <w:r w:rsidR="00E11D63" w:rsidRPr="00F46944">
        <w:t xml:space="preserve">that antimicrobials </w:t>
      </w:r>
      <w:r w:rsidR="00A17246" w:rsidRPr="00F46944">
        <w:t xml:space="preserve">are </w:t>
      </w:r>
      <w:r w:rsidR="00E11D63" w:rsidRPr="00F46944">
        <w:t>overprescribed for these conditions</w:t>
      </w:r>
      <w:r w:rsidR="0062713E" w:rsidRPr="00F46944">
        <w:t xml:space="preserve"> compared to </w:t>
      </w:r>
      <w:r w:rsidR="00694DB0" w:rsidRPr="00F46944">
        <w:t xml:space="preserve">recommendations in the </w:t>
      </w:r>
      <w:r w:rsidR="0062713E" w:rsidRPr="001C41FD">
        <w:rPr>
          <w:i/>
          <w:iCs/>
        </w:rPr>
        <w:t>Therapeutic Guidelines</w:t>
      </w:r>
      <w:r w:rsidR="001C41FD" w:rsidRPr="001C41FD">
        <w:rPr>
          <w:i/>
          <w:iCs/>
        </w:rPr>
        <w:t>: Antibiotic</w:t>
      </w:r>
      <w:r w:rsidR="0062713E" w:rsidRPr="00F46944">
        <w:rPr>
          <w:rFonts w:asciiTheme="majorHAnsi" w:eastAsiaTheme="minorEastAsia" w:hAnsiTheme="majorHAnsi" w:cstheme="majorHAnsi"/>
        </w:rPr>
        <w:fldChar w:fldCharType="begin"/>
      </w:r>
      <w:r w:rsidR="00C16B8F">
        <w:rPr>
          <w:rFonts w:asciiTheme="majorHAnsi" w:eastAsiaTheme="minorEastAsia" w:hAnsiTheme="majorHAnsi" w:cstheme="majorHAnsi"/>
        </w:rPr>
        <w:instrText xml:space="preserve"> ADDIN EN.CITE &lt;EndNote&gt;&lt;Cite&gt;&lt;Author&gt;Antibiotic Expert Groups&lt;/Author&gt;&lt;Year&gt;2019&lt;/Year&gt;&lt;RecNum&gt;15&lt;/RecNum&gt;&lt;DisplayText&gt;&lt;style face="superscript"&gt;16&lt;/style&gt;&lt;/DisplayText&gt;&lt;record&gt;&lt;rec-number&gt;15&lt;/rec-number&gt;&lt;foreign-keys&gt;&lt;key app="EN" db-id="es9dr99ws90stoe5x2rp505nazvswdzppxa5" timestamp="1670810542"&gt;15&lt;/key&gt;&lt;/foreign-keys&gt;&lt;ref-type name="Aggregated Database"&gt;55&lt;/ref-type&gt;&lt;contributors&gt;&lt;authors&gt;&lt;author&gt;Antibiotic Expert Groups,&lt;/author&gt;&lt;/authors&gt;&lt;/contributors&gt;&lt;titles&gt;&lt;title&gt;Therapeutic guidelines: antibiotic&lt;/title&gt;&lt;/titles&gt;&lt;volume&gt;16&lt;/volume&gt;&lt;dates&gt;&lt;year&gt;2019&lt;/year&gt;&lt;/dates&gt;&lt;pub-location&gt;Melbourne&lt;/pub-location&gt;&lt;publisher&gt;Therapeutic Guidelines Limited&lt;/publisher&gt;&lt;urls&gt;&lt;/urls&gt;&lt;/record&gt;&lt;/Cite&gt;&lt;/EndNote&gt;</w:instrText>
      </w:r>
      <w:r w:rsidR="0062713E" w:rsidRPr="00F46944">
        <w:rPr>
          <w:rFonts w:asciiTheme="majorHAnsi" w:eastAsiaTheme="minorEastAsia" w:hAnsiTheme="majorHAnsi" w:cstheme="majorHAnsi"/>
        </w:rPr>
        <w:fldChar w:fldCharType="separate"/>
      </w:r>
      <w:r w:rsidR="00C16B8F" w:rsidRPr="00C16B8F">
        <w:rPr>
          <w:rFonts w:asciiTheme="majorHAnsi" w:eastAsiaTheme="minorEastAsia" w:hAnsiTheme="majorHAnsi" w:cstheme="majorHAnsi"/>
          <w:noProof/>
          <w:vertAlign w:val="superscript"/>
        </w:rPr>
        <w:t>16</w:t>
      </w:r>
      <w:r w:rsidR="0062713E" w:rsidRPr="00F46944">
        <w:rPr>
          <w:rFonts w:asciiTheme="majorHAnsi" w:eastAsiaTheme="minorEastAsia" w:hAnsiTheme="majorHAnsi" w:cstheme="majorHAnsi"/>
        </w:rPr>
        <w:fldChar w:fldCharType="end"/>
      </w:r>
      <w:r w:rsidR="0062713E" w:rsidRPr="00F46944">
        <w:t xml:space="preserve"> and </w:t>
      </w:r>
      <w:r w:rsidR="00694DB0" w:rsidRPr="00F46944">
        <w:t xml:space="preserve">relevant </w:t>
      </w:r>
      <w:r w:rsidR="0062713E" w:rsidRPr="00F46944">
        <w:t>clinical pathway</w:t>
      </w:r>
      <w:r w:rsidR="00694DB0" w:rsidRPr="00F46944">
        <w:t>s</w:t>
      </w:r>
      <w:r w:rsidR="00950665" w:rsidRPr="00F46944">
        <w:t xml:space="preserve"> </w:t>
      </w:r>
      <w:r w:rsidR="006847AC" w:rsidRPr="00F46944">
        <w:t>(</w:t>
      </w:r>
      <w:r w:rsidR="006847AC" w:rsidRPr="00870DCF">
        <w:t>Table 10</w:t>
      </w:r>
      <w:r w:rsidR="006847AC" w:rsidRPr="00F46944">
        <w:t>)</w:t>
      </w:r>
      <w:r w:rsidR="00E11D63" w:rsidRPr="00F46944">
        <w:t xml:space="preserve">; a trend that </w:t>
      </w:r>
      <w:r w:rsidR="00A60822" w:rsidRPr="00F46944">
        <w:t>has continued</w:t>
      </w:r>
      <w:r w:rsidR="00E11D63" w:rsidRPr="00F46944">
        <w:t xml:space="preserve"> from previous reports.</w:t>
      </w:r>
      <w:r w:rsidR="00B11C75" w:rsidRPr="00F46944">
        <w:fldChar w:fldCharType="begin">
          <w:fldData xml:space="preserve">PEVuZE5vdGU+PENpdGU+PEF1dGhvcj5DYXJlPC9BdXRob3I+PFllYXI+MjAxNjwvWWVhcj48UmVj
TnVtPjI8L1JlY051bT48RGlzcGxheVRleHQ+PHN0eWxlIGZhY2U9InN1cGVyc2NyaXB0Ij4xLTQ8
L3N0eWxlPjwvRGlzcGxheVRleHQ+PHJlY29yZD48cmVjLW51bWJlcj4yPC9yZWMtbnVtYmVyPjxm
b3JlaWduLWtleXM+PGtleSBhcHA9IkVOIiBkYi1pZD0iZXM5ZHI5OXdzOTBzdG9lNXgycnA1MDVu
YXp2c3dkenBweGE1IiB0aW1lc3RhbXA9IjE2NzA4MTA1MzgiPjI8L2tleT48L2ZvcmVpZ24ta2V5
cz48cmVmLXR5cGUgbmFtZT0iUmVwb3J0Ij4yNzwvcmVmLXR5cGU+PGNvbnRyaWJ1dG9ycz48YXV0
aG9ycz48YXV0aG9yPkF1c3RyYWxpYW4gQ29tbWlzc2lvbiBvbiBTYWZldHkgYW5kIFF1YWxpdHkg
aW4gSGVhbHRoIENhcmU8L2F1dGhvcj48L2F1dGhvcnM+PC9jb250cmlidXRvcnM+PHRpdGxlcz48
dGl0bGU+QVVSQSAyMDE2OiBmaXJzdCBBdXN0cmFsaWFuIHJlcG9ydCBvbiBhbnRpbWljcm9iaWFs
IHVzZSBhbmQgcmVzaXN0YW5jZSBpbiBodW1hbiBoZWFsdGg8L3RpdGxlPjwvdGl0bGVzPjxkYXRl
cz48eWVhcj4yMDE2PC95ZWFyPjwvZGF0ZXM+PHB1Yi1sb2NhdGlvbj5TeWRuZXk8L3B1Yi1sb2Nh
dGlvbj48cHVibGlzaGVyPkFDU1FIQzwvcHVibGlzaGVyPjx1cmxzPjxyZWxhdGVkLXVybHM+PHVy
bD5odHRwczovL3d3dy5zYWZldHlhbmRxdWFsaXR5Lmdvdi5hdS9wdWJsaWNhdGlvbnMtYW5kLXJl
c291cmNlcy9yZXNvdXJjZS1saWJyYXJ5L2F1cmEtMjAxNi1maXJzdC1hdXN0cmFsaWFuLXJlcG9y
dC1hbnRpbWljcm9iaWFsLXVzZS1hbmQtcmVzaXN0YW5jZS1odW1hbi1oZWFsdGgtZnVsbC1yZXBv
cnQ8L3VybD48L3JlbGF0ZWQtdXJscz48L3VybHM+PGFjY2Vzcy1kYXRlPjEgTWFyY2ggMjAyMTwv
YWNjZXNzLWRhdGU+PC9yZWNvcmQ+PC9DaXRlPjxDaXRlPjxBdXRob3I+Q2FyZTwvQXV0aG9yPjxZ
ZWFyPjIwMTc8L1llYXI+PFJlY051bT4zPC9SZWNOdW0+PHJlY29yZD48cmVjLW51bWJlcj4zPC9y
ZWMtbnVtYmVyPjxmb3JlaWduLWtleXM+PGtleSBhcHA9IkVOIiBkYi1pZD0iZXM5ZHI5OXdzOTBz
dG9lNXgycnA1MDVuYXp2c3dkenBweGE1IiB0aW1lc3RhbXA9IjE2NzA4MTA1MzgiPjM8L2tleT48
L2ZvcmVpZ24ta2V5cz48cmVmLXR5cGUgbmFtZT0iUmVwb3J0Ij4yNzwvcmVmLXR5cGU+PGNvbnRy
aWJ1dG9ycz48YXV0aG9ycz48YXV0aG9yPkF1c3RyYWxpYW4gQ29tbWlzc2lvbiBvbiBTYWZldHkg
YW5kIFF1YWxpdHkgaW4gSGVhbHRoIENhcmU8L2F1dGhvcj48L2F1dGhvcnM+PC9jb250cmlidXRv
cnM+PHRpdGxlcz48dGl0bGU+QVVSQSAyMDE3OiBzZWNvbmQgQXVzdHJhbGlhbiByZXBvcnQgb24g
YW50aW1pY3JvYmlhbCB1c2UgYW5kIHJlc2lzdGFuY2UgaW4gaHVtYW4gaGVhbHRoPC90aXRsZT48
L3RpdGxlcz48ZGF0ZXM+PHllYXI+MjAxNzwveWVhcj48L2RhdGVzPjxwdWItbG9jYXRpb24+U3lk
bmV5PC9wdWItbG9jYXRpb24+PHB1Ymxpc2hlcj5BQ1NRSEM8L3B1Ymxpc2hlcj48dXJscz48cmVs
YXRlZC11cmxzPjx1cmw+aHR0cHM6Ly93d3cuc2FmZXR5YW5kcXVhbGl0eS5nb3YuYXUvcHVibGlj
YXRpb25zLWFuZC1yZXNvdXJjZXMvcmVzb3VyY2UtbGlicmFyeS9hdXJhLTIwMTctc2Vjb25kLWF1
c3RyYWxpYW4tcmVwb3J0LWFudGltaWNyb2JpYWwtdXNlLWFuZC1yZXNpc3RhbmNlLWh1bWFuLWhl
YWx0aDwvdXJsPjwvcmVsYXRlZC11cmxzPjwvdXJscz48YWNjZXNzLWRhdGU+MSBNYXJjaCAyMDIx
PC9hY2Nlc3MtZGF0ZT48L3JlY29yZD48L0NpdGU+PENpdGU+PEF1dGhvcj5DYXJlPC9BdXRob3I+
PFllYXI+MjAxOTwvWWVhcj48UmVjTnVtPjQ8L1JlY051bT48cmVjb3JkPjxyZWMtbnVtYmVyPjQ8
L3JlYy1udW1iZXI+PGZvcmVpZ24ta2V5cz48a2V5IGFwcD0iRU4iIGRiLWlkPSJlczlkcjk5d3M5
MHN0b2U1eDJycDUwNW5henZzd2R6cHB4YTUiIHRpbWVzdGFtcD0iMTY3MDgxMDUzOSI+NDwva2V5
PjwvZm9yZWlnbi1rZXlzPjxyZWYtdHlwZSBuYW1lPSJSZXBvcnQiPjI3PC9yZWYtdHlwZT48Y29u
dHJpYnV0b3JzPjxhdXRob3JzPjxhdXRob3I+QXVzdHJhbGlhbiBDb21taXNzaW9uIG9uIFNhZmV0
eSBhbmQgUXVhbGl0eSBpbiBIZWFsdGggQ2FyZTwvYXV0aG9yPjwvYXV0aG9ycz48L2NvbnRyaWJ1
dG9ycz48dGl0bGVzPjx0aXRsZT5BVVJBIDIwMTk6IHRoaXJkIEF1c3RyYWxpYW4gcmVwb3J0IG9u
IGFudGltaWNyb2JpYWwgdXNlIGFuZCByZXNpc3RhbmNlIGluIGh1bWFuIGhlYWx0aDwvdGl0bGU+
PC90aXRsZXM+PGRhdGVzPjx5ZWFyPjIwMTk8L3llYXI+PC9kYXRlcz48cHViLWxvY2F0aW9uPlN5
ZG5leTwvcHViLWxvY2F0aW9uPjxwdWJsaXNoZXI+QUNTUUhDPC9wdWJsaXNoZXI+PHVybHM+PC91
cmxzPjwvcmVjb3JkPjwvQ2l0ZT48Q2l0ZT48QXV0aG9yPkNhcmU8L0F1dGhvcj48WWVhcj4yMDIx
PC9ZZWFyPjxSZWNOdW0+MTwvUmVjTnVtPjxyZWNvcmQ+PHJlYy1udW1iZXI+MTwvcmVjLW51bWJl
cj48Zm9yZWlnbi1rZXlzPjxrZXkgYXBwPSJFTiIgZGItaWQ9ImVzOWRyOTl3czkwc3RvZTV4MnJw
NTA1bmF6dnN3ZHpwcHhhNSIgdGltZXN0YW1wPSIxNjcwODEwNTM4Ij4xPC9rZXk+PC9mb3JlaWdu
LWtleXM+PHJlZi10eXBlIG5hbWU9IlJlcG9ydCI+Mjc8L3JlZi10eXBlPjxjb250cmlidXRvcnM+
PGF1dGhvcnM+PGF1dGhvcj5BdXN0cmFsaWFuIENvbW1pc3Npb24gb24gU2FmZXR5IGFuZCBRdWFs
aXR5IGluIEhlYWx0aCBDYXJlPC9hdXRob3I+PC9hdXRob3JzPjwvY29udHJpYnV0b3JzPjx0aXRs
ZXM+PHRpdGxlPkFVUkEgMjAyMTogZm91cnRoIEF1c3RyYWxpYW4gcmVwb3J0IG9uIGFudGltaWNy
b2JpYWwgdXNlIGFuZCByZXNpc3RhbmNlIGluIGh1bWFuIGhlYWx0aDwvdGl0bGU+PC90aXRsZXM+
PGRhdGVzPjx5ZWFyPjIwMjE8L3llYXI+PC9kYXRlcz48cHViLWxvY2F0aW9uPlN5ZG5leTwvcHVi
LWxvY2F0aW9uPjxwdWJsaXNoZXI+QUNTUUhDPC9wdWJsaXNoZXI+PHVybHM+PC91cmxzPjwvcmVj
b3JkPjwvQ2l0ZT48L0VuZE5vdGU+
</w:fldData>
        </w:fldChar>
      </w:r>
      <w:r w:rsidR="00412507">
        <w:instrText xml:space="preserve"> ADDIN EN.CITE </w:instrText>
      </w:r>
      <w:r w:rsidR="00412507">
        <w:fldChar w:fldCharType="begin">
          <w:fldData xml:space="preserve">PEVuZE5vdGU+PENpdGU+PEF1dGhvcj5DYXJlPC9BdXRob3I+PFllYXI+MjAxNjwvWWVhcj48UmVj
TnVtPjI8L1JlY051bT48RGlzcGxheVRleHQ+PHN0eWxlIGZhY2U9InN1cGVyc2NyaXB0Ij4xLTQ8
L3N0eWxlPjwvRGlzcGxheVRleHQ+PHJlY29yZD48cmVjLW51bWJlcj4yPC9yZWMtbnVtYmVyPjxm
b3JlaWduLWtleXM+PGtleSBhcHA9IkVOIiBkYi1pZD0iZXM5ZHI5OXdzOTBzdG9lNXgycnA1MDVu
YXp2c3dkenBweGE1IiB0aW1lc3RhbXA9IjE2NzA4MTA1MzgiPjI8L2tleT48L2ZvcmVpZ24ta2V5
cz48cmVmLXR5cGUgbmFtZT0iUmVwb3J0Ij4yNzwvcmVmLXR5cGU+PGNvbnRyaWJ1dG9ycz48YXV0
aG9ycz48YXV0aG9yPkF1c3RyYWxpYW4gQ29tbWlzc2lvbiBvbiBTYWZldHkgYW5kIFF1YWxpdHkg
aW4gSGVhbHRoIENhcmU8L2F1dGhvcj48L2F1dGhvcnM+PC9jb250cmlidXRvcnM+PHRpdGxlcz48
dGl0bGU+QVVSQSAyMDE2OiBmaXJzdCBBdXN0cmFsaWFuIHJlcG9ydCBvbiBhbnRpbWljcm9iaWFs
IHVzZSBhbmQgcmVzaXN0YW5jZSBpbiBodW1hbiBoZWFsdGg8L3RpdGxlPjwvdGl0bGVzPjxkYXRl
cz48eWVhcj4yMDE2PC95ZWFyPjwvZGF0ZXM+PHB1Yi1sb2NhdGlvbj5TeWRuZXk8L3B1Yi1sb2Nh
dGlvbj48cHVibGlzaGVyPkFDU1FIQzwvcHVibGlzaGVyPjx1cmxzPjxyZWxhdGVkLXVybHM+PHVy
bD5odHRwczovL3d3dy5zYWZldHlhbmRxdWFsaXR5Lmdvdi5hdS9wdWJsaWNhdGlvbnMtYW5kLXJl
c291cmNlcy9yZXNvdXJjZS1saWJyYXJ5L2F1cmEtMjAxNi1maXJzdC1hdXN0cmFsaWFuLXJlcG9y
dC1hbnRpbWljcm9iaWFsLXVzZS1hbmQtcmVzaXN0YW5jZS1odW1hbi1oZWFsdGgtZnVsbC1yZXBv
cnQ8L3VybD48L3JlbGF0ZWQtdXJscz48L3VybHM+PGFjY2Vzcy1kYXRlPjEgTWFyY2ggMjAyMTwv
YWNjZXNzLWRhdGU+PC9yZWNvcmQ+PC9DaXRlPjxDaXRlPjxBdXRob3I+Q2FyZTwvQXV0aG9yPjxZ
ZWFyPjIwMTc8L1llYXI+PFJlY051bT4zPC9SZWNOdW0+PHJlY29yZD48cmVjLW51bWJlcj4zPC9y
ZWMtbnVtYmVyPjxmb3JlaWduLWtleXM+PGtleSBhcHA9IkVOIiBkYi1pZD0iZXM5ZHI5OXdzOTBz
dG9lNXgycnA1MDVuYXp2c3dkenBweGE1IiB0aW1lc3RhbXA9IjE2NzA4MTA1MzgiPjM8L2tleT48
L2ZvcmVpZ24ta2V5cz48cmVmLXR5cGUgbmFtZT0iUmVwb3J0Ij4yNzwvcmVmLXR5cGU+PGNvbnRy
aWJ1dG9ycz48YXV0aG9ycz48YXV0aG9yPkF1c3RyYWxpYW4gQ29tbWlzc2lvbiBvbiBTYWZldHkg
YW5kIFF1YWxpdHkgaW4gSGVhbHRoIENhcmU8L2F1dGhvcj48L2F1dGhvcnM+PC9jb250cmlidXRv
cnM+PHRpdGxlcz48dGl0bGU+QVVSQSAyMDE3OiBzZWNvbmQgQXVzdHJhbGlhbiByZXBvcnQgb24g
YW50aW1pY3JvYmlhbCB1c2UgYW5kIHJlc2lzdGFuY2UgaW4gaHVtYW4gaGVhbHRoPC90aXRsZT48
L3RpdGxlcz48ZGF0ZXM+PHllYXI+MjAxNzwveWVhcj48L2RhdGVzPjxwdWItbG9jYXRpb24+U3lk
bmV5PC9wdWItbG9jYXRpb24+PHB1Ymxpc2hlcj5BQ1NRSEM8L3B1Ymxpc2hlcj48dXJscz48cmVs
YXRlZC11cmxzPjx1cmw+aHR0cHM6Ly93d3cuc2FmZXR5YW5kcXVhbGl0eS5nb3YuYXUvcHVibGlj
YXRpb25zLWFuZC1yZXNvdXJjZXMvcmVzb3VyY2UtbGlicmFyeS9hdXJhLTIwMTctc2Vjb25kLWF1
c3RyYWxpYW4tcmVwb3J0LWFudGltaWNyb2JpYWwtdXNlLWFuZC1yZXNpc3RhbmNlLWh1bWFuLWhl
YWx0aDwvdXJsPjwvcmVsYXRlZC11cmxzPjwvdXJscz48YWNjZXNzLWRhdGU+MSBNYXJjaCAyMDIx
PC9hY2Nlc3MtZGF0ZT48L3JlY29yZD48L0NpdGU+PENpdGU+PEF1dGhvcj5DYXJlPC9BdXRob3I+
PFllYXI+MjAxOTwvWWVhcj48UmVjTnVtPjQ8L1JlY051bT48cmVjb3JkPjxyZWMtbnVtYmVyPjQ8
L3JlYy1udW1iZXI+PGZvcmVpZ24ta2V5cz48a2V5IGFwcD0iRU4iIGRiLWlkPSJlczlkcjk5d3M5
MHN0b2U1eDJycDUwNW5henZzd2R6cHB4YTUiIHRpbWVzdGFtcD0iMTY3MDgxMDUzOSI+NDwva2V5
PjwvZm9yZWlnbi1rZXlzPjxyZWYtdHlwZSBuYW1lPSJSZXBvcnQiPjI3PC9yZWYtdHlwZT48Y29u
dHJpYnV0b3JzPjxhdXRob3JzPjxhdXRob3I+QXVzdHJhbGlhbiBDb21taXNzaW9uIG9uIFNhZmV0
eSBhbmQgUXVhbGl0eSBpbiBIZWFsdGggQ2FyZTwvYXV0aG9yPjwvYXV0aG9ycz48L2NvbnRyaWJ1
dG9ycz48dGl0bGVzPjx0aXRsZT5BVVJBIDIwMTk6IHRoaXJkIEF1c3RyYWxpYW4gcmVwb3J0IG9u
IGFudGltaWNyb2JpYWwgdXNlIGFuZCByZXNpc3RhbmNlIGluIGh1bWFuIGhlYWx0aDwvdGl0bGU+
PC90aXRsZXM+PGRhdGVzPjx5ZWFyPjIwMTk8L3llYXI+PC9kYXRlcz48cHViLWxvY2F0aW9uPlN5
ZG5leTwvcHViLWxvY2F0aW9uPjxwdWJsaXNoZXI+QUNTUUhDPC9wdWJsaXNoZXI+PHVybHM+PC91
cmxzPjwvcmVjb3JkPjwvQ2l0ZT48Q2l0ZT48QXV0aG9yPkNhcmU8L0F1dGhvcj48WWVhcj4yMDIx
PC9ZZWFyPjxSZWNOdW0+MTwvUmVjTnVtPjxyZWNvcmQ+PHJlYy1udW1iZXI+MTwvcmVjLW51bWJl
cj48Zm9yZWlnbi1rZXlzPjxrZXkgYXBwPSJFTiIgZGItaWQ9ImVzOWRyOTl3czkwc3RvZTV4MnJw
NTA1bmF6dnN3ZHpwcHhhNSIgdGltZXN0YW1wPSIxNjcwODEwNTM4Ij4xPC9rZXk+PC9mb3JlaWdu
LWtleXM+PHJlZi10eXBlIG5hbWU9IlJlcG9ydCI+Mjc8L3JlZi10eXBlPjxjb250cmlidXRvcnM+
PGF1dGhvcnM+PGF1dGhvcj5BdXN0cmFsaWFuIENvbW1pc3Npb24gb24gU2FmZXR5IGFuZCBRdWFs
aXR5IGluIEhlYWx0aCBDYXJlPC9hdXRob3I+PC9hdXRob3JzPjwvY29udHJpYnV0b3JzPjx0aXRs
ZXM+PHRpdGxlPkFVUkEgMjAyMTogZm91cnRoIEF1c3RyYWxpYW4gcmVwb3J0IG9uIGFudGltaWNy
b2JpYWwgdXNlIGFuZCByZXNpc3RhbmNlIGluIGh1bWFuIGhlYWx0aDwvdGl0bGU+PC90aXRsZXM+
PGRhdGVzPjx5ZWFyPjIwMjE8L3llYXI+PC9kYXRlcz48cHViLWxvY2F0aW9uPlN5ZG5leTwvcHVi
LWxvY2F0aW9uPjxwdWJsaXNoZXI+QUNTUUhDPC9wdWJsaXNoZXI+PHVybHM+PC91cmxzPjwvcmVj
b3JkPjwvQ2l0ZT48L0VuZE5vdGU+
</w:fldData>
        </w:fldChar>
      </w:r>
      <w:r w:rsidR="00412507">
        <w:instrText xml:space="preserve"> ADDIN EN.CITE.DATA </w:instrText>
      </w:r>
      <w:r w:rsidR="00412507">
        <w:fldChar w:fldCharType="end"/>
      </w:r>
      <w:r w:rsidR="00B11C75" w:rsidRPr="00F46944">
        <w:fldChar w:fldCharType="separate"/>
      </w:r>
      <w:r w:rsidR="001C0A42" w:rsidRPr="001C0A42">
        <w:rPr>
          <w:noProof/>
          <w:vertAlign w:val="superscript"/>
        </w:rPr>
        <w:t>1-4</w:t>
      </w:r>
      <w:r w:rsidR="00B11C75" w:rsidRPr="00F46944">
        <w:fldChar w:fldCharType="end"/>
      </w:r>
    </w:p>
    <w:p w14:paraId="3A30D08D" w14:textId="42115B0B" w:rsidR="00A60822" w:rsidRPr="00F46944" w:rsidRDefault="00A60822" w:rsidP="001634AF">
      <w:pPr>
        <w:rPr>
          <w:b/>
          <w:bCs/>
        </w:rPr>
      </w:pPr>
      <w:r w:rsidRPr="00F46944">
        <w:rPr>
          <w:rFonts w:asciiTheme="majorHAnsi" w:eastAsiaTheme="minorEastAsia" w:hAnsiTheme="majorHAnsi" w:cstheme="majorHAnsi"/>
        </w:rPr>
        <w:t xml:space="preserve">These data also highlight that, for some conditions, antimicrobial prescribing was not consistent with first-line recommendations in </w:t>
      </w:r>
      <w:r w:rsidRPr="00F46944">
        <w:rPr>
          <w:rFonts w:asciiTheme="majorHAnsi" w:eastAsiaTheme="minorEastAsia" w:hAnsiTheme="majorHAnsi" w:cstheme="majorHAnsi"/>
          <w:i/>
          <w:iCs/>
        </w:rPr>
        <w:t>Therapeutic Guidelines: Antibiotic</w:t>
      </w:r>
      <w:r w:rsidRPr="00F46944">
        <w:rPr>
          <w:rFonts w:asciiTheme="majorHAnsi" w:eastAsiaTheme="minorEastAsia" w:hAnsiTheme="majorHAnsi" w:cstheme="majorHAnsi"/>
        </w:rPr>
        <w:t>.</w:t>
      </w:r>
      <w:r w:rsidRPr="00F46944">
        <w:rPr>
          <w:rFonts w:asciiTheme="majorHAnsi" w:eastAsiaTheme="minorEastAsia" w:hAnsiTheme="majorHAnsi" w:cstheme="majorHAnsi"/>
        </w:rPr>
        <w:fldChar w:fldCharType="begin"/>
      </w:r>
      <w:r w:rsidR="00C16B8F">
        <w:rPr>
          <w:rFonts w:asciiTheme="majorHAnsi" w:eastAsiaTheme="minorEastAsia" w:hAnsiTheme="majorHAnsi" w:cstheme="majorHAnsi"/>
        </w:rPr>
        <w:instrText xml:space="preserve"> ADDIN EN.CITE &lt;EndNote&gt;&lt;Cite&gt;&lt;Author&gt;Antibiotic Expert Groups&lt;/Author&gt;&lt;Year&gt;2019&lt;/Year&gt;&lt;RecNum&gt;15&lt;/RecNum&gt;&lt;DisplayText&gt;&lt;style face="superscript"&gt;16&lt;/style&gt;&lt;/DisplayText&gt;&lt;record&gt;&lt;rec-number&gt;15&lt;/rec-number&gt;&lt;foreign-keys&gt;&lt;key app="EN" db-id="es9dr99ws90stoe5x2rp505nazvswdzppxa5" timestamp="1670810542"&gt;15&lt;/key&gt;&lt;/foreign-keys&gt;&lt;ref-type name="Aggregated Database"&gt;55&lt;/ref-type&gt;&lt;contributors&gt;&lt;authors&gt;&lt;author&gt;Antibiotic Expert Groups,&lt;/author&gt;&lt;/authors&gt;&lt;/contributors&gt;&lt;titles&gt;&lt;title&gt;Therapeutic guidelines: antibiotic&lt;/title&gt;&lt;/titles&gt;&lt;volume&gt;16&lt;/volume&gt;&lt;dates&gt;&lt;year&gt;2019&lt;/year&gt;&lt;/dates&gt;&lt;pub-location&gt;Melbourne&lt;/pub-location&gt;&lt;publisher&gt;Therapeutic Guidelines Limited&lt;/publisher&gt;&lt;urls&gt;&lt;/urls&gt;&lt;/record&gt;&lt;/Cite&gt;&lt;/EndNote&gt;</w:instrText>
      </w:r>
      <w:r w:rsidRPr="00F46944">
        <w:rPr>
          <w:rFonts w:asciiTheme="majorHAnsi" w:eastAsiaTheme="minorEastAsia" w:hAnsiTheme="majorHAnsi" w:cstheme="majorHAnsi"/>
        </w:rPr>
        <w:fldChar w:fldCharType="separate"/>
      </w:r>
      <w:r w:rsidR="00C16B8F" w:rsidRPr="00C16B8F">
        <w:rPr>
          <w:rFonts w:asciiTheme="majorHAnsi" w:eastAsiaTheme="minorEastAsia" w:hAnsiTheme="majorHAnsi" w:cstheme="majorHAnsi"/>
          <w:noProof/>
          <w:vertAlign w:val="superscript"/>
        </w:rPr>
        <w:t>16</w:t>
      </w:r>
      <w:r w:rsidRPr="00F46944">
        <w:rPr>
          <w:rFonts w:asciiTheme="majorHAnsi" w:eastAsiaTheme="minorEastAsia" w:hAnsiTheme="majorHAnsi" w:cstheme="majorHAnsi"/>
        </w:rPr>
        <w:fldChar w:fldCharType="end"/>
      </w:r>
      <w:r w:rsidRPr="00F46944">
        <w:rPr>
          <w:rFonts w:asciiTheme="majorHAnsi" w:eastAsiaTheme="minorEastAsia" w:hAnsiTheme="majorHAnsi" w:cstheme="majorHAnsi"/>
        </w:rPr>
        <w:t xml:space="preserve"> For example, only 30</w:t>
      </w:r>
      <w:r w:rsidR="000D00FE">
        <w:rPr>
          <w:rFonts w:asciiTheme="majorHAnsi" w:eastAsiaTheme="minorEastAsia" w:hAnsiTheme="majorHAnsi" w:cstheme="majorHAnsi"/>
        </w:rPr>
        <w:t>.2</w:t>
      </w:r>
      <w:r w:rsidRPr="00F46944">
        <w:rPr>
          <w:rFonts w:asciiTheme="majorHAnsi" w:eastAsiaTheme="minorEastAsia" w:hAnsiTheme="majorHAnsi" w:cstheme="majorHAnsi"/>
        </w:rPr>
        <w:t>% and 34</w:t>
      </w:r>
      <w:r w:rsidR="000D00FE">
        <w:rPr>
          <w:rFonts w:asciiTheme="majorHAnsi" w:eastAsiaTheme="minorEastAsia" w:hAnsiTheme="majorHAnsi" w:cstheme="majorHAnsi"/>
        </w:rPr>
        <w:t>.3</w:t>
      </w:r>
      <w:r w:rsidRPr="00F46944">
        <w:rPr>
          <w:rFonts w:asciiTheme="majorHAnsi" w:eastAsiaTheme="minorEastAsia" w:hAnsiTheme="majorHAnsi" w:cstheme="majorHAnsi"/>
        </w:rPr>
        <w:t xml:space="preserve">% of </w:t>
      </w:r>
      <w:proofErr w:type="spellStart"/>
      <w:r w:rsidRPr="00F46944">
        <w:rPr>
          <w:rFonts w:asciiTheme="majorHAnsi" w:eastAsiaTheme="minorEastAsia" w:hAnsiTheme="majorHAnsi" w:cstheme="majorHAnsi"/>
        </w:rPr>
        <w:t>MedicineInsight</w:t>
      </w:r>
      <w:proofErr w:type="spellEnd"/>
      <w:r w:rsidRPr="00F46944">
        <w:rPr>
          <w:rFonts w:asciiTheme="majorHAnsi" w:eastAsiaTheme="minorEastAsia" w:hAnsiTheme="majorHAnsi" w:cstheme="majorHAnsi"/>
        </w:rPr>
        <w:t xml:space="preserve"> patients with sinusitis and who were prescribed an antimicrobial received guideline-recommended amoxicillin in 2020 and 2021</w:t>
      </w:r>
      <w:r w:rsidR="001C0A42">
        <w:rPr>
          <w:rFonts w:asciiTheme="majorHAnsi" w:eastAsiaTheme="minorEastAsia" w:hAnsiTheme="majorHAnsi" w:cstheme="majorHAnsi"/>
        </w:rPr>
        <w:t>,</w:t>
      </w:r>
      <w:r w:rsidRPr="00F46944">
        <w:rPr>
          <w:rFonts w:asciiTheme="majorHAnsi" w:eastAsiaTheme="minorEastAsia" w:hAnsiTheme="majorHAnsi" w:cstheme="majorHAnsi"/>
        </w:rPr>
        <w:t xml:space="preserve"> respectively.</w:t>
      </w:r>
      <w:r w:rsidRPr="00F46944">
        <w:rPr>
          <w:b/>
          <w:bCs/>
        </w:rPr>
        <w:br w:type="page"/>
      </w:r>
    </w:p>
    <w:p w14:paraId="491F7471" w14:textId="22A3F2E6" w:rsidR="0093641B" w:rsidRPr="000851F7" w:rsidRDefault="000851F7" w:rsidP="000851F7">
      <w:pPr>
        <w:pStyle w:val="Captions"/>
        <w:rPr>
          <w:b w:val="0"/>
          <w:bCs w:val="0"/>
        </w:rPr>
      </w:pPr>
      <w:bookmarkStart w:id="125" w:name="_Toc121744370"/>
      <w:bookmarkStart w:id="126" w:name="_Toc121491310"/>
      <w:r>
        <w:lastRenderedPageBreak/>
        <w:t>Table</w:t>
      </w:r>
      <w:r w:rsidRPr="00F46944">
        <w:t> </w:t>
      </w:r>
      <w:fldSimple w:instr=" SEQ Table \* ARABIC ">
        <w:r w:rsidR="00F34DDD">
          <w:rPr>
            <w:noProof/>
          </w:rPr>
          <w:t>10</w:t>
        </w:r>
      </w:fldSimple>
      <w:r w:rsidR="0093641B" w:rsidRPr="00F46944">
        <w:t>:</w:t>
      </w:r>
      <w:r w:rsidR="00E479E1" w:rsidRPr="000851F7">
        <w:rPr>
          <w:b w:val="0"/>
          <w:bCs w:val="0"/>
        </w:rPr>
        <w:t> </w:t>
      </w:r>
      <w:r w:rsidR="0093641B" w:rsidRPr="000851F7">
        <w:rPr>
          <w:b w:val="0"/>
          <w:bCs w:val="0"/>
        </w:rPr>
        <w:t xml:space="preserve">Number and </w:t>
      </w:r>
      <w:r w:rsidR="00270389" w:rsidRPr="000851F7">
        <w:rPr>
          <w:b w:val="0"/>
          <w:bCs w:val="0"/>
        </w:rPr>
        <w:t xml:space="preserve">percentage of patients </w:t>
      </w:r>
      <w:r w:rsidR="0093641B" w:rsidRPr="000851F7">
        <w:rPr>
          <w:b w:val="0"/>
          <w:bCs w:val="0"/>
        </w:rPr>
        <w:t>prescribed antimicrobials</w:t>
      </w:r>
      <w:r w:rsidR="0019777E" w:rsidRPr="000851F7">
        <w:rPr>
          <w:b w:val="0"/>
          <w:bCs w:val="0"/>
        </w:rPr>
        <w:t>*</w:t>
      </w:r>
      <w:r w:rsidR="0093641B" w:rsidRPr="000851F7">
        <w:rPr>
          <w:b w:val="0"/>
          <w:bCs w:val="0"/>
        </w:rPr>
        <w:t xml:space="preserve"> by </w:t>
      </w:r>
      <w:r w:rsidR="002E0811" w:rsidRPr="000851F7">
        <w:rPr>
          <w:b w:val="0"/>
          <w:bCs w:val="0"/>
        </w:rPr>
        <w:t xml:space="preserve">GPs </w:t>
      </w:r>
      <w:r w:rsidR="0093641B" w:rsidRPr="000851F7">
        <w:rPr>
          <w:b w:val="0"/>
          <w:bCs w:val="0"/>
        </w:rPr>
        <w:t xml:space="preserve">for selected conditions, </w:t>
      </w:r>
      <w:proofErr w:type="spellStart"/>
      <w:r w:rsidR="0093641B" w:rsidRPr="000851F7">
        <w:rPr>
          <w:b w:val="0"/>
          <w:bCs w:val="0"/>
        </w:rPr>
        <w:t>MedicineInsight</w:t>
      </w:r>
      <w:proofErr w:type="spellEnd"/>
      <w:r w:rsidR="0093641B" w:rsidRPr="000851F7">
        <w:rPr>
          <w:b w:val="0"/>
          <w:bCs w:val="0"/>
        </w:rPr>
        <w:t xml:space="preserve"> practices, 2020</w:t>
      </w:r>
      <w:r w:rsidR="0043388C" w:rsidRPr="000851F7">
        <w:rPr>
          <w:b w:val="0"/>
          <w:bCs w:val="0"/>
        </w:rPr>
        <w:t>–</w:t>
      </w:r>
      <w:r w:rsidR="000D00FE">
        <w:rPr>
          <w:b w:val="0"/>
          <w:bCs w:val="0"/>
        </w:rPr>
        <w:t>20</w:t>
      </w:r>
      <w:r w:rsidR="0093641B" w:rsidRPr="000851F7">
        <w:rPr>
          <w:b w:val="0"/>
          <w:bCs w:val="0"/>
        </w:rPr>
        <w:t>21</w:t>
      </w:r>
      <w:bookmarkEnd w:id="125"/>
      <w:bookmarkEnd w:id="126"/>
    </w:p>
    <w:tbl>
      <w:tblPr>
        <w:tblStyle w:val="PlainTable2"/>
        <w:tblW w:w="9614" w:type="dxa"/>
        <w:tblLook w:val="04A0" w:firstRow="1" w:lastRow="0" w:firstColumn="1" w:lastColumn="0" w:noHBand="0" w:noVBand="1"/>
      </w:tblPr>
      <w:tblGrid>
        <w:gridCol w:w="1513"/>
        <w:gridCol w:w="2081"/>
        <w:gridCol w:w="768"/>
        <w:gridCol w:w="571"/>
        <w:gridCol w:w="808"/>
        <w:gridCol w:w="811"/>
        <w:gridCol w:w="568"/>
        <w:gridCol w:w="830"/>
        <w:gridCol w:w="1664"/>
      </w:tblGrid>
      <w:tr w:rsidR="0093641B" w:rsidRPr="00F46944" w14:paraId="01AE48DC" w14:textId="77777777" w:rsidTr="00C16994">
        <w:trPr>
          <w:cnfStyle w:val="100000000000" w:firstRow="1" w:lastRow="0" w:firstColumn="0" w:lastColumn="0" w:oddVBand="0" w:evenVBand="0" w:oddHBand="0"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1513" w:type="dxa"/>
            <w:vMerge w:val="restart"/>
            <w:shd w:val="clear" w:color="auto" w:fill="F1BBA8" w:themeFill="accent5" w:themeFillTint="66"/>
            <w:vAlign w:val="bottom"/>
          </w:tcPr>
          <w:p w14:paraId="56C2DCC7" w14:textId="180D3127" w:rsidR="0093641B" w:rsidRPr="00F46944" w:rsidRDefault="0093641B" w:rsidP="00812202">
            <w:pPr>
              <w:keepNext/>
              <w:spacing w:before="60" w:after="60"/>
              <w:rPr>
                <w:rFonts w:cstheme="minorHAnsi"/>
                <w:color w:val="000000"/>
                <w:sz w:val="18"/>
                <w:szCs w:val="18"/>
              </w:rPr>
            </w:pPr>
            <w:r w:rsidRPr="00F46944">
              <w:rPr>
                <w:rFonts w:cstheme="minorHAnsi"/>
                <w:color w:val="000000"/>
                <w:sz w:val="18"/>
                <w:szCs w:val="18"/>
              </w:rPr>
              <w:t>Condition</w:t>
            </w:r>
            <w:r w:rsidR="0019777E" w:rsidRPr="00F46944">
              <w:rPr>
                <w:rFonts w:cstheme="minorHAnsi"/>
                <w:color w:val="000000"/>
                <w:sz w:val="18"/>
                <w:szCs w:val="18"/>
                <w:vertAlign w:val="superscript"/>
              </w:rPr>
              <w:t>§</w:t>
            </w:r>
          </w:p>
        </w:tc>
        <w:tc>
          <w:tcPr>
            <w:tcW w:w="2081" w:type="dxa"/>
            <w:vMerge w:val="restart"/>
            <w:shd w:val="clear" w:color="auto" w:fill="F1BBA8" w:themeFill="accent5" w:themeFillTint="66"/>
            <w:vAlign w:val="bottom"/>
          </w:tcPr>
          <w:p w14:paraId="0C9CB44F" w14:textId="77777777" w:rsidR="0093641B" w:rsidRPr="00F46944" w:rsidRDefault="0093641B" w:rsidP="00812202">
            <w:pPr>
              <w:keepNext/>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000000"/>
                <w:sz w:val="18"/>
                <w:szCs w:val="18"/>
              </w:rPr>
            </w:pPr>
            <w:r w:rsidRPr="00F46944">
              <w:rPr>
                <w:rFonts w:cstheme="minorHAnsi"/>
                <w:color w:val="000000"/>
                <w:sz w:val="18"/>
                <w:szCs w:val="18"/>
              </w:rPr>
              <w:t>Patients</w:t>
            </w:r>
          </w:p>
        </w:tc>
        <w:tc>
          <w:tcPr>
            <w:tcW w:w="2147" w:type="dxa"/>
            <w:gridSpan w:val="3"/>
            <w:shd w:val="clear" w:color="auto" w:fill="F1BBA8" w:themeFill="accent5" w:themeFillTint="66"/>
            <w:vAlign w:val="center"/>
          </w:tcPr>
          <w:p w14:paraId="72BDF165" w14:textId="77777777" w:rsidR="0093641B" w:rsidRPr="00F46944" w:rsidRDefault="0093641B" w:rsidP="00812202">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000000"/>
                <w:sz w:val="18"/>
                <w:szCs w:val="18"/>
              </w:rPr>
            </w:pPr>
            <w:r w:rsidRPr="00F46944">
              <w:rPr>
                <w:rFonts w:cstheme="minorHAnsi"/>
                <w:color w:val="000000"/>
                <w:sz w:val="18"/>
                <w:szCs w:val="18"/>
              </w:rPr>
              <w:t>2020</w:t>
            </w:r>
          </w:p>
        </w:tc>
        <w:tc>
          <w:tcPr>
            <w:tcW w:w="2209" w:type="dxa"/>
            <w:gridSpan w:val="3"/>
            <w:shd w:val="clear" w:color="auto" w:fill="F1BBA8" w:themeFill="accent5" w:themeFillTint="66"/>
            <w:vAlign w:val="center"/>
          </w:tcPr>
          <w:p w14:paraId="7BE2A075" w14:textId="77777777" w:rsidR="0093641B" w:rsidRPr="00F46944" w:rsidRDefault="0093641B" w:rsidP="00812202">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000000"/>
                <w:sz w:val="18"/>
                <w:szCs w:val="18"/>
              </w:rPr>
            </w:pPr>
            <w:r w:rsidRPr="00F46944">
              <w:rPr>
                <w:rFonts w:cstheme="minorHAnsi"/>
                <w:color w:val="000000"/>
                <w:sz w:val="18"/>
                <w:szCs w:val="18"/>
              </w:rPr>
              <w:t>2021</w:t>
            </w:r>
          </w:p>
        </w:tc>
        <w:tc>
          <w:tcPr>
            <w:tcW w:w="1664" w:type="dxa"/>
            <w:shd w:val="clear" w:color="auto" w:fill="F1BBA8" w:themeFill="accent5" w:themeFillTint="66"/>
            <w:vAlign w:val="center"/>
          </w:tcPr>
          <w:p w14:paraId="40329094" w14:textId="77777777" w:rsidR="0093641B" w:rsidRPr="00F46944" w:rsidRDefault="0093641B" w:rsidP="00812202">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US"/>
              </w:rPr>
            </w:pPr>
            <w:r w:rsidRPr="00F46944">
              <w:rPr>
                <w:rFonts w:cstheme="minorHAnsi"/>
                <w:sz w:val="18"/>
                <w:szCs w:val="18"/>
                <w:lang w:eastAsia="en-US"/>
              </w:rPr>
              <w:t>Expected</w:t>
            </w:r>
          </w:p>
          <w:p w14:paraId="6EE16324" w14:textId="77777777" w:rsidR="0093641B" w:rsidRPr="00F46944" w:rsidRDefault="0093641B" w:rsidP="00812202">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US"/>
              </w:rPr>
            </w:pPr>
            <w:r w:rsidRPr="00F46944">
              <w:rPr>
                <w:rFonts w:cstheme="minorHAnsi"/>
                <w:sz w:val="18"/>
                <w:szCs w:val="18"/>
                <w:lang w:eastAsia="en-US"/>
              </w:rPr>
              <w:t>new cases to be</w:t>
            </w:r>
          </w:p>
          <w:p w14:paraId="57A55310" w14:textId="77777777" w:rsidR="0093641B" w:rsidRPr="00F46944" w:rsidRDefault="0093641B" w:rsidP="00812202">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US"/>
              </w:rPr>
            </w:pPr>
            <w:r w:rsidRPr="00F46944">
              <w:rPr>
                <w:rFonts w:cstheme="minorHAnsi"/>
                <w:sz w:val="18"/>
                <w:szCs w:val="18"/>
                <w:lang w:eastAsia="en-US"/>
              </w:rPr>
              <w:t>managed with</w:t>
            </w:r>
          </w:p>
          <w:p w14:paraId="7C7077BB" w14:textId="77CD8D3E" w:rsidR="0093641B" w:rsidRPr="00F46944" w:rsidRDefault="0093641B" w:rsidP="00812202">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US"/>
              </w:rPr>
            </w:pPr>
            <w:r w:rsidRPr="00F46944">
              <w:rPr>
                <w:rFonts w:cstheme="minorHAnsi"/>
                <w:color w:val="000000"/>
                <w:sz w:val="18"/>
                <w:szCs w:val="18"/>
              </w:rPr>
              <w:t>antimicrobials</w:t>
            </w:r>
            <w:r w:rsidR="0019777E" w:rsidRPr="00F46944">
              <w:rPr>
                <w:rFonts w:cstheme="minorHAnsi"/>
                <w:sz w:val="18"/>
                <w:szCs w:val="18"/>
                <w:vertAlign w:val="superscript"/>
                <w:lang w:eastAsia="en-US"/>
              </w:rPr>
              <w:t>†</w:t>
            </w:r>
          </w:p>
        </w:tc>
      </w:tr>
      <w:tr w:rsidR="00C16994" w:rsidRPr="00F46944" w14:paraId="3B31535F" w14:textId="77777777" w:rsidTr="0019777E">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513" w:type="dxa"/>
            <w:vMerge/>
            <w:vAlign w:val="center"/>
          </w:tcPr>
          <w:p w14:paraId="162DC038" w14:textId="77777777" w:rsidR="0093641B" w:rsidRPr="00F46944" w:rsidRDefault="0093641B" w:rsidP="00812202">
            <w:pPr>
              <w:keepNext/>
              <w:keepLines/>
              <w:spacing w:after="0"/>
              <w:ind w:left="170" w:hanging="170"/>
              <w:rPr>
                <w:rFonts w:cstheme="minorHAnsi"/>
                <w:color w:val="000000"/>
                <w:sz w:val="18"/>
                <w:szCs w:val="18"/>
              </w:rPr>
            </w:pPr>
          </w:p>
        </w:tc>
        <w:tc>
          <w:tcPr>
            <w:tcW w:w="2081" w:type="dxa"/>
            <w:vMerge/>
            <w:vAlign w:val="center"/>
          </w:tcPr>
          <w:p w14:paraId="7433E2D5" w14:textId="77777777" w:rsidR="0093641B" w:rsidRPr="00F46944" w:rsidRDefault="0093641B" w:rsidP="00812202">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18"/>
                <w:szCs w:val="18"/>
              </w:rPr>
            </w:pPr>
          </w:p>
        </w:tc>
        <w:tc>
          <w:tcPr>
            <w:tcW w:w="768" w:type="dxa"/>
            <w:shd w:val="clear" w:color="auto" w:fill="F1BBA8" w:themeFill="accent5" w:themeFillTint="66"/>
            <w:vAlign w:val="center"/>
          </w:tcPr>
          <w:p w14:paraId="059208F5" w14:textId="6491E170" w:rsidR="0093641B" w:rsidRPr="00F46944" w:rsidRDefault="00270389" w:rsidP="00812202">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18"/>
                <w:szCs w:val="18"/>
              </w:rPr>
            </w:pPr>
            <w:r w:rsidRPr="00F46944">
              <w:rPr>
                <w:rFonts w:cstheme="minorHAnsi"/>
                <w:b/>
                <w:bCs/>
                <w:color w:val="000000"/>
                <w:sz w:val="18"/>
                <w:szCs w:val="18"/>
              </w:rPr>
              <w:t>No.</w:t>
            </w:r>
          </w:p>
        </w:tc>
        <w:tc>
          <w:tcPr>
            <w:tcW w:w="571" w:type="dxa"/>
            <w:shd w:val="clear" w:color="auto" w:fill="F1BBA8" w:themeFill="accent5" w:themeFillTint="66"/>
            <w:vAlign w:val="center"/>
          </w:tcPr>
          <w:p w14:paraId="4E6E50FB" w14:textId="77777777" w:rsidR="0093641B" w:rsidRPr="00F46944" w:rsidRDefault="0093641B" w:rsidP="00812202">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18"/>
                <w:szCs w:val="18"/>
              </w:rPr>
            </w:pPr>
            <w:r w:rsidRPr="00F46944">
              <w:rPr>
                <w:rFonts w:cstheme="minorHAnsi"/>
                <w:b/>
                <w:bCs/>
                <w:color w:val="000000"/>
                <w:sz w:val="18"/>
                <w:szCs w:val="18"/>
              </w:rPr>
              <w:t>%</w:t>
            </w:r>
          </w:p>
        </w:tc>
        <w:tc>
          <w:tcPr>
            <w:tcW w:w="808" w:type="dxa"/>
            <w:shd w:val="clear" w:color="auto" w:fill="F1BBA8" w:themeFill="accent5" w:themeFillTint="66"/>
            <w:vAlign w:val="center"/>
          </w:tcPr>
          <w:p w14:paraId="79258CF0" w14:textId="77777777" w:rsidR="0093641B" w:rsidRPr="00F46944" w:rsidRDefault="0093641B" w:rsidP="00812202">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18"/>
                <w:szCs w:val="18"/>
              </w:rPr>
            </w:pPr>
            <w:r w:rsidRPr="00F46944">
              <w:rPr>
                <w:rFonts w:cstheme="minorHAnsi"/>
                <w:b/>
                <w:bCs/>
                <w:color w:val="000000"/>
                <w:sz w:val="18"/>
                <w:szCs w:val="18"/>
              </w:rPr>
              <w:t>95% CI</w:t>
            </w:r>
          </w:p>
        </w:tc>
        <w:tc>
          <w:tcPr>
            <w:tcW w:w="811" w:type="dxa"/>
            <w:shd w:val="clear" w:color="auto" w:fill="F1BBA8" w:themeFill="accent5" w:themeFillTint="66"/>
            <w:vAlign w:val="center"/>
          </w:tcPr>
          <w:p w14:paraId="309CD8A3" w14:textId="77777777" w:rsidR="0093641B" w:rsidRPr="00F46944" w:rsidRDefault="0093641B" w:rsidP="00812202">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18"/>
                <w:szCs w:val="18"/>
              </w:rPr>
            </w:pPr>
            <w:r w:rsidRPr="00F46944">
              <w:rPr>
                <w:rFonts w:cstheme="minorHAnsi"/>
                <w:b/>
                <w:bCs/>
                <w:color w:val="000000"/>
                <w:sz w:val="18"/>
                <w:szCs w:val="18"/>
              </w:rPr>
              <w:t>No.</w:t>
            </w:r>
          </w:p>
        </w:tc>
        <w:tc>
          <w:tcPr>
            <w:tcW w:w="568" w:type="dxa"/>
            <w:shd w:val="clear" w:color="auto" w:fill="F1BBA8" w:themeFill="accent5" w:themeFillTint="66"/>
            <w:vAlign w:val="center"/>
          </w:tcPr>
          <w:p w14:paraId="0C2FAC07" w14:textId="77777777" w:rsidR="0093641B" w:rsidRPr="00F46944" w:rsidRDefault="0093641B" w:rsidP="00812202">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18"/>
                <w:szCs w:val="18"/>
              </w:rPr>
            </w:pPr>
            <w:r w:rsidRPr="00F46944">
              <w:rPr>
                <w:rFonts w:cstheme="minorHAnsi"/>
                <w:b/>
                <w:bCs/>
                <w:color w:val="000000"/>
                <w:sz w:val="18"/>
                <w:szCs w:val="18"/>
              </w:rPr>
              <w:t>%</w:t>
            </w:r>
          </w:p>
        </w:tc>
        <w:tc>
          <w:tcPr>
            <w:tcW w:w="830" w:type="dxa"/>
            <w:shd w:val="clear" w:color="auto" w:fill="F1BBA8" w:themeFill="accent5" w:themeFillTint="66"/>
            <w:vAlign w:val="center"/>
          </w:tcPr>
          <w:p w14:paraId="1BE72E9C" w14:textId="77777777" w:rsidR="0093641B" w:rsidRPr="00F46944" w:rsidRDefault="0093641B" w:rsidP="00812202">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18"/>
                <w:szCs w:val="18"/>
              </w:rPr>
            </w:pPr>
            <w:r w:rsidRPr="00F46944">
              <w:rPr>
                <w:rFonts w:cstheme="minorHAnsi"/>
                <w:b/>
                <w:bCs/>
                <w:color w:val="000000"/>
                <w:sz w:val="18"/>
                <w:szCs w:val="18"/>
              </w:rPr>
              <w:t>95% CI</w:t>
            </w:r>
          </w:p>
        </w:tc>
        <w:tc>
          <w:tcPr>
            <w:tcW w:w="1664" w:type="dxa"/>
            <w:shd w:val="clear" w:color="auto" w:fill="F1BBA8" w:themeFill="accent5" w:themeFillTint="66"/>
            <w:vAlign w:val="center"/>
          </w:tcPr>
          <w:p w14:paraId="0EF3D4A4" w14:textId="1B219D0E" w:rsidR="0093641B" w:rsidRPr="00F46944" w:rsidRDefault="0093641B" w:rsidP="00812202">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18"/>
                <w:szCs w:val="18"/>
              </w:rPr>
            </w:pPr>
            <w:r w:rsidRPr="00F46944">
              <w:rPr>
                <w:rFonts w:cstheme="minorHAnsi"/>
                <w:b/>
                <w:bCs/>
                <w:color w:val="000000"/>
                <w:sz w:val="18"/>
                <w:szCs w:val="18"/>
              </w:rPr>
              <w:t>Range (%)</w:t>
            </w:r>
            <w:r w:rsidRPr="00F46944">
              <w:rPr>
                <w:rFonts w:cstheme="minorHAnsi"/>
                <w:b/>
                <w:bCs/>
                <w:color w:val="000000"/>
                <w:sz w:val="18"/>
                <w:szCs w:val="18"/>
                <w:vertAlign w:val="superscript"/>
              </w:rPr>
              <w:t xml:space="preserve"> </w:t>
            </w:r>
          </w:p>
        </w:tc>
      </w:tr>
      <w:tr w:rsidR="00C16994" w:rsidRPr="00F46944" w14:paraId="10797B14" w14:textId="77777777" w:rsidTr="0019777E">
        <w:trPr>
          <w:trHeight w:val="641"/>
        </w:trPr>
        <w:tc>
          <w:tcPr>
            <w:cnfStyle w:val="001000000000" w:firstRow="0" w:lastRow="0" w:firstColumn="1" w:lastColumn="0" w:oddVBand="0" w:evenVBand="0" w:oddHBand="0" w:evenHBand="0" w:firstRowFirstColumn="0" w:firstRowLastColumn="0" w:lastRowFirstColumn="0" w:lastRowLastColumn="0"/>
            <w:tcW w:w="1513" w:type="dxa"/>
            <w:hideMark/>
          </w:tcPr>
          <w:p w14:paraId="6E583B66" w14:textId="10E2E5CD" w:rsidR="0093641B" w:rsidRPr="00F46944" w:rsidRDefault="0093641B" w:rsidP="008915FC">
            <w:pPr>
              <w:spacing w:after="0"/>
              <w:rPr>
                <w:rFonts w:ascii="Times New Roman" w:hAnsi="Times New Roman"/>
                <w:sz w:val="16"/>
                <w:szCs w:val="16"/>
              </w:rPr>
            </w:pPr>
            <w:bookmarkStart w:id="127" w:name="_Hlk102648476"/>
            <w:r w:rsidRPr="00F46944">
              <w:rPr>
                <w:rFonts w:cstheme="minorHAnsi"/>
                <w:color w:val="000000"/>
                <w:sz w:val="16"/>
                <w:szCs w:val="16"/>
              </w:rPr>
              <w:t xml:space="preserve">Acute </w:t>
            </w:r>
            <w:r w:rsidR="008915FC" w:rsidRPr="00F46944">
              <w:rPr>
                <w:rFonts w:cstheme="minorHAnsi"/>
                <w:color w:val="000000"/>
                <w:sz w:val="16"/>
                <w:szCs w:val="16"/>
              </w:rPr>
              <w:t>bronchitis</w:t>
            </w:r>
            <w:r w:rsidR="008915FC" w:rsidRPr="00F46944">
              <w:rPr>
                <w:rFonts w:ascii="Times New Roman" w:hAnsi="Times New Roman"/>
                <w:sz w:val="16"/>
                <w:szCs w:val="16"/>
              </w:rPr>
              <w:t xml:space="preserve"> </w:t>
            </w:r>
          </w:p>
        </w:tc>
        <w:tc>
          <w:tcPr>
            <w:tcW w:w="2081" w:type="dxa"/>
            <w:hideMark/>
          </w:tcPr>
          <w:p w14:paraId="49EBBABB" w14:textId="77777777" w:rsidR="0093641B" w:rsidRPr="00F46944" w:rsidRDefault="0093641B" w:rsidP="00812202">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Aged 18–75 years prescribed antimicrobials</w:t>
            </w:r>
          </w:p>
        </w:tc>
        <w:tc>
          <w:tcPr>
            <w:tcW w:w="768" w:type="dxa"/>
          </w:tcPr>
          <w:p w14:paraId="73676961" w14:textId="77777777" w:rsidR="0093641B" w:rsidRPr="00F46944" w:rsidRDefault="0093641B" w:rsidP="00812202">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11,007</w:t>
            </w:r>
          </w:p>
        </w:tc>
        <w:tc>
          <w:tcPr>
            <w:tcW w:w="571" w:type="dxa"/>
          </w:tcPr>
          <w:p w14:paraId="61429916" w14:textId="77777777" w:rsidR="0093641B" w:rsidRPr="00F46944" w:rsidRDefault="0093641B" w:rsidP="00812202">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78.5</w:t>
            </w:r>
          </w:p>
        </w:tc>
        <w:tc>
          <w:tcPr>
            <w:tcW w:w="808" w:type="dxa"/>
          </w:tcPr>
          <w:p w14:paraId="52F7BBBB" w14:textId="6017529B" w:rsidR="0093641B" w:rsidRPr="00F46944" w:rsidRDefault="0093641B" w:rsidP="00812202">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76.0</w:t>
            </w:r>
            <w:r w:rsidR="00C21856">
              <w:rPr>
                <w:rFonts w:cstheme="minorHAnsi"/>
                <w:color w:val="000000"/>
                <w:sz w:val="16"/>
                <w:szCs w:val="16"/>
              </w:rPr>
              <w:t>–</w:t>
            </w:r>
            <w:r w:rsidRPr="00F46944">
              <w:rPr>
                <w:rFonts w:cstheme="minorHAnsi"/>
                <w:color w:val="000000"/>
                <w:sz w:val="16"/>
                <w:szCs w:val="16"/>
              </w:rPr>
              <w:t>81.1</w:t>
            </w:r>
          </w:p>
        </w:tc>
        <w:tc>
          <w:tcPr>
            <w:tcW w:w="811" w:type="dxa"/>
          </w:tcPr>
          <w:p w14:paraId="04E9CD81" w14:textId="77777777" w:rsidR="0093641B" w:rsidRPr="00F46944" w:rsidRDefault="0093641B" w:rsidP="00812202">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12,403</w:t>
            </w:r>
          </w:p>
        </w:tc>
        <w:tc>
          <w:tcPr>
            <w:tcW w:w="568" w:type="dxa"/>
          </w:tcPr>
          <w:p w14:paraId="187D75CE" w14:textId="77777777" w:rsidR="0093641B" w:rsidRPr="00F46944" w:rsidRDefault="0093641B" w:rsidP="00812202">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80.9</w:t>
            </w:r>
          </w:p>
        </w:tc>
        <w:tc>
          <w:tcPr>
            <w:tcW w:w="830" w:type="dxa"/>
          </w:tcPr>
          <w:p w14:paraId="201D0C32" w14:textId="77777777" w:rsidR="0093641B" w:rsidRPr="00F46944" w:rsidRDefault="0093641B" w:rsidP="00812202">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78.9-82.9</w:t>
            </w:r>
          </w:p>
        </w:tc>
        <w:tc>
          <w:tcPr>
            <w:tcW w:w="1664" w:type="dxa"/>
          </w:tcPr>
          <w:p w14:paraId="1569A206" w14:textId="77777777" w:rsidR="0093641B" w:rsidRPr="00F46944" w:rsidRDefault="0093641B" w:rsidP="00812202">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0</w:t>
            </w:r>
          </w:p>
        </w:tc>
      </w:tr>
      <w:bookmarkEnd w:id="127"/>
      <w:tr w:rsidR="00C16994" w:rsidRPr="00F46944" w14:paraId="53DD5E17" w14:textId="77777777" w:rsidTr="0019777E">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513" w:type="dxa"/>
            <w:hideMark/>
          </w:tcPr>
          <w:p w14:paraId="1F7358E7" w14:textId="77777777" w:rsidR="0093641B" w:rsidRPr="00F46944" w:rsidRDefault="0093641B" w:rsidP="00812202">
            <w:pPr>
              <w:spacing w:before="60" w:after="60"/>
              <w:rPr>
                <w:rFonts w:cstheme="minorHAnsi"/>
                <w:color w:val="000000"/>
                <w:sz w:val="16"/>
                <w:szCs w:val="16"/>
              </w:rPr>
            </w:pPr>
            <w:r w:rsidRPr="00F46944">
              <w:rPr>
                <w:rFonts w:cstheme="minorHAnsi"/>
                <w:color w:val="000000"/>
                <w:sz w:val="16"/>
                <w:szCs w:val="16"/>
              </w:rPr>
              <w:t>COPD</w:t>
            </w:r>
          </w:p>
        </w:tc>
        <w:tc>
          <w:tcPr>
            <w:tcW w:w="2081" w:type="dxa"/>
            <w:hideMark/>
          </w:tcPr>
          <w:p w14:paraId="272656F5" w14:textId="77777777" w:rsidR="0093641B" w:rsidRPr="00F46944" w:rsidRDefault="0093641B" w:rsidP="00812202">
            <w:pPr>
              <w:spacing w:before="60" w:after="60"/>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Aged 18–75 years prescribed antimicrobials</w:t>
            </w:r>
          </w:p>
        </w:tc>
        <w:tc>
          <w:tcPr>
            <w:tcW w:w="768" w:type="dxa"/>
          </w:tcPr>
          <w:p w14:paraId="04E2C1F6" w14:textId="77777777" w:rsidR="0093641B" w:rsidRPr="00F46944" w:rsidRDefault="0093641B" w:rsidP="00812202">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7,326</w:t>
            </w:r>
          </w:p>
        </w:tc>
        <w:tc>
          <w:tcPr>
            <w:tcW w:w="571" w:type="dxa"/>
          </w:tcPr>
          <w:p w14:paraId="0A379C63" w14:textId="77777777" w:rsidR="0093641B" w:rsidRPr="00F46944" w:rsidRDefault="0093641B" w:rsidP="00812202">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31.0</w:t>
            </w:r>
          </w:p>
        </w:tc>
        <w:tc>
          <w:tcPr>
            <w:tcW w:w="808" w:type="dxa"/>
          </w:tcPr>
          <w:p w14:paraId="12774747" w14:textId="79C8F286" w:rsidR="0093641B" w:rsidRPr="00F46944" w:rsidRDefault="0093641B" w:rsidP="00812202">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29.9</w:t>
            </w:r>
            <w:r w:rsidR="00C21856">
              <w:rPr>
                <w:rFonts w:cstheme="minorHAnsi"/>
                <w:color w:val="000000"/>
                <w:sz w:val="16"/>
                <w:szCs w:val="16"/>
              </w:rPr>
              <w:t>–</w:t>
            </w:r>
            <w:r w:rsidRPr="00F46944">
              <w:rPr>
                <w:rFonts w:cstheme="minorHAnsi"/>
                <w:color w:val="000000"/>
                <w:sz w:val="16"/>
                <w:szCs w:val="16"/>
              </w:rPr>
              <w:t>32.2</w:t>
            </w:r>
          </w:p>
        </w:tc>
        <w:tc>
          <w:tcPr>
            <w:tcW w:w="811" w:type="dxa"/>
          </w:tcPr>
          <w:p w14:paraId="04F622F2" w14:textId="77777777" w:rsidR="0093641B" w:rsidRPr="00F46944" w:rsidRDefault="0093641B" w:rsidP="00812202">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6,981</w:t>
            </w:r>
          </w:p>
        </w:tc>
        <w:tc>
          <w:tcPr>
            <w:tcW w:w="568" w:type="dxa"/>
          </w:tcPr>
          <w:p w14:paraId="71A76192" w14:textId="77777777" w:rsidR="0093641B" w:rsidRPr="00F46944" w:rsidRDefault="0093641B" w:rsidP="00812202">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32.0</w:t>
            </w:r>
          </w:p>
        </w:tc>
        <w:tc>
          <w:tcPr>
            <w:tcW w:w="830" w:type="dxa"/>
          </w:tcPr>
          <w:p w14:paraId="3D571F11" w14:textId="77777777" w:rsidR="0093641B" w:rsidRPr="00F46944" w:rsidRDefault="0093641B" w:rsidP="00812202">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30.7-33.3</w:t>
            </w:r>
          </w:p>
        </w:tc>
        <w:tc>
          <w:tcPr>
            <w:tcW w:w="1664" w:type="dxa"/>
          </w:tcPr>
          <w:p w14:paraId="524FA0EC" w14:textId="77777777" w:rsidR="0093641B" w:rsidRPr="00F46944" w:rsidRDefault="0093641B" w:rsidP="00812202">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proofErr w:type="spellStart"/>
            <w:r w:rsidRPr="00F46944">
              <w:rPr>
                <w:rFonts w:cstheme="minorHAnsi"/>
                <w:color w:val="000000"/>
                <w:sz w:val="16"/>
                <w:szCs w:val="16"/>
              </w:rPr>
              <w:t>nd</w:t>
            </w:r>
            <w:proofErr w:type="spellEnd"/>
          </w:p>
        </w:tc>
      </w:tr>
      <w:tr w:rsidR="00C16994" w:rsidRPr="00F46944" w14:paraId="579DE8DA" w14:textId="77777777" w:rsidTr="0019777E">
        <w:trPr>
          <w:trHeight w:val="641"/>
        </w:trPr>
        <w:tc>
          <w:tcPr>
            <w:cnfStyle w:val="001000000000" w:firstRow="0" w:lastRow="0" w:firstColumn="1" w:lastColumn="0" w:oddVBand="0" w:evenVBand="0" w:oddHBand="0" w:evenHBand="0" w:firstRowFirstColumn="0" w:firstRowLastColumn="0" w:lastRowFirstColumn="0" w:lastRowLastColumn="0"/>
            <w:tcW w:w="1513" w:type="dxa"/>
          </w:tcPr>
          <w:p w14:paraId="3D0A225A" w14:textId="77777777" w:rsidR="0093641B" w:rsidRPr="00F46944" w:rsidRDefault="0093641B" w:rsidP="0093641B">
            <w:pPr>
              <w:spacing w:before="60" w:after="60"/>
              <w:rPr>
                <w:rFonts w:cstheme="minorHAnsi"/>
                <w:color w:val="000000"/>
                <w:sz w:val="16"/>
                <w:szCs w:val="16"/>
              </w:rPr>
            </w:pPr>
            <w:r w:rsidRPr="00F46944">
              <w:rPr>
                <w:rFonts w:cstheme="minorHAnsi"/>
                <w:color w:val="000000"/>
                <w:sz w:val="16"/>
                <w:szCs w:val="16"/>
              </w:rPr>
              <w:t>Influenza-like illness</w:t>
            </w:r>
          </w:p>
        </w:tc>
        <w:tc>
          <w:tcPr>
            <w:tcW w:w="2081" w:type="dxa"/>
          </w:tcPr>
          <w:p w14:paraId="48D49975" w14:textId="77777777" w:rsidR="0093641B" w:rsidRPr="00F46944" w:rsidRDefault="0093641B" w:rsidP="0093641B">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Older than 1-year prescribed antimicrobials</w:t>
            </w:r>
          </w:p>
        </w:tc>
        <w:tc>
          <w:tcPr>
            <w:tcW w:w="768" w:type="dxa"/>
          </w:tcPr>
          <w:p w14:paraId="1F0FF147" w14:textId="77777777" w:rsidR="0093641B" w:rsidRPr="00F46944" w:rsidRDefault="0093641B" w:rsidP="0093641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650</w:t>
            </w:r>
          </w:p>
        </w:tc>
        <w:tc>
          <w:tcPr>
            <w:tcW w:w="571" w:type="dxa"/>
          </w:tcPr>
          <w:p w14:paraId="41A7E71E" w14:textId="77777777" w:rsidR="0093641B" w:rsidRPr="00F46944" w:rsidRDefault="0093641B" w:rsidP="0093641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8.6</w:t>
            </w:r>
          </w:p>
        </w:tc>
        <w:tc>
          <w:tcPr>
            <w:tcW w:w="808" w:type="dxa"/>
          </w:tcPr>
          <w:p w14:paraId="615A37D2" w14:textId="2D0D064D" w:rsidR="0093641B" w:rsidRPr="00F46944" w:rsidRDefault="0093641B" w:rsidP="0093641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7.4</w:t>
            </w:r>
            <w:r w:rsidR="00C21856">
              <w:rPr>
                <w:rFonts w:cstheme="minorHAnsi"/>
                <w:color w:val="000000"/>
                <w:sz w:val="16"/>
                <w:szCs w:val="16"/>
              </w:rPr>
              <w:t>–</w:t>
            </w:r>
            <w:r w:rsidR="00C21856">
              <w:rPr>
                <w:rFonts w:cstheme="minorHAnsi"/>
                <w:color w:val="000000"/>
                <w:sz w:val="16"/>
                <w:szCs w:val="16"/>
              </w:rPr>
              <w:br/>
            </w:r>
            <w:r w:rsidRPr="00F46944">
              <w:rPr>
                <w:rFonts w:cstheme="minorHAnsi"/>
                <w:color w:val="000000"/>
                <w:sz w:val="16"/>
                <w:szCs w:val="16"/>
              </w:rPr>
              <w:t>9.5</w:t>
            </w:r>
          </w:p>
        </w:tc>
        <w:tc>
          <w:tcPr>
            <w:tcW w:w="811" w:type="dxa"/>
          </w:tcPr>
          <w:p w14:paraId="5D1C6FE5" w14:textId="77777777" w:rsidR="0093641B" w:rsidRPr="00F46944" w:rsidRDefault="0093641B" w:rsidP="0093641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287</w:t>
            </w:r>
          </w:p>
        </w:tc>
        <w:tc>
          <w:tcPr>
            <w:tcW w:w="568" w:type="dxa"/>
          </w:tcPr>
          <w:p w14:paraId="26FD80A8" w14:textId="77777777" w:rsidR="0093641B" w:rsidRPr="00F46944" w:rsidRDefault="0093641B" w:rsidP="0093641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6.3</w:t>
            </w:r>
          </w:p>
        </w:tc>
        <w:tc>
          <w:tcPr>
            <w:tcW w:w="830" w:type="dxa"/>
          </w:tcPr>
          <w:p w14:paraId="663D660D" w14:textId="562B6525" w:rsidR="0093641B" w:rsidRPr="00F46944" w:rsidRDefault="0093641B" w:rsidP="0093641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3.8-</w:t>
            </w:r>
            <w:r w:rsidR="00C21856">
              <w:rPr>
                <w:rFonts w:cstheme="minorHAnsi"/>
                <w:color w:val="000000"/>
                <w:sz w:val="16"/>
                <w:szCs w:val="16"/>
              </w:rPr>
              <w:br/>
            </w:r>
            <w:r w:rsidRPr="00F46944">
              <w:rPr>
                <w:rFonts w:cstheme="minorHAnsi"/>
                <w:color w:val="000000"/>
                <w:sz w:val="16"/>
                <w:szCs w:val="16"/>
              </w:rPr>
              <w:t>8.7</w:t>
            </w:r>
          </w:p>
        </w:tc>
        <w:tc>
          <w:tcPr>
            <w:tcW w:w="1664" w:type="dxa"/>
          </w:tcPr>
          <w:p w14:paraId="5C80E354" w14:textId="77777777" w:rsidR="0093641B" w:rsidRPr="00F46944" w:rsidRDefault="0093641B" w:rsidP="0093641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0</w:t>
            </w:r>
          </w:p>
        </w:tc>
      </w:tr>
      <w:tr w:rsidR="00000115" w:rsidRPr="00F46944" w14:paraId="04D8A72C" w14:textId="77777777" w:rsidTr="0019777E">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1513" w:type="dxa"/>
            <w:vMerge w:val="restart"/>
          </w:tcPr>
          <w:p w14:paraId="377F126C" w14:textId="4E638A6E" w:rsidR="00000115" w:rsidRPr="00F46944" w:rsidRDefault="00000115" w:rsidP="00000115">
            <w:pPr>
              <w:spacing w:before="60" w:after="60"/>
              <w:rPr>
                <w:rFonts w:cstheme="minorHAnsi"/>
                <w:color w:val="000000"/>
                <w:sz w:val="16"/>
                <w:szCs w:val="16"/>
              </w:rPr>
            </w:pPr>
            <w:r w:rsidRPr="00F46944">
              <w:rPr>
                <w:rFonts w:cstheme="minorHAnsi"/>
                <w:color w:val="000000"/>
                <w:sz w:val="16"/>
                <w:szCs w:val="16"/>
              </w:rPr>
              <w:t>Acute otitis media</w:t>
            </w:r>
          </w:p>
        </w:tc>
        <w:tc>
          <w:tcPr>
            <w:tcW w:w="2081" w:type="dxa"/>
          </w:tcPr>
          <w:p w14:paraId="20F277BA" w14:textId="5BC271CE" w:rsidR="00000115" w:rsidRPr="00F46944" w:rsidRDefault="00000115" w:rsidP="00000115">
            <w:pPr>
              <w:spacing w:before="60" w:after="60"/>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Older than 2 years prescribed antimicrobials</w:t>
            </w:r>
          </w:p>
        </w:tc>
        <w:tc>
          <w:tcPr>
            <w:tcW w:w="768" w:type="dxa"/>
          </w:tcPr>
          <w:p w14:paraId="10E7E0C8" w14:textId="4D94CF7D" w:rsidR="00000115" w:rsidRPr="00F46944" w:rsidRDefault="00000115" w:rsidP="00000115">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20,809</w:t>
            </w:r>
          </w:p>
        </w:tc>
        <w:tc>
          <w:tcPr>
            <w:tcW w:w="571" w:type="dxa"/>
          </w:tcPr>
          <w:p w14:paraId="2AA713B4" w14:textId="60E8DE93" w:rsidR="00000115" w:rsidRPr="00F46944" w:rsidRDefault="00000115" w:rsidP="00000115">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83.3</w:t>
            </w:r>
          </w:p>
        </w:tc>
        <w:tc>
          <w:tcPr>
            <w:tcW w:w="808" w:type="dxa"/>
          </w:tcPr>
          <w:p w14:paraId="66AB98F6" w14:textId="67B7891E" w:rsidR="00000115" w:rsidRPr="00F46944" w:rsidRDefault="00000115" w:rsidP="00000115">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81.6</w:t>
            </w:r>
            <w:r w:rsidR="00C21856">
              <w:rPr>
                <w:rFonts w:cstheme="minorHAnsi"/>
                <w:color w:val="000000"/>
                <w:sz w:val="16"/>
                <w:szCs w:val="16"/>
              </w:rPr>
              <w:t>–</w:t>
            </w:r>
            <w:r w:rsidRPr="00F46944">
              <w:rPr>
                <w:rFonts w:cstheme="minorHAnsi"/>
                <w:color w:val="000000"/>
                <w:sz w:val="16"/>
                <w:szCs w:val="16"/>
              </w:rPr>
              <w:t>85.0</w:t>
            </w:r>
          </w:p>
        </w:tc>
        <w:tc>
          <w:tcPr>
            <w:tcW w:w="811" w:type="dxa"/>
          </w:tcPr>
          <w:p w14:paraId="6017F486" w14:textId="4E284A8A" w:rsidR="00000115" w:rsidRPr="00F46944" w:rsidRDefault="00000115" w:rsidP="00000115">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26,137</w:t>
            </w:r>
          </w:p>
        </w:tc>
        <w:tc>
          <w:tcPr>
            <w:tcW w:w="568" w:type="dxa"/>
          </w:tcPr>
          <w:p w14:paraId="120CACBF" w14:textId="7AC08145" w:rsidR="00000115" w:rsidRPr="00F46944" w:rsidRDefault="00000115" w:rsidP="00000115">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85.8</w:t>
            </w:r>
          </w:p>
        </w:tc>
        <w:tc>
          <w:tcPr>
            <w:tcW w:w="830" w:type="dxa"/>
          </w:tcPr>
          <w:p w14:paraId="0B4BDCBA" w14:textId="462C3EE9" w:rsidR="00000115" w:rsidRPr="00F46944" w:rsidRDefault="00000115" w:rsidP="00000115">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84.5-87.0</w:t>
            </w:r>
          </w:p>
        </w:tc>
        <w:tc>
          <w:tcPr>
            <w:tcW w:w="1664" w:type="dxa"/>
          </w:tcPr>
          <w:p w14:paraId="785F8E07" w14:textId="2A763A73" w:rsidR="00000115" w:rsidRPr="00F46944" w:rsidRDefault="00000115" w:rsidP="00000115">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20–31</w:t>
            </w:r>
          </w:p>
        </w:tc>
      </w:tr>
      <w:tr w:rsidR="00000115" w:rsidRPr="00F46944" w14:paraId="7E184DBE" w14:textId="77777777" w:rsidTr="0019777E">
        <w:trPr>
          <w:trHeight w:val="641"/>
        </w:trPr>
        <w:tc>
          <w:tcPr>
            <w:cnfStyle w:val="001000000000" w:firstRow="0" w:lastRow="0" w:firstColumn="1" w:lastColumn="0" w:oddVBand="0" w:evenVBand="0" w:oddHBand="0" w:evenHBand="0" w:firstRowFirstColumn="0" w:firstRowLastColumn="0" w:lastRowFirstColumn="0" w:lastRowLastColumn="0"/>
            <w:tcW w:w="1513" w:type="dxa"/>
            <w:vMerge/>
          </w:tcPr>
          <w:p w14:paraId="4E8F396D" w14:textId="77777777" w:rsidR="00000115" w:rsidRPr="00F46944" w:rsidRDefault="00000115" w:rsidP="00000115">
            <w:pPr>
              <w:spacing w:before="60" w:after="60"/>
              <w:rPr>
                <w:rFonts w:cstheme="minorHAnsi"/>
                <w:color w:val="000000"/>
                <w:sz w:val="16"/>
                <w:szCs w:val="16"/>
              </w:rPr>
            </w:pPr>
          </w:p>
        </w:tc>
        <w:tc>
          <w:tcPr>
            <w:tcW w:w="2081" w:type="dxa"/>
          </w:tcPr>
          <w:p w14:paraId="679AE88E" w14:textId="14AD2466" w:rsidR="00000115" w:rsidRPr="00F46944" w:rsidRDefault="00000115" w:rsidP="00000115">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And prescribed TG-recommended amoxicillin</w:t>
            </w:r>
          </w:p>
        </w:tc>
        <w:tc>
          <w:tcPr>
            <w:tcW w:w="768" w:type="dxa"/>
          </w:tcPr>
          <w:p w14:paraId="3CD8873F" w14:textId="515A0FA1" w:rsidR="00000115" w:rsidRPr="00F46944" w:rsidRDefault="00000115" w:rsidP="00000115">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13,818</w:t>
            </w:r>
          </w:p>
        </w:tc>
        <w:tc>
          <w:tcPr>
            <w:tcW w:w="571" w:type="dxa"/>
          </w:tcPr>
          <w:p w14:paraId="59C958CC" w14:textId="071684A2" w:rsidR="00000115" w:rsidRPr="00F46944" w:rsidRDefault="00000115" w:rsidP="00000115">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55.3</w:t>
            </w:r>
          </w:p>
        </w:tc>
        <w:tc>
          <w:tcPr>
            <w:tcW w:w="808" w:type="dxa"/>
          </w:tcPr>
          <w:p w14:paraId="1C606CF1" w14:textId="0714393D" w:rsidR="00000115" w:rsidRPr="00F46944" w:rsidRDefault="00000115" w:rsidP="00000115">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53.5</w:t>
            </w:r>
            <w:r w:rsidR="00C21856">
              <w:rPr>
                <w:rFonts w:cstheme="minorHAnsi"/>
                <w:color w:val="000000"/>
                <w:sz w:val="16"/>
                <w:szCs w:val="16"/>
              </w:rPr>
              <w:t>–</w:t>
            </w:r>
            <w:r w:rsidRPr="00F46944">
              <w:rPr>
                <w:rFonts w:cstheme="minorHAnsi"/>
                <w:color w:val="000000"/>
                <w:sz w:val="16"/>
                <w:szCs w:val="16"/>
              </w:rPr>
              <w:t>57.1</w:t>
            </w:r>
          </w:p>
        </w:tc>
        <w:tc>
          <w:tcPr>
            <w:tcW w:w="811" w:type="dxa"/>
          </w:tcPr>
          <w:p w14:paraId="3A40236E" w14:textId="225E0BD3" w:rsidR="00000115" w:rsidRPr="00F46944" w:rsidRDefault="00000115" w:rsidP="00000115">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18,284</w:t>
            </w:r>
          </w:p>
        </w:tc>
        <w:tc>
          <w:tcPr>
            <w:tcW w:w="568" w:type="dxa"/>
          </w:tcPr>
          <w:p w14:paraId="499C108C" w14:textId="0CF86D4E" w:rsidR="00000115" w:rsidRPr="00F46944" w:rsidRDefault="00000115" w:rsidP="00000115">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60.0</w:t>
            </w:r>
          </w:p>
        </w:tc>
        <w:tc>
          <w:tcPr>
            <w:tcW w:w="830" w:type="dxa"/>
          </w:tcPr>
          <w:p w14:paraId="03339FAF" w14:textId="31860009" w:rsidR="00000115" w:rsidRPr="00F46944" w:rsidRDefault="00000115" w:rsidP="00000115">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58.1-61.9</w:t>
            </w:r>
          </w:p>
        </w:tc>
        <w:tc>
          <w:tcPr>
            <w:tcW w:w="1664" w:type="dxa"/>
          </w:tcPr>
          <w:p w14:paraId="6E81A15D" w14:textId="7CBC23AC" w:rsidR="00000115" w:rsidRPr="00F46944" w:rsidRDefault="00000115" w:rsidP="00000115">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20–31</w:t>
            </w:r>
          </w:p>
        </w:tc>
      </w:tr>
      <w:tr w:rsidR="00000115" w:rsidRPr="00F46944" w14:paraId="2D59D47D" w14:textId="77777777" w:rsidTr="0019777E">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1513" w:type="dxa"/>
            <w:vMerge w:val="restart"/>
          </w:tcPr>
          <w:p w14:paraId="5FFADD24" w14:textId="77777777" w:rsidR="00000115" w:rsidRPr="00F46944" w:rsidRDefault="00000115" w:rsidP="00000115">
            <w:pPr>
              <w:spacing w:before="60" w:after="60"/>
              <w:rPr>
                <w:rFonts w:cstheme="minorHAnsi"/>
                <w:color w:val="000000"/>
                <w:sz w:val="16"/>
                <w:szCs w:val="16"/>
              </w:rPr>
            </w:pPr>
            <w:r w:rsidRPr="00F46944">
              <w:rPr>
                <w:rFonts w:cstheme="minorHAnsi"/>
                <w:color w:val="000000"/>
                <w:sz w:val="16"/>
                <w:szCs w:val="16"/>
              </w:rPr>
              <w:t>Pneumonia</w:t>
            </w:r>
          </w:p>
        </w:tc>
        <w:tc>
          <w:tcPr>
            <w:tcW w:w="2081" w:type="dxa"/>
          </w:tcPr>
          <w:p w14:paraId="3602A823" w14:textId="77777777" w:rsidR="00000115" w:rsidRPr="00F46944" w:rsidRDefault="00000115" w:rsidP="00000115">
            <w:pPr>
              <w:spacing w:before="60" w:after="60"/>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Aged 18–65 years prescribed antimicrobials</w:t>
            </w:r>
          </w:p>
        </w:tc>
        <w:tc>
          <w:tcPr>
            <w:tcW w:w="768" w:type="dxa"/>
          </w:tcPr>
          <w:p w14:paraId="1EF91C6F" w14:textId="77777777" w:rsidR="00000115" w:rsidRPr="00F46944" w:rsidRDefault="00000115" w:rsidP="00000115">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26,978</w:t>
            </w:r>
          </w:p>
        </w:tc>
        <w:tc>
          <w:tcPr>
            <w:tcW w:w="571" w:type="dxa"/>
          </w:tcPr>
          <w:p w14:paraId="55C4A05F" w14:textId="77777777" w:rsidR="00000115" w:rsidRPr="00F46944" w:rsidRDefault="00000115" w:rsidP="00000115">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78.4</w:t>
            </w:r>
          </w:p>
        </w:tc>
        <w:tc>
          <w:tcPr>
            <w:tcW w:w="808" w:type="dxa"/>
          </w:tcPr>
          <w:p w14:paraId="73493260" w14:textId="2DE49DDF" w:rsidR="00000115" w:rsidRPr="00F46944" w:rsidRDefault="00000115" w:rsidP="00000115">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76.4</w:t>
            </w:r>
            <w:r w:rsidR="00C21856">
              <w:rPr>
                <w:rFonts w:cstheme="minorHAnsi"/>
                <w:color w:val="000000"/>
                <w:sz w:val="16"/>
                <w:szCs w:val="16"/>
              </w:rPr>
              <w:t>–</w:t>
            </w:r>
            <w:r w:rsidRPr="00F46944">
              <w:rPr>
                <w:rFonts w:cstheme="minorHAnsi"/>
                <w:color w:val="000000"/>
                <w:sz w:val="16"/>
                <w:szCs w:val="16"/>
              </w:rPr>
              <w:t>80.5</w:t>
            </w:r>
          </w:p>
        </w:tc>
        <w:tc>
          <w:tcPr>
            <w:tcW w:w="811" w:type="dxa"/>
          </w:tcPr>
          <w:p w14:paraId="5A1E9338" w14:textId="77777777" w:rsidR="00000115" w:rsidRPr="00F46944" w:rsidRDefault="00000115" w:rsidP="00000115">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30,804</w:t>
            </w:r>
          </w:p>
        </w:tc>
        <w:tc>
          <w:tcPr>
            <w:tcW w:w="568" w:type="dxa"/>
          </w:tcPr>
          <w:p w14:paraId="6202BF68" w14:textId="77777777" w:rsidR="00000115" w:rsidRPr="00F46944" w:rsidRDefault="00000115" w:rsidP="00000115">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83.8</w:t>
            </w:r>
          </w:p>
        </w:tc>
        <w:tc>
          <w:tcPr>
            <w:tcW w:w="830" w:type="dxa"/>
          </w:tcPr>
          <w:p w14:paraId="1E75E07C" w14:textId="77777777" w:rsidR="00000115" w:rsidRPr="00F46944" w:rsidRDefault="00000115" w:rsidP="00000115">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82.6-85.1</w:t>
            </w:r>
          </w:p>
        </w:tc>
        <w:tc>
          <w:tcPr>
            <w:tcW w:w="1664" w:type="dxa"/>
          </w:tcPr>
          <w:p w14:paraId="2B31B783" w14:textId="77777777" w:rsidR="00000115" w:rsidRPr="00F46944" w:rsidRDefault="00000115" w:rsidP="00000115">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proofErr w:type="spellStart"/>
            <w:r w:rsidRPr="00F46944">
              <w:rPr>
                <w:rFonts w:cstheme="minorHAnsi"/>
                <w:color w:val="000000"/>
                <w:sz w:val="16"/>
                <w:szCs w:val="16"/>
              </w:rPr>
              <w:t>nd</w:t>
            </w:r>
            <w:proofErr w:type="spellEnd"/>
          </w:p>
        </w:tc>
      </w:tr>
      <w:tr w:rsidR="00000115" w:rsidRPr="00F46944" w14:paraId="0854A55B" w14:textId="77777777" w:rsidTr="0019777E">
        <w:trPr>
          <w:trHeight w:val="1016"/>
        </w:trPr>
        <w:tc>
          <w:tcPr>
            <w:cnfStyle w:val="001000000000" w:firstRow="0" w:lastRow="0" w:firstColumn="1" w:lastColumn="0" w:oddVBand="0" w:evenVBand="0" w:oddHBand="0" w:evenHBand="0" w:firstRowFirstColumn="0" w:firstRowLastColumn="0" w:lastRowFirstColumn="0" w:lastRowLastColumn="0"/>
            <w:tcW w:w="1513" w:type="dxa"/>
            <w:vMerge/>
          </w:tcPr>
          <w:p w14:paraId="6A398637" w14:textId="77777777" w:rsidR="00000115" w:rsidRPr="00F46944" w:rsidRDefault="00000115" w:rsidP="00000115">
            <w:pPr>
              <w:spacing w:before="60" w:after="60"/>
              <w:rPr>
                <w:rFonts w:cstheme="minorHAnsi"/>
                <w:color w:val="000000"/>
                <w:sz w:val="16"/>
                <w:szCs w:val="16"/>
              </w:rPr>
            </w:pPr>
          </w:p>
        </w:tc>
        <w:tc>
          <w:tcPr>
            <w:tcW w:w="2081" w:type="dxa"/>
          </w:tcPr>
          <w:p w14:paraId="3BDEDEC5" w14:textId="77777777" w:rsidR="00000115" w:rsidRPr="00F46944" w:rsidRDefault="00000115" w:rsidP="00000115">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And prescribed TG-recommended antimicrobial (for mild CAP – amoxicillin or doxycycline)</w:t>
            </w:r>
          </w:p>
        </w:tc>
        <w:tc>
          <w:tcPr>
            <w:tcW w:w="768" w:type="dxa"/>
          </w:tcPr>
          <w:p w14:paraId="70150FE5" w14:textId="77777777" w:rsidR="00000115" w:rsidRPr="00F46944" w:rsidRDefault="00000115" w:rsidP="00000115">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15,814</w:t>
            </w:r>
          </w:p>
        </w:tc>
        <w:tc>
          <w:tcPr>
            <w:tcW w:w="571" w:type="dxa"/>
          </w:tcPr>
          <w:p w14:paraId="730FA658" w14:textId="77777777" w:rsidR="00000115" w:rsidRPr="00F46944" w:rsidRDefault="00000115" w:rsidP="00000115">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46.0</w:t>
            </w:r>
          </w:p>
        </w:tc>
        <w:tc>
          <w:tcPr>
            <w:tcW w:w="808" w:type="dxa"/>
          </w:tcPr>
          <w:p w14:paraId="3A6D7C60" w14:textId="36893D25" w:rsidR="00000115" w:rsidRPr="00F46944" w:rsidRDefault="00000115" w:rsidP="00000115">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44.1</w:t>
            </w:r>
            <w:r w:rsidR="00C21856">
              <w:rPr>
                <w:rFonts w:cstheme="minorHAnsi"/>
                <w:color w:val="000000"/>
                <w:sz w:val="16"/>
                <w:szCs w:val="16"/>
              </w:rPr>
              <w:t>–</w:t>
            </w:r>
            <w:r w:rsidRPr="00F46944">
              <w:rPr>
                <w:rFonts w:cstheme="minorHAnsi"/>
                <w:color w:val="000000"/>
                <w:sz w:val="16"/>
                <w:szCs w:val="16"/>
              </w:rPr>
              <w:t>47.8</w:t>
            </w:r>
          </w:p>
        </w:tc>
        <w:tc>
          <w:tcPr>
            <w:tcW w:w="811" w:type="dxa"/>
          </w:tcPr>
          <w:p w14:paraId="154932D7" w14:textId="77777777" w:rsidR="00000115" w:rsidRPr="00F46944" w:rsidRDefault="00000115" w:rsidP="00000115">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19,236</w:t>
            </w:r>
          </w:p>
        </w:tc>
        <w:tc>
          <w:tcPr>
            <w:tcW w:w="568" w:type="dxa"/>
          </w:tcPr>
          <w:p w14:paraId="34300BEB" w14:textId="77777777" w:rsidR="00000115" w:rsidRPr="00F46944" w:rsidRDefault="00000115" w:rsidP="00000115">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52.3</w:t>
            </w:r>
          </w:p>
        </w:tc>
        <w:tc>
          <w:tcPr>
            <w:tcW w:w="830" w:type="dxa"/>
          </w:tcPr>
          <w:p w14:paraId="3245F77C" w14:textId="77777777" w:rsidR="00000115" w:rsidRPr="00F46944" w:rsidRDefault="00000115" w:rsidP="00000115">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50.2-54.5</w:t>
            </w:r>
          </w:p>
        </w:tc>
        <w:tc>
          <w:tcPr>
            <w:tcW w:w="1664" w:type="dxa"/>
          </w:tcPr>
          <w:p w14:paraId="413423F8" w14:textId="77777777" w:rsidR="00000115" w:rsidRPr="00F46944" w:rsidRDefault="00000115" w:rsidP="00000115">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100</w:t>
            </w:r>
          </w:p>
        </w:tc>
      </w:tr>
      <w:tr w:rsidR="00000115" w:rsidRPr="00F46944" w14:paraId="32E15844" w14:textId="77777777" w:rsidTr="0019777E">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1513" w:type="dxa"/>
            <w:vMerge w:val="restart"/>
          </w:tcPr>
          <w:p w14:paraId="325859BE" w14:textId="77777777" w:rsidR="00000115" w:rsidRPr="00F46944" w:rsidRDefault="00000115" w:rsidP="00000115">
            <w:pPr>
              <w:spacing w:before="60" w:after="60"/>
              <w:rPr>
                <w:rFonts w:cstheme="minorHAnsi"/>
                <w:color w:val="000000"/>
                <w:sz w:val="16"/>
                <w:szCs w:val="16"/>
              </w:rPr>
            </w:pPr>
            <w:r w:rsidRPr="00F46944">
              <w:rPr>
                <w:rFonts w:cstheme="minorHAnsi"/>
                <w:color w:val="000000"/>
                <w:sz w:val="16"/>
                <w:szCs w:val="16"/>
              </w:rPr>
              <w:t>Sinusitis (acute/chronic)</w:t>
            </w:r>
          </w:p>
        </w:tc>
        <w:tc>
          <w:tcPr>
            <w:tcW w:w="2081" w:type="dxa"/>
          </w:tcPr>
          <w:p w14:paraId="0277A505" w14:textId="77777777" w:rsidR="00000115" w:rsidRPr="00F46944" w:rsidRDefault="00000115" w:rsidP="00000115">
            <w:pPr>
              <w:spacing w:before="60" w:after="60"/>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Older than 18 years prescribed antimicrobials</w:t>
            </w:r>
          </w:p>
        </w:tc>
        <w:tc>
          <w:tcPr>
            <w:tcW w:w="768" w:type="dxa"/>
          </w:tcPr>
          <w:p w14:paraId="43025FDF" w14:textId="77777777" w:rsidR="00000115" w:rsidRPr="00F46944" w:rsidRDefault="00000115" w:rsidP="00000115">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35,947</w:t>
            </w:r>
          </w:p>
        </w:tc>
        <w:tc>
          <w:tcPr>
            <w:tcW w:w="571" w:type="dxa"/>
          </w:tcPr>
          <w:p w14:paraId="4D24CA8D" w14:textId="77777777" w:rsidR="00000115" w:rsidRPr="00F46944" w:rsidRDefault="00000115" w:rsidP="00000115">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75.2</w:t>
            </w:r>
          </w:p>
        </w:tc>
        <w:tc>
          <w:tcPr>
            <w:tcW w:w="808" w:type="dxa"/>
          </w:tcPr>
          <w:p w14:paraId="177B5A38" w14:textId="49FB72B5" w:rsidR="00000115" w:rsidRPr="00F46944" w:rsidRDefault="00000115" w:rsidP="00000115">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73.5</w:t>
            </w:r>
            <w:r w:rsidR="00C21856">
              <w:rPr>
                <w:rFonts w:cstheme="minorHAnsi"/>
                <w:color w:val="000000"/>
                <w:sz w:val="16"/>
                <w:szCs w:val="16"/>
              </w:rPr>
              <w:t>–</w:t>
            </w:r>
            <w:r w:rsidRPr="00F46944">
              <w:rPr>
                <w:rFonts w:cstheme="minorHAnsi"/>
                <w:color w:val="000000"/>
                <w:sz w:val="16"/>
                <w:szCs w:val="16"/>
              </w:rPr>
              <w:t>76.8</w:t>
            </w:r>
          </w:p>
        </w:tc>
        <w:tc>
          <w:tcPr>
            <w:tcW w:w="811" w:type="dxa"/>
          </w:tcPr>
          <w:p w14:paraId="7240C565" w14:textId="77777777" w:rsidR="00000115" w:rsidRPr="00F46944" w:rsidRDefault="00000115" w:rsidP="00000115">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38,028</w:t>
            </w:r>
          </w:p>
        </w:tc>
        <w:tc>
          <w:tcPr>
            <w:tcW w:w="568" w:type="dxa"/>
          </w:tcPr>
          <w:p w14:paraId="39E1B698" w14:textId="77777777" w:rsidR="00000115" w:rsidRPr="00F46944" w:rsidRDefault="00000115" w:rsidP="00000115">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78.2</w:t>
            </w:r>
          </w:p>
        </w:tc>
        <w:tc>
          <w:tcPr>
            <w:tcW w:w="830" w:type="dxa"/>
          </w:tcPr>
          <w:p w14:paraId="2326A549" w14:textId="77777777" w:rsidR="00000115" w:rsidRPr="00F46944" w:rsidRDefault="00000115" w:rsidP="00000115">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76.9-79.6</w:t>
            </w:r>
          </w:p>
        </w:tc>
        <w:tc>
          <w:tcPr>
            <w:tcW w:w="1664" w:type="dxa"/>
          </w:tcPr>
          <w:p w14:paraId="1C9FA09D" w14:textId="6A40A471" w:rsidR="00000115" w:rsidRPr="00F46944" w:rsidRDefault="00000115" w:rsidP="00000115">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0.5-8</w:t>
            </w:r>
          </w:p>
        </w:tc>
      </w:tr>
      <w:tr w:rsidR="00000115" w:rsidRPr="00F46944" w14:paraId="6EBF6C60" w14:textId="77777777" w:rsidTr="0019777E">
        <w:trPr>
          <w:trHeight w:val="641"/>
        </w:trPr>
        <w:tc>
          <w:tcPr>
            <w:cnfStyle w:val="001000000000" w:firstRow="0" w:lastRow="0" w:firstColumn="1" w:lastColumn="0" w:oddVBand="0" w:evenVBand="0" w:oddHBand="0" w:evenHBand="0" w:firstRowFirstColumn="0" w:firstRowLastColumn="0" w:lastRowFirstColumn="0" w:lastRowLastColumn="0"/>
            <w:tcW w:w="1513" w:type="dxa"/>
            <w:vMerge/>
          </w:tcPr>
          <w:p w14:paraId="0A03E925" w14:textId="77777777" w:rsidR="00000115" w:rsidRPr="00F46944" w:rsidRDefault="00000115" w:rsidP="00000115">
            <w:pPr>
              <w:spacing w:before="60" w:after="60"/>
              <w:rPr>
                <w:rFonts w:cstheme="minorHAnsi"/>
                <w:color w:val="000000"/>
                <w:sz w:val="16"/>
                <w:szCs w:val="16"/>
              </w:rPr>
            </w:pPr>
          </w:p>
        </w:tc>
        <w:tc>
          <w:tcPr>
            <w:tcW w:w="2081" w:type="dxa"/>
          </w:tcPr>
          <w:p w14:paraId="5313EC02" w14:textId="77777777" w:rsidR="00000115" w:rsidRPr="00F46944" w:rsidRDefault="00000115" w:rsidP="00000115">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And prescribed TG-recommended amoxicillin</w:t>
            </w:r>
          </w:p>
        </w:tc>
        <w:tc>
          <w:tcPr>
            <w:tcW w:w="768" w:type="dxa"/>
          </w:tcPr>
          <w:p w14:paraId="3E51F213" w14:textId="77777777" w:rsidR="00000115" w:rsidRPr="00F46944" w:rsidRDefault="00000115" w:rsidP="00000115">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14,463</w:t>
            </w:r>
          </w:p>
        </w:tc>
        <w:tc>
          <w:tcPr>
            <w:tcW w:w="571" w:type="dxa"/>
          </w:tcPr>
          <w:p w14:paraId="68C0AB93" w14:textId="77777777" w:rsidR="00000115" w:rsidRPr="00F46944" w:rsidRDefault="00000115" w:rsidP="00000115">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30.2</w:t>
            </w:r>
          </w:p>
        </w:tc>
        <w:tc>
          <w:tcPr>
            <w:tcW w:w="808" w:type="dxa"/>
          </w:tcPr>
          <w:p w14:paraId="42831D17" w14:textId="4E6C616B" w:rsidR="00000115" w:rsidRPr="00F46944" w:rsidRDefault="00000115" w:rsidP="00000115">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28.8</w:t>
            </w:r>
            <w:r w:rsidR="00C21856">
              <w:rPr>
                <w:rFonts w:cstheme="minorHAnsi"/>
                <w:color w:val="000000"/>
                <w:sz w:val="16"/>
                <w:szCs w:val="16"/>
              </w:rPr>
              <w:t>–</w:t>
            </w:r>
            <w:r w:rsidRPr="00F46944">
              <w:rPr>
                <w:rFonts w:cstheme="minorHAnsi"/>
                <w:color w:val="000000"/>
                <w:sz w:val="16"/>
                <w:szCs w:val="16"/>
              </w:rPr>
              <w:t>31.7</w:t>
            </w:r>
          </w:p>
        </w:tc>
        <w:tc>
          <w:tcPr>
            <w:tcW w:w="811" w:type="dxa"/>
          </w:tcPr>
          <w:p w14:paraId="3AFFCA68" w14:textId="77777777" w:rsidR="00000115" w:rsidRPr="00F46944" w:rsidRDefault="00000115" w:rsidP="00000115">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16,667</w:t>
            </w:r>
          </w:p>
        </w:tc>
        <w:tc>
          <w:tcPr>
            <w:tcW w:w="568" w:type="dxa"/>
          </w:tcPr>
          <w:p w14:paraId="0204C377" w14:textId="77777777" w:rsidR="00000115" w:rsidRPr="00F46944" w:rsidRDefault="00000115" w:rsidP="00000115">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34.3</w:t>
            </w:r>
          </w:p>
        </w:tc>
        <w:tc>
          <w:tcPr>
            <w:tcW w:w="830" w:type="dxa"/>
          </w:tcPr>
          <w:p w14:paraId="0BCB4AE1" w14:textId="77777777" w:rsidR="00000115" w:rsidRPr="00F46944" w:rsidRDefault="00000115" w:rsidP="00000115">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32.4-36.2</w:t>
            </w:r>
          </w:p>
        </w:tc>
        <w:tc>
          <w:tcPr>
            <w:tcW w:w="1664" w:type="dxa"/>
          </w:tcPr>
          <w:p w14:paraId="11045862" w14:textId="2EE233A4" w:rsidR="00000115" w:rsidRPr="00F46944" w:rsidRDefault="00000115" w:rsidP="00000115">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0.5</w:t>
            </w:r>
            <w:r w:rsidR="00C21856">
              <w:rPr>
                <w:rFonts w:cstheme="minorHAnsi"/>
                <w:color w:val="000000"/>
                <w:sz w:val="16"/>
                <w:szCs w:val="16"/>
              </w:rPr>
              <w:t>–</w:t>
            </w:r>
            <w:r w:rsidRPr="00F46944">
              <w:rPr>
                <w:rFonts w:cstheme="minorHAnsi"/>
                <w:color w:val="000000"/>
                <w:sz w:val="16"/>
                <w:szCs w:val="16"/>
              </w:rPr>
              <w:t>8 (acute)</w:t>
            </w:r>
          </w:p>
        </w:tc>
      </w:tr>
      <w:tr w:rsidR="00000115" w:rsidRPr="00F46944" w14:paraId="3DCFA2E7" w14:textId="77777777" w:rsidTr="0019777E">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513" w:type="dxa"/>
            <w:vMerge w:val="restart"/>
          </w:tcPr>
          <w:p w14:paraId="10BF0813" w14:textId="277B76D1" w:rsidR="00000115" w:rsidRPr="00F46944" w:rsidRDefault="00000115" w:rsidP="00000115">
            <w:pPr>
              <w:spacing w:before="60" w:after="60"/>
              <w:rPr>
                <w:rFonts w:cstheme="minorHAnsi"/>
                <w:color w:val="000000"/>
                <w:sz w:val="16"/>
                <w:szCs w:val="16"/>
              </w:rPr>
            </w:pPr>
            <w:r w:rsidRPr="00F46944">
              <w:rPr>
                <w:rFonts w:cstheme="minorHAnsi"/>
                <w:color w:val="000000"/>
                <w:sz w:val="16"/>
                <w:szCs w:val="16"/>
              </w:rPr>
              <w:t>Acute tonsillitis</w:t>
            </w:r>
          </w:p>
        </w:tc>
        <w:tc>
          <w:tcPr>
            <w:tcW w:w="2081" w:type="dxa"/>
          </w:tcPr>
          <w:p w14:paraId="0BA56E50" w14:textId="4689F90E" w:rsidR="00000115" w:rsidRPr="00F46944" w:rsidRDefault="00000115" w:rsidP="00000115">
            <w:pPr>
              <w:spacing w:before="60" w:after="60"/>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Older than 1-year prescribed antimicrobials</w:t>
            </w:r>
          </w:p>
        </w:tc>
        <w:tc>
          <w:tcPr>
            <w:tcW w:w="768" w:type="dxa"/>
          </w:tcPr>
          <w:p w14:paraId="6485A962" w14:textId="362472B7" w:rsidR="00000115" w:rsidRPr="00F46944" w:rsidRDefault="00000115" w:rsidP="00000115">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26,158</w:t>
            </w:r>
          </w:p>
        </w:tc>
        <w:tc>
          <w:tcPr>
            <w:tcW w:w="571" w:type="dxa"/>
          </w:tcPr>
          <w:p w14:paraId="76C008E3" w14:textId="2F51AE26" w:rsidR="00000115" w:rsidRPr="00F46944" w:rsidRDefault="00000115" w:rsidP="00000115">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84.5</w:t>
            </w:r>
          </w:p>
        </w:tc>
        <w:tc>
          <w:tcPr>
            <w:tcW w:w="808" w:type="dxa"/>
          </w:tcPr>
          <w:p w14:paraId="4021E912" w14:textId="36E3F864" w:rsidR="00000115" w:rsidRPr="00F46944" w:rsidRDefault="00000115" w:rsidP="00000115">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81.0</w:t>
            </w:r>
            <w:r w:rsidR="00C21856">
              <w:rPr>
                <w:rFonts w:cstheme="minorHAnsi"/>
                <w:color w:val="000000"/>
                <w:sz w:val="16"/>
                <w:szCs w:val="16"/>
              </w:rPr>
              <w:t>–</w:t>
            </w:r>
            <w:r w:rsidRPr="00F46944">
              <w:rPr>
                <w:rFonts w:cstheme="minorHAnsi"/>
                <w:color w:val="000000"/>
                <w:sz w:val="16"/>
                <w:szCs w:val="16"/>
              </w:rPr>
              <w:t>87.9</w:t>
            </w:r>
          </w:p>
        </w:tc>
        <w:tc>
          <w:tcPr>
            <w:tcW w:w="811" w:type="dxa"/>
          </w:tcPr>
          <w:p w14:paraId="6FF73413" w14:textId="7558886D" w:rsidR="00000115" w:rsidRPr="00F46944" w:rsidRDefault="00000115" w:rsidP="00000115">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26,384</w:t>
            </w:r>
          </w:p>
        </w:tc>
        <w:tc>
          <w:tcPr>
            <w:tcW w:w="568" w:type="dxa"/>
          </w:tcPr>
          <w:p w14:paraId="7995A340" w14:textId="6076A752" w:rsidR="00000115" w:rsidRPr="00F46944" w:rsidRDefault="00000115" w:rsidP="00000115">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86.1</w:t>
            </w:r>
          </w:p>
        </w:tc>
        <w:tc>
          <w:tcPr>
            <w:tcW w:w="830" w:type="dxa"/>
          </w:tcPr>
          <w:p w14:paraId="7CA4D33F" w14:textId="42FDDA04" w:rsidR="00000115" w:rsidRPr="00F46944" w:rsidRDefault="00000115" w:rsidP="00000115">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83.8-88.3</w:t>
            </w:r>
          </w:p>
        </w:tc>
        <w:tc>
          <w:tcPr>
            <w:tcW w:w="1664" w:type="dxa"/>
          </w:tcPr>
          <w:p w14:paraId="5A49019C" w14:textId="1FA1B481" w:rsidR="00000115" w:rsidRPr="00F46944" w:rsidRDefault="00000115" w:rsidP="00000115">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19-40</w:t>
            </w:r>
          </w:p>
        </w:tc>
      </w:tr>
      <w:tr w:rsidR="00000115" w:rsidRPr="00F46944" w14:paraId="4B6EA09A" w14:textId="77777777" w:rsidTr="0019777E">
        <w:trPr>
          <w:trHeight w:val="662"/>
        </w:trPr>
        <w:tc>
          <w:tcPr>
            <w:cnfStyle w:val="001000000000" w:firstRow="0" w:lastRow="0" w:firstColumn="1" w:lastColumn="0" w:oddVBand="0" w:evenVBand="0" w:oddHBand="0" w:evenHBand="0" w:firstRowFirstColumn="0" w:firstRowLastColumn="0" w:lastRowFirstColumn="0" w:lastRowLastColumn="0"/>
            <w:tcW w:w="1513" w:type="dxa"/>
            <w:vMerge/>
          </w:tcPr>
          <w:p w14:paraId="0CCF5763" w14:textId="77777777" w:rsidR="00000115" w:rsidRPr="00F46944" w:rsidRDefault="00000115" w:rsidP="00000115">
            <w:pPr>
              <w:spacing w:before="60" w:after="60"/>
              <w:rPr>
                <w:rFonts w:cstheme="minorHAnsi"/>
                <w:color w:val="000000"/>
                <w:sz w:val="16"/>
                <w:szCs w:val="16"/>
              </w:rPr>
            </w:pPr>
          </w:p>
        </w:tc>
        <w:tc>
          <w:tcPr>
            <w:tcW w:w="2081" w:type="dxa"/>
          </w:tcPr>
          <w:p w14:paraId="09582E7C" w14:textId="199685AB" w:rsidR="00000115" w:rsidRPr="00F46944" w:rsidRDefault="00000115" w:rsidP="00000115">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And prescribed TG-recommended penicillin V</w:t>
            </w:r>
          </w:p>
        </w:tc>
        <w:tc>
          <w:tcPr>
            <w:tcW w:w="768" w:type="dxa"/>
          </w:tcPr>
          <w:p w14:paraId="16FC0365" w14:textId="3E92AB91" w:rsidR="00000115" w:rsidRPr="00F46944" w:rsidRDefault="00000115" w:rsidP="00000115">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14,835</w:t>
            </w:r>
          </w:p>
        </w:tc>
        <w:tc>
          <w:tcPr>
            <w:tcW w:w="571" w:type="dxa"/>
          </w:tcPr>
          <w:p w14:paraId="5D1B03F2" w14:textId="1BCCA73B" w:rsidR="00000115" w:rsidRPr="00F46944" w:rsidRDefault="00000115" w:rsidP="00000115">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48.0</w:t>
            </w:r>
          </w:p>
        </w:tc>
        <w:tc>
          <w:tcPr>
            <w:tcW w:w="808" w:type="dxa"/>
          </w:tcPr>
          <w:p w14:paraId="707334FA" w14:textId="62BCD7B0" w:rsidR="00000115" w:rsidRPr="00F46944" w:rsidRDefault="00000115" w:rsidP="00000115">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44.5</w:t>
            </w:r>
            <w:r w:rsidR="00C21856">
              <w:rPr>
                <w:rFonts w:cstheme="minorHAnsi"/>
                <w:color w:val="000000"/>
                <w:sz w:val="16"/>
                <w:szCs w:val="16"/>
              </w:rPr>
              <w:t>–</w:t>
            </w:r>
            <w:r w:rsidRPr="00F46944">
              <w:rPr>
                <w:rFonts w:cstheme="minorHAnsi"/>
                <w:color w:val="000000"/>
                <w:sz w:val="16"/>
                <w:szCs w:val="16"/>
              </w:rPr>
              <w:t>51.3</w:t>
            </w:r>
          </w:p>
        </w:tc>
        <w:tc>
          <w:tcPr>
            <w:tcW w:w="811" w:type="dxa"/>
          </w:tcPr>
          <w:p w14:paraId="0EC44167" w14:textId="28761D73" w:rsidR="00000115" w:rsidRPr="00F46944" w:rsidRDefault="00000115" w:rsidP="00000115">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15,561</w:t>
            </w:r>
          </w:p>
        </w:tc>
        <w:tc>
          <w:tcPr>
            <w:tcW w:w="568" w:type="dxa"/>
          </w:tcPr>
          <w:p w14:paraId="1A0DB329" w14:textId="56547BEC" w:rsidR="00000115" w:rsidRPr="00F46944" w:rsidRDefault="00000115" w:rsidP="00000115">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50.8</w:t>
            </w:r>
          </w:p>
        </w:tc>
        <w:tc>
          <w:tcPr>
            <w:tcW w:w="830" w:type="dxa"/>
          </w:tcPr>
          <w:p w14:paraId="1A9EDBDA" w14:textId="022300F4" w:rsidR="00000115" w:rsidRPr="00F46944" w:rsidRDefault="00000115" w:rsidP="00000115">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47.9-53.6</w:t>
            </w:r>
          </w:p>
        </w:tc>
        <w:tc>
          <w:tcPr>
            <w:tcW w:w="1664" w:type="dxa"/>
          </w:tcPr>
          <w:p w14:paraId="5B64F743" w14:textId="13E8398E" w:rsidR="00000115" w:rsidRPr="00F46944" w:rsidRDefault="00000115" w:rsidP="00000115">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19-40</w:t>
            </w:r>
          </w:p>
        </w:tc>
      </w:tr>
      <w:tr w:rsidR="00000115" w:rsidRPr="00F46944" w14:paraId="078F53AA" w14:textId="77777777" w:rsidTr="0019777E">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513" w:type="dxa"/>
          </w:tcPr>
          <w:p w14:paraId="40AD8617" w14:textId="77777777" w:rsidR="00000115" w:rsidRPr="00F46944" w:rsidRDefault="00000115" w:rsidP="00000115">
            <w:pPr>
              <w:spacing w:before="60" w:after="60"/>
              <w:rPr>
                <w:rFonts w:cstheme="minorHAnsi"/>
                <w:color w:val="000000"/>
                <w:sz w:val="16"/>
                <w:szCs w:val="16"/>
              </w:rPr>
            </w:pPr>
            <w:r w:rsidRPr="00F46944">
              <w:rPr>
                <w:rFonts w:cstheme="minorHAnsi"/>
                <w:color w:val="000000"/>
                <w:sz w:val="16"/>
                <w:szCs w:val="16"/>
              </w:rPr>
              <w:t>Acute URTI</w:t>
            </w:r>
          </w:p>
        </w:tc>
        <w:tc>
          <w:tcPr>
            <w:tcW w:w="2081" w:type="dxa"/>
          </w:tcPr>
          <w:p w14:paraId="5BFDEF1B" w14:textId="77777777" w:rsidR="00000115" w:rsidRPr="00F46944" w:rsidRDefault="00000115" w:rsidP="00000115">
            <w:pPr>
              <w:spacing w:before="60" w:after="60"/>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Older than 1-year prescribed antimicrobials</w:t>
            </w:r>
          </w:p>
        </w:tc>
        <w:tc>
          <w:tcPr>
            <w:tcW w:w="768" w:type="dxa"/>
          </w:tcPr>
          <w:p w14:paraId="37CAB4FA" w14:textId="77777777" w:rsidR="00000115" w:rsidRPr="00F46944" w:rsidRDefault="00000115" w:rsidP="00000115">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64,676</w:t>
            </w:r>
          </w:p>
        </w:tc>
        <w:tc>
          <w:tcPr>
            <w:tcW w:w="571" w:type="dxa"/>
          </w:tcPr>
          <w:p w14:paraId="768DB04F" w14:textId="77777777" w:rsidR="00000115" w:rsidRPr="00F46944" w:rsidRDefault="00000115" w:rsidP="00000115">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27.4</w:t>
            </w:r>
          </w:p>
        </w:tc>
        <w:tc>
          <w:tcPr>
            <w:tcW w:w="808" w:type="dxa"/>
          </w:tcPr>
          <w:p w14:paraId="34B1D091" w14:textId="01AB6018" w:rsidR="00000115" w:rsidRPr="00F46944" w:rsidRDefault="00000115" w:rsidP="00000115">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25.3</w:t>
            </w:r>
            <w:r w:rsidR="00C21856">
              <w:rPr>
                <w:rFonts w:cstheme="minorHAnsi"/>
                <w:color w:val="000000"/>
                <w:sz w:val="16"/>
                <w:szCs w:val="16"/>
              </w:rPr>
              <w:t>–</w:t>
            </w:r>
            <w:r w:rsidRPr="00F46944">
              <w:rPr>
                <w:rFonts w:cstheme="minorHAnsi"/>
                <w:color w:val="000000"/>
                <w:sz w:val="16"/>
                <w:szCs w:val="16"/>
              </w:rPr>
              <w:t>29.5</w:t>
            </w:r>
          </w:p>
        </w:tc>
        <w:tc>
          <w:tcPr>
            <w:tcW w:w="811" w:type="dxa"/>
          </w:tcPr>
          <w:p w14:paraId="249B2CE9" w14:textId="77777777" w:rsidR="00000115" w:rsidRPr="00F46944" w:rsidRDefault="00000115" w:rsidP="00000115">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70,165</w:t>
            </w:r>
          </w:p>
        </w:tc>
        <w:tc>
          <w:tcPr>
            <w:tcW w:w="568" w:type="dxa"/>
          </w:tcPr>
          <w:p w14:paraId="70169F23" w14:textId="77777777" w:rsidR="00000115" w:rsidRPr="00F46944" w:rsidRDefault="00000115" w:rsidP="00000115">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35.1</w:t>
            </w:r>
          </w:p>
        </w:tc>
        <w:tc>
          <w:tcPr>
            <w:tcW w:w="830" w:type="dxa"/>
          </w:tcPr>
          <w:p w14:paraId="2EE40045" w14:textId="77777777" w:rsidR="00000115" w:rsidRPr="00F46944" w:rsidRDefault="00000115" w:rsidP="00000115">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33.1-37.0</w:t>
            </w:r>
          </w:p>
        </w:tc>
        <w:tc>
          <w:tcPr>
            <w:tcW w:w="1664" w:type="dxa"/>
          </w:tcPr>
          <w:p w14:paraId="7BEB28F6" w14:textId="77777777" w:rsidR="00000115" w:rsidRPr="00F46944" w:rsidRDefault="00000115" w:rsidP="00000115">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proofErr w:type="spellStart"/>
            <w:r w:rsidRPr="00F46944">
              <w:rPr>
                <w:rFonts w:cstheme="minorHAnsi"/>
                <w:color w:val="000000"/>
                <w:sz w:val="16"/>
                <w:szCs w:val="16"/>
              </w:rPr>
              <w:t>nd</w:t>
            </w:r>
            <w:proofErr w:type="spellEnd"/>
          </w:p>
        </w:tc>
      </w:tr>
      <w:tr w:rsidR="00000115" w:rsidRPr="00F46944" w14:paraId="2E3E489F" w14:textId="77777777" w:rsidTr="0019777E">
        <w:trPr>
          <w:trHeight w:val="641"/>
        </w:trPr>
        <w:tc>
          <w:tcPr>
            <w:cnfStyle w:val="001000000000" w:firstRow="0" w:lastRow="0" w:firstColumn="1" w:lastColumn="0" w:oddVBand="0" w:evenVBand="0" w:oddHBand="0" w:evenHBand="0" w:firstRowFirstColumn="0" w:firstRowLastColumn="0" w:lastRowFirstColumn="0" w:lastRowLastColumn="0"/>
            <w:tcW w:w="1513" w:type="dxa"/>
            <w:vMerge w:val="restart"/>
          </w:tcPr>
          <w:p w14:paraId="2089629F" w14:textId="77777777" w:rsidR="00000115" w:rsidRPr="00F46944" w:rsidRDefault="00000115" w:rsidP="00000115">
            <w:pPr>
              <w:spacing w:before="60" w:after="60"/>
              <w:rPr>
                <w:rFonts w:cstheme="minorHAnsi"/>
                <w:color w:val="000000"/>
                <w:sz w:val="16"/>
                <w:szCs w:val="16"/>
              </w:rPr>
            </w:pPr>
            <w:r w:rsidRPr="00F46944">
              <w:rPr>
                <w:rFonts w:cstheme="minorHAnsi"/>
                <w:color w:val="000000"/>
                <w:sz w:val="16"/>
                <w:szCs w:val="16"/>
              </w:rPr>
              <w:t>UTI</w:t>
            </w:r>
          </w:p>
        </w:tc>
        <w:tc>
          <w:tcPr>
            <w:tcW w:w="2081" w:type="dxa"/>
          </w:tcPr>
          <w:p w14:paraId="51993AA3" w14:textId="43DAC369" w:rsidR="00000115" w:rsidRPr="00F46944" w:rsidRDefault="00000115" w:rsidP="00000115">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Females older than 18 years prescribed antimicrobials</w:t>
            </w:r>
          </w:p>
        </w:tc>
        <w:tc>
          <w:tcPr>
            <w:tcW w:w="768" w:type="dxa"/>
          </w:tcPr>
          <w:p w14:paraId="7E6B66FD" w14:textId="77777777" w:rsidR="00000115" w:rsidRPr="00F46944" w:rsidRDefault="00000115" w:rsidP="00000115">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65,943</w:t>
            </w:r>
          </w:p>
        </w:tc>
        <w:tc>
          <w:tcPr>
            <w:tcW w:w="571" w:type="dxa"/>
          </w:tcPr>
          <w:p w14:paraId="795AE7B3" w14:textId="77777777" w:rsidR="00000115" w:rsidRPr="00F46944" w:rsidRDefault="00000115" w:rsidP="00000115">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89.5</w:t>
            </w:r>
          </w:p>
        </w:tc>
        <w:tc>
          <w:tcPr>
            <w:tcW w:w="808" w:type="dxa"/>
          </w:tcPr>
          <w:p w14:paraId="2F77BE88" w14:textId="26923470" w:rsidR="00000115" w:rsidRPr="00F46944" w:rsidRDefault="00000115" w:rsidP="00000115">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88.5</w:t>
            </w:r>
            <w:r w:rsidR="00C21856">
              <w:rPr>
                <w:rFonts w:cstheme="minorHAnsi"/>
                <w:color w:val="000000"/>
                <w:sz w:val="16"/>
                <w:szCs w:val="16"/>
              </w:rPr>
              <w:t>–</w:t>
            </w:r>
            <w:r w:rsidRPr="00F46944">
              <w:rPr>
                <w:rFonts w:cstheme="minorHAnsi"/>
                <w:color w:val="000000"/>
                <w:sz w:val="16"/>
                <w:szCs w:val="16"/>
              </w:rPr>
              <w:t>90.5</w:t>
            </w:r>
          </w:p>
        </w:tc>
        <w:tc>
          <w:tcPr>
            <w:tcW w:w="811" w:type="dxa"/>
          </w:tcPr>
          <w:p w14:paraId="1FD52EAA" w14:textId="77777777" w:rsidR="00000115" w:rsidRPr="00F46944" w:rsidRDefault="00000115" w:rsidP="00000115">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63,436</w:t>
            </w:r>
          </w:p>
        </w:tc>
        <w:tc>
          <w:tcPr>
            <w:tcW w:w="568" w:type="dxa"/>
          </w:tcPr>
          <w:p w14:paraId="506BFFA1" w14:textId="77777777" w:rsidR="00000115" w:rsidRPr="00F46944" w:rsidRDefault="00000115" w:rsidP="00000115">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90.6</w:t>
            </w:r>
          </w:p>
        </w:tc>
        <w:tc>
          <w:tcPr>
            <w:tcW w:w="830" w:type="dxa"/>
          </w:tcPr>
          <w:p w14:paraId="5A3AB574" w14:textId="77777777" w:rsidR="00000115" w:rsidRPr="00F46944" w:rsidRDefault="00000115" w:rsidP="00000115">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89.9-91.3</w:t>
            </w:r>
          </w:p>
        </w:tc>
        <w:tc>
          <w:tcPr>
            <w:tcW w:w="1664" w:type="dxa"/>
          </w:tcPr>
          <w:p w14:paraId="1950078C" w14:textId="77777777" w:rsidR="00000115" w:rsidRPr="00F46944" w:rsidRDefault="00000115" w:rsidP="00000115">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roofErr w:type="spellStart"/>
            <w:r w:rsidRPr="00F46944">
              <w:rPr>
                <w:rFonts w:cstheme="minorHAnsi"/>
                <w:color w:val="000000"/>
                <w:sz w:val="16"/>
                <w:szCs w:val="16"/>
              </w:rPr>
              <w:t>nd</w:t>
            </w:r>
            <w:proofErr w:type="spellEnd"/>
          </w:p>
        </w:tc>
      </w:tr>
      <w:tr w:rsidR="00000115" w:rsidRPr="00F46944" w14:paraId="26905E5D" w14:textId="77777777" w:rsidTr="0019777E">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513" w:type="dxa"/>
            <w:vMerge/>
          </w:tcPr>
          <w:p w14:paraId="2674CF89" w14:textId="77777777" w:rsidR="00000115" w:rsidRPr="00F46944" w:rsidRDefault="00000115" w:rsidP="00000115">
            <w:pPr>
              <w:spacing w:before="60" w:after="60"/>
              <w:rPr>
                <w:rFonts w:cstheme="minorHAnsi"/>
                <w:color w:val="000000"/>
                <w:sz w:val="16"/>
                <w:szCs w:val="16"/>
              </w:rPr>
            </w:pPr>
          </w:p>
        </w:tc>
        <w:tc>
          <w:tcPr>
            <w:tcW w:w="2081" w:type="dxa"/>
          </w:tcPr>
          <w:p w14:paraId="6A4A7117" w14:textId="77777777" w:rsidR="00000115" w:rsidRPr="00F46944" w:rsidRDefault="00000115" w:rsidP="00000115">
            <w:pPr>
              <w:spacing w:before="60" w:after="60"/>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And prescribed TG-recommended trimethoprim</w:t>
            </w:r>
          </w:p>
        </w:tc>
        <w:tc>
          <w:tcPr>
            <w:tcW w:w="768" w:type="dxa"/>
          </w:tcPr>
          <w:p w14:paraId="44E173A5" w14:textId="77777777" w:rsidR="00000115" w:rsidRPr="00F46944" w:rsidRDefault="00000115" w:rsidP="00000115">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30,646</w:t>
            </w:r>
          </w:p>
        </w:tc>
        <w:tc>
          <w:tcPr>
            <w:tcW w:w="571" w:type="dxa"/>
          </w:tcPr>
          <w:p w14:paraId="181E5730" w14:textId="77777777" w:rsidR="00000115" w:rsidRPr="00F46944" w:rsidRDefault="00000115" w:rsidP="00000115">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41.6</w:t>
            </w:r>
          </w:p>
        </w:tc>
        <w:tc>
          <w:tcPr>
            <w:tcW w:w="808" w:type="dxa"/>
          </w:tcPr>
          <w:p w14:paraId="5F038289" w14:textId="51F27D9D" w:rsidR="00000115" w:rsidRPr="00F46944" w:rsidRDefault="00000115" w:rsidP="00000115">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40.3</w:t>
            </w:r>
            <w:r w:rsidR="00C21856">
              <w:rPr>
                <w:rFonts w:cstheme="minorHAnsi"/>
                <w:color w:val="000000"/>
                <w:sz w:val="16"/>
                <w:szCs w:val="16"/>
              </w:rPr>
              <w:t>–</w:t>
            </w:r>
            <w:r w:rsidRPr="00F46944">
              <w:rPr>
                <w:rFonts w:cstheme="minorHAnsi"/>
                <w:color w:val="000000"/>
                <w:sz w:val="16"/>
                <w:szCs w:val="16"/>
              </w:rPr>
              <w:t>42.8</w:t>
            </w:r>
          </w:p>
        </w:tc>
        <w:tc>
          <w:tcPr>
            <w:tcW w:w="811" w:type="dxa"/>
          </w:tcPr>
          <w:p w14:paraId="24B3A128" w14:textId="77777777" w:rsidR="00000115" w:rsidRPr="00F46944" w:rsidRDefault="00000115" w:rsidP="00000115">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29,516</w:t>
            </w:r>
          </w:p>
        </w:tc>
        <w:tc>
          <w:tcPr>
            <w:tcW w:w="568" w:type="dxa"/>
          </w:tcPr>
          <w:p w14:paraId="1A3A37C7" w14:textId="77777777" w:rsidR="00000115" w:rsidRPr="00F46944" w:rsidRDefault="00000115" w:rsidP="00000115">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42.2</w:t>
            </w:r>
          </w:p>
        </w:tc>
        <w:tc>
          <w:tcPr>
            <w:tcW w:w="830" w:type="dxa"/>
          </w:tcPr>
          <w:p w14:paraId="467A8244" w14:textId="77777777" w:rsidR="00000115" w:rsidRPr="00F46944" w:rsidRDefault="00000115" w:rsidP="00000115">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F46944">
              <w:rPr>
                <w:rFonts w:cstheme="minorHAnsi"/>
                <w:color w:val="000000"/>
                <w:sz w:val="16"/>
                <w:szCs w:val="16"/>
              </w:rPr>
              <w:t>40.9-43.4</w:t>
            </w:r>
          </w:p>
        </w:tc>
        <w:tc>
          <w:tcPr>
            <w:tcW w:w="1664" w:type="dxa"/>
          </w:tcPr>
          <w:p w14:paraId="64E454A6" w14:textId="77777777" w:rsidR="00000115" w:rsidRPr="00F46944" w:rsidRDefault="00000115" w:rsidP="00000115">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proofErr w:type="spellStart"/>
            <w:r w:rsidRPr="00F46944">
              <w:rPr>
                <w:rFonts w:cstheme="minorHAnsi"/>
                <w:color w:val="000000"/>
                <w:sz w:val="16"/>
                <w:szCs w:val="16"/>
              </w:rPr>
              <w:t>nd</w:t>
            </w:r>
            <w:proofErr w:type="spellEnd"/>
          </w:p>
        </w:tc>
      </w:tr>
    </w:tbl>
    <w:p w14:paraId="73A87EC5" w14:textId="30D609CE" w:rsidR="0019777E" w:rsidRPr="00F46944" w:rsidRDefault="0019777E" w:rsidP="0093641B">
      <w:pPr>
        <w:spacing w:after="0"/>
        <w:rPr>
          <w:sz w:val="16"/>
          <w:szCs w:val="16"/>
        </w:rPr>
      </w:pPr>
      <w:r w:rsidRPr="00F46944">
        <w:rPr>
          <w:sz w:val="16"/>
          <w:szCs w:val="16"/>
        </w:rPr>
        <w:t xml:space="preserve">CAP = community-acquired pneumonia; CI = confidence interval; COPD = </w:t>
      </w:r>
      <w:r w:rsidR="0027727A" w:rsidRPr="00F46944">
        <w:rPr>
          <w:sz w:val="16"/>
          <w:szCs w:val="16"/>
        </w:rPr>
        <w:t>c</w:t>
      </w:r>
      <w:r w:rsidRPr="00F46944">
        <w:rPr>
          <w:sz w:val="16"/>
          <w:szCs w:val="16"/>
        </w:rPr>
        <w:t xml:space="preserve">hronic obstructive pulmonary disease; </w:t>
      </w:r>
      <w:r w:rsidR="002E0811" w:rsidRPr="00F46944">
        <w:rPr>
          <w:sz w:val="16"/>
          <w:szCs w:val="16"/>
        </w:rPr>
        <w:t xml:space="preserve">GP = </w:t>
      </w:r>
      <w:r w:rsidR="009F3268">
        <w:rPr>
          <w:sz w:val="16"/>
          <w:szCs w:val="16"/>
        </w:rPr>
        <w:t>g</w:t>
      </w:r>
      <w:r w:rsidR="002E0811" w:rsidRPr="00F46944">
        <w:rPr>
          <w:sz w:val="16"/>
          <w:szCs w:val="16"/>
        </w:rPr>
        <w:t xml:space="preserve">eneral </w:t>
      </w:r>
      <w:r w:rsidR="009F3268">
        <w:rPr>
          <w:sz w:val="16"/>
          <w:szCs w:val="16"/>
        </w:rPr>
        <w:t>p</w:t>
      </w:r>
      <w:r w:rsidR="002E0811" w:rsidRPr="00F46944">
        <w:rPr>
          <w:sz w:val="16"/>
          <w:szCs w:val="16"/>
        </w:rPr>
        <w:t xml:space="preserve">ractitioner; </w:t>
      </w:r>
      <w:proofErr w:type="spellStart"/>
      <w:r w:rsidRPr="00F46944">
        <w:rPr>
          <w:sz w:val="16"/>
          <w:szCs w:val="16"/>
        </w:rPr>
        <w:t>nd</w:t>
      </w:r>
      <w:proofErr w:type="spellEnd"/>
      <w:r w:rsidRPr="00F46944">
        <w:rPr>
          <w:sz w:val="16"/>
          <w:szCs w:val="16"/>
        </w:rPr>
        <w:t xml:space="preserve"> = not determined; TG = </w:t>
      </w:r>
      <w:r w:rsidRPr="001C41FD">
        <w:rPr>
          <w:i/>
          <w:iCs/>
          <w:sz w:val="16"/>
          <w:szCs w:val="16"/>
        </w:rPr>
        <w:t>Therapeutic Guidelines: Antibiotic</w:t>
      </w:r>
      <w:r w:rsidRPr="00F46944">
        <w:rPr>
          <w:sz w:val="16"/>
          <w:szCs w:val="16"/>
        </w:rPr>
        <w:t xml:space="preserve">; URTI = upper respiratory tract infection; UTI = urinary tract infection </w:t>
      </w:r>
    </w:p>
    <w:p w14:paraId="6BD785E8" w14:textId="7D02172D" w:rsidR="0093641B" w:rsidRPr="00F46944" w:rsidRDefault="0019777E" w:rsidP="002E2746">
      <w:pPr>
        <w:tabs>
          <w:tab w:val="left" w:pos="142"/>
        </w:tabs>
        <w:spacing w:after="0"/>
        <w:rPr>
          <w:sz w:val="16"/>
          <w:szCs w:val="16"/>
        </w:rPr>
      </w:pPr>
      <w:r w:rsidRPr="00F46944">
        <w:rPr>
          <w:sz w:val="16"/>
          <w:szCs w:val="16"/>
        </w:rPr>
        <w:t>*</w:t>
      </w:r>
      <w:r w:rsidR="00112691">
        <w:rPr>
          <w:sz w:val="16"/>
          <w:szCs w:val="16"/>
        </w:rPr>
        <w:tab/>
      </w:r>
      <w:proofErr w:type="spellStart"/>
      <w:r w:rsidRPr="00F46944">
        <w:rPr>
          <w:sz w:val="16"/>
          <w:szCs w:val="16"/>
        </w:rPr>
        <w:t>Antibacterials</w:t>
      </w:r>
      <w:proofErr w:type="spellEnd"/>
      <w:r w:rsidRPr="00F46944">
        <w:rPr>
          <w:sz w:val="16"/>
          <w:szCs w:val="16"/>
        </w:rPr>
        <w:t xml:space="preserve"> for systemic use (</w:t>
      </w:r>
      <w:r w:rsidR="00844AD6">
        <w:rPr>
          <w:sz w:val="16"/>
          <w:szCs w:val="16"/>
        </w:rPr>
        <w:t>ATC code</w:t>
      </w:r>
      <w:r w:rsidR="00844AD6" w:rsidRPr="00F46944">
        <w:rPr>
          <w:sz w:val="16"/>
          <w:szCs w:val="16"/>
        </w:rPr>
        <w:t xml:space="preserve"> </w:t>
      </w:r>
      <w:r w:rsidRPr="00F46944">
        <w:rPr>
          <w:sz w:val="16"/>
          <w:szCs w:val="16"/>
        </w:rPr>
        <w:t>J01)</w:t>
      </w:r>
      <w:r w:rsidRPr="00F46944">
        <w:rPr>
          <w:sz w:val="16"/>
          <w:szCs w:val="16"/>
        </w:rPr>
        <w:br/>
        <w:t>†</w:t>
      </w:r>
      <w:r w:rsidR="00112691">
        <w:rPr>
          <w:sz w:val="16"/>
          <w:szCs w:val="16"/>
        </w:rPr>
        <w:tab/>
      </w:r>
      <w:r w:rsidR="0093641B" w:rsidRPr="00F46944">
        <w:rPr>
          <w:sz w:val="16"/>
          <w:szCs w:val="16"/>
        </w:rPr>
        <w:t xml:space="preserve">Mean percentage of new cases to be managed with antimicrobials, based on guideline recommendations, where available </w:t>
      </w:r>
    </w:p>
    <w:p w14:paraId="46391183" w14:textId="006DA2A8" w:rsidR="0093641B" w:rsidRPr="00F46944" w:rsidRDefault="0019777E" w:rsidP="002E2746">
      <w:pPr>
        <w:tabs>
          <w:tab w:val="left" w:pos="142"/>
          <w:tab w:val="left" w:pos="851"/>
        </w:tabs>
        <w:spacing w:after="0"/>
        <w:ind w:left="135" w:hanging="135"/>
        <w:rPr>
          <w:sz w:val="16"/>
          <w:szCs w:val="16"/>
        </w:rPr>
      </w:pPr>
      <w:r w:rsidRPr="00F46944">
        <w:rPr>
          <w:sz w:val="16"/>
          <w:szCs w:val="16"/>
        </w:rPr>
        <w:t>§</w:t>
      </w:r>
      <w:r w:rsidR="00112691">
        <w:rPr>
          <w:sz w:val="16"/>
          <w:szCs w:val="16"/>
        </w:rPr>
        <w:tab/>
      </w:r>
      <w:r w:rsidR="0093641B" w:rsidRPr="00F46944">
        <w:rPr>
          <w:sz w:val="16"/>
          <w:szCs w:val="16"/>
        </w:rPr>
        <w:t>NPS MedicineWise develop</w:t>
      </w:r>
      <w:r w:rsidR="00176775">
        <w:rPr>
          <w:sz w:val="16"/>
          <w:szCs w:val="16"/>
        </w:rPr>
        <w:t>ed</w:t>
      </w:r>
      <w:r w:rsidR="0093641B" w:rsidRPr="00F46944">
        <w:rPr>
          <w:sz w:val="16"/>
          <w:szCs w:val="16"/>
        </w:rPr>
        <w:t xml:space="preserve"> algorithms to identify specific conditions and measures of interest in the </w:t>
      </w:r>
      <w:proofErr w:type="spellStart"/>
      <w:r w:rsidR="0093641B" w:rsidRPr="00F46944">
        <w:rPr>
          <w:sz w:val="16"/>
          <w:szCs w:val="16"/>
        </w:rPr>
        <w:t>MedicineInsight</w:t>
      </w:r>
      <w:proofErr w:type="spellEnd"/>
      <w:r w:rsidR="0093641B" w:rsidRPr="00F46944">
        <w:rPr>
          <w:sz w:val="16"/>
          <w:szCs w:val="16"/>
        </w:rPr>
        <w:t xml:space="preserve"> database, based on commonly accepted definitions. These definitions may differ slightly from </w:t>
      </w:r>
      <w:r w:rsidRPr="00F46944">
        <w:rPr>
          <w:sz w:val="16"/>
          <w:szCs w:val="16"/>
        </w:rPr>
        <w:t>McCullough et al</w:t>
      </w:r>
      <w:bookmarkStart w:id="128" w:name="_Hlk120708628"/>
      <w:r w:rsidR="001C41FD">
        <w:rPr>
          <w:sz w:val="16"/>
          <w:szCs w:val="16"/>
        </w:rPr>
        <w:t>.</w:t>
      </w:r>
      <w:r w:rsidRPr="00F46944">
        <w:rPr>
          <w:sz w:val="16"/>
          <w:szCs w:val="16"/>
        </w:rPr>
        <w:fldChar w:fldCharType="begin"/>
      </w:r>
      <w:r w:rsidR="00C16B8F">
        <w:rPr>
          <w:sz w:val="16"/>
          <w:szCs w:val="16"/>
        </w:rPr>
        <w:instrText xml:space="preserve"> ADDIN EN.CITE &lt;EndNote&gt;&lt;Cite&gt;&lt;Author&gt;McCullough&lt;/Author&gt;&lt;Year&gt;2017&lt;/Year&gt;&lt;RecNum&gt;20&lt;/RecNum&gt;&lt;DisplayText&gt;&lt;style face="superscript"&gt;21&lt;/style&gt;&lt;/DisplayText&gt;&lt;record&gt;&lt;rec-number&gt;20&lt;/rec-number&gt;&lt;foreign-keys&gt;&lt;key app="EN" db-id="es9dr99ws90stoe5x2rp505nazvswdzppxa5" timestamp="1670810546"&gt;20&lt;/key&gt;&lt;/foreign-keys&gt;&lt;ref-type name="Journal Article"&gt;17&lt;/ref-type&gt;&lt;contributors&gt;&lt;authors&gt;&lt;author&gt;McCullough, A.R.&lt;/author&gt;&lt;author&gt;Pollack, A.J.&lt;/author&gt;&lt;author&gt;Plejdrup Hansen, M.&lt;/author&gt;&lt;author&gt;Glasziou, P.P.&lt;/author&gt;&lt;author&gt;Looke, D.F.&lt;/author&gt;&lt;author&gt;Britt, H.C.&lt;/author&gt;&lt;author&gt;Del Mar, C.B.&lt;/author&gt;&lt;/authors&gt;&lt;/contributors&gt;&lt;titles&gt;&lt;title&gt;Antibiotics for acute respiratory infections in general practice: comparison of prescribing rates with guideline recommendations&lt;/title&gt;&lt;secondary-title&gt;Med J Aust &lt;/secondary-title&gt;&lt;/titles&gt;&lt;pages&gt;65–69&lt;/pages&gt;&lt;volume&gt;207&lt;/volume&gt;&lt;number&gt;2&lt;/number&gt;&lt;dates&gt;&lt;year&gt;2017&lt;/year&gt;&lt;/dates&gt;&lt;urls&gt;&lt;/urls&gt;&lt;/record&gt;&lt;/Cite&gt;&lt;/EndNote&gt;</w:instrText>
      </w:r>
      <w:r w:rsidRPr="00F46944">
        <w:rPr>
          <w:sz w:val="16"/>
          <w:szCs w:val="16"/>
        </w:rPr>
        <w:fldChar w:fldCharType="separate"/>
      </w:r>
      <w:r w:rsidR="00C16B8F" w:rsidRPr="00C16B8F">
        <w:rPr>
          <w:noProof/>
          <w:sz w:val="16"/>
          <w:szCs w:val="16"/>
          <w:vertAlign w:val="superscript"/>
        </w:rPr>
        <w:t>21</w:t>
      </w:r>
      <w:r w:rsidRPr="00F46944">
        <w:rPr>
          <w:sz w:val="16"/>
          <w:szCs w:val="16"/>
        </w:rPr>
        <w:fldChar w:fldCharType="end"/>
      </w:r>
      <w:bookmarkEnd w:id="128"/>
    </w:p>
    <w:p w14:paraId="57E9FC68" w14:textId="6100BFBA" w:rsidR="002A5B86" w:rsidRPr="00F46944" w:rsidRDefault="0093641B" w:rsidP="002A5B86">
      <w:pPr>
        <w:spacing w:after="0"/>
        <w:rPr>
          <w:sz w:val="16"/>
          <w:szCs w:val="16"/>
        </w:rPr>
      </w:pPr>
      <w:r w:rsidRPr="00F46944">
        <w:rPr>
          <w:sz w:val="16"/>
          <w:szCs w:val="16"/>
        </w:rPr>
        <w:t>Note: Number of practices in 2020 was 503, and 504 in 2021</w:t>
      </w:r>
      <w:r w:rsidR="0019777E" w:rsidRPr="00F46944">
        <w:rPr>
          <w:sz w:val="16"/>
          <w:szCs w:val="16"/>
        </w:rPr>
        <w:t>.</w:t>
      </w:r>
    </w:p>
    <w:p w14:paraId="4516C139" w14:textId="12FA29F2" w:rsidR="000D00FE" w:rsidRPr="00F46944" w:rsidRDefault="00C72D40" w:rsidP="000D00FE">
      <w:pPr>
        <w:tabs>
          <w:tab w:val="left" w:pos="142"/>
          <w:tab w:val="left" w:pos="851"/>
        </w:tabs>
        <w:spacing w:after="0"/>
        <w:ind w:left="135" w:hanging="135"/>
        <w:rPr>
          <w:sz w:val="16"/>
          <w:szCs w:val="16"/>
        </w:rPr>
      </w:pPr>
      <w:r w:rsidRPr="00F46944">
        <w:rPr>
          <w:sz w:val="16"/>
          <w:szCs w:val="16"/>
        </w:rPr>
        <w:t>Source: NPS MedicineWise</w:t>
      </w:r>
      <w:bookmarkStart w:id="129" w:name="_Hlk120802526"/>
      <w:r w:rsidRPr="00F46944">
        <w:rPr>
          <w:sz w:val="16"/>
          <w:szCs w:val="16"/>
        </w:rPr>
        <w:fldChar w:fldCharType="begin"/>
      </w:r>
      <w:r w:rsidR="00DB0DCB">
        <w:rPr>
          <w:sz w:val="16"/>
          <w:szCs w:val="16"/>
        </w:rPr>
        <w:instrText xml:space="preserve"> ADDIN EN.CITE &lt;EndNote&gt;&lt;Cite&gt;&lt;Author&gt;NPS MedicineWise&lt;/Author&gt;&lt;RecNum&gt;6&lt;/RecNum&gt;&lt;DisplayText&gt;&lt;style face="superscript"&gt;6&lt;/style&gt;&lt;/DisplayText&gt;&lt;record&gt;&lt;rec-number&gt;6&lt;/rec-number&gt;&lt;foreign-keys&gt;&lt;key app="EN" db-id="es9dr99ws90stoe5x2rp505nazvswdzppxa5" timestamp="1670810539"&gt;6&lt;/key&gt;&lt;/foreign-keys&gt;&lt;ref-type name="Unpublished Work"&gt;34&lt;/ref-type&gt;&lt;contributors&gt;&lt;authors&gt;&lt;author&gt;NPS MedicineWise,&lt;/author&gt;&lt;/authors&gt;&lt;/contributors&gt;&lt;titles&gt;&lt;title&gt;MedicineInsight data analyses for AURA Community report, May 2022 (unpublished)&lt;/title&gt;&lt;/titles&gt;&lt;dates&gt;&lt;/dates&gt;&lt;publisher&gt;NPS MedicineWise&lt;/publisher&gt;&lt;urls&gt;&lt;/urls&gt;&lt;/record&gt;&lt;/Cite&gt;&lt;/EndNote&gt;</w:instrText>
      </w:r>
      <w:r w:rsidRPr="00F46944">
        <w:rPr>
          <w:sz w:val="16"/>
          <w:szCs w:val="16"/>
        </w:rPr>
        <w:fldChar w:fldCharType="separate"/>
      </w:r>
      <w:r w:rsidR="001C0A42" w:rsidRPr="001C0A42">
        <w:rPr>
          <w:noProof/>
          <w:sz w:val="16"/>
          <w:szCs w:val="16"/>
          <w:vertAlign w:val="superscript"/>
        </w:rPr>
        <w:t>6</w:t>
      </w:r>
      <w:r w:rsidRPr="00F46944">
        <w:rPr>
          <w:sz w:val="16"/>
          <w:szCs w:val="16"/>
        </w:rPr>
        <w:fldChar w:fldCharType="end"/>
      </w:r>
      <w:bookmarkStart w:id="130" w:name="_Hlk103182526"/>
      <w:bookmarkEnd w:id="129"/>
      <w:r w:rsidR="000D00FE">
        <w:rPr>
          <w:sz w:val="16"/>
          <w:szCs w:val="16"/>
        </w:rPr>
        <w:t xml:space="preserve">, </w:t>
      </w:r>
      <w:r w:rsidR="000D00FE" w:rsidRPr="00F46944">
        <w:rPr>
          <w:sz w:val="16"/>
          <w:szCs w:val="16"/>
        </w:rPr>
        <w:t>McCullough</w:t>
      </w:r>
      <w:r w:rsidR="001C41FD">
        <w:rPr>
          <w:sz w:val="16"/>
          <w:szCs w:val="16"/>
        </w:rPr>
        <w:t xml:space="preserve"> et al.</w:t>
      </w:r>
      <w:r w:rsidR="000D00FE" w:rsidRPr="00F46944">
        <w:rPr>
          <w:sz w:val="16"/>
          <w:szCs w:val="16"/>
        </w:rPr>
        <w:fldChar w:fldCharType="begin"/>
      </w:r>
      <w:r w:rsidR="00C16B8F">
        <w:rPr>
          <w:sz w:val="16"/>
          <w:szCs w:val="16"/>
        </w:rPr>
        <w:instrText xml:space="preserve"> ADDIN EN.CITE &lt;EndNote&gt;&lt;Cite&gt;&lt;Author&gt;McCullough&lt;/Author&gt;&lt;Year&gt;2017&lt;/Year&gt;&lt;RecNum&gt;20&lt;/RecNum&gt;&lt;DisplayText&gt;&lt;style face="superscript"&gt;21&lt;/style&gt;&lt;/DisplayText&gt;&lt;record&gt;&lt;rec-number&gt;20&lt;/rec-number&gt;&lt;foreign-keys&gt;&lt;key app="EN" db-id="es9dr99ws90stoe5x2rp505nazvswdzppxa5" timestamp="1670810546"&gt;20&lt;/key&gt;&lt;/foreign-keys&gt;&lt;ref-type name="Journal Article"&gt;17&lt;/ref-type&gt;&lt;contributors&gt;&lt;authors&gt;&lt;author&gt;McCullough, A.R.&lt;/author&gt;&lt;author&gt;Pollack, A.J.&lt;/author&gt;&lt;author&gt;Plejdrup Hansen, M.&lt;/author&gt;&lt;author&gt;Glasziou, P.P.&lt;/author&gt;&lt;author&gt;Looke, D.F.&lt;/author&gt;&lt;author&gt;Britt, H.C.&lt;/author&gt;&lt;author&gt;Del Mar, C.B.&lt;/author&gt;&lt;/authors&gt;&lt;/contributors&gt;&lt;titles&gt;&lt;title&gt;Antibiotics for acute respiratory infections in general practice: comparison of prescribing rates with guideline recommendations&lt;/title&gt;&lt;secondary-title&gt;Med J Aust &lt;/secondary-title&gt;&lt;/titles&gt;&lt;pages&gt;65–69&lt;/pages&gt;&lt;volume&gt;207&lt;/volume&gt;&lt;number&gt;2&lt;/number&gt;&lt;dates&gt;&lt;year&gt;2017&lt;/year&gt;&lt;/dates&gt;&lt;urls&gt;&lt;/urls&gt;&lt;/record&gt;&lt;/Cite&gt;&lt;/EndNote&gt;</w:instrText>
      </w:r>
      <w:r w:rsidR="000D00FE" w:rsidRPr="00F46944">
        <w:rPr>
          <w:sz w:val="16"/>
          <w:szCs w:val="16"/>
        </w:rPr>
        <w:fldChar w:fldCharType="separate"/>
      </w:r>
      <w:r w:rsidR="00C16B8F" w:rsidRPr="00C16B8F">
        <w:rPr>
          <w:noProof/>
          <w:sz w:val="16"/>
          <w:szCs w:val="16"/>
          <w:vertAlign w:val="superscript"/>
        </w:rPr>
        <w:t>21</w:t>
      </w:r>
      <w:r w:rsidR="000D00FE" w:rsidRPr="00F46944">
        <w:rPr>
          <w:sz w:val="16"/>
          <w:szCs w:val="16"/>
        </w:rPr>
        <w:fldChar w:fldCharType="end"/>
      </w:r>
    </w:p>
    <w:p w14:paraId="0456DA77" w14:textId="190C3173" w:rsidR="00D37459" w:rsidRDefault="000851DF" w:rsidP="00E937A7">
      <w:pPr>
        <w:rPr>
          <w:rFonts w:asciiTheme="majorHAnsi" w:eastAsiaTheme="minorEastAsia" w:hAnsiTheme="majorHAnsi" w:cstheme="majorHAnsi"/>
        </w:rPr>
      </w:pPr>
      <w:bookmarkStart w:id="131" w:name="_Hlk120873281"/>
      <w:bookmarkStart w:id="132" w:name="_Hlk120873313"/>
      <w:r>
        <w:rPr>
          <w:rFonts w:asciiTheme="majorHAnsi" w:eastAsiaTheme="minorEastAsia" w:hAnsiTheme="majorHAnsi" w:cstheme="majorHAnsi"/>
        </w:rPr>
        <w:lastRenderedPageBreak/>
        <w:t>P</w:t>
      </w:r>
      <w:r w:rsidRPr="00F46944">
        <w:rPr>
          <w:rFonts w:asciiTheme="majorHAnsi" w:eastAsiaTheme="minorEastAsia" w:hAnsiTheme="majorHAnsi" w:cstheme="majorHAnsi"/>
        </w:rPr>
        <w:t xml:space="preserve">rescribing rates </w:t>
      </w:r>
      <w:r>
        <w:rPr>
          <w:rFonts w:asciiTheme="majorHAnsi" w:eastAsiaTheme="minorEastAsia" w:hAnsiTheme="majorHAnsi" w:cstheme="majorHAnsi"/>
        </w:rPr>
        <w:t>for a</w:t>
      </w:r>
      <w:r w:rsidRPr="00F46944">
        <w:rPr>
          <w:rFonts w:asciiTheme="majorHAnsi" w:eastAsiaTheme="minorEastAsia" w:hAnsiTheme="majorHAnsi" w:cstheme="majorHAnsi"/>
        </w:rPr>
        <w:t xml:space="preserve">cute </w:t>
      </w:r>
      <w:r w:rsidR="00E937A7" w:rsidRPr="00F46944">
        <w:rPr>
          <w:rFonts w:asciiTheme="majorHAnsi" w:eastAsiaTheme="minorEastAsia" w:hAnsiTheme="majorHAnsi" w:cstheme="majorHAnsi"/>
        </w:rPr>
        <w:t>bronchitis, acute sinusitis, acute URTI and influenza-like illnesses were not consistent with national guidelines</w:t>
      </w:r>
      <w:r w:rsidR="00E937A7" w:rsidRPr="00F46944">
        <w:rPr>
          <w:rFonts w:asciiTheme="majorHAnsi" w:eastAsiaTheme="minorEastAsia" w:hAnsiTheme="majorHAnsi" w:cstheme="majorHAnsi"/>
        </w:rPr>
        <w:fldChar w:fldCharType="begin"/>
      </w:r>
      <w:r w:rsidR="00C16B8F">
        <w:rPr>
          <w:rFonts w:asciiTheme="majorHAnsi" w:eastAsiaTheme="minorEastAsia" w:hAnsiTheme="majorHAnsi" w:cstheme="majorHAnsi"/>
        </w:rPr>
        <w:instrText xml:space="preserve"> ADDIN EN.CITE &lt;EndNote&gt;&lt;Cite&gt;&lt;Author&gt;McCullough&lt;/Author&gt;&lt;Year&gt;2017&lt;/Year&gt;&lt;RecNum&gt;20&lt;/RecNum&gt;&lt;DisplayText&gt;&lt;style face="superscript"&gt;21&lt;/style&gt;&lt;/DisplayText&gt;&lt;record&gt;&lt;rec-number&gt;20&lt;/rec-number&gt;&lt;foreign-keys&gt;&lt;key app="EN" db-id="es9dr99ws90stoe5x2rp505nazvswdzppxa5" timestamp="1670810546"&gt;20&lt;/key&gt;&lt;/foreign-keys&gt;&lt;ref-type name="Journal Article"&gt;17&lt;/ref-type&gt;&lt;contributors&gt;&lt;authors&gt;&lt;author&gt;McCullough, A.R.&lt;/author&gt;&lt;author&gt;Pollack, A.J.&lt;/author&gt;&lt;author&gt;Plejdrup Hansen, M.&lt;/author&gt;&lt;author&gt;Glasziou, P.P.&lt;/author&gt;&lt;author&gt;Looke, D.F.&lt;/author&gt;&lt;author&gt;Britt, H.C.&lt;/author&gt;&lt;author&gt;Del Mar, C.B.&lt;/author&gt;&lt;/authors&gt;&lt;/contributors&gt;&lt;titles&gt;&lt;title&gt;Antibiotics for acute respiratory infections in general practice: comparison of prescribing rates with guideline recommendations&lt;/title&gt;&lt;secondary-title&gt;Med J Aust &lt;/secondary-title&gt;&lt;/titles&gt;&lt;pages&gt;65–69&lt;/pages&gt;&lt;volume&gt;207&lt;/volume&gt;&lt;number&gt;2&lt;/number&gt;&lt;dates&gt;&lt;year&gt;2017&lt;/year&gt;&lt;/dates&gt;&lt;urls&gt;&lt;/urls&gt;&lt;/record&gt;&lt;/Cite&gt;&lt;/EndNote&gt;</w:instrText>
      </w:r>
      <w:r w:rsidR="00E937A7" w:rsidRPr="00F46944">
        <w:rPr>
          <w:rFonts w:asciiTheme="majorHAnsi" w:eastAsiaTheme="minorEastAsia" w:hAnsiTheme="majorHAnsi" w:cstheme="majorHAnsi"/>
        </w:rPr>
        <w:fldChar w:fldCharType="separate"/>
      </w:r>
      <w:r w:rsidR="00C16B8F" w:rsidRPr="00C16B8F">
        <w:rPr>
          <w:rFonts w:asciiTheme="majorHAnsi" w:eastAsiaTheme="minorEastAsia" w:hAnsiTheme="majorHAnsi" w:cstheme="majorHAnsi"/>
          <w:noProof/>
          <w:vertAlign w:val="superscript"/>
        </w:rPr>
        <w:t>21</w:t>
      </w:r>
      <w:r w:rsidR="00E937A7" w:rsidRPr="00F46944">
        <w:rPr>
          <w:rFonts w:asciiTheme="majorHAnsi" w:eastAsiaTheme="minorEastAsia" w:hAnsiTheme="majorHAnsi" w:cstheme="majorHAnsi"/>
        </w:rPr>
        <w:fldChar w:fldCharType="end"/>
      </w:r>
      <w:r w:rsidR="0048406C">
        <w:rPr>
          <w:rFonts w:asciiTheme="majorHAnsi" w:eastAsiaTheme="minorEastAsia" w:hAnsiTheme="majorHAnsi" w:cstheme="majorHAnsi"/>
        </w:rPr>
        <w:t>,</w:t>
      </w:r>
      <w:r w:rsidR="00E937A7" w:rsidRPr="00F46944">
        <w:rPr>
          <w:rFonts w:asciiTheme="majorHAnsi" w:eastAsiaTheme="minorEastAsia" w:hAnsiTheme="majorHAnsi" w:cstheme="majorHAnsi"/>
        </w:rPr>
        <w:t xml:space="preserve"> but showed improvement in appropriateness from 2015 to 2021.</w:t>
      </w:r>
      <w:r w:rsidR="0048406C" w:rsidRPr="0048406C">
        <w:rPr>
          <w:rFonts w:asciiTheme="majorHAnsi" w:eastAsiaTheme="minorEastAsia" w:hAnsiTheme="majorHAnsi" w:cstheme="majorHAnsi"/>
        </w:rPr>
        <w:fldChar w:fldCharType="begin"/>
      </w:r>
      <w:r w:rsidR="00DB0DCB">
        <w:rPr>
          <w:rFonts w:asciiTheme="majorHAnsi" w:eastAsiaTheme="minorEastAsia" w:hAnsiTheme="majorHAnsi" w:cstheme="majorHAnsi"/>
        </w:rPr>
        <w:instrText xml:space="preserve"> ADDIN EN.CITE &lt;EndNote&gt;&lt;Cite&gt;&lt;Author&gt;NPS MedicineWise&lt;/Author&gt;&lt;RecNum&gt;6&lt;/RecNum&gt;&lt;DisplayText&gt;&lt;style face="superscript"&gt;6&lt;/style&gt;&lt;/DisplayText&gt;&lt;record&gt;&lt;rec-number&gt;6&lt;/rec-number&gt;&lt;foreign-keys&gt;&lt;key app="EN" db-id="es9dr99ws90stoe5x2rp505nazvswdzppxa5" timestamp="1670810539"&gt;6&lt;/key&gt;&lt;/foreign-keys&gt;&lt;ref-type name="Unpublished Work"&gt;34&lt;/ref-type&gt;&lt;contributors&gt;&lt;authors&gt;&lt;author&gt;NPS MedicineWise,&lt;/author&gt;&lt;/authors&gt;&lt;/contributors&gt;&lt;titles&gt;&lt;title&gt;MedicineInsight data analyses for AURA Community report, May 2022 (unpublished)&lt;/title&gt;&lt;/titles&gt;&lt;dates&gt;&lt;/dates&gt;&lt;publisher&gt;NPS MedicineWise&lt;/publisher&gt;&lt;urls&gt;&lt;/urls&gt;&lt;/record&gt;&lt;/Cite&gt;&lt;/EndNote&gt;</w:instrText>
      </w:r>
      <w:r w:rsidR="0048406C" w:rsidRPr="0048406C">
        <w:rPr>
          <w:rFonts w:asciiTheme="majorHAnsi" w:eastAsiaTheme="minorEastAsia" w:hAnsiTheme="majorHAnsi" w:cstheme="majorHAnsi"/>
        </w:rPr>
        <w:fldChar w:fldCharType="separate"/>
      </w:r>
      <w:r w:rsidR="001C0A42" w:rsidRPr="001C0A42">
        <w:rPr>
          <w:rFonts w:asciiTheme="majorHAnsi" w:eastAsiaTheme="minorEastAsia" w:hAnsiTheme="majorHAnsi" w:cstheme="majorHAnsi"/>
          <w:noProof/>
          <w:vertAlign w:val="superscript"/>
        </w:rPr>
        <w:t>6</w:t>
      </w:r>
      <w:r w:rsidR="0048406C" w:rsidRPr="0048406C">
        <w:rPr>
          <w:rFonts w:asciiTheme="majorHAnsi" w:eastAsiaTheme="minorEastAsia" w:hAnsiTheme="majorHAnsi" w:cstheme="majorHAnsi"/>
        </w:rPr>
        <w:fldChar w:fldCharType="end"/>
      </w:r>
      <w:r w:rsidR="0048406C" w:rsidRPr="0048406C">
        <w:rPr>
          <w:rFonts w:asciiTheme="majorHAnsi" w:eastAsiaTheme="minorEastAsia" w:hAnsiTheme="majorHAnsi" w:cstheme="majorHAnsi"/>
          <w:vertAlign w:val="superscript"/>
        </w:rPr>
        <w:t>,</w:t>
      </w:r>
      <w:r w:rsidR="006C2810" w:rsidRPr="006C2810">
        <w:rPr>
          <w:rFonts w:asciiTheme="majorHAnsi" w:eastAsiaTheme="minorEastAsia" w:hAnsiTheme="majorHAnsi" w:cstheme="majorHAnsi"/>
        </w:rPr>
        <w:fldChar w:fldCharType="begin"/>
      </w:r>
      <w:r w:rsidR="00C16B8F">
        <w:rPr>
          <w:rFonts w:asciiTheme="majorHAnsi" w:eastAsiaTheme="minorEastAsia" w:hAnsiTheme="majorHAnsi" w:cstheme="majorHAnsi"/>
        </w:rPr>
        <w:instrText xml:space="preserve"> ADDIN EN.CITE &lt;EndNote&gt;&lt;Cite&gt;&lt;Author&gt;McCullough&lt;/Author&gt;&lt;Year&gt;2017&lt;/Year&gt;&lt;RecNum&gt;20&lt;/RecNum&gt;&lt;DisplayText&gt;&lt;style face="superscript"&gt;21&lt;/style&gt;&lt;/DisplayText&gt;&lt;record&gt;&lt;rec-number&gt;20&lt;/rec-number&gt;&lt;foreign-keys&gt;&lt;key app="EN" db-id="es9dr99ws90stoe5x2rp505nazvswdzppxa5" timestamp="1670810546"&gt;20&lt;/key&gt;&lt;/foreign-keys&gt;&lt;ref-type name="Journal Article"&gt;17&lt;/ref-type&gt;&lt;contributors&gt;&lt;authors&gt;&lt;author&gt;McCullough, A.R.&lt;/author&gt;&lt;author&gt;Pollack, A.J.&lt;/author&gt;&lt;author&gt;Plejdrup Hansen, M.&lt;/author&gt;&lt;author&gt;Glasziou, P.P.&lt;/author&gt;&lt;author&gt;Looke, D.F.&lt;/author&gt;&lt;author&gt;Britt, H.C.&lt;/author&gt;&lt;author&gt;Del Mar, C.B.&lt;/author&gt;&lt;/authors&gt;&lt;/contributors&gt;&lt;titles&gt;&lt;title&gt;Antibiotics for acute respiratory infections in general practice: comparison of prescribing rates with guideline recommendations&lt;/title&gt;&lt;secondary-title&gt;Med J Aust &lt;/secondary-title&gt;&lt;/titles&gt;&lt;pages&gt;65–69&lt;/pages&gt;&lt;volume&gt;207&lt;/volume&gt;&lt;number&gt;2&lt;/number&gt;&lt;dates&gt;&lt;year&gt;2017&lt;/year&gt;&lt;/dates&gt;&lt;urls&gt;&lt;/urls&gt;&lt;/record&gt;&lt;/Cite&gt;&lt;/EndNote&gt;</w:instrText>
      </w:r>
      <w:r w:rsidR="006C2810" w:rsidRPr="006C2810">
        <w:rPr>
          <w:rFonts w:asciiTheme="majorHAnsi" w:eastAsiaTheme="minorEastAsia" w:hAnsiTheme="majorHAnsi" w:cstheme="majorHAnsi"/>
        </w:rPr>
        <w:fldChar w:fldCharType="separate"/>
      </w:r>
      <w:r w:rsidR="00C16B8F" w:rsidRPr="00C16B8F">
        <w:rPr>
          <w:rFonts w:asciiTheme="majorHAnsi" w:eastAsiaTheme="minorEastAsia" w:hAnsiTheme="majorHAnsi" w:cstheme="majorHAnsi"/>
          <w:noProof/>
          <w:vertAlign w:val="superscript"/>
        </w:rPr>
        <w:t>21</w:t>
      </w:r>
      <w:r w:rsidR="006C2810" w:rsidRPr="006C2810">
        <w:rPr>
          <w:rFonts w:asciiTheme="majorHAnsi" w:eastAsiaTheme="minorEastAsia" w:hAnsiTheme="majorHAnsi" w:cstheme="majorHAnsi"/>
        </w:rPr>
        <w:fldChar w:fldCharType="end"/>
      </w:r>
      <w:r w:rsidR="00E937A7" w:rsidRPr="00F46944">
        <w:rPr>
          <w:rFonts w:asciiTheme="majorHAnsi" w:eastAsiaTheme="minorEastAsia" w:hAnsiTheme="majorHAnsi" w:cstheme="majorHAnsi"/>
        </w:rPr>
        <w:t xml:space="preserve"> This is compared to other conditions including UTI</w:t>
      </w:r>
      <w:r>
        <w:rPr>
          <w:rFonts w:asciiTheme="majorHAnsi" w:eastAsiaTheme="minorEastAsia" w:hAnsiTheme="majorHAnsi" w:cstheme="majorHAnsi"/>
        </w:rPr>
        <w:t>s</w:t>
      </w:r>
      <w:r w:rsidR="00E937A7" w:rsidRPr="00F46944">
        <w:rPr>
          <w:rFonts w:asciiTheme="majorHAnsi" w:eastAsiaTheme="minorEastAsia" w:hAnsiTheme="majorHAnsi" w:cstheme="majorHAnsi"/>
        </w:rPr>
        <w:t xml:space="preserve"> and acute otitis media, for which appropriateness has not improved</w:t>
      </w:r>
      <w:bookmarkEnd w:id="131"/>
      <w:r w:rsidR="00E937A7" w:rsidRPr="00F46944">
        <w:rPr>
          <w:rFonts w:asciiTheme="majorHAnsi" w:eastAsiaTheme="minorEastAsia" w:hAnsiTheme="majorHAnsi" w:cstheme="majorHAnsi"/>
        </w:rPr>
        <w:fldChar w:fldCharType="begin"/>
      </w:r>
      <w:r w:rsidR="00C16B8F">
        <w:rPr>
          <w:rFonts w:asciiTheme="majorHAnsi" w:eastAsiaTheme="minorEastAsia" w:hAnsiTheme="majorHAnsi" w:cstheme="majorHAnsi"/>
        </w:rPr>
        <w:instrText xml:space="preserve"> ADDIN EN.CITE &lt;EndNote&gt;&lt;Cite&gt;&lt;Author&gt;McCullough&lt;/Author&gt;&lt;Year&gt;2017&lt;/Year&gt;&lt;RecNum&gt;20&lt;/RecNum&gt;&lt;DisplayText&gt;&lt;style face="superscript"&gt;21&lt;/style&gt;&lt;/DisplayText&gt;&lt;record&gt;&lt;rec-number&gt;20&lt;/rec-number&gt;&lt;foreign-keys&gt;&lt;key app="EN" db-id="es9dr99ws90stoe5x2rp505nazvswdzppxa5" timestamp="1670810546"&gt;20&lt;/key&gt;&lt;/foreign-keys&gt;&lt;ref-type name="Journal Article"&gt;17&lt;/ref-type&gt;&lt;contributors&gt;&lt;authors&gt;&lt;author&gt;McCullough, A.R.&lt;/author&gt;&lt;author&gt;Pollack, A.J.&lt;/author&gt;&lt;author&gt;Plejdrup Hansen, M.&lt;/author&gt;&lt;author&gt;Glasziou, P.P.&lt;/author&gt;&lt;author&gt;Looke, D.F.&lt;/author&gt;&lt;author&gt;Britt, H.C.&lt;/author&gt;&lt;author&gt;Del Mar, C.B.&lt;/author&gt;&lt;/authors&gt;&lt;/contributors&gt;&lt;titles&gt;&lt;title&gt;Antibiotics for acute respiratory infections in general practice: comparison of prescribing rates with guideline recommendations&lt;/title&gt;&lt;secondary-title&gt;Med J Aust &lt;/secondary-title&gt;&lt;/titles&gt;&lt;pages&gt;65–69&lt;/pages&gt;&lt;volume&gt;207&lt;/volume&gt;&lt;number&gt;2&lt;/number&gt;&lt;dates&gt;&lt;year&gt;2017&lt;/year&gt;&lt;/dates&gt;&lt;urls&gt;&lt;/urls&gt;&lt;/record&gt;&lt;/Cite&gt;&lt;/EndNote&gt;</w:instrText>
      </w:r>
      <w:r w:rsidR="00E937A7" w:rsidRPr="00F46944">
        <w:rPr>
          <w:rFonts w:asciiTheme="majorHAnsi" w:eastAsiaTheme="minorEastAsia" w:hAnsiTheme="majorHAnsi" w:cstheme="majorHAnsi"/>
        </w:rPr>
        <w:fldChar w:fldCharType="separate"/>
      </w:r>
      <w:r w:rsidR="00C16B8F" w:rsidRPr="00C16B8F">
        <w:rPr>
          <w:rFonts w:asciiTheme="majorHAnsi" w:eastAsiaTheme="minorEastAsia" w:hAnsiTheme="majorHAnsi" w:cstheme="majorHAnsi"/>
          <w:noProof/>
          <w:vertAlign w:val="superscript"/>
        </w:rPr>
        <w:t>21</w:t>
      </w:r>
      <w:r w:rsidR="00E937A7" w:rsidRPr="00F46944">
        <w:rPr>
          <w:rFonts w:asciiTheme="majorHAnsi" w:eastAsiaTheme="minorEastAsia" w:hAnsiTheme="majorHAnsi" w:cstheme="majorHAnsi"/>
        </w:rPr>
        <w:fldChar w:fldCharType="end"/>
      </w:r>
      <w:r w:rsidR="006C2810">
        <w:rPr>
          <w:rFonts w:asciiTheme="majorHAnsi" w:eastAsiaTheme="minorEastAsia" w:hAnsiTheme="majorHAnsi" w:cstheme="majorHAnsi"/>
        </w:rPr>
        <w:t xml:space="preserve"> </w:t>
      </w:r>
      <w:r>
        <w:rPr>
          <w:rFonts w:asciiTheme="majorHAnsi" w:eastAsiaTheme="minorEastAsia" w:hAnsiTheme="majorHAnsi" w:cstheme="majorHAnsi"/>
        </w:rPr>
        <w:t xml:space="preserve">and </w:t>
      </w:r>
      <w:r w:rsidR="00E937A7" w:rsidRPr="00F46944">
        <w:rPr>
          <w:rFonts w:asciiTheme="majorHAnsi" w:eastAsiaTheme="minorEastAsia" w:hAnsiTheme="majorHAnsi" w:cstheme="majorHAnsi"/>
        </w:rPr>
        <w:t>prescribing rates for these conditions remain high (</w:t>
      </w:r>
      <w:r w:rsidR="00E937A7" w:rsidRPr="00870DCF">
        <w:rPr>
          <w:rFonts w:asciiTheme="majorHAnsi" w:eastAsiaTheme="minorEastAsia" w:hAnsiTheme="majorHAnsi" w:cstheme="majorHAnsi"/>
        </w:rPr>
        <w:t>Figure </w:t>
      </w:r>
      <w:r w:rsidRPr="00870DCF">
        <w:rPr>
          <w:rFonts w:asciiTheme="majorHAnsi" w:eastAsiaTheme="minorEastAsia" w:hAnsiTheme="majorHAnsi" w:cstheme="majorHAnsi"/>
        </w:rPr>
        <w:t>17</w:t>
      </w:r>
      <w:r w:rsidR="00E937A7" w:rsidRPr="00F46944">
        <w:rPr>
          <w:rFonts w:asciiTheme="majorHAnsi" w:eastAsiaTheme="minorEastAsia" w:hAnsiTheme="majorHAnsi" w:cstheme="majorHAnsi"/>
        </w:rPr>
        <w:t>).</w:t>
      </w:r>
      <w:r w:rsidR="00852D08">
        <w:rPr>
          <w:rFonts w:asciiTheme="majorHAnsi" w:eastAsiaTheme="minorEastAsia" w:hAnsiTheme="majorHAnsi" w:cstheme="majorHAnsi"/>
        </w:rPr>
        <w:t xml:space="preserve"> </w:t>
      </w:r>
    </w:p>
    <w:p w14:paraId="68742523" w14:textId="031FF06B" w:rsidR="004919A3" w:rsidRDefault="00D35D62" w:rsidP="00E937A7">
      <w:pPr>
        <w:rPr>
          <w:rFonts w:asciiTheme="majorHAnsi" w:eastAsiaTheme="minorEastAsia" w:hAnsiTheme="majorHAnsi" w:cstheme="majorHAnsi"/>
        </w:rPr>
      </w:pPr>
      <w:r w:rsidRPr="00F46944">
        <w:rPr>
          <w:rFonts w:asciiTheme="majorHAnsi" w:eastAsiaTheme="minorEastAsia" w:hAnsiTheme="majorHAnsi" w:cstheme="majorHAnsi"/>
        </w:rPr>
        <w:t>For conditions where antimicrobials are generally recommended, rates of antimicrobial use varied</w:t>
      </w:r>
      <w:r>
        <w:rPr>
          <w:rFonts w:asciiTheme="majorHAnsi" w:eastAsiaTheme="minorEastAsia" w:hAnsiTheme="majorHAnsi" w:cstheme="majorHAnsi"/>
        </w:rPr>
        <w:t xml:space="preserve">. For example, antimicrobial </w:t>
      </w:r>
      <w:r w:rsidRPr="00F46944">
        <w:rPr>
          <w:rFonts w:asciiTheme="majorHAnsi" w:eastAsiaTheme="minorEastAsia" w:hAnsiTheme="majorHAnsi" w:cstheme="majorHAnsi"/>
        </w:rPr>
        <w:t>use in patients presenting with UTIs increased</w:t>
      </w:r>
      <w:r>
        <w:rPr>
          <w:rFonts w:asciiTheme="majorHAnsi" w:eastAsiaTheme="minorEastAsia" w:hAnsiTheme="majorHAnsi" w:cstheme="majorHAnsi"/>
        </w:rPr>
        <w:t xml:space="preserve">. Antimicrobial prescribing for </w:t>
      </w:r>
      <w:r w:rsidRPr="00F46944">
        <w:rPr>
          <w:rFonts w:asciiTheme="majorHAnsi" w:eastAsiaTheme="minorEastAsia" w:hAnsiTheme="majorHAnsi" w:cstheme="majorHAnsi"/>
        </w:rPr>
        <w:t>pneumonia, sinusitis, and acute URTIs decreased</w:t>
      </w:r>
      <w:r>
        <w:rPr>
          <w:rFonts w:asciiTheme="majorHAnsi" w:eastAsiaTheme="minorEastAsia" w:hAnsiTheme="majorHAnsi" w:cstheme="majorHAnsi"/>
        </w:rPr>
        <w:t xml:space="preserve"> at the start of the COVID-19 pandemic, and returned to pre-pandemic rates in 2021.</w:t>
      </w:r>
    </w:p>
    <w:p w14:paraId="7259BD7F" w14:textId="3FA02DEF" w:rsidR="0093641B" w:rsidRPr="004A17A4" w:rsidRDefault="004A17A4" w:rsidP="004A17A4">
      <w:pPr>
        <w:pStyle w:val="Captions"/>
        <w:rPr>
          <w:b w:val="0"/>
          <w:bCs w:val="0"/>
          <w:sz w:val="20"/>
          <w:szCs w:val="20"/>
        </w:rPr>
      </w:pPr>
      <w:bookmarkStart w:id="133" w:name="_Toc121491329"/>
      <w:bookmarkStart w:id="134" w:name="_Toc121840901"/>
      <w:bookmarkEnd w:id="132"/>
      <w:r>
        <w:t>Figure</w:t>
      </w:r>
      <w:r w:rsidRPr="003E588E">
        <w:t> </w:t>
      </w:r>
      <w:fldSimple w:instr=" SEQ Figure \* ARABIC ">
        <w:r w:rsidR="00F34DDD">
          <w:rPr>
            <w:noProof/>
          </w:rPr>
          <w:t>17</w:t>
        </w:r>
      </w:fldSimple>
      <w:r w:rsidR="0093641B" w:rsidRPr="004A17A4">
        <w:t>:</w:t>
      </w:r>
      <w:r w:rsidR="00E479E1" w:rsidRPr="004A17A4">
        <w:rPr>
          <w:b w:val="0"/>
          <w:bCs w:val="0"/>
        </w:rPr>
        <w:t> </w:t>
      </w:r>
      <w:r w:rsidR="0093641B" w:rsidRPr="004A17A4">
        <w:rPr>
          <w:b w:val="0"/>
          <w:bCs w:val="0"/>
        </w:rPr>
        <w:t xml:space="preserve">Trends in </w:t>
      </w:r>
      <w:r w:rsidR="00E95503" w:rsidRPr="004A17A4">
        <w:rPr>
          <w:b w:val="0"/>
          <w:bCs w:val="0"/>
        </w:rPr>
        <w:t>antimicrobial</w:t>
      </w:r>
      <w:r w:rsidR="0019777E" w:rsidRPr="004A17A4">
        <w:rPr>
          <w:b w:val="0"/>
          <w:bCs w:val="0"/>
        </w:rPr>
        <w:t>*</w:t>
      </w:r>
      <w:r w:rsidR="00E95503" w:rsidRPr="004A17A4">
        <w:rPr>
          <w:b w:val="0"/>
          <w:bCs w:val="0"/>
        </w:rPr>
        <w:t xml:space="preserve"> </w:t>
      </w:r>
      <w:r w:rsidR="0093641B" w:rsidRPr="004A17A4">
        <w:rPr>
          <w:b w:val="0"/>
          <w:bCs w:val="0"/>
        </w:rPr>
        <w:t xml:space="preserve">prescribing rates for specific conditions, </w:t>
      </w:r>
      <w:proofErr w:type="spellStart"/>
      <w:r w:rsidR="0093641B" w:rsidRPr="004A17A4">
        <w:rPr>
          <w:b w:val="0"/>
          <w:bCs w:val="0"/>
        </w:rPr>
        <w:t>MedicineInsight</w:t>
      </w:r>
      <w:proofErr w:type="spellEnd"/>
      <w:r w:rsidR="0093641B" w:rsidRPr="004A17A4">
        <w:rPr>
          <w:b w:val="0"/>
          <w:bCs w:val="0"/>
        </w:rPr>
        <w:t xml:space="preserve"> practices, 201</w:t>
      </w:r>
      <w:r w:rsidR="00F14B8F" w:rsidRPr="004A17A4">
        <w:rPr>
          <w:b w:val="0"/>
          <w:bCs w:val="0"/>
        </w:rPr>
        <w:t>5</w:t>
      </w:r>
      <w:r w:rsidR="0093641B" w:rsidRPr="004A17A4">
        <w:rPr>
          <w:b w:val="0"/>
          <w:bCs w:val="0"/>
        </w:rPr>
        <w:t>–2021</w:t>
      </w:r>
      <w:bookmarkEnd w:id="133"/>
      <w:bookmarkEnd w:id="134"/>
    </w:p>
    <w:bookmarkEnd w:id="130"/>
    <w:p w14:paraId="3CB8E5F5" w14:textId="4B33424D" w:rsidR="00270389" w:rsidRPr="00F46944" w:rsidRDefault="00580F90" w:rsidP="00AE69BD">
      <w:pPr>
        <w:spacing w:after="0"/>
        <w:rPr>
          <w:rFonts w:asciiTheme="majorHAnsi" w:hAnsiTheme="majorHAnsi" w:cstheme="majorHAnsi"/>
          <w:color w:val="000000"/>
        </w:rPr>
      </w:pPr>
      <w:r>
        <w:rPr>
          <w:rFonts w:asciiTheme="majorHAnsi" w:hAnsiTheme="majorHAnsi" w:cstheme="majorHAnsi"/>
          <w:noProof/>
          <w:color w:val="000000"/>
        </w:rPr>
        <w:drawing>
          <wp:inline distT="0" distB="0" distL="0" distR="0" wp14:anchorId="3CED6494" wp14:editId="121B75D6">
            <wp:extent cx="5925820" cy="5267325"/>
            <wp:effectExtent l="0" t="0" r="0" b="9525"/>
            <wp:docPr id="86" name="Picture 86" descr="Figure 17: Trends in antimicrobial prescribing rates for specific conditions, MedicineInsight practices, 2015–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Figure 17: Trends in antimicrobial prescribing rates for specific conditions, MedicineInsight practices, 2015–20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25820" cy="5267325"/>
                    </a:xfrm>
                    <a:prstGeom prst="rect">
                      <a:avLst/>
                    </a:prstGeom>
                    <a:noFill/>
                  </pic:spPr>
                </pic:pic>
              </a:graphicData>
            </a:graphic>
          </wp:inline>
        </w:drawing>
      </w:r>
    </w:p>
    <w:p w14:paraId="3E956867" w14:textId="786A0577" w:rsidR="00000115" w:rsidRPr="00F46944" w:rsidRDefault="006620C9" w:rsidP="00BB6E6E">
      <w:pPr>
        <w:tabs>
          <w:tab w:val="left" w:pos="142"/>
        </w:tabs>
        <w:spacing w:after="80"/>
        <w:rPr>
          <w:rFonts w:eastAsiaTheme="minorEastAsia"/>
          <w:b/>
          <w:bCs/>
          <w:iCs/>
          <w:color w:val="404040" w:themeColor="text1" w:themeTint="BF"/>
          <w:sz w:val="24"/>
        </w:rPr>
      </w:pPr>
      <w:r w:rsidRPr="00F46944">
        <w:rPr>
          <w:rFonts w:asciiTheme="majorHAnsi" w:hAnsiTheme="majorHAnsi" w:cstheme="majorHAnsi"/>
          <w:color w:val="000000"/>
          <w:sz w:val="16"/>
          <w:szCs w:val="14"/>
        </w:rPr>
        <w:t>COPD = chronic obstructive pulmonary disorder; URTI = upper respiratory tract infection; UTI = urinary tract infection</w:t>
      </w:r>
      <w:r w:rsidRPr="00F46944">
        <w:rPr>
          <w:rFonts w:asciiTheme="majorHAnsi" w:hAnsiTheme="majorHAnsi" w:cstheme="majorHAnsi"/>
          <w:color w:val="000000"/>
          <w:sz w:val="16"/>
          <w:szCs w:val="14"/>
        </w:rPr>
        <w:br/>
      </w:r>
      <w:r w:rsidR="0019777E" w:rsidRPr="00F46944">
        <w:rPr>
          <w:rFonts w:asciiTheme="majorHAnsi" w:hAnsiTheme="majorHAnsi" w:cstheme="majorHAnsi"/>
          <w:color w:val="000000"/>
          <w:sz w:val="16"/>
          <w:szCs w:val="14"/>
        </w:rPr>
        <w:t>*</w:t>
      </w:r>
      <w:r w:rsidR="00112691">
        <w:rPr>
          <w:rFonts w:asciiTheme="majorHAnsi" w:hAnsiTheme="majorHAnsi" w:cstheme="majorHAnsi"/>
          <w:color w:val="000000"/>
          <w:sz w:val="16"/>
          <w:szCs w:val="14"/>
        </w:rPr>
        <w:tab/>
      </w:r>
      <w:proofErr w:type="spellStart"/>
      <w:r w:rsidR="0019777E" w:rsidRPr="00F46944">
        <w:rPr>
          <w:rFonts w:asciiTheme="majorHAnsi" w:hAnsiTheme="majorHAnsi" w:cstheme="majorHAnsi"/>
          <w:color w:val="000000"/>
          <w:sz w:val="16"/>
          <w:szCs w:val="14"/>
        </w:rPr>
        <w:t>Antibacterials</w:t>
      </w:r>
      <w:proofErr w:type="spellEnd"/>
      <w:r w:rsidR="0019777E" w:rsidRPr="00F46944">
        <w:rPr>
          <w:rFonts w:asciiTheme="majorHAnsi" w:hAnsiTheme="majorHAnsi" w:cstheme="majorHAnsi"/>
          <w:color w:val="000000"/>
          <w:sz w:val="16"/>
          <w:szCs w:val="14"/>
        </w:rPr>
        <w:t xml:space="preserve"> for systemic use (</w:t>
      </w:r>
      <w:r w:rsidR="00844AD6">
        <w:rPr>
          <w:sz w:val="16"/>
          <w:szCs w:val="16"/>
        </w:rPr>
        <w:t>ATC code</w:t>
      </w:r>
      <w:r w:rsidR="00844AD6" w:rsidRPr="00F46944">
        <w:rPr>
          <w:rFonts w:asciiTheme="majorHAnsi" w:hAnsiTheme="majorHAnsi" w:cstheme="majorHAnsi"/>
          <w:color w:val="000000"/>
          <w:sz w:val="16"/>
          <w:szCs w:val="14"/>
        </w:rPr>
        <w:t xml:space="preserve"> </w:t>
      </w:r>
      <w:r w:rsidR="0019777E" w:rsidRPr="00F46944">
        <w:rPr>
          <w:rFonts w:asciiTheme="majorHAnsi" w:hAnsiTheme="majorHAnsi" w:cstheme="majorHAnsi"/>
          <w:color w:val="000000"/>
          <w:sz w:val="16"/>
          <w:szCs w:val="14"/>
        </w:rPr>
        <w:t>J01)</w:t>
      </w:r>
      <w:r w:rsidR="0019777E" w:rsidRPr="00F46944">
        <w:rPr>
          <w:rFonts w:asciiTheme="majorHAnsi" w:hAnsiTheme="majorHAnsi" w:cstheme="majorHAnsi"/>
          <w:color w:val="000000"/>
          <w:sz w:val="16"/>
          <w:szCs w:val="14"/>
        </w:rPr>
        <w:br/>
      </w:r>
      <w:r w:rsidR="00C72D40" w:rsidRPr="00F46944">
        <w:rPr>
          <w:sz w:val="16"/>
          <w:szCs w:val="16"/>
        </w:rPr>
        <w:t>Source: NPS MedicineWise</w:t>
      </w:r>
      <w:r w:rsidR="00C72D40" w:rsidRPr="00F46944">
        <w:rPr>
          <w:sz w:val="16"/>
          <w:szCs w:val="16"/>
        </w:rPr>
        <w:fldChar w:fldCharType="begin"/>
      </w:r>
      <w:r w:rsidR="00DB0DCB">
        <w:rPr>
          <w:sz w:val="16"/>
          <w:szCs w:val="16"/>
        </w:rPr>
        <w:instrText xml:space="preserve"> ADDIN EN.CITE &lt;EndNote&gt;&lt;Cite&gt;&lt;Author&gt;NPS MedicineWise&lt;/Author&gt;&lt;RecNum&gt;6&lt;/RecNum&gt;&lt;DisplayText&gt;&lt;style face="superscript"&gt;6&lt;/style&gt;&lt;/DisplayText&gt;&lt;record&gt;&lt;rec-number&gt;6&lt;/rec-number&gt;&lt;foreign-keys&gt;&lt;key app="EN" db-id="es9dr99ws90stoe5x2rp505nazvswdzppxa5" timestamp="1670810539"&gt;6&lt;/key&gt;&lt;/foreign-keys&gt;&lt;ref-type name="Unpublished Work"&gt;34&lt;/ref-type&gt;&lt;contributors&gt;&lt;authors&gt;&lt;author&gt;NPS MedicineWise,&lt;/author&gt;&lt;/authors&gt;&lt;/contributors&gt;&lt;titles&gt;&lt;title&gt;MedicineInsight data analyses for AURA Community report, May 2022 (unpublished)&lt;/title&gt;&lt;/titles&gt;&lt;dates&gt;&lt;/dates&gt;&lt;publisher&gt;NPS MedicineWise&lt;/publisher&gt;&lt;urls&gt;&lt;/urls&gt;&lt;/record&gt;&lt;/Cite&gt;&lt;/EndNote&gt;</w:instrText>
      </w:r>
      <w:r w:rsidR="00C72D40" w:rsidRPr="00F46944">
        <w:rPr>
          <w:sz w:val="16"/>
          <w:szCs w:val="16"/>
        </w:rPr>
        <w:fldChar w:fldCharType="separate"/>
      </w:r>
      <w:r w:rsidR="001C0A42" w:rsidRPr="001C0A42">
        <w:rPr>
          <w:noProof/>
          <w:sz w:val="16"/>
          <w:szCs w:val="16"/>
          <w:vertAlign w:val="superscript"/>
        </w:rPr>
        <w:t>6</w:t>
      </w:r>
      <w:r w:rsidR="00C72D40" w:rsidRPr="00F46944">
        <w:rPr>
          <w:sz w:val="16"/>
          <w:szCs w:val="16"/>
        </w:rPr>
        <w:fldChar w:fldCharType="end"/>
      </w:r>
      <w:r w:rsidR="00000115" w:rsidRPr="00F46944">
        <w:rPr>
          <w:rFonts w:eastAsiaTheme="minorEastAsia"/>
        </w:rPr>
        <w:br w:type="page"/>
      </w:r>
    </w:p>
    <w:p w14:paraId="4E9C1E9C" w14:textId="0732AFF8" w:rsidR="0086249B" w:rsidRPr="00F46944" w:rsidRDefault="0086249B" w:rsidP="00D813E0">
      <w:pPr>
        <w:pStyle w:val="Heading4"/>
        <w:rPr>
          <w:rFonts w:eastAsiaTheme="minorEastAsia"/>
        </w:rPr>
      </w:pPr>
      <w:r w:rsidRPr="00F46944">
        <w:rPr>
          <w:rFonts w:eastAsiaTheme="minorEastAsia"/>
        </w:rPr>
        <w:lastRenderedPageBreak/>
        <w:t xml:space="preserve">Telehealth service </w:t>
      </w:r>
    </w:p>
    <w:p w14:paraId="564F2634" w14:textId="1660A324" w:rsidR="0086249B" w:rsidRPr="00F46944" w:rsidRDefault="0086249B" w:rsidP="0086249B">
      <w:pPr>
        <w:rPr>
          <w:rFonts w:asciiTheme="majorHAnsi" w:eastAsiaTheme="minorEastAsia" w:hAnsiTheme="majorHAnsi" w:cstheme="majorHAnsi"/>
        </w:rPr>
      </w:pPr>
      <w:r w:rsidRPr="00F46944">
        <w:rPr>
          <w:rFonts w:asciiTheme="majorHAnsi" w:eastAsiaTheme="minorEastAsia" w:hAnsiTheme="majorHAnsi" w:cstheme="majorHAnsi"/>
        </w:rPr>
        <w:t xml:space="preserve">Although telehealth services </w:t>
      </w:r>
      <w:r w:rsidR="00FE5CD4" w:rsidRPr="00F46944">
        <w:rPr>
          <w:rFonts w:asciiTheme="majorHAnsi" w:eastAsiaTheme="minorEastAsia" w:hAnsiTheme="majorHAnsi" w:cstheme="majorHAnsi"/>
        </w:rPr>
        <w:t>existed</w:t>
      </w:r>
      <w:r w:rsidRPr="00F46944">
        <w:rPr>
          <w:rFonts w:asciiTheme="majorHAnsi" w:eastAsiaTheme="minorEastAsia" w:hAnsiTheme="majorHAnsi" w:cstheme="majorHAnsi"/>
        </w:rPr>
        <w:t xml:space="preserve"> prior to </w:t>
      </w:r>
      <w:r w:rsidR="00E95503" w:rsidRPr="00F46944">
        <w:rPr>
          <w:rFonts w:asciiTheme="majorHAnsi" w:eastAsiaTheme="minorEastAsia" w:hAnsiTheme="majorHAnsi" w:cstheme="majorHAnsi"/>
        </w:rPr>
        <w:t xml:space="preserve">the </w:t>
      </w:r>
      <w:r w:rsidRPr="00F46944">
        <w:rPr>
          <w:rFonts w:asciiTheme="majorHAnsi" w:eastAsiaTheme="minorEastAsia" w:hAnsiTheme="majorHAnsi" w:cstheme="majorHAnsi"/>
        </w:rPr>
        <w:t>COVID-19 pandemic</w:t>
      </w:r>
      <w:r w:rsidR="00A75FBF" w:rsidRPr="00F46944">
        <w:rPr>
          <w:rFonts w:asciiTheme="majorHAnsi" w:eastAsiaTheme="minorEastAsia" w:hAnsiTheme="majorHAnsi" w:cstheme="majorHAnsi"/>
        </w:rPr>
        <w:t>,</w:t>
      </w:r>
      <w:r w:rsidRPr="00F46944">
        <w:rPr>
          <w:rFonts w:asciiTheme="majorHAnsi" w:eastAsiaTheme="minorEastAsia" w:hAnsiTheme="majorHAnsi" w:cstheme="majorHAnsi"/>
        </w:rPr>
        <w:t xml:space="preserve"> they were not </w:t>
      </w:r>
      <w:r w:rsidR="004E312C" w:rsidRPr="00F46944">
        <w:rPr>
          <w:rFonts w:asciiTheme="majorHAnsi" w:eastAsiaTheme="minorEastAsia" w:hAnsiTheme="majorHAnsi" w:cstheme="majorHAnsi"/>
        </w:rPr>
        <w:t xml:space="preserve">commonly </w:t>
      </w:r>
      <w:r w:rsidRPr="00F46944">
        <w:rPr>
          <w:rFonts w:asciiTheme="majorHAnsi" w:eastAsiaTheme="minorEastAsia" w:hAnsiTheme="majorHAnsi" w:cstheme="majorHAnsi"/>
        </w:rPr>
        <w:t>available</w:t>
      </w:r>
      <w:r w:rsidR="004E312C" w:rsidRPr="00F46944">
        <w:rPr>
          <w:rFonts w:asciiTheme="majorHAnsi" w:eastAsiaTheme="minorEastAsia" w:hAnsiTheme="majorHAnsi" w:cstheme="majorHAnsi"/>
        </w:rPr>
        <w:t xml:space="preserve"> or subsidised</w:t>
      </w:r>
      <w:r w:rsidRPr="00F46944">
        <w:rPr>
          <w:rFonts w:asciiTheme="majorHAnsi" w:eastAsiaTheme="minorEastAsia" w:hAnsiTheme="majorHAnsi" w:cstheme="majorHAnsi"/>
        </w:rPr>
        <w:t xml:space="preserve">. Changes to </w:t>
      </w:r>
      <w:r w:rsidR="004E312C" w:rsidRPr="00F46944">
        <w:rPr>
          <w:rFonts w:asciiTheme="majorHAnsi" w:eastAsiaTheme="minorEastAsia" w:hAnsiTheme="majorHAnsi" w:cstheme="majorHAnsi"/>
        </w:rPr>
        <w:t xml:space="preserve">the MBS </w:t>
      </w:r>
      <w:r w:rsidR="00FE5CD4" w:rsidRPr="00F46944">
        <w:rPr>
          <w:rFonts w:asciiTheme="majorHAnsi" w:eastAsiaTheme="minorEastAsia" w:hAnsiTheme="majorHAnsi" w:cstheme="majorHAnsi"/>
        </w:rPr>
        <w:t xml:space="preserve">to facilitate improved access to telehealth services, </w:t>
      </w:r>
      <w:r w:rsidR="004E312C" w:rsidRPr="00F46944">
        <w:rPr>
          <w:rFonts w:asciiTheme="majorHAnsi" w:eastAsiaTheme="minorEastAsia" w:hAnsiTheme="majorHAnsi" w:cstheme="majorHAnsi"/>
        </w:rPr>
        <w:t xml:space="preserve">were </w:t>
      </w:r>
      <w:r w:rsidRPr="00F46944">
        <w:rPr>
          <w:rFonts w:asciiTheme="majorHAnsi" w:eastAsiaTheme="minorEastAsia" w:hAnsiTheme="majorHAnsi" w:cstheme="majorHAnsi"/>
        </w:rPr>
        <w:t>introduced in April 2020. From March 2020 to December 2020, it was estimated that</w:t>
      </w:r>
      <w:r w:rsidR="00DE1155" w:rsidRPr="00F46944">
        <w:rPr>
          <w:rFonts w:asciiTheme="majorHAnsi" w:eastAsiaTheme="minorEastAsia" w:hAnsiTheme="majorHAnsi" w:cstheme="majorHAnsi"/>
        </w:rPr>
        <w:t xml:space="preserve"> </w:t>
      </w:r>
      <w:r w:rsidR="00A75FBF" w:rsidRPr="00F46944">
        <w:rPr>
          <w:rFonts w:asciiTheme="majorHAnsi" w:eastAsiaTheme="minorEastAsia" w:hAnsiTheme="majorHAnsi" w:cstheme="majorHAnsi"/>
        </w:rPr>
        <w:t>3</w:t>
      </w:r>
      <w:r w:rsidR="006C2810">
        <w:rPr>
          <w:rFonts w:asciiTheme="majorHAnsi" w:eastAsiaTheme="minorEastAsia" w:hAnsiTheme="majorHAnsi" w:cstheme="majorHAnsi"/>
        </w:rPr>
        <w:t xml:space="preserve"> </w:t>
      </w:r>
      <w:r w:rsidR="00A75FBF" w:rsidRPr="00F46944">
        <w:rPr>
          <w:rFonts w:asciiTheme="majorHAnsi" w:eastAsiaTheme="minorEastAsia" w:hAnsiTheme="majorHAnsi" w:cstheme="majorHAnsi"/>
        </w:rPr>
        <w:t>in 10</w:t>
      </w:r>
      <w:r w:rsidRPr="00F46944">
        <w:rPr>
          <w:rFonts w:asciiTheme="majorHAnsi" w:eastAsiaTheme="minorEastAsia" w:hAnsiTheme="majorHAnsi" w:cstheme="majorHAnsi"/>
        </w:rPr>
        <w:t xml:space="preserve"> of all consultations were provided as a telehealth service (mostly telephone consultations), with particularly high usage in Victoria during the second wave of the </w:t>
      </w:r>
      <w:r w:rsidR="003E588E">
        <w:rPr>
          <w:rFonts w:asciiTheme="majorHAnsi" w:eastAsiaTheme="minorEastAsia" w:hAnsiTheme="majorHAnsi" w:cstheme="majorHAnsi"/>
        </w:rPr>
        <w:t xml:space="preserve">COVID-19 </w:t>
      </w:r>
      <w:r w:rsidRPr="00F46944">
        <w:rPr>
          <w:rFonts w:asciiTheme="majorHAnsi" w:eastAsiaTheme="minorEastAsia" w:hAnsiTheme="majorHAnsi" w:cstheme="majorHAnsi"/>
        </w:rPr>
        <w:t>pandemic.</w:t>
      </w:r>
      <w:r w:rsidRPr="00F46944">
        <w:rPr>
          <w:rFonts w:asciiTheme="majorHAnsi" w:eastAsiaTheme="minorEastAsia" w:hAnsiTheme="majorHAnsi" w:cstheme="majorHAnsi"/>
        </w:rPr>
        <w:fldChar w:fldCharType="begin"/>
      </w:r>
      <w:r w:rsidR="00C16B8F">
        <w:rPr>
          <w:rFonts w:asciiTheme="majorHAnsi" w:eastAsiaTheme="minorEastAsia" w:hAnsiTheme="majorHAnsi" w:cstheme="majorHAnsi"/>
        </w:rPr>
        <w:instrText xml:space="preserve"> ADDIN EN.CITE &lt;EndNote&gt;&lt;Cite&gt;&lt;Author&gt;NPS MedicineWise&lt;/Author&gt;&lt;Year&gt;2021&lt;/Year&gt;&lt;RecNum&gt;21&lt;/RecNum&gt;&lt;DisplayText&gt;&lt;style face="superscript"&gt;22&lt;/style&gt;&lt;/DisplayText&gt;&lt;record&gt;&lt;rec-number&gt;21&lt;/rec-number&gt;&lt;foreign-keys&gt;&lt;key app="EN" db-id="es9dr99ws90stoe5x2rp505nazvswdzppxa5" timestamp="1670810547"&gt;21&lt;/key&gt;&lt;/foreign-keys&gt;&lt;ref-type name="Report"&gt;27&lt;/ref-type&gt;&lt;contributors&gt;&lt;authors&gt;&lt;author&gt;NPS MedicineWise,&lt;/author&gt;&lt;/authors&gt;&lt;/contributors&gt;&lt;titles&gt;&lt;title&gt;General Practice Insights Report July 2019–June 2020 including analyses related to the impact of COVID-19&lt;/title&gt;&lt;/titles&gt;&lt;dates&gt;&lt;year&gt;2021&lt;/year&gt;&lt;/dates&gt;&lt;pub-location&gt;Sydney&lt;/pub-location&gt;&lt;publisher&gt;NPS MedicineWise&lt;/publisher&gt;&lt;urls&gt;&lt;/urls&gt;&lt;/record&gt;&lt;/Cite&gt;&lt;/EndNote&gt;</w:instrText>
      </w:r>
      <w:r w:rsidRPr="00F46944">
        <w:rPr>
          <w:rFonts w:asciiTheme="majorHAnsi" w:eastAsiaTheme="minorEastAsia" w:hAnsiTheme="majorHAnsi" w:cstheme="majorHAnsi"/>
        </w:rPr>
        <w:fldChar w:fldCharType="separate"/>
      </w:r>
      <w:r w:rsidR="00C16B8F" w:rsidRPr="00C16B8F">
        <w:rPr>
          <w:rFonts w:asciiTheme="majorHAnsi" w:eastAsiaTheme="minorEastAsia" w:hAnsiTheme="majorHAnsi" w:cstheme="majorHAnsi"/>
          <w:noProof/>
          <w:vertAlign w:val="superscript"/>
        </w:rPr>
        <w:t>22</w:t>
      </w:r>
      <w:r w:rsidRPr="00F46944">
        <w:rPr>
          <w:rFonts w:asciiTheme="majorHAnsi" w:eastAsiaTheme="minorEastAsia" w:hAnsiTheme="majorHAnsi" w:cstheme="majorHAnsi"/>
        </w:rPr>
        <w:fldChar w:fldCharType="end"/>
      </w:r>
    </w:p>
    <w:p w14:paraId="7A19703C" w14:textId="39FFCE97" w:rsidR="000B29BF" w:rsidRPr="00F46944" w:rsidRDefault="0086249B" w:rsidP="0086249B">
      <w:pPr>
        <w:rPr>
          <w:rFonts w:asciiTheme="majorHAnsi" w:eastAsiaTheme="minorEastAsia" w:hAnsiTheme="majorHAnsi" w:cstheme="majorHAnsi"/>
        </w:rPr>
      </w:pPr>
      <w:r w:rsidRPr="00F46944">
        <w:rPr>
          <w:rFonts w:asciiTheme="majorHAnsi" w:eastAsiaTheme="minorEastAsia" w:hAnsiTheme="majorHAnsi" w:cstheme="majorHAnsi"/>
        </w:rPr>
        <w:t xml:space="preserve">The rates of GP prescribing of antimicrobials for patients during a telehealth </w:t>
      </w:r>
      <w:r w:rsidR="000A1AA9" w:rsidRPr="00F46944">
        <w:rPr>
          <w:rFonts w:asciiTheme="majorHAnsi" w:eastAsiaTheme="minorEastAsia" w:hAnsiTheme="majorHAnsi" w:cstheme="majorHAnsi"/>
        </w:rPr>
        <w:t xml:space="preserve">compared to face-to-face consultations </w:t>
      </w:r>
      <w:r w:rsidRPr="00F46944">
        <w:rPr>
          <w:rFonts w:asciiTheme="majorHAnsi" w:eastAsiaTheme="minorEastAsia" w:hAnsiTheme="majorHAnsi" w:cstheme="majorHAnsi"/>
        </w:rPr>
        <w:t xml:space="preserve">are shown in </w:t>
      </w:r>
      <w:r w:rsidRPr="00870DCF">
        <w:rPr>
          <w:rFonts w:asciiTheme="majorHAnsi" w:eastAsiaTheme="minorEastAsia" w:hAnsiTheme="majorHAnsi" w:cstheme="majorHAnsi"/>
        </w:rPr>
        <w:t>Figure</w:t>
      </w:r>
      <w:r w:rsidR="00230465" w:rsidRPr="00870DCF">
        <w:rPr>
          <w:rFonts w:asciiTheme="majorHAnsi" w:eastAsiaTheme="minorEastAsia" w:hAnsiTheme="majorHAnsi" w:cstheme="majorHAnsi"/>
        </w:rPr>
        <w:t> </w:t>
      </w:r>
      <w:r w:rsidR="000851DF" w:rsidRPr="00870DCF">
        <w:rPr>
          <w:rFonts w:asciiTheme="majorHAnsi" w:eastAsiaTheme="minorEastAsia" w:hAnsiTheme="majorHAnsi" w:cstheme="majorHAnsi"/>
        </w:rPr>
        <w:t>18</w:t>
      </w:r>
      <w:r w:rsidRPr="00F46944">
        <w:rPr>
          <w:rFonts w:asciiTheme="majorHAnsi" w:eastAsiaTheme="minorEastAsia" w:hAnsiTheme="majorHAnsi" w:cstheme="majorHAnsi"/>
        </w:rPr>
        <w:t xml:space="preserve">. </w:t>
      </w:r>
      <w:r w:rsidR="000A1AA9" w:rsidRPr="00F46944">
        <w:rPr>
          <w:rFonts w:asciiTheme="majorHAnsi" w:eastAsiaTheme="minorEastAsia" w:hAnsiTheme="majorHAnsi" w:cstheme="majorHAnsi"/>
        </w:rPr>
        <w:t>A</w:t>
      </w:r>
      <w:r w:rsidRPr="00F46944">
        <w:rPr>
          <w:rFonts w:asciiTheme="majorHAnsi" w:eastAsiaTheme="minorEastAsia" w:hAnsiTheme="majorHAnsi" w:cstheme="majorHAnsi"/>
        </w:rPr>
        <w:t>ntimicrobial prescribing rates per 100</w:t>
      </w:r>
      <w:r w:rsidR="000A1AA9" w:rsidRPr="00F46944">
        <w:rPr>
          <w:rFonts w:asciiTheme="majorHAnsi" w:eastAsiaTheme="minorEastAsia" w:hAnsiTheme="majorHAnsi" w:cstheme="majorHAnsi"/>
        </w:rPr>
        <w:t> </w:t>
      </w:r>
      <w:r w:rsidRPr="00F46944">
        <w:rPr>
          <w:rFonts w:asciiTheme="majorHAnsi" w:eastAsiaTheme="minorEastAsia" w:hAnsiTheme="majorHAnsi" w:cstheme="majorHAnsi"/>
        </w:rPr>
        <w:t xml:space="preserve">GP visits were lower on average for telehealth services compared </w:t>
      </w:r>
      <w:r w:rsidR="00E775A2">
        <w:rPr>
          <w:rFonts w:asciiTheme="majorHAnsi" w:eastAsiaTheme="minorEastAsia" w:hAnsiTheme="majorHAnsi" w:cstheme="majorHAnsi"/>
        </w:rPr>
        <w:t>to</w:t>
      </w:r>
      <w:r w:rsidRPr="00F46944">
        <w:rPr>
          <w:rFonts w:asciiTheme="majorHAnsi" w:eastAsiaTheme="minorEastAsia" w:hAnsiTheme="majorHAnsi" w:cstheme="majorHAnsi"/>
        </w:rPr>
        <w:t xml:space="preserve"> face-to-face services.</w:t>
      </w:r>
    </w:p>
    <w:p w14:paraId="4186546E" w14:textId="25E15167" w:rsidR="0093641B" w:rsidRPr="004A17A4" w:rsidRDefault="004A17A4" w:rsidP="004A17A4">
      <w:pPr>
        <w:pStyle w:val="Captions"/>
        <w:rPr>
          <w:b w:val="0"/>
          <w:bCs w:val="0"/>
        </w:rPr>
      </w:pPr>
      <w:bookmarkStart w:id="135" w:name="_Toc121491330"/>
      <w:bookmarkStart w:id="136" w:name="_Toc121840902"/>
      <w:r>
        <w:t>Figure</w:t>
      </w:r>
      <w:r w:rsidRPr="003E588E">
        <w:t> </w:t>
      </w:r>
      <w:fldSimple w:instr=" SEQ Figure \* ARABIC ">
        <w:r w:rsidR="00F34DDD">
          <w:rPr>
            <w:noProof/>
          </w:rPr>
          <w:t>18</w:t>
        </w:r>
      </w:fldSimple>
      <w:r w:rsidR="0093641B" w:rsidRPr="004A17A4">
        <w:t>:</w:t>
      </w:r>
      <w:r w:rsidRPr="004A17A4">
        <w:rPr>
          <w:b w:val="0"/>
          <w:bCs w:val="0"/>
        </w:rPr>
        <w:t> </w:t>
      </w:r>
      <w:r w:rsidR="0093641B" w:rsidRPr="004A17A4">
        <w:rPr>
          <w:b w:val="0"/>
          <w:bCs w:val="0"/>
        </w:rPr>
        <w:t>Rate of antimicrobial</w:t>
      </w:r>
      <w:r w:rsidR="0019777E" w:rsidRPr="004A17A4">
        <w:rPr>
          <w:b w:val="0"/>
          <w:bCs w:val="0"/>
        </w:rPr>
        <w:t>*</w:t>
      </w:r>
      <w:r w:rsidR="0093641B" w:rsidRPr="004A17A4">
        <w:rPr>
          <w:b w:val="0"/>
          <w:bCs w:val="0"/>
        </w:rPr>
        <w:t xml:space="preserve"> prescribing per 100</w:t>
      </w:r>
      <w:r w:rsidR="00772DCB" w:rsidRPr="004A17A4">
        <w:rPr>
          <w:b w:val="0"/>
          <w:bCs w:val="0"/>
        </w:rPr>
        <w:t> </w:t>
      </w:r>
      <w:r w:rsidR="0093641B" w:rsidRPr="004A17A4">
        <w:rPr>
          <w:b w:val="0"/>
          <w:bCs w:val="0"/>
        </w:rPr>
        <w:t>telehealth visits per 100</w:t>
      </w:r>
      <w:r w:rsidR="00E479E1" w:rsidRPr="004A17A4">
        <w:rPr>
          <w:b w:val="0"/>
          <w:bCs w:val="0"/>
        </w:rPr>
        <w:t> </w:t>
      </w:r>
      <w:r w:rsidR="004F32C1" w:rsidRPr="004A17A4">
        <w:rPr>
          <w:b w:val="0"/>
          <w:bCs w:val="0"/>
        </w:rPr>
        <w:t>face-to-face</w:t>
      </w:r>
      <w:r w:rsidR="0093641B" w:rsidRPr="004A17A4">
        <w:rPr>
          <w:b w:val="0"/>
          <w:bCs w:val="0"/>
        </w:rPr>
        <w:t xml:space="preserve"> visits or per</w:t>
      </w:r>
      <w:r w:rsidR="00772DCB" w:rsidRPr="004A17A4">
        <w:rPr>
          <w:b w:val="0"/>
          <w:bCs w:val="0"/>
        </w:rPr>
        <w:t xml:space="preserve"> </w:t>
      </w:r>
      <w:r w:rsidR="0093641B" w:rsidRPr="004A17A4">
        <w:rPr>
          <w:b w:val="0"/>
          <w:bCs w:val="0"/>
        </w:rPr>
        <w:t>100</w:t>
      </w:r>
      <w:r w:rsidR="00772DCB" w:rsidRPr="004A17A4">
        <w:rPr>
          <w:b w:val="0"/>
          <w:bCs w:val="0"/>
        </w:rPr>
        <w:t> </w:t>
      </w:r>
      <w:r w:rsidR="0097547F" w:rsidRPr="004A17A4">
        <w:rPr>
          <w:b w:val="0"/>
          <w:bCs w:val="0"/>
        </w:rPr>
        <w:t xml:space="preserve">GP </w:t>
      </w:r>
      <w:r w:rsidR="0093641B" w:rsidRPr="004A17A4">
        <w:rPr>
          <w:b w:val="0"/>
          <w:bCs w:val="0"/>
        </w:rPr>
        <w:t>visits of any type (all visits)</w:t>
      </w:r>
      <w:r w:rsidR="0019777E" w:rsidRPr="004A17A4">
        <w:rPr>
          <w:b w:val="0"/>
          <w:bCs w:val="0"/>
        </w:rPr>
        <w:t>,</w:t>
      </w:r>
      <w:r w:rsidR="0093641B" w:rsidRPr="004A17A4">
        <w:rPr>
          <w:b w:val="0"/>
          <w:bCs w:val="0"/>
        </w:rPr>
        <w:t xml:space="preserve"> </w:t>
      </w:r>
      <w:proofErr w:type="spellStart"/>
      <w:r w:rsidR="00201776" w:rsidRPr="004A17A4">
        <w:rPr>
          <w:b w:val="0"/>
          <w:bCs w:val="0"/>
        </w:rPr>
        <w:t>MedicineInsight</w:t>
      </w:r>
      <w:proofErr w:type="spellEnd"/>
      <w:r w:rsidR="00201776" w:rsidRPr="004A17A4">
        <w:rPr>
          <w:b w:val="0"/>
          <w:bCs w:val="0"/>
        </w:rPr>
        <w:t xml:space="preserve"> practices, </w:t>
      </w:r>
      <w:r w:rsidR="0093641B" w:rsidRPr="004A17A4">
        <w:rPr>
          <w:b w:val="0"/>
          <w:bCs w:val="0"/>
        </w:rPr>
        <w:t>2020</w:t>
      </w:r>
      <w:r w:rsidR="0019777E" w:rsidRPr="004A17A4">
        <w:rPr>
          <w:b w:val="0"/>
          <w:bCs w:val="0"/>
        </w:rPr>
        <w:t>–</w:t>
      </w:r>
      <w:r w:rsidR="00852D08">
        <w:rPr>
          <w:b w:val="0"/>
          <w:bCs w:val="0"/>
        </w:rPr>
        <w:t>20</w:t>
      </w:r>
      <w:r w:rsidR="0093641B" w:rsidRPr="004A17A4">
        <w:rPr>
          <w:b w:val="0"/>
          <w:bCs w:val="0"/>
        </w:rPr>
        <w:t>21</w:t>
      </w:r>
      <w:bookmarkEnd w:id="135"/>
      <w:bookmarkEnd w:id="136"/>
    </w:p>
    <w:p w14:paraId="5961E710" w14:textId="22FED5A6" w:rsidR="0093641B" w:rsidRPr="00F46944" w:rsidRDefault="00580F90" w:rsidP="00C33DF0">
      <w:pPr>
        <w:spacing w:after="0"/>
        <w:jc w:val="center"/>
      </w:pPr>
      <w:r>
        <w:rPr>
          <w:noProof/>
        </w:rPr>
        <w:drawing>
          <wp:inline distT="0" distB="0" distL="0" distR="0" wp14:anchorId="4F3FD081" wp14:editId="35D58276">
            <wp:extent cx="5925820" cy="3481070"/>
            <wp:effectExtent l="0" t="0" r="0" b="0"/>
            <wp:docPr id="88" name="Picture 88" descr="Figure 18: Rate of antimicrobial prescribing per 100 telehealth visits per 100 face-to-face visits or per 100 GP visits of any type (all visits), MedicineInsight practices, 20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Figure 18: Rate of antimicrobial prescribing per 100 telehealth visits per 100 face-to-face visits or per 100 GP visits of any type (all visits), MedicineInsight practices, 2020–20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5820" cy="3481070"/>
                    </a:xfrm>
                    <a:prstGeom prst="rect">
                      <a:avLst/>
                    </a:prstGeom>
                    <a:noFill/>
                  </pic:spPr>
                </pic:pic>
              </a:graphicData>
            </a:graphic>
          </wp:inline>
        </w:drawing>
      </w:r>
    </w:p>
    <w:p w14:paraId="09A207D6" w14:textId="10B234C6" w:rsidR="0019777E" w:rsidRPr="00F46944" w:rsidRDefault="0019777E" w:rsidP="004919A3">
      <w:pPr>
        <w:tabs>
          <w:tab w:val="left" w:pos="142"/>
        </w:tabs>
        <w:spacing w:after="0"/>
        <w:rPr>
          <w:sz w:val="16"/>
          <w:szCs w:val="16"/>
        </w:rPr>
      </w:pPr>
      <w:bookmarkStart w:id="137" w:name="_Toc100753205"/>
      <w:r w:rsidRPr="00F46944">
        <w:rPr>
          <w:sz w:val="16"/>
          <w:szCs w:val="16"/>
        </w:rPr>
        <w:t>*</w:t>
      </w:r>
      <w:r w:rsidR="00112691">
        <w:rPr>
          <w:sz w:val="16"/>
          <w:szCs w:val="16"/>
        </w:rPr>
        <w:tab/>
      </w:r>
      <w:proofErr w:type="spellStart"/>
      <w:r w:rsidRPr="00F46944">
        <w:rPr>
          <w:sz w:val="16"/>
          <w:szCs w:val="16"/>
        </w:rPr>
        <w:t>Antibacterials</w:t>
      </w:r>
      <w:proofErr w:type="spellEnd"/>
      <w:r w:rsidRPr="00F46944">
        <w:rPr>
          <w:sz w:val="16"/>
          <w:szCs w:val="16"/>
        </w:rPr>
        <w:t xml:space="preserve"> for systemic use (</w:t>
      </w:r>
      <w:r w:rsidR="00844AD6">
        <w:rPr>
          <w:sz w:val="16"/>
          <w:szCs w:val="16"/>
        </w:rPr>
        <w:t>ATC code</w:t>
      </w:r>
      <w:r w:rsidR="00844AD6" w:rsidRPr="00F46944">
        <w:rPr>
          <w:sz w:val="16"/>
          <w:szCs w:val="16"/>
        </w:rPr>
        <w:t xml:space="preserve"> </w:t>
      </w:r>
      <w:r w:rsidRPr="00F46944">
        <w:rPr>
          <w:sz w:val="16"/>
          <w:szCs w:val="16"/>
        </w:rPr>
        <w:t>J01)</w:t>
      </w:r>
    </w:p>
    <w:p w14:paraId="5A433911" w14:textId="253B47FB" w:rsidR="0019777E" w:rsidRPr="00F46944" w:rsidRDefault="0019777E" w:rsidP="0019777E">
      <w:pPr>
        <w:spacing w:after="0"/>
        <w:rPr>
          <w:sz w:val="16"/>
          <w:szCs w:val="16"/>
        </w:rPr>
      </w:pPr>
      <w:r w:rsidRPr="00F46944">
        <w:rPr>
          <w:sz w:val="16"/>
          <w:szCs w:val="16"/>
        </w:rPr>
        <w:t>Notes:</w:t>
      </w:r>
    </w:p>
    <w:p w14:paraId="0AE13324" w14:textId="07EA3363" w:rsidR="001A2462" w:rsidRPr="00F46944" w:rsidRDefault="001A2462" w:rsidP="003140B6">
      <w:pPr>
        <w:pStyle w:val="ListParagraph"/>
        <w:numPr>
          <w:ilvl w:val="0"/>
          <w:numId w:val="30"/>
        </w:numPr>
        <w:spacing w:after="0"/>
        <w:ind w:left="360"/>
        <w:rPr>
          <w:sz w:val="16"/>
          <w:szCs w:val="16"/>
        </w:rPr>
      </w:pPr>
      <w:r w:rsidRPr="00F46944">
        <w:rPr>
          <w:sz w:val="16"/>
          <w:szCs w:val="16"/>
        </w:rPr>
        <w:t xml:space="preserve">Data presented for antimicrobial prescription rates (original </w:t>
      </w:r>
      <w:r w:rsidR="001829AF" w:rsidRPr="00F46944">
        <w:rPr>
          <w:sz w:val="16"/>
          <w:szCs w:val="16"/>
        </w:rPr>
        <w:t>pre</w:t>
      </w:r>
      <w:r w:rsidRPr="00F46944">
        <w:rPr>
          <w:sz w:val="16"/>
          <w:szCs w:val="16"/>
        </w:rPr>
        <w:t>script</w:t>
      </w:r>
      <w:r w:rsidR="001829AF" w:rsidRPr="00F46944">
        <w:rPr>
          <w:sz w:val="16"/>
          <w:szCs w:val="16"/>
        </w:rPr>
        <w:t>ion</w:t>
      </w:r>
      <w:r w:rsidRPr="00F46944">
        <w:rPr>
          <w:sz w:val="16"/>
          <w:szCs w:val="16"/>
        </w:rPr>
        <w:t xml:space="preserve"> only) from practices with 2020</w:t>
      </w:r>
      <w:r w:rsidR="000D00FE">
        <w:rPr>
          <w:sz w:val="16"/>
          <w:szCs w:val="16"/>
        </w:rPr>
        <w:t>–20</w:t>
      </w:r>
      <w:r w:rsidRPr="00F46944">
        <w:rPr>
          <w:sz w:val="16"/>
          <w:szCs w:val="16"/>
        </w:rPr>
        <w:t>21 Billing by GP Interaction type (based on +/- 1 Day Match)</w:t>
      </w:r>
      <w:r w:rsidR="00145424" w:rsidRPr="00F46944">
        <w:rPr>
          <w:sz w:val="16"/>
          <w:szCs w:val="16"/>
        </w:rPr>
        <w:t>.</w:t>
      </w:r>
    </w:p>
    <w:p w14:paraId="2B0D0CE6" w14:textId="441F9699" w:rsidR="0019777E" w:rsidRPr="00F46944" w:rsidRDefault="0093641B" w:rsidP="003140B6">
      <w:pPr>
        <w:pStyle w:val="ListParagraph"/>
        <w:numPr>
          <w:ilvl w:val="0"/>
          <w:numId w:val="30"/>
        </w:numPr>
        <w:spacing w:after="0"/>
        <w:ind w:left="360"/>
        <w:rPr>
          <w:sz w:val="16"/>
          <w:szCs w:val="16"/>
        </w:rPr>
      </w:pPr>
      <w:r w:rsidRPr="00F46944">
        <w:rPr>
          <w:sz w:val="16"/>
          <w:szCs w:val="16"/>
        </w:rPr>
        <w:t>Includes only acute encounters. MBS telehealth items for chronic disease management, health assessments, mental health, pregnancy support counselling, autism or eating disorders have not been included</w:t>
      </w:r>
      <w:r w:rsidR="0019777E" w:rsidRPr="00F46944">
        <w:rPr>
          <w:sz w:val="16"/>
          <w:szCs w:val="16"/>
        </w:rPr>
        <w:t>.</w:t>
      </w:r>
    </w:p>
    <w:p w14:paraId="6936049C" w14:textId="3FE865CD" w:rsidR="0019777E" w:rsidRPr="00F46944" w:rsidRDefault="0093641B" w:rsidP="003140B6">
      <w:pPr>
        <w:pStyle w:val="ListParagraph"/>
        <w:numPr>
          <w:ilvl w:val="0"/>
          <w:numId w:val="30"/>
        </w:numPr>
        <w:spacing w:after="0"/>
        <w:ind w:left="360"/>
        <w:rPr>
          <w:sz w:val="16"/>
          <w:szCs w:val="16"/>
        </w:rPr>
      </w:pPr>
      <w:r w:rsidRPr="00F46944">
        <w:rPr>
          <w:sz w:val="16"/>
          <w:szCs w:val="16"/>
        </w:rPr>
        <w:t>There were 484</w:t>
      </w:r>
      <w:r w:rsidR="00320D9D" w:rsidRPr="00F46944">
        <w:rPr>
          <w:sz w:val="16"/>
          <w:szCs w:val="16"/>
        </w:rPr>
        <w:t> </w:t>
      </w:r>
      <w:r w:rsidRPr="00F46944">
        <w:rPr>
          <w:sz w:val="16"/>
          <w:szCs w:val="16"/>
        </w:rPr>
        <w:t>practices that had compatible billing software for this analysis, out of a potential 503</w:t>
      </w:r>
      <w:r w:rsidR="00CE17AB" w:rsidRPr="00F46944">
        <w:rPr>
          <w:sz w:val="16"/>
          <w:szCs w:val="16"/>
        </w:rPr>
        <w:t> </w:t>
      </w:r>
      <w:r w:rsidRPr="00F46944">
        <w:rPr>
          <w:sz w:val="16"/>
          <w:szCs w:val="16"/>
        </w:rPr>
        <w:t>practices in 2020 and 504</w:t>
      </w:r>
      <w:r w:rsidR="00320D9D" w:rsidRPr="00F46944">
        <w:rPr>
          <w:sz w:val="16"/>
          <w:szCs w:val="16"/>
        </w:rPr>
        <w:t> </w:t>
      </w:r>
      <w:r w:rsidRPr="00F46944">
        <w:rPr>
          <w:sz w:val="16"/>
          <w:szCs w:val="16"/>
        </w:rPr>
        <w:t>practices in 2021.</w:t>
      </w:r>
    </w:p>
    <w:p w14:paraId="5DC55445" w14:textId="2650D9B6" w:rsidR="00A440FC" w:rsidRPr="00F46944" w:rsidRDefault="00C72D40" w:rsidP="008B1CB0">
      <w:pPr>
        <w:spacing w:after="0"/>
        <w:rPr>
          <w:sz w:val="16"/>
          <w:szCs w:val="16"/>
        </w:rPr>
      </w:pPr>
      <w:r w:rsidRPr="00F46944">
        <w:rPr>
          <w:sz w:val="16"/>
          <w:szCs w:val="16"/>
        </w:rPr>
        <w:t>Source: NPS MedicineWise</w:t>
      </w:r>
      <w:r w:rsidR="00DE1155" w:rsidRPr="00F46944">
        <w:rPr>
          <w:sz w:val="16"/>
          <w:szCs w:val="16"/>
        </w:rPr>
        <w:fldChar w:fldCharType="begin"/>
      </w:r>
      <w:r w:rsidR="00DB0DCB">
        <w:rPr>
          <w:sz w:val="16"/>
          <w:szCs w:val="16"/>
        </w:rPr>
        <w:instrText xml:space="preserve"> ADDIN EN.CITE &lt;EndNote&gt;&lt;Cite&gt;&lt;Author&gt;NPS MedicineWise&lt;/Author&gt;&lt;RecNum&gt;6&lt;/RecNum&gt;&lt;DisplayText&gt;&lt;style face="superscript"&gt;6&lt;/style&gt;&lt;/DisplayText&gt;&lt;record&gt;&lt;rec-number&gt;6&lt;/rec-number&gt;&lt;foreign-keys&gt;&lt;key app="EN" db-id="es9dr99ws90stoe5x2rp505nazvswdzppxa5" timestamp="1670810539"&gt;6&lt;/key&gt;&lt;/foreign-keys&gt;&lt;ref-type name="Unpublished Work"&gt;34&lt;/ref-type&gt;&lt;contributors&gt;&lt;authors&gt;&lt;author&gt;NPS MedicineWise,&lt;/author&gt;&lt;/authors&gt;&lt;/contributors&gt;&lt;titles&gt;&lt;title&gt;MedicineInsight data analyses for AURA Community report, May 2022 (unpublished)&lt;/title&gt;&lt;/titles&gt;&lt;dates&gt;&lt;/dates&gt;&lt;publisher&gt;NPS MedicineWise&lt;/publisher&gt;&lt;urls&gt;&lt;/urls&gt;&lt;/record&gt;&lt;/Cite&gt;&lt;/EndNote&gt;</w:instrText>
      </w:r>
      <w:r w:rsidR="00DE1155" w:rsidRPr="00F46944">
        <w:rPr>
          <w:sz w:val="16"/>
          <w:szCs w:val="16"/>
        </w:rPr>
        <w:fldChar w:fldCharType="separate"/>
      </w:r>
      <w:r w:rsidR="001C0A42" w:rsidRPr="001C0A42">
        <w:rPr>
          <w:noProof/>
          <w:sz w:val="16"/>
          <w:szCs w:val="16"/>
          <w:vertAlign w:val="superscript"/>
        </w:rPr>
        <w:t>6</w:t>
      </w:r>
      <w:r w:rsidR="00DE1155" w:rsidRPr="00F46944">
        <w:rPr>
          <w:sz w:val="16"/>
          <w:szCs w:val="16"/>
        </w:rPr>
        <w:fldChar w:fldCharType="end"/>
      </w:r>
    </w:p>
    <w:p w14:paraId="6E63C5EC" w14:textId="7CF931EB" w:rsidR="0093641B" w:rsidRPr="00F46944" w:rsidRDefault="003E2E9F" w:rsidP="0093641B">
      <w:pPr>
        <w:keepNext/>
        <w:spacing w:before="240" w:after="240"/>
        <w:outlineLvl w:val="2"/>
        <w:rPr>
          <w:rFonts w:asciiTheme="majorHAnsi" w:hAnsiTheme="majorHAnsi" w:cstheme="majorHAnsi"/>
          <w:b/>
          <w:bCs/>
          <w:iCs/>
          <w:color w:val="DC5827" w:themeColor="accent5"/>
          <w:kern w:val="28"/>
          <w:sz w:val="28"/>
          <w:szCs w:val="26"/>
        </w:rPr>
      </w:pPr>
      <w:bookmarkStart w:id="138" w:name="_Toc121826732"/>
      <w:bookmarkEnd w:id="137"/>
      <w:r w:rsidRPr="00F46944">
        <w:rPr>
          <w:rFonts w:asciiTheme="majorHAnsi" w:hAnsiTheme="majorHAnsi" w:cstheme="majorHAnsi"/>
          <w:b/>
          <w:bCs/>
          <w:iCs/>
          <w:color w:val="DC5827" w:themeColor="accent5"/>
          <w:kern w:val="28"/>
          <w:sz w:val="28"/>
          <w:szCs w:val="26"/>
        </w:rPr>
        <w:t>Impact of COVID-19 on antimicrobial use</w:t>
      </w:r>
      <w:bookmarkEnd w:id="138"/>
    </w:p>
    <w:p w14:paraId="2183FE46" w14:textId="616F0E31" w:rsidR="0093641B" w:rsidRPr="00F46944" w:rsidRDefault="00A220F3" w:rsidP="002A44AA">
      <w:pPr>
        <w:pStyle w:val="Heading4"/>
      </w:pPr>
      <w:r w:rsidRPr="00F46944">
        <w:t>M</w:t>
      </w:r>
      <w:r w:rsidR="00F842F6" w:rsidRPr="00F46944">
        <w:t xml:space="preserve">onthly number of prescriptions for </w:t>
      </w:r>
      <w:r w:rsidR="004D2FDA" w:rsidRPr="00F46944">
        <w:t>antimicrobial</w:t>
      </w:r>
      <w:r w:rsidR="00F842F6" w:rsidRPr="00F46944">
        <w:t xml:space="preserve">s for systemic use </w:t>
      </w:r>
    </w:p>
    <w:p w14:paraId="207240C0" w14:textId="387D20D7" w:rsidR="00F842F6" w:rsidRPr="00F46944" w:rsidRDefault="00F842F6" w:rsidP="0093641B">
      <w:pPr>
        <w:spacing w:after="80"/>
        <w:rPr>
          <w:rFonts w:asciiTheme="majorHAnsi" w:hAnsiTheme="majorHAnsi" w:cstheme="majorHAnsi"/>
        </w:rPr>
      </w:pPr>
      <w:r w:rsidRPr="00870DCF">
        <w:rPr>
          <w:rFonts w:asciiTheme="majorHAnsi" w:hAnsiTheme="majorHAnsi" w:cstheme="majorHAnsi"/>
        </w:rPr>
        <w:t>Figure</w:t>
      </w:r>
      <w:r w:rsidR="00E479E1" w:rsidRPr="00870DCF">
        <w:rPr>
          <w:rFonts w:asciiTheme="majorHAnsi" w:hAnsiTheme="majorHAnsi" w:cstheme="majorHAnsi"/>
        </w:rPr>
        <w:t> </w:t>
      </w:r>
      <w:r w:rsidR="000851DF" w:rsidRPr="00870DCF">
        <w:rPr>
          <w:rFonts w:asciiTheme="majorHAnsi" w:hAnsiTheme="majorHAnsi" w:cstheme="majorHAnsi"/>
        </w:rPr>
        <w:t>19</w:t>
      </w:r>
      <w:r w:rsidR="000851DF" w:rsidRPr="00F46944">
        <w:rPr>
          <w:rFonts w:asciiTheme="majorHAnsi" w:hAnsiTheme="majorHAnsi" w:cstheme="majorHAnsi"/>
        </w:rPr>
        <w:t xml:space="preserve"> </w:t>
      </w:r>
      <w:r w:rsidRPr="00F46944">
        <w:rPr>
          <w:rFonts w:asciiTheme="majorHAnsi" w:hAnsiTheme="majorHAnsi" w:cstheme="majorHAnsi"/>
        </w:rPr>
        <w:t>show</w:t>
      </w:r>
      <w:r w:rsidR="009F20DA" w:rsidRPr="00F46944">
        <w:rPr>
          <w:rFonts w:asciiTheme="majorHAnsi" w:hAnsiTheme="majorHAnsi" w:cstheme="majorHAnsi"/>
        </w:rPr>
        <w:t>s</w:t>
      </w:r>
      <w:r w:rsidRPr="00F46944">
        <w:rPr>
          <w:rFonts w:asciiTheme="majorHAnsi" w:hAnsiTheme="majorHAnsi" w:cstheme="majorHAnsi"/>
        </w:rPr>
        <w:t xml:space="preserve"> the number of </w:t>
      </w:r>
      <w:r w:rsidR="006E3CFC" w:rsidRPr="00F46944">
        <w:rPr>
          <w:rFonts w:asciiTheme="majorHAnsi" w:hAnsiTheme="majorHAnsi" w:cstheme="majorHAnsi"/>
        </w:rPr>
        <w:t>PBS/RPBS</w:t>
      </w:r>
      <w:r w:rsidRPr="00F46944">
        <w:rPr>
          <w:rFonts w:asciiTheme="majorHAnsi" w:hAnsiTheme="majorHAnsi" w:cstheme="majorHAnsi"/>
        </w:rPr>
        <w:t xml:space="preserve"> prescriptions </w:t>
      </w:r>
      <w:r w:rsidR="00FD34F6">
        <w:rPr>
          <w:rFonts w:asciiTheme="majorHAnsi" w:hAnsiTheme="majorHAnsi" w:cstheme="majorHAnsi"/>
        </w:rPr>
        <w:t>dispensed</w:t>
      </w:r>
      <w:r w:rsidRPr="00F46944">
        <w:rPr>
          <w:rFonts w:asciiTheme="majorHAnsi" w:hAnsiTheme="majorHAnsi" w:cstheme="majorHAnsi"/>
        </w:rPr>
        <w:t xml:space="preserve"> for </w:t>
      </w:r>
      <w:r w:rsidR="004D2FDA" w:rsidRPr="00F46944">
        <w:rPr>
          <w:rFonts w:asciiTheme="majorHAnsi" w:hAnsiTheme="majorHAnsi" w:cstheme="majorHAnsi"/>
        </w:rPr>
        <w:t xml:space="preserve">antimicrobials </w:t>
      </w:r>
      <w:r w:rsidRPr="00F46944">
        <w:rPr>
          <w:rFonts w:asciiTheme="majorHAnsi" w:hAnsiTheme="majorHAnsi" w:cstheme="majorHAnsi"/>
        </w:rPr>
        <w:t xml:space="preserve">from 2019 to 2021, </w:t>
      </w:r>
      <w:r w:rsidR="000851DF">
        <w:rPr>
          <w:rFonts w:asciiTheme="majorHAnsi" w:hAnsiTheme="majorHAnsi" w:cstheme="majorHAnsi"/>
        </w:rPr>
        <w:t>and</w:t>
      </w:r>
      <w:r w:rsidR="000851DF" w:rsidRPr="00F46944">
        <w:rPr>
          <w:rFonts w:asciiTheme="majorHAnsi" w:hAnsiTheme="majorHAnsi" w:cstheme="majorHAnsi"/>
        </w:rPr>
        <w:t xml:space="preserve"> </w:t>
      </w:r>
      <w:r w:rsidR="009F20DA" w:rsidRPr="00870DCF">
        <w:rPr>
          <w:rFonts w:asciiTheme="majorHAnsi" w:hAnsiTheme="majorHAnsi" w:cstheme="majorHAnsi"/>
        </w:rPr>
        <w:t>Figure</w:t>
      </w:r>
      <w:r w:rsidR="004919A3">
        <w:rPr>
          <w:rFonts w:asciiTheme="majorHAnsi" w:hAnsiTheme="majorHAnsi" w:cstheme="majorHAnsi"/>
        </w:rPr>
        <w:t> </w:t>
      </w:r>
      <w:r w:rsidR="000851DF" w:rsidRPr="00870DCF">
        <w:rPr>
          <w:rFonts w:asciiTheme="majorHAnsi" w:hAnsiTheme="majorHAnsi" w:cstheme="majorHAnsi"/>
        </w:rPr>
        <w:t>20</w:t>
      </w:r>
      <w:r w:rsidR="000851DF" w:rsidRPr="00F46944">
        <w:rPr>
          <w:rFonts w:asciiTheme="majorHAnsi" w:hAnsiTheme="majorHAnsi" w:cstheme="majorHAnsi"/>
        </w:rPr>
        <w:t xml:space="preserve"> </w:t>
      </w:r>
      <w:r w:rsidRPr="00F46944">
        <w:rPr>
          <w:rFonts w:asciiTheme="majorHAnsi" w:hAnsiTheme="majorHAnsi" w:cstheme="majorHAnsi"/>
        </w:rPr>
        <w:t>show</w:t>
      </w:r>
      <w:r w:rsidR="006C0A2E" w:rsidRPr="00F46944">
        <w:rPr>
          <w:rFonts w:asciiTheme="majorHAnsi" w:hAnsiTheme="majorHAnsi" w:cstheme="majorHAnsi"/>
        </w:rPr>
        <w:t>s</w:t>
      </w:r>
      <w:r w:rsidRPr="00F46944">
        <w:rPr>
          <w:rFonts w:asciiTheme="majorHAnsi" w:hAnsiTheme="majorHAnsi" w:cstheme="majorHAnsi"/>
        </w:rPr>
        <w:t xml:space="preserve"> the</w:t>
      </w:r>
      <w:r w:rsidR="00BF603F" w:rsidRPr="00F46944">
        <w:rPr>
          <w:rFonts w:asciiTheme="majorHAnsi" w:hAnsiTheme="majorHAnsi" w:cstheme="majorHAnsi"/>
        </w:rPr>
        <w:t xml:space="preserve"> rate</w:t>
      </w:r>
      <w:r w:rsidR="00E54107" w:rsidRPr="00F46944">
        <w:rPr>
          <w:rFonts w:asciiTheme="majorHAnsi" w:hAnsiTheme="majorHAnsi" w:cstheme="majorHAnsi"/>
        </w:rPr>
        <w:t xml:space="preserve"> </w:t>
      </w:r>
      <w:r w:rsidRPr="00F46944">
        <w:rPr>
          <w:rFonts w:asciiTheme="majorHAnsi" w:hAnsiTheme="majorHAnsi" w:cstheme="majorHAnsi"/>
        </w:rPr>
        <w:t xml:space="preserve">of </w:t>
      </w:r>
      <w:r w:rsidR="00BF603F" w:rsidRPr="00F46944">
        <w:rPr>
          <w:rFonts w:asciiTheme="majorHAnsi" w:hAnsiTheme="majorHAnsi" w:cstheme="majorHAnsi"/>
        </w:rPr>
        <w:t xml:space="preserve">community </w:t>
      </w:r>
      <w:r w:rsidR="004D2FDA" w:rsidRPr="00F46944">
        <w:rPr>
          <w:rFonts w:asciiTheme="majorHAnsi" w:hAnsiTheme="majorHAnsi" w:cstheme="majorHAnsi"/>
        </w:rPr>
        <w:t>antimicrobial</w:t>
      </w:r>
      <w:r w:rsidR="00BF603F" w:rsidRPr="00F46944">
        <w:rPr>
          <w:rFonts w:asciiTheme="majorHAnsi" w:hAnsiTheme="majorHAnsi" w:cstheme="majorHAnsi"/>
        </w:rPr>
        <w:t xml:space="preserve"> use</w:t>
      </w:r>
      <w:r w:rsidR="004D2FDA" w:rsidRPr="00F46944">
        <w:rPr>
          <w:rFonts w:asciiTheme="majorHAnsi" w:hAnsiTheme="majorHAnsi" w:cstheme="majorHAnsi"/>
        </w:rPr>
        <w:t xml:space="preserve"> </w:t>
      </w:r>
      <w:r w:rsidRPr="00F46944">
        <w:rPr>
          <w:rFonts w:asciiTheme="majorHAnsi" w:hAnsiTheme="majorHAnsi" w:cstheme="majorHAnsi"/>
        </w:rPr>
        <w:t>as DDD/1</w:t>
      </w:r>
      <w:r w:rsidR="002A32C3" w:rsidRPr="00F46944">
        <w:rPr>
          <w:rFonts w:asciiTheme="majorHAnsi" w:hAnsiTheme="majorHAnsi" w:cstheme="majorHAnsi"/>
        </w:rPr>
        <w:t>,</w:t>
      </w:r>
      <w:r w:rsidRPr="00F46944">
        <w:rPr>
          <w:rFonts w:asciiTheme="majorHAnsi" w:hAnsiTheme="majorHAnsi" w:cstheme="majorHAnsi"/>
        </w:rPr>
        <w:t>000</w:t>
      </w:r>
      <w:r w:rsidR="00772DCB" w:rsidRPr="00F46944">
        <w:rPr>
          <w:rFonts w:asciiTheme="majorHAnsi" w:hAnsiTheme="majorHAnsi" w:cstheme="majorHAnsi"/>
        </w:rPr>
        <w:t> </w:t>
      </w:r>
      <w:r w:rsidR="002A32C3" w:rsidRPr="00F46944">
        <w:rPr>
          <w:rFonts w:asciiTheme="majorHAnsi" w:hAnsiTheme="majorHAnsi" w:cstheme="majorHAnsi"/>
        </w:rPr>
        <w:t>people</w:t>
      </w:r>
      <w:r w:rsidRPr="00F46944">
        <w:rPr>
          <w:rFonts w:asciiTheme="majorHAnsi" w:hAnsiTheme="majorHAnsi" w:cstheme="majorHAnsi"/>
        </w:rPr>
        <w:t>/day</w:t>
      </w:r>
      <w:r w:rsidR="000557AF">
        <w:rPr>
          <w:rFonts w:asciiTheme="majorHAnsi" w:hAnsiTheme="majorHAnsi" w:cstheme="majorHAnsi"/>
        </w:rPr>
        <w:t>.</w:t>
      </w:r>
      <w:r w:rsidRPr="00F46944">
        <w:rPr>
          <w:rFonts w:asciiTheme="majorHAnsi" w:hAnsiTheme="majorHAnsi" w:cstheme="majorHAnsi"/>
        </w:rPr>
        <w:t xml:space="preserve"> </w:t>
      </w:r>
    </w:p>
    <w:p w14:paraId="28EFF370" w14:textId="197D8129" w:rsidR="0093641B" w:rsidRDefault="00CA1A00" w:rsidP="0093641B">
      <w:pPr>
        <w:spacing w:after="80"/>
        <w:rPr>
          <w:rFonts w:asciiTheme="majorHAnsi" w:hAnsiTheme="majorHAnsi" w:cstheme="majorHAnsi"/>
        </w:rPr>
      </w:pPr>
      <w:r w:rsidRPr="00F46944">
        <w:rPr>
          <w:rFonts w:asciiTheme="majorHAnsi" w:hAnsiTheme="majorHAnsi" w:cstheme="majorHAnsi"/>
        </w:rPr>
        <w:t>A peak in the number of prescriptions for</w:t>
      </w:r>
      <w:r w:rsidR="00F842F6" w:rsidRPr="00F46944">
        <w:rPr>
          <w:rFonts w:asciiTheme="majorHAnsi" w:hAnsiTheme="majorHAnsi" w:cstheme="majorHAnsi"/>
        </w:rPr>
        <w:t xml:space="preserve"> </w:t>
      </w:r>
      <w:r w:rsidR="004D2FDA" w:rsidRPr="00F46944">
        <w:rPr>
          <w:rFonts w:asciiTheme="majorHAnsi" w:hAnsiTheme="majorHAnsi" w:cstheme="majorHAnsi"/>
        </w:rPr>
        <w:t>antimicrobial</w:t>
      </w:r>
      <w:r w:rsidR="00F842F6" w:rsidRPr="00F46944">
        <w:rPr>
          <w:rFonts w:asciiTheme="majorHAnsi" w:hAnsiTheme="majorHAnsi" w:cstheme="majorHAnsi"/>
        </w:rPr>
        <w:t xml:space="preserve">s </w:t>
      </w:r>
      <w:r w:rsidRPr="00F46944">
        <w:rPr>
          <w:rFonts w:asciiTheme="majorHAnsi" w:hAnsiTheme="majorHAnsi" w:cstheme="majorHAnsi"/>
        </w:rPr>
        <w:t>was</w:t>
      </w:r>
      <w:r w:rsidR="00F842F6" w:rsidRPr="00F46944">
        <w:rPr>
          <w:rFonts w:asciiTheme="majorHAnsi" w:hAnsiTheme="majorHAnsi" w:cstheme="majorHAnsi"/>
        </w:rPr>
        <w:t xml:space="preserve"> observed in March 2020</w:t>
      </w:r>
      <w:r w:rsidRPr="00F46944">
        <w:rPr>
          <w:rFonts w:asciiTheme="majorHAnsi" w:hAnsiTheme="majorHAnsi" w:cstheme="majorHAnsi"/>
        </w:rPr>
        <w:t>. This</w:t>
      </w:r>
      <w:r w:rsidR="00F842F6" w:rsidRPr="00F46944">
        <w:rPr>
          <w:rFonts w:asciiTheme="majorHAnsi" w:hAnsiTheme="majorHAnsi" w:cstheme="majorHAnsi"/>
        </w:rPr>
        <w:t xml:space="preserve"> is consistent with </w:t>
      </w:r>
      <w:r w:rsidR="003516FE" w:rsidRPr="00F46944">
        <w:rPr>
          <w:rFonts w:asciiTheme="majorHAnsi" w:hAnsiTheme="majorHAnsi" w:cstheme="majorHAnsi"/>
        </w:rPr>
        <w:t xml:space="preserve">reported </w:t>
      </w:r>
      <w:r w:rsidR="00F842F6" w:rsidRPr="00F46944">
        <w:rPr>
          <w:rFonts w:asciiTheme="majorHAnsi" w:hAnsiTheme="majorHAnsi" w:cstheme="majorHAnsi"/>
        </w:rPr>
        <w:t>stockpiling</w:t>
      </w:r>
      <w:r w:rsidR="002A32C3" w:rsidRPr="00F46944">
        <w:rPr>
          <w:rFonts w:asciiTheme="majorHAnsi" w:hAnsiTheme="majorHAnsi" w:cstheme="majorHAnsi"/>
        </w:rPr>
        <w:t xml:space="preserve"> of medicines</w:t>
      </w:r>
      <w:r w:rsidR="003516FE" w:rsidRPr="00F46944">
        <w:rPr>
          <w:rFonts w:asciiTheme="majorHAnsi" w:hAnsiTheme="majorHAnsi" w:cstheme="majorHAnsi"/>
        </w:rPr>
        <w:t xml:space="preserve"> before COVID-19 </w:t>
      </w:r>
      <w:r w:rsidR="00683C21" w:rsidRPr="00F46944">
        <w:rPr>
          <w:rFonts w:asciiTheme="majorHAnsi" w:hAnsiTheme="majorHAnsi" w:cstheme="majorHAnsi"/>
        </w:rPr>
        <w:t xml:space="preserve">pandemic </w:t>
      </w:r>
      <w:r w:rsidR="003516FE" w:rsidRPr="00F46944">
        <w:rPr>
          <w:rFonts w:asciiTheme="majorHAnsi" w:hAnsiTheme="majorHAnsi" w:cstheme="majorHAnsi"/>
        </w:rPr>
        <w:t>restrictions were implemented</w:t>
      </w:r>
      <w:r w:rsidR="00944B22" w:rsidRPr="00F46944">
        <w:rPr>
          <w:rFonts w:asciiTheme="majorHAnsi" w:hAnsiTheme="majorHAnsi" w:cstheme="majorHAnsi"/>
        </w:rPr>
        <w:fldChar w:fldCharType="begin"/>
      </w:r>
      <w:r w:rsidR="00C16B8F">
        <w:rPr>
          <w:rFonts w:asciiTheme="majorHAnsi" w:hAnsiTheme="majorHAnsi" w:cstheme="majorHAnsi"/>
        </w:rPr>
        <w:instrText xml:space="preserve"> ADDIN EN.CITE &lt;EndNote&gt;&lt;Cite&gt;&lt;Author&gt;Therapeutic Goods Administration&lt;/Author&gt;&lt;Year&gt;2020&lt;/Year&gt;&lt;RecNum&gt;22&lt;/RecNum&gt;&lt;DisplayText&gt;&lt;style face="superscript"&gt;23&lt;/style&gt;&lt;/DisplayText&gt;&lt;record&gt;&lt;rec-number&gt;22&lt;/rec-number&gt;&lt;foreign-keys&gt;&lt;key app="EN" db-id="es9dr99ws90stoe5x2rp505nazvswdzppxa5" timestamp="1670810548"&gt;22&lt;/key&gt;&lt;/foreign-keys&gt;&lt;ref-type name="Press Release"&gt;63&lt;/ref-type&gt;&lt;contributors&gt;&lt;authors&gt;&lt;author&gt;Therapeutic Goods Administration,&lt;/author&gt;&lt;/authors&gt;&lt;/contributors&gt;&lt;titles&gt;&lt;title&gt;TGA cautions against over-buying medicines&lt;/title&gt;&lt;/titles&gt;&lt;dates&gt;&lt;year&gt;2020&lt;/year&gt;&lt;/dates&gt;&lt;urls&gt;&lt;related-urls&gt;&lt;url&gt;https://www.tga.gov.au/media-release/tga-cautions-against-over-buying-medicines&lt;/url&gt;&lt;/related-urls&gt;&lt;/urls&gt;&lt;/record&gt;&lt;/Cite&gt;&lt;/EndNote&gt;</w:instrText>
      </w:r>
      <w:r w:rsidR="00944B22" w:rsidRPr="00F46944">
        <w:rPr>
          <w:rFonts w:asciiTheme="majorHAnsi" w:hAnsiTheme="majorHAnsi" w:cstheme="majorHAnsi"/>
        </w:rPr>
        <w:fldChar w:fldCharType="separate"/>
      </w:r>
      <w:r w:rsidR="00C16B8F" w:rsidRPr="00C16B8F">
        <w:rPr>
          <w:rFonts w:asciiTheme="majorHAnsi" w:hAnsiTheme="majorHAnsi" w:cstheme="majorHAnsi"/>
          <w:noProof/>
          <w:vertAlign w:val="superscript"/>
        </w:rPr>
        <w:t>23</w:t>
      </w:r>
      <w:r w:rsidR="00944B22" w:rsidRPr="00F46944">
        <w:rPr>
          <w:rFonts w:asciiTheme="majorHAnsi" w:hAnsiTheme="majorHAnsi" w:cstheme="majorHAnsi"/>
        </w:rPr>
        <w:fldChar w:fldCharType="end"/>
      </w:r>
      <w:r w:rsidR="003516FE" w:rsidRPr="00F46944">
        <w:rPr>
          <w:rFonts w:asciiTheme="majorHAnsi" w:hAnsiTheme="majorHAnsi" w:cstheme="majorHAnsi"/>
        </w:rPr>
        <w:t xml:space="preserve"> – which </w:t>
      </w:r>
      <w:r w:rsidRPr="00F46944">
        <w:rPr>
          <w:rFonts w:asciiTheme="majorHAnsi" w:hAnsiTheme="majorHAnsi" w:cstheme="majorHAnsi"/>
        </w:rPr>
        <w:t>also affected availability of</w:t>
      </w:r>
      <w:r w:rsidR="007C699A" w:rsidRPr="00F46944">
        <w:rPr>
          <w:rFonts w:asciiTheme="majorHAnsi" w:hAnsiTheme="majorHAnsi" w:cstheme="majorHAnsi"/>
        </w:rPr>
        <w:t xml:space="preserve"> antihypertensives</w:t>
      </w:r>
      <w:r w:rsidRPr="00F46944">
        <w:rPr>
          <w:rFonts w:asciiTheme="majorHAnsi" w:hAnsiTheme="majorHAnsi" w:cstheme="majorHAnsi"/>
        </w:rPr>
        <w:t>,</w:t>
      </w:r>
      <w:r w:rsidR="00085EA3" w:rsidRPr="00F46944">
        <w:rPr>
          <w:rFonts w:asciiTheme="majorHAnsi" w:hAnsiTheme="majorHAnsi" w:cstheme="majorHAnsi"/>
        </w:rPr>
        <w:t xml:space="preserve"> </w:t>
      </w:r>
      <w:r w:rsidR="007C699A" w:rsidRPr="00F46944">
        <w:rPr>
          <w:rFonts w:asciiTheme="majorHAnsi" w:hAnsiTheme="majorHAnsi" w:cstheme="majorHAnsi"/>
        </w:rPr>
        <w:t>cholesterol-lowering medicines</w:t>
      </w:r>
      <w:r w:rsidR="001B5F1A" w:rsidRPr="00F46944">
        <w:rPr>
          <w:rFonts w:asciiTheme="majorHAnsi" w:hAnsiTheme="majorHAnsi" w:cstheme="majorHAnsi"/>
        </w:rPr>
        <w:t xml:space="preserve">, </w:t>
      </w:r>
      <w:r w:rsidR="002A32C3" w:rsidRPr="00F46944">
        <w:rPr>
          <w:rFonts w:asciiTheme="majorHAnsi" w:hAnsiTheme="majorHAnsi" w:cstheme="majorHAnsi"/>
        </w:rPr>
        <w:t xml:space="preserve">and other goods. Use of </w:t>
      </w:r>
      <w:r w:rsidR="006E3CFC" w:rsidRPr="00F46944">
        <w:rPr>
          <w:rFonts w:asciiTheme="majorHAnsi" w:hAnsiTheme="majorHAnsi" w:cstheme="majorHAnsi"/>
        </w:rPr>
        <w:t>PBS/RPBS</w:t>
      </w:r>
      <w:r w:rsidR="002A32C3" w:rsidRPr="00F46944">
        <w:rPr>
          <w:rFonts w:asciiTheme="majorHAnsi" w:hAnsiTheme="majorHAnsi" w:cstheme="majorHAnsi"/>
        </w:rPr>
        <w:t xml:space="preserve"> </w:t>
      </w:r>
      <w:r w:rsidR="004D2FDA" w:rsidRPr="00F46944">
        <w:rPr>
          <w:rFonts w:asciiTheme="majorHAnsi" w:hAnsiTheme="majorHAnsi" w:cstheme="majorHAnsi"/>
        </w:rPr>
        <w:t>antimicrobial</w:t>
      </w:r>
      <w:r w:rsidR="002A32C3" w:rsidRPr="00F46944">
        <w:rPr>
          <w:rFonts w:asciiTheme="majorHAnsi" w:hAnsiTheme="majorHAnsi" w:cstheme="majorHAnsi"/>
        </w:rPr>
        <w:t xml:space="preserve">s </w:t>
      </w:r>
      <w:r w:rsidR="00683C21" w:rsidRPr="00F46944">
        <w:rPr>
          <w:rFonts w:asciiTheme="majorHAnsi" w:hAnsiTheme="majorHAnsi" w:cstheme="majorHAnsi"/>
        </w:rPr>
        <w:t xml:space="preserve">markedly reduced </w:t>
      </w:r>
      <w:r w:rsidR="002A32C3" w:rsidRPr="00F46944">
        <w:rPr>
          <w:rFonts w:asciiTheme="majorHAnsi" w:hAnsiTheme="majorHAnsi" w:cstheme="majorHAnsi"/>
        </w:rPr>
        <w:t>in April 2020.</w:t>
      </w:r>
      <w:r w:rsidR="00ED6F47">
        <w:rPr>
          <w:rFonts w:asciiTheme="majorHAnsi" w:hAnsiTheme="majorHAnsi" w:cstheme="majorHAnsi"/>
        </w:rPr>
        <w:t xml:space="preserve"> </w:t>
      </w:r>
      <w:r w:rsidR="002A32C3" w:rsidRPr="00F46944">
        <w:rPr>
          <w:rFonts w:asciiTheme="majorHAnsi" w:hAnsiTheme="majorHAnsi" w:cstheme="majorHAnsi"/>
        </w:rPr>
        <w:lastRenderedPageBreak/>
        <w:t xml:space="preserve">The number of </w:t>
      </w:r>
      <w:r w:rsidR="00E075F1">
        <w:rPr>
          <w:rFonts w:asciiTheme="majorHAnsi" w:hAnsiTheme="majorHAnsi" w:cstheme="majorHAnsi"/>
        </w:rPr>
        <w:t xml:space="preserve">PBS/RPBS </w:t>
      </w:r>
      <w:r w:rsidR="002A32C3" w:rsidRPr="00F46944">
        <w:rPr>
          <w:rFonts w:asciiTheme="majorHAnsi" w:hAnsiTheme="majorHAnsi" w:cstheme="majorHAnsi"/>
        </w:rPr>
        <w:t>prescriptions supplied decreased from 2.</w:t>
      </w:r>
      <w:r w:rsidR="00865630">
        <w:rPr>
          <w:rFonts w:asciiTheme="majorHAnsi" w:hAnsiTheme="majorHAnsi" w:cstheme="majorHAnsi"/>
        </w:rPr>
        <w:t>3</w:t>
      </w:r>
      <w:r w:rsidR="00865630" w:rsidRPr="00F46944">
        <w:rPr>
          <w:rFonts w:asciiTheme="majorHAnsi" w:hAnsiTheme="majorHAnsi" w:cstheme="majorHAnsi"/>
        </w:rPr>
        <w:t> </w:t>
      </w:r>
      <w:r w:rsidR="002A32C3" w:rsidRPr="00F46944">
        <w:rPr>
          <w:rFonts w:asciiTheme="majorHAnsi" w:hAnsiTheme="majorHAnsi" w:cstheme="majorHAnsi"/>
        </w:rPr>
        <w:t>million in March 2020 to 1.4</w:t>
      </w:r>
      <w:r w:rsidR="00106BC3" w:rsidRPr="00F46944">
        <w:rPr>
          <w:rFonts w:asciiTheme="majorHAnsi" w:hAnsiTheme="majorHAnsi" w:cstheme="majorHAnsi"/>
        </w:rPr>
        <w:t> </w:t>
      </w:r>
      <w:r w:rsidR="002A32C3" w:rsidRPr="00F46944">
        <w:rPr>
          <w:rFonts w:asciiTheme="majorHAnsi" w:hAnsiTheme="majorHAnsi" w:cstheme="majorHAnsi"/>
        </w:rPr>
        <w:t>million in April 2020 – a 40</w:t>
      </w:r>
      <w:r w:rsidR="00865630">
        <w:rPr>
          <w:rFonts w:asciiTheme="majorHAnsi" w:hAnsiTheme="majorHAnsi" w:cstheme="majorHAnsi"/>
        </w:rPr>
        <w:t>.3</w:t>
      </w:r>
      <w:r w:rsidR="002A32C3" w:rsidRPr="00F46944">
        <w:rPr>
          <w:rFonts w:asciiTheme="majorHAnsi" w:hAnsiTheme="majorHAnsi" w:cstheme="majorHAnsi"/>
        </w:rPr>
        <w:t>%</w:t>
      </w:r>
      <w:r w:rsidR="00852D08">
        <w:rPr>
          <w:rFonts w:asciiTheme="majorHAnsi" w:hAnsiTheme="majorHAnsi" w:cstheme="majorHAnsi"/>
        </w:rPr>
        <w:t xml:space="preserve"> drop</w:t>
      </w:r>
      <w:r w:rsidR="002A32C3" w:rsidRPr="00F46944">
        <w:rPr>
          <w:rFonts w:asciiTheme="majorHAnsi" w:hAnsiTheme="majorHAnsi" w:cstheme="majorHAnsi"/>
        </w:rPr>
        <w:t xml:space="preserve">. Antimicrobial use in 2021 increased in winter but overall remained lower </w:t>
      </w:r>
      <w:r w:rsidR="000D72ED" w:rsidRPr="00F46944">
        <w:rPr>
          <w:rFonts w:asciiTheme="majorHAnsi" w:hAnsiTheme="majorHAnsi" w:cstheme="majorHAnsi"/>
        </w:rPr>
        <w:t xml:space="preserve">compared to 2019. </w:t>
      </w:r>
    </w:p>
    <w:p w14:paraId="3D3A855C" w14:textId="6A973A38" w:rsidR="00ED6F47" w:rsidRPr="00F46944" w:rsidRDefault="001B2B05" w:rsidP="004919A3">
      <w:pPr>
        <w:spacing w:before="120" w:after="120"/>
        <w:rPr>
          <w:rFonts w:asciiTheme="majorHAnsi" w:hAnsiTheme="majorHAnsi" w:cstheme="majorHAnsi"/>
        </w:rPr>
      </w:pPr>
      <w:proofErr w:type="spellStart"/>
      <w:r>
        <w:rPr>
          <w:rFonts w:asciiTheme="majorHAnsi" w:hAnsiTheme="majorHAnsi" w:cstheme="majorHAnsi"/>
        </w:rPr>
        <w:t>MedicineInsight</w:t>
      </w:r>
      <w:proofErr w:type="spellEnd"/>
      <w:r>
        <w:rPr>
          <w:rFonts w:asciiTheme="majorHAnsi" w:hAnsiTheme="majorHAnsi" w:cstheme="majorHAnsi"/>
        </w:rPr>
        <w:t xml:space="preserve"> data complements these findings </w:t>
      </w:r>
      <w:r w:rsidR="003E588E">
        <w:rPr>
          <w:rFonts w:asciiTheme="majorHAnsi" w:hAnsiTheme="majorHAnsi" w:cstheme="majorHAnsi"/>
        </w:rPr>
        <w:t xml:space="preserve">showing </w:t>
      </w:r>
      <w:r>
        <w:rPr>
          <w:rFonts w:asciiTheme="majorHAnsi" w:hAnsiTheme="majorHAnsi" w:cstheme="majorHAnsi"/>
        </w:rPr>
        <w:t>antimicrobial prescriptions issued per 100 GP visits markedly decreased from April 2020 (</w:t>
      </w:r>
      <w:r w:rsidRPr="00870DCF">
        <w:rPr>
          <w:rFonts w:asciiTheme="majorHAnsi" w:hAnsiTheme="majorHAnsi" w:cstheme="majorHAnsi"/>
        </w:rPr>
        <w:t>Figure</w:t>
      </w:r>
      <w:r w:rsidR="003E588E" w:rsidRPr="004919A3">
        <w:rPr>
          <w:rFonts w:asciiTheme="majorHAnsi" w:hAnsiTheme="majorHAnsi" w:cstheme="majorHAnsi"/>
        </w:rPr>
        <w:t> </w:t>
      </w:r>
      <w:r w:rsidR="000851DF" w:rsidRPr="00870DCF">
        <w:rPr>
          <w:rFonts w:asciiTheme="majorHAnsi" w:hAnsiTheme="majorHAnsi" w:cstheme="majorHAnsi"/>
        </w:rPr>
        <w:t>21</w:t>
      </w:r>
      <w:r w:rsidR="00852D08">
        <w:rPr>
          <w:rFonts w:asciiTheme="majorHAnsi" w:hAnsiTheme="majorHAnsi" w:cstheme="majorHAnsi"/>
        </w:rPr>
        <w:t>).</w:t>
      </w:r>
      <w:r w:rsidR="003E588E">
        <w:rPr>
          <w:rFonts w:asciiTheme="majorHAnsi" w:hAnsiTheme="majorHAnsi" w:cstheme="majorHAnsi"/>
          <w:b/>
          <w:bCs/>
        </w:rPr>
        <w:t xml:space="preserve"> </w:t>
      </w:r>
    </w:p>
    <w:p w14:paraId="1F55E564" w14:textId="77F9EC76" w:rsidR="000D72ED" w:rsidRPr="004B2665" w:rsidRDefault="004B2665" w:rsidP="004B2665">
      <w:pPr>
        <w:pStyle w:val="Captions"/>
        <w:rPr>
          <w:b w:val="0"/>
          <w:bCs w:val="0"/>
        </w:rPr>
      </w:pPr>
      <w:bookmarkStart w:id="139" w:name="_Toc121491331"/>
      <w:bookmarkStart w:id="140" w:name="_Toc121840903"/>
      <w:r>
        <w:t>Figure</w:t>
      </w:r>
      <w:r w:rsidRPr="00F46944">
        <w:t> </w:t>
      </w:r>
      <w:fldSimple w:instr=" SEQ Figure \* ARABIC ">
        <w:r w:rsidR="00F34DDD">
          <w:rPr>
            <w:noProof/>
          </w:rPr>
          <w:t>19</w:t>
        </w:r>
      </w:fldSimple>
      <w:r w:rsidR="00B72C31" w:rsidRPr="00F46944">
        <w:t>:</w:t>
      </w:r>
      <w:r w:rsidR="00E479E1" w:rsidRPr="004B2665">
        <w:rPr>
          <w:b w:val="0"/>
          <w:bCs w:val="0"/>
        </w:rPr>
        <w:t> </w:t>
      </w:r>
      <w:r w:rsidR="00B72C31" w:rsidRPr="004B2665">
        <w:rPr>
          <w:b w:val="0"/>
          <w:bCs w:val="0"/>
        </w:rPr>
        <w:t xml:space="preserve">Number of </w:t>
      </w:r>
      <w:r w:rsidR="00C97E83" w:rsidRPr="004B2665">
        <w:rPr>
          <w:b w:val="0"/>
          <w:bCs w:val="0"/>
        </w:rPr>
        <w:t>PBS/RPBS</w:t>
      </w:r>
      <w:r w:rsidR="00CC5D41" w:rsidRPr="004B2665">
        <w:rPr>
          <w:b w:val="0"/>
          <w:bCs w:val="0"/>
        </w:rPr>
        <w:t xml:space="preserve"> antimicrobial*</w:t>
      </w:r>
      <w:r w:rsidR="00C97E83" w:rsidRPr="004B2665">
        <w:rPr>
          <w:b w:val="0"/>
          <w:bCs w:val="0"/>
        </w:rPr>
        <w:t xml:space="preserve"> </w:t>
      </w:r>
      <w:r w:rsidR="00B72C31" w:rsidRPr="004B2665">
        <w:rPr>
          <w:b w:val="0"/>
          <w:bCs w:val="0"/>
        </w:rPr>
        <w:t xml:space="preserve">prescriptions </w:t>
      </w:r>
      <w:r w:rsidR="00FE69C2" w:rsidRPr="004B2665">
        <w:rPr>
          <w:b w:val="0"/>
          <w:bCs w:val="0"/>
        </w:rPr>
        <w:t xml:space="preserve">dispensed, </w:t>
      </w:r>
      <w:r w:rsidR="00B72C31" w:rsidRPr="004B2665">
        <w:rPr>
          <w:b w:val="0"/>
          <w:bCs w:val="0"/>
        </w:rPr>
        <w:t>2019</w:t>
      </w:r>
      <w:r w:rsidR="00FE69C2" w:rsidRPr="004B2665">
        <w:rPr>
          <w:b w:val="0"/>
          <w:bCs w:val="0"/>
        </w:rPr>
        <w:t>–</w:t>
      </w:r>
      <w:r w:rsidR="00B72C31" w:rsidRPr="004B2665">
        <w:rPr>
          <w:b w:val="0"/>
          <w:bCs w:val="0"/>
        </w:rPr>
        <w:t>2021</w:t>
      </w:r>
      <w:bookmarkEnd w:id="139"/>
      <w:bookmarkEnd w:id="140"/>
    </w:p>
    <w:p w14:paraId="5DAC7BEA" w14:textId="74319212" w:rsidR="000D72ED" w:rsidRPr="00F46944" w:rsidRDefault="00580F90" w:rsidP="00F748B7">
      <w:pPr>
        <w:spacing w:after="0"/>
        <w:jc w:val="center"/>
      </w:pPr>
      <w:r>
        <w:rPr>
          <w:noProof/>
        </w:rPr>
        <w:drawing>
          <wp:inline distT="0" distB="0" distL="0" distR="0" wp14:anchorId="720906AD" wp14:editId="789E7922">
            <wp:extent cx="6108700" cy="3602990"/>
            <wp:effectExtent l="0" t="0" r="6350" b="0"/>
            <wp:docPr id="90" name="Picture 90" descr="Figure 19: Number of PBS/RPBS antimicrobial prescriptions dispensed, 2019–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igure 19: Number of PBS/RPBS antimicrobial prescriptions dispensed, 2019–20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08700" cy="3602990"/>
                    </a:xfrm>
                    <a:prstGeom prst="rect">
                      <a:avLst/>
                    </a:prstGeom>
                    <a:noFill/>
                  </pic:spPr>
                </pic:pic>
              </a:graphicData>
            </a:graphic>
          </wp:inline>
        </w:drawing>
      </w:r>
    </w:p>
    <w:p w14:paraId="11E2AD9A" w14:textId="153A244A" w:rsidR="00FD34F6" w:rsidRDefault="00C97E83" w:rsidP="004919A3">
      <w:pPr>
        <w:tabs>
          <w:tab w:val="left" w:pos="142"/>
        </w:tabs>
        <w:rPr>
          <w:rFonts w:cstheme="minorHAnsi"/>
          <w:sz w:val="16"/>
          <w:szCs w:val="16"/>
        </w:rPr>
      </w:pPr>
      <w:r w:rsidRPr="00F46944">
        <w:rPr>
          <w:rFonts w:cstheme="minorHAnsi"/>
          <w:sz w:val="16"/>
          <w:szCs w:val="16"/>
        </w:rPr>
        <w:t>PBS = Pharmaceutical Benefits Scheme; RPBS = Repatriation Pharmaceutical Benefits Scheme</w:t>
      </w:r>
      <w:r w:rsidRPr="00F46944">
        <w:rPr>
          <w:rFonts w:cstheme="minorHAnsi"/>
          <w:sz w:val="16"/>
          <w:szCs w:val="16"/>
        </w:rPr>
        <w:br/>
      </w:r>
      <w:r w:rsidR="00CC5D41" w:rsidRPr="00F46944">
        <w:rPr>
          <w:rFonts w:cs="Gotham Book"/>
          <w:sz w:val="16"/>
          <w:szCs w:val="16"/>
        </w:rPr>
        <w:t>*</w:t>
      </w:r>
      <w:r w:rsidR="00112691">
        <w:rPr>
          <w:rFonts w:cs="Gotham Book"/>
          <w:sz w:val="16"/>
          <w:szCs w:val="16"/>
        </w:rPr>
        <w:tab/>
      </w:r>
      <w:proofErr w:type="spellStart"/>
      <w:r w:rsidR="00CC5D41" w:rsidRPr="00F46944">
        <w:rPr>
          <w:rFonts w:cs="Gotham Book"/>
          <w:sz w:val="16"/>
          <w:szCs w:val="16"/>
        </w:rPr>
        <w:t>Antibacterials</w:t>
      </w:r>
      <w:proofErr w:type="spellEnd"/>
      <w:r w:rsidR="00CC5D41" w:rsidRPr="00F46944">
        <w:rPr>
          <w:rFonts w:cs="Gotham Book"/>
          <w:sz w:val="16"/>
          <w:szCs w:val="16"/>
        </w:rPr>
        <w:t xml:space="preserve"> for systemic use (</w:t>
      </w:r>
      <w:r w:rsidR="00844AD6">
        <w:rPr>
          <w:sz w:val="16"/>
          <w:szCs w:val="16"/>
        </w:rPr>
        <w:t>ATC code</w:t>
      </w:r>
      <w:r w:rsidR="00844AD6" w:rsidRPr="00F46944">
        <w:rPr>
          <w:rFonts w:cs="Gotham Book"/>
          <w:sz w:val="16"/>
          <w:szCs w:val="16"/>
        </w:rPr>
        <w:t xml:space="preserve"> </w:t>
      </w:r>
      <w:r w:rsidR="000D72ED" w:rsidRPr="00F46944">
        <w:rPr>
          <w:rFonts w:cs="Gotham Book"/>
          <w:sz w:val="16"/>
          <w:szCs w:val="16"/>
        </w:rPr>
        <w:t>J01</w:t>
      </w:r>
      <w:r w:rsidR="00CC5D41" w:rsidRPr="00F46944">
        <w:rPr>
          <w:rFonts w:cs="Gotham Book"/>
          <w:sz w:val="16"/>
          <w:szCs w:val="16"/>
        </w:rPr>
        <w:t>)</w:t>
      </w:r>
      <w:r w:rsidR="000D72ED" w:rsidRPr="00F46944">
        <w:rPr>
          <w:rFonts w:cs="Gotham Book"/>
          <w:sz w:val="16"/>
          <w:szCs w:val="16"/>
        </w:rPr>
        <w:t xml:space="preserve"> </w:t>
      </w:r>
      <w:r w:rsidR="00202D52" w:rsidRPr="00F46944">
        <w:rPr>
          <w:rFonts w:cs="Gotham Book"/>
          <w:sz w:val="16"/>
          <w:szCs w:val="16"/>
        </w:rPr>
        <w:br/>
      </w:r>
      <w:r w:rsidR="00202D52" w:rsidRPr="00F46944">
        <w:rPr>
          <w:rFonts w:cstheme="minorHAnsi"/>
          <w:sz w:val="16"/>
          <w:szCs w:val="16"/>
        </w:rPr>
        <w:t>Source: Gadzhanova, Roughead</w:t>
      </w:r>
      <w:r w:rsidR="00202D52" w:rsidRPr="00F46944">
        <w:rPr>
          <w:rFonts w:cstheme="minorHAnsi"/>
          <w:sz w:val="16"/>
          <w:szCs w:val="16"/>
        </w:rPr>
        <w:fldChar w:fldCharType="begin"/>
      </w:r>
      <w:r w:rsidR="00DB0DCB">
        <w:rPr>
          <w:rFonts w:cstheme="minorHAnsi"/>
          <w:sz w:val="16"/>
          <w:szCs w:val="16"/>
        </w:rPr>
        <w:instrText xml:space="preserve"> ADDIN EN.CITE &lt;EndNote&gt;&lt;Cite&gt;&lt;Author&gt;Gadzhanova&lt;/Author&gt;&lt;RecNum&gt;5&lt;/RecNum&gt;&lt;DisplayText&gt;&lt;style face="superscript"&gt;5&lt;/style&gt;&lt;/DisplayText&gt;&lt;record&gt;&lt;rec-number&gt;5&lt;/rec-number&gt;&lt;foreign-keys&gt;&lt;key app="EN" db-id="es9dr99ws90stoe5x2rp505nazvswdzppxa5" timestamp="1670810539"&gt;5&lt;/key&gt;&lt;/foreign-keys&gt;&lt;ref-type name="Unpublished Work"&gt;34&lt;/ref-type&gt;&lt;contributors&gt;&lt;authors&gt;&lt;author&gt;Gadzhanova, S.&lt;/author&gt;&lt;author&gt;Roughead, E.&lt;/author&gt;&lt;/authors&gt;&lt;/contributors&gt;&lt;titles&gt;&lt;title&gt;Analysis of 2015–2021 PBS data for the National Report on Antimicrobial Use and Resistance (unpublished)&lt;/title&gt;&lt;/titles&gt;&lt;dates&gt;&lt;/dates&gt;&lt;pub-location&gt;Sydney &lt;/pub-location&gt;&lt;publisher&gt;ACSQHC &lt;/publisher&gt;&lt;urls&gt;&lt;/urls&gt;&lt;/record&gt;&lt;/Cite&gt;&lt;/EndNote&gt;</w:instrText>
      </w:r>
      <w:r w:rsidR="00202D52" w:rsidRPr="00F46944">
        <w:rPr>
          <w:rFonts w:cstheme="minorHAnsi"/>
          <w:sz w:val="16"/>
          <w:szCs w:val="16"/>
        </w:rPr>
        <w:fldChar w:fldCharType="separate"/>
      </w:r>
      <w:r w:rsidR="001C0A42" w:rsidRPr="001C0A42">
        <w:rPr>
          <w:rFonts w:cstheme="minorHAnsi"/>
          <w:noProof/>
          <w:sz w:val="16"/>
          <w:szCs w:val="16"/>
          <w:vertAlign w:val="superscript"/>
        </w:rPr>
        <w:t>5</w:t>
      </w:r>
      <w:r w:rsidR="00202D52" w:rsidRPr="00F46944">
        <w:rPr>
          <w:rFonts w:cstheme="minorHAnsi"/>
          <w:sz w:val="16"/>
          <w:szCs w:val="16"/>
        </w:rPr>
        <w:fldChar w:fldCharType="end"/>
      </w:r>
    </w:p>
    <w:p w14:paraId="4D109493" w14:textId="77777777" w:rsidR="00FD34F6" w:rsidRDefault="00FD34F6">
      <w:pPr>
        <w:spacing w:after="80"/>
        <w:rPr>
          <w:rFonts w:cstheme="minorHAnsi"/>
          <w:sz w:val="16"/>
          <w:szCs w:val="16"/>
        </w:rPr>
      </w:pPr>
      <w:r>
        <w:rPr>
          <w:rFonts w:cstheme="minorHAnsi"/>
          <w:sz w:val="16"/>
          <w:szCs w:val="16"/>
        </w:rPr>
        <w:br w:type="page"/>
      </w:r>
    </w:p>
    <w:p w14:paraId="2185763C" w14:textId="2DF68322" w:rsidR="00B72C31" w:rsidRPr="00C542DB" w:rsidRDefault="00C542DB" w:rsidP="00F748B7">
      <w:pPr>
        <w:pStyle w:val="Captions"/>
        <w:spacing w:after="0"/>
        <w:rPr>
          <w:b w:val="0"/>
          <w:bCs w:val="0"/>
        </w:rPr>
      </w:pPr>
      <w:bookmarkStart w:id="141" w:name="_Toc121491332"/>
      <w:bookmarkStart w:id="142" w:name="_Toc121840904"/>
      <w:r>
        <w:lastRenderedPageBreak/>
        <w:t>Figure</w:t>
      </w:r>
      <w:r w:rsidRPr="00F46944">
        <w:t> </w:t>
      </w:r>
      <w:fldSimple w:instr=" SEQ Figure \* ARABIC ">
        <w:r w:rsidR="00F34DDD">
          <w:rPr>
            <w:noProof/>
          </w:rPr>
          <w:t>20</w:t>
        </w:r>
      </w:fldSimple>
      <w:r w:rsidR="00B72C31" w:rsidRPr="00F46944">
        <w:t>:</w:t>
      </w:r>
      <w:r w:rsidR="00E479E1" w:rsidRPr="00C542DB">
        <w:rPr>
          <w:b w:val="0"/>
          <w:bCs w:val="0"/>
        </w:rPr>
        <w:t> </w:t>
      </w:r>
      <w:r w:rsidR="00C30592" w:rsidRPr="00C542DB">
        <w:rPr>
          <w:b w:val="0"/>
          <w:bCs w:val="0"/>
        </w:rPr>
        <w:t xml:space="preserve">Quantity </w:t>
      </w:r>
      <w:r w:rsidR="00FE69C2" w:rsidRPr="00C542DB">
        <w:rPr>
          <w:b w:val="0"/>
          <w:bCs w:val="0"/>
        </w:rPr>
        <w:t>of</w:t>
      </w:r>
      <w:r w:rsidR="00FD34F6" w:rsidRPr="00C542DB">
        <w:rPr>
          <w:b w:val="0"/>
          <w:bCs w:val="0"/>
        </w:rPr>
        <w:t xml:space="preserve"> </w:t>
      </w:r>
      <w:r w:rsidR="00FE69C2" w:rsidRPr="00C542DB">
        <w:rPr>
          <w:b w:val="0"/>
          <w:bCs w:val="0"/>
        </w:rPr>
        <w:t xml:space="preserve">PBS/RPBS </w:t>
      </w:r>
      <w:r w:rsidR="00CC5D41" w:rsidRPr="00C542DB">
        <w:rPr>
          <w:b w:val="0"/>
          <w:bCs w:val="0"/>
        </w:rPr>
        <w:t xml:space="preserve">antimicrobial* </w:t>
      </w:r>
      <w:r w:rsidR="00FE69C2" w:rsidRPr="00C542DB">
        <w:rPr>
          <w:b w:val="0"/>
          <w:bCs w:val="0"/>
        </w:rPr>
        <w:t>prescriptions dispensed (</w:t>
      </w:r>
      <w:r w:rsidR="00B72C31" w:rsidRPr="00C542DB">
        <w:rPr>
          <w:b w:val="0"/>
          <w:bCs w:val="0"/>
        </w:rPr>
        <w:t>DDD/1,000</w:t>
      </w:r>
      <w:r w:rsidR="005D46A0" w:rsidRPr="00C542DB">
        <w:rPr>
          <w:b w:val="0"/>
          <w:bCs w:val="0"/>
        </w:rPr>
        <w:t> people</w:t>
      </w:r>
      <w:r w:rsidR="00B72C31" w:rsidRPr="00C542DB">
        <w:rPr>
          <w:b w:val="0"/>
          <w:bCs w:val="0"/>
        </w:rPr>
        <w:t>/day</w:t>
      </w:r>
      <w:r w:rsidR="00FE69C2" w:rsidRPr="00C542DB">
        <w:rPr>
          <w:b w:val="0"/>
          <w:bCs w:val="0"/>
        </w:rPr>
        <w:t>),</w:t>
      </w:r>
      <w:r w:rsidR="006620C9" w:rsidRPr="00C542DB">
        <w:rPr>
          <w:b w:val="0"/>
          <w:bCs w:val="0"/>
        </w:rPr>
        <w:t xml:space="preserve"> </w:t>
      </w:r>
      <w:r w:rsidR="00FE69C2" w:rsidRPr="00C542DB">
        <w:rPr>
          <w:b w:val="0"/>
          <w:bCs w:val="0"/>
        </w:rPr>
        <w:t>2019–2021</w:t>
      </w:r>
      <w:bookmarkEnd w:id="141"/>
      <w:bookmarkEnd w:id="142"/>
      <w:r w:rsidR="00B72C31" w:rsidRPr="00C542DB">
        <w:rPr>
          <w:b w:val="0"/>
          <w:bCs w:val="0"/>
        </w:rPr>
        <w:t xml:space="preserve"> </w:t>
      </w:r>
    </w:p>
    <w:p w14:paraId="5F6B2864" w14:textId="6F94E813" w:rsidR="00852E4F" w:rsidRPr="00F46944" w:rsidRDefault="00580F90" w:rsidP="00294C4C">
      <w:pPr>
        <w:spacing w:before="120" w:after="120"/>
        <w:jc w:val="center"/>
        <w:rPr>
          <w:rFonts w:cstheme="minorHAnsi"/>
          <w:bCs/>
        </w:rPr>
      </w:pPr>
      <w:r>
        <w:rPr>
          <w:rFonts w:cstheme="minorHAnsi"/>
          <w:bCs/>
          <w:noProof/>
        </w:rPr>
        <w:drawing>
          <wp:inline distT="0" distB="0" distL="0" distR="0" wp14:anchorId="11887482" wp14:editId="2DA4442A">
            <wp:extent cx="6017260" cy="3237230"/>
            <wp:effectExtent l="0" t="0" r="2540" b="1270"/>
            <wp:docPr id="92" name="Picture 92" descr="Figure 20: Quantity of PBS/RPBS antimicrobial prescriptions dispensed (DDD/1,000 people/day), 2019–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Figure 20: Quantity of PBS/RPBS antimicrobial prescriptions dispensed (DDD/1,000 people/day), 2019–2021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17260" cy="3237230"/>
                    </a:xfrm>
                    <a:prstGeom prst="rect">
                      <a:avLst/>
                    </a:prstGeom>
                    <a:noFill/>
                  </pic:spPr>
                </pic:pic>
              </a:graphicData>
            </a:graphic>
          </wp:inline>
        </w:drawing>
      </w:r>
    </w:p>
    <w:p w14:paraId="3851125A" w14:textId="6EFDB531" w:rsidR="000D72ED" w:rsidRPr="00F46944" w:rsidRDefault="00C22B0D" w:rsidP="004919A3">
      <w:pPr>
        <w:tabs>
          <w:tab w:val="left" w:pos="142"/>
        </w:tabs>
        <w:rPr>
          <w:rFonts w:cstheme="minorHAnsi"/>
          <w:b/>
          <w:sz w:val="16"/>
          <w:szCs w:val="16"/>
        </w:rPr>
      </w:pPr>
      <w:r w:rsidRPr="00F46944">
        <w:rPr>
          <w:rFonts w:cstheme="minorHAnsi"/>
          <w:sz w:val="16"/>
          <w:szCs w:val="16"/>
        </w:rPr>
        <w:t xml:space="preserve">DDD = Defined daily dose; </w:t>
      </w:r>
      <w:r w:rsidR="00C97E83" w:rsidRPr="00F46944">
        <w:rPr>
          <w:rFonts w:cstheme="minorHAnsi"/>
          <w:sz w:val="16"/>
          <w:szCs w:val="16"/>
        </w:rPr>
        <w:t>PBS = Pharmaceutical Benefits Scheme; RPBS = Repatriation Pharmaceutical Benefits Scheme</w:t>
      </w:r>
      <w:r w:rsidR="00C97E83" w:rsidRPr="00F46944">
        <w:rPr>
          <w:rFonts w:cstheme="minorHAnsi"/>
          <w:sz w:val="16"/>
          <w:szCs w:val="16"/>
        </w:rPr>
        <w:br/>
      </w:r>
      <w:r w:rsidR="00CC5D41" w:rsidRPr="00F46944">
        <w:rPr>
          <w:rFonts w:cstheme="minorHAnsi"/>
          <w:sz w:val="16"/>
          <w:szCs w:val="16"/>
        </w:rPr>
        <w:t>*</w:t>
      </w:r>
      <w:r w:rsidR="00112691">
        <w:rPr>
          <w:rFonts w:cstheme="minorHAnsi"/>
          <w:sz w:val="16"/>
          <w:szCs w:val="16"/>
        </w:rPr>
        <w:tab/>
      </w:r>
      <w:proofErr w:type="spellStart"/>
      <w:r w:rsidR="00CC5D41" w:rsidRPr="00F46944">
        <w:rPr>
          <w:rFonts w:cstheme="minorHAnsi"/>
          <w:sz w:val="16"/>
          <w:szCs w:val="16"/>
        </w:rPr>
        <w:t>Antibacterials</w:t>
      </w:r>
      <w:proofErr w:type="spellEnd"/>
      <w:r w:rsidR="00CC5D41" w:rsidRPr="00F46944">
        <w:rPr>
          <w:rFonts w:cstheme="minorHAnsi"/>
          <w:sz w:val="16"/>
          <w:szCs w:val="16"/>
        </w:rPr>
        <w:t xml:space="preserve"> for systemic use (</w:t>
      </w:r>
      <w:r w:rsidR="00844AD6">
        <w:rPr>
          <w:sz w:val="16"/>
          <w:szCs w:val="16"/>
        </w:rPr>
        <w:t>ATC code</w:t>
      </w:r>
      <w:r w:rsidR="00844AD6" w:rsidRPr="00F46944">
        <w:rPr>
          <w:rFonts w:cstheme="minorHAnsi"/>
          <w:sz w:val="16"/>
          <w:szCs w:val="16"/>
        </w:rPr>
        <w:t xml:space="preserve"> </w:t>
      </w:r>
      <w:r w:rsidR="00CC5D41" w:rsidRPr="00F46944">
        <w:rPr>
          <w:rFonts w:cstheme="minorHAnsi"/>
          <w:sz w:val="16"/>
          <w:szCs w:val="16"/>
        </w:rPr>
        <w:t>J01)</w:t>
      </w:r>
      <w:r w:rsidR="00CC5D41" w:rsidRPr="00F46944">
        <w:rPr>
          <w:rFonts w:cstheme="minorHAnsi"/>
          <w:sz w:val="16"/>
          <w:szCs w:val="16"/>
        </w:rPr>
        <w:br/>
      </w:r>
      <w:r w:rsidR="00202D52" w:rsidRPr="00F46944">
        <w:rPr>
          <w:rFonts w:cstheme="minorHAnsi"/>
          <w:sz w:val="16"/>
          <w:szCs w:val="16"/>
        </w:rPr>
        <w:t>Source: Gadzhanova, Roughead</w:t>
      </w:r>
      <w:r w:rsidR="00202D52" w:rsidRPr="00F46944">
        <w:rPr>
          <w:rFonts w:cstheme="minorHAnsi"/>
          <w:sz w:val="16"/>
          <w:szCs w:val="16"/>
        </w:rPr>
        <w:fldChar w:fldCharType="begin"/>
      </w:r>
      <w:r w:rsidR="00DB0DCB">
        <w:rPr>
          <w:rFonts w:cstheme="minorHAnsi"/>
          <w:sz w:val="16"/>
          <w:szCs w:val="16"/>
        </w:rPr>
        <w:instrText xml:space="preserve"> ADDIN EN.CITE &lt;EndNote&gt;&lt;Cite&gt;&lt;Author&gt;Gadzhanova&lt;/Author&gt;&lt;RecNum&gt;5&lt;/RecNum&gt;&lt;DisplayText&gt;&lt;style face="superscript"&gt;5&lt;/style&gt;&lt;/DisplayText&gt;&lt;record&gt;&lt;rec-number&gt;5&lt;/rec-number&gt;&lt;foreign-keys&gt;&lt;key app="EN" db-id="es9dr99ws90stoe5x2rp505nazvswdzppxa5" timestamp="1670810539"&gt;5&lt;/key&gt;&lt;/foreign-keys&gt;&lt;ref-type name="Unpublished Work"&gt;34&lt;/ref-type&gt;&lt;contributors&gt;&lt;authors&gt;&lt;author&gt;Gadzhanova, S.&lt;/author&gt;&lt;author&gt;Roughead, E.&lt;/author&gt;&lt;/authors&gt;&lt;/contributors&gt;&lt;titles&gt;&lt;title&gt;Analysis of 2015–2021 PBS data for the National Report on Antimicrobial Use and Resistance (unpublished)&lt;/title&gt;&lt;/titles&gt;&lt;dates&gt;&lt;/dates&gt;&lt;pub-location&gt;Sydney &lt;/pub-location&gt;&lt;publisher&gt;ACSQHC &lt;/publisher&gt;&lt;urls&gt;&lt;/urls&gt;&lt;/record&gt;&lt;/Cite&gt;&lt;/EndNote&gt;</w:instrText>
      </w:r>
      <w:r w:rsidR="00202D52" w:rsidRPr="00F46944">
        <w:rPr>
          <w:rFonts w:cstheme="minorHAnsi"/>
          <w:sz w:val="16"/>
          <w:szCs w:val="16"/>
        </w:rPr>
        <w:fldChar w:fldCharType="separate"/>
      </w:r>
      <w:r w:rsidR="001C0A42" w:rsidRPr="001C0A42">
        <w:rPr>
          <w:rFonts w:cstheme="minorHAnsi"/>
          <w:noProof/>
          <w:sz w:val="16"/>
          <w:szCs w:val="16"/>
          <w:vertAlign w:val="superscript"/>
        </w:rPr>
        <w:t>5</w:t>
      </w:r>
      <w:r w:rsidR="00202D52" w:rsidRPr="00F46944">
        <w:rPr>
          <w:rFonts w:cstheme="minorHAnsi"/>
          <w:sz w:val="16"/>
          <w:szCs w:val="16"/>
        </w:rPr>
        <w:fldChar w:fldCharType="end"/>
      </w:r>
    </w:p>
    <w:p w14:paraId="01364FB3" w14:textId="77777777" w:rsidR="00840F3D" w:rsidRDefault="00840F3D" w:rsidP="00316BFB">
      <w:pPr>
        <w:spacing w:before="120" w:after="120"/>
        <w:rPr>
          <w:rFonts w:asciiTheme="majorHAnsi" w:hAnsiTheme="majorHAnsi" w:cstheme="majorHAnsi"/>
        </w:rPr>
      </w:pPr>
    </w:p>
    <w:p w14:paraId="3D6AC3EF" w14:textId="094BADF9" w:rsidR="00006944" w:rsidRPr="00C542DB" w:rsidRDefault="00C542DB" w:rsidP="00F748B7">
      <w:pPr>
        <w:pStyle w:val="Captions"/>
        <w:spacing w:after="0"/>
        <w:rPr>
          <w:rFonts w:eastAsiaTheme="minorEastAsia"/>
          <w:b w:val="0"/>
          <w:bCs w:val="0"/>
        </w:rPr>
      </w:pPr>
      <w:bookmarkStart w:id="143" w:name="_Toc121491333"/>
      <w:bookmarkStart w:id="144" w:name="_Toc121840905"/>
      <w:r>
        <w:t>Figure</w:t>
      </w:r>
      <w:r w:rsidRPr="00F46944">
        <w:rPr>
          <w:rFonts w:eastAsiaTheme="minorEastAsia"/>
        </w:rPr>
        <w:t> </w:t>
      </w:r>
      <w:fldSimple w:instr=" SEQ Figure \* ARABIC ">
        <w:r w:rsidR="00F34DDD">
          <w:rPr>
            <w:noProof/>
          </w:rPr>
          <w:t>21</w:t>
        </w:r>
      </w:fldSimple>
      <w:r w:rsidR="00006944" w:rsidRPr="00F46944">
        <w:rPr>
          <w:rFonts w:eastAsiaTheme="minorEastAsia"/>
        </w:rPr>
        <w:t>:</w:t>
      </w:r>
      <w:r w:rsidRPr="00C542DB">
        <w:rPr>
          <w:rFonts w:eastAsiaTheme="minorEastAsia"/>
          <w:b w:val="0"/>
          <w:bCs w:val="0"/>
        </w:rPr>
        <w:t> </w:t>
      </w:r>
      <w:r w:rsidR="00006944" w:rsidRPr="00C542DB">
        <w:rPr>
          <w:rFonts w:eastAsiaTheme="minorEastAsia"/>
          <w:b w:val="0"/>
          <w:bCs w:val="0"/>
        </w:rPr>
        <w:t xml:space="preserve">Monthly total antimicrobial* prescriptions per 100 GP visits, </w:t>
      </w:r>
      <w:proofErr w:type="spellStart"/>
      <w:r w:rsidR="00006944" w:rsidRPr="00C542DB">
        <w:rPr>
          <w:b w:val="0"/>
          <w:bCs w:val="0"/>
        </w:rPr>
        <w:t>MedicineInsight</w:t>
      </w:r>
      <w:proofErr w:type="spellEnd"/>
      <w:r w:rsidR="00006944" w:rsidRPr="00C542DB">
        <w:rPr>
          <w:b w:val="0"/>
          <w:bCs w:val="0"/>
        </w:rPr>
        <w:t xml:space="preserve"> practices, </w:t>
      </w:r>
      <w:r w:rsidR="00006944" w:rsidRPr="00C542DB">
        <w:rPr>
          <w:rFonts w:eastAsiaTheme="minorEastAsia"/>
          <w:b w:val="0"/>
          <w:bCs w:val="0"/>
        </w:rPr>
        <w:t>2015–2021</w:t>
      </w:r>
      <w:bookmarkEnd w:id="143"/>
      <w:bookmarkEnd w:id="144"/>
    </w:p>
    <w:p w14:paraId="43EB7467" w14:textId="5B7CB94F" w:rsidR="00006944" w:rsidRPr="00F46944" w:rsidRDefault="00580F90" w:rsidP="00C33DF0">
      <w:pPr>
        <w:spacing w:after="0"/>
        <w:jc w:val="center"/>
        <w:rPr>
          <w:rFonts w:asciiTheme="majorHAnsi" w:eastAsiaTheme="minorEastAsia" w:hAnsiTheme="majorHAnsi" w:cstheme="majorHAnsi"/>
          <w:b/>
          <w:bCs/>
        </w:rPr>
      </w:pPr>
      <w:r>
        <w:rPr>
          <w:rFonts w:asciiTheme="majorHAnsi" w:eastAsiaTheme="minorEastAsia" w:hAnsiTheme="majorHAnsi" w:cstheme="majorHAnsi"/>
          <w:b/>
          <w:bCs/>
          <w:noProof/>
        </w:rPr>
        <w:drawing>
          <wp:inline distT="0" distB="0" distL="0" distR="0" wp14:anchorId="484924F5" wp14:editId="0A33E953">
            <wp:extent cx="5925820" cy="3237230"/>
            <wp:effectExtent l="0" t="0" r="0" b="1270"/>
            <wp:docPr id="94" name="Picture 94" descr="Figure 21: Monthly total antimicrobial prescriptions per 100 GP visits, MedicineInsight practices, 2015–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Figure 21: Monthly total antimicrobial prescriptions per 100 GP visits, MedicineInsight practices, 2015–20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25820" cy="3237230"/>
                    </a:xfrm>
                    <a:prstGeom prst="rect">
                      <a:avLst/>
                    </a:prstGeom>
                    <a:noFill/>
                  </pic:spPr>
                </pic:pic>
              </a:graphicData>
            </a:graphic>
          </wp:inline>
        </w:drawing>
      </w:r>
    </w:p>
    <w:p w14:paraId="26EBC17E" w14:textId="45D58553" w:rsidR="00006944" w:rsidRPr="00006944" w:rsidRDefault="00006944" w:rsidP="004919A3">
      <w:pPr>
        <w:tabs>
          <w:tab w:val="left" w:pos="142"/>
        </w:tabs>
        <w:rPr>
          <w:sz w:val="16"/>
          <w:szCs w:val="16"/>
        </w:rPr>
      </w:pPr>
      <w:r w:rsidRPr="00F46944">
        <w:rPr>
          <w:sz w:val="16"/>
          <w:szCs w:val="16"/>
        </w:rPr>
        <w:t xml:space="preserve">GP = </w:t>
      </w:r>
      <w:r w:rsidR="009F3268">
        <w:rPr>
          <w:sz w:val="16"/>
          <w:szCs w:val="16"/>
        </w:rPr>
        <w:t>g</w:t>
      </w:r>
      <w:r w:rsidR="00844AD6" w:rsidRPr="00F46944">
        <w:rPr>
          <w:sz w:val="16"/>
          <w:szCs w:val="16"/>
        </w:rPr>
        <w:t xml:space="preserve">eneral </w:t>
      </w:r>
      <w:r w:rsidR="009F3268">
        <w:rPr>
          <w:sz w:val="16"/>
          <w:szCs w:val="16"/>
        </w:rPr>
        <w:t>p</w:t>
      </w:r>
      <w:r w:rsidR="00844AD6" w:rsidRPr="00F46944">
        <w:rPr>
          <w:sz w:val="16"/>
          <w:szCs w:val="16"/>
        </w:rPr>
        <w:t>ractitioner</w:t>
      </w:r>
      <w:r w:rsidR="00870DCF">
        <w:rPr>
          <w:sz w:val="16"/>
          <w:szCs w:val="16"/>
        </w:rPr>
        <w:br/>
      </w:r>
      <w:r w:rsidRPr="00F46944">
        <w:rPr>
          <w:sz w:val="16"/>
          <w:szCs w:val="16"/>
        </w:rPr>
        <w:t>*</w:t>
      </w:r>
      <w:r w:rsidR="00112691">
        <w:rPr>
          <w:sz w:val="16"/>
          <w:szCs w:val="16"/>
        </w:rPr>
        <w:tab/>
      </w:r>
      <w:proofErr w:type="spellStart"/>
      <w:r w:rsidRPr="00F46944">
        <w:rPr>
          <w:sz w:val="16"/>
          <w:szCs w:val="16"/>
        </w:rPr>
        <w:t>Antibacterials</w:t>
      </w:r>
      <w:proofErr w:type="spellEnd"/>
      <w:r w:rsidRPr="00F46944">
        <w:rPr>
          <w:sz w:val="16"/>
          <w:szCs w:val="16"/>
        </w:rPr>
        <w:t xml:space="preserve"> for systemic use (</w:t>
      </w:r>
      <w:r w:rsidR="00844AD6">
        <w:rPr>
          <w:sz w:val="16"/>
          <w:szCs w:val="16"/>
        </w:rPr>
        <w:t>ATC code</w:t>
      </w:r>
      <w:r w:rsidR="00844AD6" w:rsidRPr="00F46944">
        <w:rPr>
          <w:sz w:val="16"/>
          <w:szCs w:val="16"/>
        </w:rPr>
        <w:t xml:space="preserve"> </w:t>
      </w:r>
      <w:r w:rsidRPr="00F46944">
        <w:rPr>
          <w:sz w:val="16"/>
          <w:szCs w:val="16"/>
        </w:rPr>
        <w:t xml:space="preserve">J01) </w:t>
      </w:r>
      <w:r>
        <w:rPr>
          <w:sz w:val="16"/>
          <w:szCs w:val="16"/>
        </w:rPr>
        <w:br/>
      </w:r>
      <w:r w:rsidRPr="00F46944">
        <w:rPr>
          <w:sz w:val="16"/>
          <w:szCs w:val="16"/>
        </w:rPr>
        <w:t>Source: NPS MedicineWise</w:t>
      </w:r>
      <w:r w:rsidRPr="00F46944">
        <w:rPr>
          <w:sz w:val="16"/>
          <w:szCs w:val="16"/>
        </w:rPr>
        <w:fldChar w:fldCharType="begin"/>
      </w:r>
      <w:r w:rsidR="00DB0DCB">
        <w:rPr>
          <w:sz w:val="16"/>
          <w:szCs w:val="16"/>
        </w:rPr>
        <w:instrText xml:space="preserve"> ADDIN EN.CITE &lt;EndNote&gt;&lt;Cite&gt;&lt;Author&gt;NPS MedicineWise&lt;/Author&gt;&lt;RecNum&gt;6&lt;/RecNum&gt;&lt;DisplayText&gt;&lt;style face="superscript"&gt;6&lt;/style&gt;&lt;/DisplayText&gt;&lt;record&gt;&lt;rec-number&gt;6&lt;/rec-number&gt;&lt;foreign-keys&gt;&lt;key app="EN" db-id="es9dr99ws90stoe5x2rp505nazvswdzppxa5" timestamp="1670810539"&gt;6&lt;/key&gt;&lt;/foreign-keys&gt;&lt;ref-type name="Unpublished Work"&gt;34&lt;/ref-type&gt;&lt;contributors&gt;&lt;authors&gt;&lt;author&gt;NPS MedicineWise,&lt;/author&gt;&lt;/authors&gt;&lt;/contributors&gt;&lt;titles&gt;&lt;title&gt;MedicineInsight data analyses for AURA Community report, May 2022 (unpublished)&lt;/title&gt;&lt;/titles&gt;&lt;dates&gt;&lt;/dates&gt;&lt;publisher&gt;NPS MedicineWise&lt;/publisher&gt;&lt;urls&gt;&lt;/urls&gt;&lt;/record&gt;&lt;/Cite&gt;&lt;/EndNote&gt;</w:instrText>
      </w:r>
      <w:r w:rsidRPr="00F46944">
        <w:rPr>
          <w:sz w:val="16"/>
          <w:szCs w:val="16"/>
        </w:rPr>
        <w:fldChar w:fldCharType="separate"/>
      </w:r>
      <w:r w:rsidR="001C0A42" w:rsidRPr="001C0A42">
        <w:rPr>
          <w:noProof/>
          <w:sz w:val="16"/>
          <w:szCs w:val="16"/>
          <w:vertAlign w:val="superscript"/>
        </w:rPr>
        <w:t>6</w:t>
      </w:r>
      <w:r w:rsidRPr="00F46944">
        <w:rPr>
          <w:sz w:val="16"/>
          <w:szCs w:val="16"/>
        </w:rPr>
        <w:fldChar w:fldCharType="end"/>
      </w:r>
    </w:p>
    <w:p w14:paraId="7C5FA709" w14:textId="77777777" w:rsidR="00C33DF0" w:rsidRDefault="00C33DF0" w:rsidP="00B8468D">
      <w:pPr>
        <w:spacing w:after="0"/>
        <w:rPr>
          <w:rFonts w:cstheme="minorHAnsi"/>
          <w:bCs/>
        </w:rPr>
      </w:pPr>
    </w:p>
    <w:p w14:paraId="629B007F" w14:textId="0C3F8861" w:rsidR="00B8468D" w:rsidRPr="00F46944" w:rsidRDefault="00B8468D" w:rsidP="00B8468D">
      <w:pPr>
        <w:spacing w:after="0"/>
        <w:rPr>
          <w:rFonts w:cstheme="minorHAnsi"/>
          <w:bCs/>
        </w:rPr>
      </w:pPr>
      <w:r w:rsidRPr="00870DCF">
        <w:rPr>
          <w:rFonts w:cstheme="minorHAnsi"/>
          <w:bCs/>
        </w:rPr>
        <w:lastRenderedPageBreak/>
        <w:t>Tables 11 and 12</w:t>
      </w:r>
      <w:r w:rsidRPr="00F46944">
        <w:rPr>
          <w:rFonts w:cstheme="minorHAnsi"/>
          <w:bCs/>
        </w:rPr>
        <w:t xml:space="preserve"> report changes in antimicrobial use for each month of 2020 and 2021, compared </w:t>
      </w:r>
      <w:r w:rsidR="00E775A2">
        <w:rPr>
          <w:rFonts w:cstheme="minorHAnsi"/>
          <w:bCs/>
        </w:rPr>
        <w:t>to</w:t>
      </w:r>
      <w:r w:rsidRPr="00F46944">
        <w:rPr>
          <w:rFonts w:cstheme="minorHAnsi"/>
          <w:bCs/>
        </w:rPr>
        <w:t xml:space="preserve"> the same month in the previous year.</w:t>
      </w:r>
    </w:p>
    <w:p w14:paraId="6F6EFC7F" w14:textId="43371BCE" w:rsidR="00B8468D" w:rsidRPr="00F46944" w:rsidRDefault="00206D62" w:rsidP="00206D62">
      <w:pPr>
        <w:spacing w:before="120" w:after="120"/>
        <w:rPr>
          <w:rFonts w:cstheme="minorHAnsi"/>
          <w:bCs/>
        </w:rPr>
      </w:pPr>
      <w:r>
        <w:rPr>
          <w:rFonts w:cstheme="minorHAnsi"/>
          <w:bCs/>
        </w:rPr>
        <w:t xml:space="preserve">There was an average decrease of 34% in the number of prescriptions issued between April and December 2020 compared to the same period in 2019. </w:t>
      </w:r>
      <w:r w:rsidR="00B8468D" w:rsidRPr="00F46944">
        <w:rPr>
          <w:rFonts w:cstheme="minorHAnsi"/>
          <w:bCs/>
        </w:rPr>
        <w:t xml:space="preserve">The average decrease in the volume supplied between April and December 2020 compared </w:t>
      </w:r>
      <w:r w:rsidR="00E775A2">
        <w:rPr>
          <w:rFonts w:cstheme="minorHAnsi"/>
          <w:bCs/>
        </w:rPr>
        <w:t>to</w:t>
      </w:r>
      <w:r w:rsidR="00B8468D" w:rsidRPr="00F46944">
        <w:rPr>
          <w:rFonts w:cstheme="minorHAnsi"/>
          <w:bCs/>
        </w:rPr>
        <w:t xml:space="preserve"> the same period in 2019 was 39%.</w:t>
      </w:r>
    </w:p>
    <w:p w14:paraId="0FD997B7" w14:textId="1B924665" w:rsidR="00B8468D" w:rsidRPr="00F46944" w:rsidRDefault="00B8468D" w:rsidP="00B8468D">
      <w:pPr>
        <w:spacing w:before="120" w:after="120"/>
        <w:rPr>
          <w:rFonts w:cstheme="minorHAnsi"/>
          <w:bCs/>
        </w:rPr>
      </w:pPr>
      <w:r w:rsidRPr="00F46944">
        <w:rPr>
          <w:rFonts w:cstheme="minorHAnsi"/>
          <w:bCs/>
        </w:rPr>
        <w:t>While lower than 2019, the number of prescriptions supplied and volume of antimicrobials dispensed remained lower in 2021 until April, compared to 2020.</w:t>
      </w:r>
    </w:p>
    <w:p w14:paraId="299DF976" w14:textId="20A22024" w:rsidR="00B8468D" w:rsidRPr="00F46944" w:rsidRDefault="00B8468D" w:rsidP="00A419E4">
      <w:pPr>
        <w:rPr>
          <w:rFonts w:cstheme="minorHAnsi"/>
          <w:bCs/>
        </w:rPr>
      </w:pPr>
      <w:r w:rsidRPr="00F46944">
        <w:rPr>
          <w:rFonts w:cstheme="minorHAnsi"/>
          <w:bCs/>
        </w:rPr>
        <w:t xml:space="preserve">For amoxicillin, amoxicillin–clavulanic acid, clarithromycin, phenoxymethylpenicillin, roxithromycin and trimethoprim, 6 of the 10 most commonly PBS/RPBS-dispensed antimicrobials between 2017 and 2021, use increased across winter in 2021 but did not increase to levels as high as prior to the pandemic (data not shown).  </w:t>
      </w:r>
    </w:p>
    <w:p w14:paraId="22B7CC03" w14:textId="52A46086" w:rsidR="00316BFB" w:rsidRPr="00C542DB" w:rsidRDefault="00C542DB" w:rsidP="00C542DB">
      <w:pPr>
        <w:pStyle w:val="Captions"/>
        <w:rPr>
          <w:b w:val="0"/>
          <w:bCs w:val="0"/>
        </w:rPr>
      </w:pPr>
      <w:bookmarkStart w:id="145" w:name="_Toc121744371"/>
      <w:bookmarkStart w:id="146" w:name="_Toc121491311"/>
      <w:r>
        <w:t>Table</w:t>
      </w:r>
      <w:r w:rsidRPr="00F46944">
        <w:t> </w:t>
      </w:r>
      <w:fldSimple w:instr=" SEQ Table \* ARABIC ">
        <w:r w:rsidR="00F34DDD">
          <w:rPr>
            <w:noProof/>
          </w:rPr>
          <w:t>11</w:t>
        </w:r>
      </w:fldSimple>
      <w:r w:rsidR="00B72C31" w:rsidRPr="00F46944">
        <w:t>:</w:t>
      </w:r>
      <w:r w:rsidR="006B0AC7" w:rsidRPr="00C542DB">
        <w:rPr>
          <w:b w:val="0"/>
          <w:bCs w:val="0"/>
        </w:rPr>
        <w:t> </w:t>
      </w:r>
      <w:r w:rsidR="00FA2F00" w:rsidRPr="00C542DB">
        <w:rPr>
          <w:b w:val="0"/>
          <w:bCs w:val="0"/>
        </w:rPr>
        <w:t xml:space="preserve">Number of PBS/RPBS </w:t>
      </w:r>
      <w:r w:rsidR="00CC5D41" w:rsidRPr="00C542DB">
        <w:rPr>
          <w:b w:val="0"/>
          <w:bCs w:val="0"/>
        </w:rPr>
        <w:t xml:space="preserve">antimicrobial* </w:t>
      </w:r>
      <w:r w:rsidR="00316BFB" w:rsidRPr="00C542DB">
        <w:rPr>
          <w:b w:val="0"/>
          <w:bCs w:val="0"/>
        </w:rPr>
        <w:t>prescriptions</w:t>
      </w:r>
      <w:r w:rsidR="00C92B78" w:rsidRPr="00C542DB">
        <w:rPr>
          <w:b w:val="0"/>
          <w:bCs w:val="0"/>
        </w:rPr>
        <w:t>,</w:t>
      </w:r>
      <w:r w:rsidR="000345D0" w:rsidRPr="00C542DB">
        <w:rPr>
          <w:b w:val="0"/>
          <w:bCs w:val="0"/>
        </w:rPr>
        <w:t xml:space="preserve"> </w:t>
      </w:r>
      <w:r w:rsidR="00C92B78" w:rsidRPr="00C542DB">
        <w:rPr>
          <w:b w:val="0"/>
          <w:bCs w:val="0"/>
        </w:rPr>
        <w:t>2019–2021</w:t>
      </w:r>
      <w:r w:rsidR="000345D0" w:rsidRPr="00C542DB">
        <w:rPr>
          <w:b w:val="0"/>
          <w:bCs w:val="0"/>
        </w:rPr>
        <w:t xml:space="preserve"> (year</w:t>
      </w:r>
      <w:r w:rsidR="00B378B7" w:rsidRPr="00C542DB">
        <w:rPr>
          <w:b w:val="0"/>
          <w:bCs w:val="0"/>
        </w:rPr>
        <w:t>-</w:t>
      </w:r>
      <w:r w:rsidR="000345D0" w:rsidRPr="00C542DB">
        <w:rPr>
          <w:b w:val="0"/>
          <w:bCs w:val="0"/>
        </w:rPr>
        <w:t>to</w:t>
      </w:r>
      <w:r w:rsidR="00B378B7" w:rsidRPr="00C542DB">
        <w:rPr>
          <w:b w:val="0"/>
          <w:bCs w:val="0"/>
        </w:rPr>
        <w:t>-</w:t>
      </w:r>
      <w:r w:rsidR="000345D0" w:rsidRPr="00C542DB">
        <w:rPr>
          <w:b w:val="0"/>
          <w:bCs w:val="0"/>
        </w:rPr>
        <w:t>year comparison)</w:t>
      </w:r>
      <w:bookmarkEnd w:id="145"/>
      <w:bookmarkEnd w:id="146"/>
    </w:p>
    <w:tbl>
      <w:tblPr>
        <w:tblStyle w:val="PlainTable2"/>
        <w:tblW w:w="0" w:type="auto"/>
        <w:tblLook w:val="04A0" w:firstRow="1" w:lastRow="0" w:firstColumn="1" w:lastColumn="0" w:noHBand="0" w:noVBand="1"/>
      </w:tblPr>
      <w:tblGrid>
        <w:gridCol w:w="1447"/>
        <w:gridCol w:w="1463"/>
        <w:gridCol w:w="1462"/>
        <w:gridCol w:w="1462"/>
        <w:gridCol w:w="1461"/>
        <w:gridCol w:w="1461"/>
      </w:tblGrid>
      <w:tr w:rsidR="00316BFB" w:rsidRPr="00464A68" w14:paraId="2982CC11" w14:textId="77777777" w:rsidTr="00EB79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shd w:val="clear" w:color="auto" w:fill="F1BBA8" w:themeFill="accent5" w:themeFillTint="66"/>
            <w:vAlign w:val="center"/>
          </w:tcPr>
          <w:p w14:paraId="001A47D1" w14:textId="77777777" w:rsidR="00316BFB" w:rsidRPr="00464A68" w:rsidRDefault="00316BFB" w:rsidP="00D72BB1">
            <w:pPr>
              <w:spacing w:before="120" w:after="120"/>
              <w:rPr>
                <w:rFonts w:cstheme="minorHAnsi"/>
                <w:bCs w:val="0"/>
                <w:sz w:val="18"/>
                <w:szCs w:val="18"/>
              </w:rPr>
            </w:pPr>
            <w:r w:rsidRPr="00464A68">
              <w:rPr>
                <w:rFonts w:cstheme="minorHAnsi"/>
                <w:color w:val="000000"/>
                <w:sz w:val="18"/>
                <w:szCs w:val="18"/>
              </w:rPr>
              <w:t>Month</w:t>
            </w:r>
          </w:p>
        </w:tc>
        <w:tc>
          <w:tcPr>
            <w:tcW w:w="1463" w:type="dxa"/>
            <w:shd w:val="clear" w:color="auto" w:fill="F1BBA8" w:themeFill="accent5" w:themeFillTint="66"/>
            <w:vAlign w:val="center"/>
          </w:tcPr>
          <w:p w14:paraId="0B41BD4C" w14:textId="77777777" w:rsidR="00316BFB" w:rsidRPr="00464A68" w:rsidRDefault="00316BFB" w:rsidP="00D72BB1">
            <w:pPr>
              <w:spacing w:before="120" w:after="120"/>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sidRPr="00464A68">
              <w:rPr>
                <w:rFonts w:cstheme="minorHAnsi"/>
                <w:color w:val="000000"/>
                <w:sz w:val="18"/>
                <w:szCs w:val="18"/>
              </w:rPr>
              <w:t>Prescription numbers, 2019</w:t>
            </w:r>
          </w:p>
        </w:tc>
        <w:tc>
          <w:tcPr>
            <w:tcW w:w="1462" w:type="dxa"/>
            <w:shd w:val="clear" w:color="auto" w:fill="F1BBA8" w:themeFill="accent5" w:themeFillTint="66"/>
            <w:vAlign w:val="center"/>
          </w:tcPr>
          <w:p w14:paraId="7407D211" w14:textId="77777777" w:rsidR="00316BFB" w:rsidRPr="00464A68" w:rsidRDefault="00316BFB" w:rsidP="00D72BB1">
            <w:pPr>
              <w:spacing w:before="120" w:after="120"/>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sidRPr="00464A68">
              <w:rPr>
                <w:rFonts w:cstheme="minorHAnsi"/>
                <w:color w:val="000000"/>
                <w:sz w:val="18"/>
                <w:szCs w:val="18"/>
              </w:rPr>
              <w:t>Prescription numbers, 2020</w:t>
            </w:r>
          </w:p>
        </w:tc>
        <w:tc>
          <w:tcPr>
            <w:tcW w:w="1462" w:type="dxa"/>
            <w:shd w:val="clear" w:color="auto" w:fill="F1BBA8" w:themeFill="accent5" w:themeFillTint="66"/>
            <w:vAlign w:val="center"/>
          </w:tcPr>
          <w:p w14:paraId="6B12CD00" w14:textId="77777777" w:rsidR="00316BFB" w:rsidRPr="00464A68" w:rsidRDefault="00316BFB" w:rsidP="00D72BB1">
            <w:pPr>
              <w:spacing w:before="120" w:after="120"/>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sidRPr="00464A68">
              <w:rPr>
                <w:rFonts w:cstheme="minorHAnsi"/>
                <w:color w:val="000000"/>
                <w:sz w:val="18"/>
                <w:szCs w:val="18"/>
              </w:rPr>
              <w:t>Prescription numbers, 2021</w:t>
            </w:r>
          </w:p>
        </w:tc>
        <w:tc>
          <w:tcPr>
            <w:tcW w:w="1461" w:type="dxa"/>
            <w:shd w:val="clear" w:color="auto" w:fill="F1BBA8" w:themeFill="accent5" w:themeFillTint="66"/>
            <w:vAlign w:val="center"/>
          </w:tcPr>
          <w:p w14:paraId="4B4F6D37" w14:textId="729FFA1E" w:rsidR="00316BFB" w:rsidRPr="00464A68" w:rsidRDefault="00316BFB" w:rsidP="00D72BB1">
            <w:pPr>
              <w:spacing w:before="120" w:after="120"/>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sidRPr="00464A68">
              <w:rPr>
                <w:rFonts w:cstheme="minorHAnsi"/>
                <w:color w:val="000000"/>
                <w:sz w:val="18"/>
                <w:szCs w:val="18"/>
              </w:rPr>
              <w:t>Percent change in prescription numbers</w:t>
            </w:r>
            <w:r w:rsidR="00D72BB1" w:rsidRPr="00464A68">
              <w:rPr>
                <w:rFonts w:cstheme="minorHAnsi"/>
                <w:color w:val="000000"/>
                <w:sz w:val="18"/>
                <w:szCs w:val="18"/>
              </w:rPr>
              <w:t xml:space="preserve">, </w:t>
            </w:r>
            <w:r w:rsidRPr="00464A68">
              <w:rPr>
                <w:rFonts w:cstheme="minorHAnsi"/>
                <w:color w:val="000000"/>
                <w:sz w:val="18"/>
                <w:szCs w:val="18"/>
              </w:rPr>
              <w:t>20</w:t>
            </w:r>
            <w:r w:rsidR="00D72BB1" w:rsidRPr="00464A68">
              <w:rPr>
                <w:rFonts w:cstheme="minorHAnsi"/>
                <w:color w:val="000000"/>
                <w:sz w:val="18"/>
                <w:szCs w:val="18"/>
              </w:rPr>
              <w:t>19</w:t>
            </w:r>
            <w:r w:rsidRPr="00464A68">
              <w:rPr>
                <w:rFonts w:cstheme="minorHAnsi"/>
                <w:color w:val="000000"/>
                <w:sz w:val="18"/>
                <w:szCs w:val="18"/>
              </w:rPr>
              <w:t xml:space="preserve"> to 20</w:t>
            </w:r>
            <w:r w:rsidR="00D72BB1" w:rsidRPr="00464A68">
              <w:rPr>
                <w:rFonts w:cstheme="minorHAnsi"/>
                <w:color w:val="000000"/>
                <w:sz w:val="18"/>
                <w:szCs w:val="18"/>
              </w:rPr>
              <w:t>20</w:t>
            </w:r>
          </w:p>
        </w:tc>
        <w:tc>
          <w:tcPr>
            <w:tcW w:w="1461" w:type="dxa"/>
            <w:shd w:val="clear" w:color="auto" w:fill="F1BBA8" w:themeFill="accent5" w:themeFillTint="66"/>
            <w:vAlign w:val="center"/>
          </w:tcPr>
          <w:p w14:paraId="411DA654" w14:textId="4E247E43" w:rsidR="00316BFB" w:rsidRPr="00464A68" w:rsidRDefault="00316BFB" w:rsidP="00D72BB1">
            <w:pPr>
              <w:spacing w:before="120" w:after="120"/>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sidRPr="00464A68">
              <w:rPr>
                <w:rFonts w:cstheme="minorHAnsi"/>
                <w:color w:val="000000"/>
                <w:sz w:val="18"/>
                <w:szCs w:val="18"/>
              </w:rPr>
              <w:t>Percent change in prescription numbers</w:t>
            </w:r>
            <w:r w:rsidR="00D72BB1" w:rsidRPr="00464A68">
              <w:rPr>
                <w:rFonts w:cstheme="minorHAnsi"/>
                <w:color w:val="000000"/>
                <w:sz w:val="18"/>
                <w:szCs w:val="18"/>
              </w:rPr>
              <w:t xml:space="preserve">, </w:t>
            </w:r>
            <w:r w:rsidRPr="00464A68">
              <w:rPr>
                <w:rFonts w:cstheme="minorHAnsi"/>
                <w:color w:val="000000"/>
                <w:sz w:val="18"/>
                <w:szCs w:val="18"/>
              </w:rPr>
              <w:t>202</w:t>
            </w:r>
            <w:r w:rsidR="00D72BB1" w:rsidRPr="00464A68">
              <w:rPr>
                <w:rFonts w:cstheme="minorHAnsi"/>
                <w:color w:val="000000"/>
                <w:sz w:val="18"/>
                <w:szCs w:val="18"/>
              </w:rPr>
              <w:t>0</w:t>
            </w:r>
            <w:r w:rsidRPr="00464A68">
              <w:rPr>
                <w:rFonts w:cstheme="minorHAnsi"/>
                <w:color w:val="000000"/>
                <w:sz w:val="18"/>
                <w:szCs w:val="18"/>
              </w:rPr>
              <w:t xml:space="preserve"> to 202</w:t>
            </w:r>
            <w:r w:rsidR="00D72BB1" w:rsidRPr="00464A68">
              <w:rPr>
                <w:rFonts w:cstheme="minorHAnsi"/>
                <w:color w:val="000000"/>
                <w:sz w:val="18"/>
                <w:szCs w:val="18"/>
              </w:rPr>
              <w:t>1</w:t>
            </w:r>
          </w:p>
        </w:tc>
      </w:tr>
      <w:tr w:rsidR="00C97E83" w:rsidRPr="00464A68" w14:paraId="031C7CCD" w14:textId="77777777" w:rsidTr="00A92E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tcPr>
          <w:p w14:paraId="19DB8311" w14:textId="77777777" w:rsidR="00C97E83" w:rsidRPr="00464A68" w:rsidRDefault="00C97E83" w:rsidP="00C97E83">
            <w:pPr>
              <w:spacing w:before="120" w:after="120"/>
              <w:rPr>
                <w:rFonts w:cstheme="minorHAnsi"/>
                <w:bCs w:val="0"/>
                <w:sz w:val="18"/>
                <w:szCs w:val="18"/>
              </w:rPr>
            </w:pPr>
            <w:r w:rsidRPr="00464A68">
              <w:rPr>
                <w:rFonts w:cstheme="minorHAnsi"/>
                <w:color w:val="000000"/>
                <w:sz w:val="18"/>
                <w:szCs w:val="18"/>
              </w:rPr>
              <w:t>January</w:t>
            </w:r>
          </w:p>
        </w:tc>
        <w:tc>
          <w:tcPr>
            <w:tcW w:w="1463" w:type="dxa"/>
          </w:tcPr>
          <w:p w14:paraId="153FE351" w14:textId="77777777" w:rsidR="00C97E83" w:rsidRPr="00464A68" w:rsidRDefault="00C97E83" w:rsidP="00C97E83">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64A68">
              <w:rPr>
                <w:rFonts w:cstheme="minorHAnsi"/>
                <w:sz w:val="18"/>
                <w:szCs w:val="18"/>
              </w:rPr>
              <w:t>1,820,483</w:t>
            </w:r>
          </w:p>
        </w:tc>
        <w:tc>
          <w:tcPr>
            <w:tcW w:w="1462" w:type="dxa"/>
          </w:tcPr>
          <w:p w14:paraId="4F00607C" w14:textId="77777777" w:rsidR="00C97E83" w:rsidRPr="00464A68" w:rsidRDefault="00C97E83" w:rsidP="00C97E83">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64A68">
              <w:rPr>
                <w:rFonts w:cstheme="minorHAnsi"/>
                <w:color w:val="000000"/>
                <w:sz w:val="18"/>
                <w:szCs w:val="18"/>
              </w:rPr>
              <w:t>1,828,814</w:t>
            </w:r>
          </w:p>
        </w:tc>
        <w:tc>
          <w:tcPr>
            <w:tcW w:w="1462" w:type="dxa"/>
          </w:tcPr>
          <w:p w14:paraId="5C824884" w14:textId="03FEFC71" w:rsidR="00C97E83" w:rsidRPr="00464A68" w:rsidRDefault="00C97E83" w:rsidP="00C97E83">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64A68">
              <w:rPr>
                <w:rFonts w:cstheme="minorHAnsi"/>
                <w:color w:val="000000"/>
                <w:sz w:val="18"/>
                <w:szCs w:val="18"/>
              </w:rPr>
              <w:t>1,383,944</w:t>
            </w:r>
          </w:p>
        </w:tc>
        <w:tc>
          <w:tcPr>
            <w:tcW w:w="1461" w:type="dxa"/>
          </w:tcPr>
          <w:p w14:paraId="0D24D722" w14:textId="42578791" w:rsidR="00C97E83" w:rsidRPr="00464A68" w:rsidRDefault="00C97E83" w:rsidP="004919A3">
            <w:pPr>
              <w:spacing w:before="120" w:after="120"/>
              <w:ind w:right="384"/>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64A68">
              <w:rPr>
                <w:rFonts w:cstheme="minorHAnsi"/>
                <w:color w:val="000000"/>
                <w:sz w:val="18"/>
                <w:szCs w:val="18"/>
              </w:rPr>
              <w:t>0.5%</w:t>
            </w:r>
          </w:p>
        </w:tc>
        <w:tc>
          <w:tcPr>
            <w:tcW w:w="1461" w:type="dxa"/>
          </w:tcPr>
          <w:p w14:paraId="595DEB66" w14:textId="05E16A14" w:rsidR="00C97E83" w:rsidRPr="00464A68" w:rsidRDefault="00C97E83" w:rsidP="004919A3">
            <w:pPr>
              <w:spacing w:before="120" w:after="120"/>
              <w:ind w:right="424"/>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64A68">
              <w:rPr>
                <w:rFonts w:cstheme="minorHAnsi"/>
                <w:color w:val="000000"/>
                <w:sz w:val="18"/>
                <w:szCs w:val="18"/>
              </w:rPr>
              <w:t>-24.3%</w:t>
            </w:r>
          </w:p>
        </w:tc>
      </w:tr>
      <w:tr w:rsidR="00C97E83" w:rsidRPr="00464A68" w14:paraId="0CE127E8" w14:textId="77777777" w:rsidTr="00A92E12">
        <w:tc>
          <w:tcPr>
            <w:cnfStyle w:val="001000000000" w:firstRow="0" w:lastRow="0" w:firstColumn="1" w:lastColumn="0" w:oddVBand="0" w:evenVBand="0" w:oddHBand="0" w:evenHBand="0" w:firstRowFirstColumn="0" w:firstRowLastColumn="0" w:lastRowFirstColumn="0" w:lastRowLastColumn="0"/>
            <w:tcW w:w="1447" w:type="dxa"/>
          </w:tcPr>
          <w:p w14:paraId="76EC88A8" w14:textId="77777777" w:rsidR="00C97E83" w:rsidRPr="00464A68" w:rsidRDefault="00C97E83" w:rsidP="00C97E83">
            <w:pPr>
              <w:spacing w:before="120" w:after="120"/>
              <w:rPr>
                <w:rFonts w:cstheme="minorHAnsi"/>
                <w:bCs w:val="0"/>
                <w:sz w:val="18"/>
                <w:szCs w:val="18"/>
              </w:rPr>
            </w:pPr>
            <w:r w:rsidRPr="00464A68">
              <w:rPr>
                <w:rFonts w:cstheme="minorHAnsi"/>
                <w:color w:val="000000"/>
                <w:sz w:val="18"/>
                <w:szCs w:val="18"/>
              </w:rPr>
              <w:t>February</w:t>
            </w:r>
          </w:p>
        </w:tc>
        <w:tc>
          <w:tcPr>
            <w:tcW w:w="1463" w:type="dxa"/>
          </w:tcPr>
          <w:p w14:paraId="6B437A1C" w14:textId="77777777" w:rsidR="00C97E83" w:rsidRPr="00464A68" w:rsidRDefault="00C97E83" w:rsidP="00C97E8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64A68">
              <w:rPr>
                <w:rFonts w:cstheme="minorHAnsi"/>
                <w:sz w:val="18"/>
                <w:szCs w:val="18"/>
              </w:rPr>
              <w:t>1,791,389</w:t>
            </w:r>
          </w:p>
        </w:tc>
        <w:tc>
          <w:tcPr>
            <w:tcW w:w="1462" w:type="dxa"/>
          </w:tcPr>
          <w:p w14:paraId="16B0764A" w14:textId="77777777" w:rsidR="00C97E83" w:rsidRPr="00464A68" w:rsidRDefault="00C97E83" w:rsidP="00C97E8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64A68">
              <w:rPr>
                <w:rFonts w:cstheme="minorHAnsi"/>
                <w:color w:val="000000"/>
                <w:sz w:val="18"/>
                <w:szCs w:val="18"/>
              </w:rPr>
              <w:t>1,851,621</w:t>
            </w:r>
          </w:p>
        </w:tc>
        <w:tc>
          <w:tcPr>
            <w:tcW w:w="1462" w:type="dxa"/>
          </w:tcPr>
          <w:p w14:paraId="0AB6C0F0" w14:textId="407EB63E" w:rsidR="00C97E83" w:rsidRPr="00464A68" w:rsidRDefault="00C97E83" w:rsidP="00C97E8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64A68">
              <w:rPr>
                <w:rFonts w:cstheme="minorHAnsi"/>
                <w:color w:val="000000"/>
                <w:sz w:val="18"/>
                <w:szCs w:val="18"/>
              </w:rPr>
              <w:t>1,455,118</w:t>
            </w:r>
          </w:p>
        </w:tc>
        <w:tc>
          <w:tcPr>
            <w:tcW w:w="1461" w:type="dxa"/>
          </w:tcPr>
          <w:p w14:paraId="201478AD" w14:textId="6472E417" w:rsidR="00C97E83" w:rsidRPr="00464A68" w:rsidRDefault="00C97E83" w:rsidP="004919A3">
            <w:pPr>
              <w:spacing w:before="120" w:after="120"/>
              <w:ind w:right="384"/>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64A68">
              <w:rPr>
                <w:rFonts w:cstheme="minorHAnsi"/>
                <w:color w:val="000000"/>
                <w:sz w:val="18"/>
                <w:szCs w:val="18"/>
              </w:rPr>
              <w:t>3.4%</w:t>
            </w:r>
          </w:p>
        </w:tc>
        <w:tc>
          <w:tcPr>
            <w:tcW w:w="1461" w:type="dxa"/>
          </w:tcPr>
          <w:p w14:paraId="4C66553F" w14:textId="28D963F1" w:rsidR="00C97E83" w:rsidRPr="00464A68" w:rsidRDefault="00C97E83" w:rsidP="004919A3">
            <w:pPr>
              <w:spacing w:before="120" w:after="120"/>
              <w:ind w:right="424"/>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64A68">
              <w:rPr>
                <w:rFonts w:cstheme="minorHAnsi"/>
                <w:color w:val="000000"/>
                <w:sz w:val="18"/>
                <w:szCs w:val="18"/>
              </w:rPr>
              <w:t>-21.4%</w:t>
            </w:r>
          </w:p>
        </w:tc>
      </w:tr>
      <w:tr w:rsidR="00C97E83" w:rsidRPr="00464A68" w14:paraId="1B1406CA" w14:textId="77777777" w:rsidTr="00A92E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tcPr>
          <w:p w14:paraId="34C4B6D7" w14:textId="77777777" w:rsidR="00C97E83" w:rsidRPr="00464A68" w:rsidRDefault="00C97E83" w:rsidP="00C97E83">
            <w:pPr>
              <w:spacing w:before="120" w:after="120"/>
              <w:rPr>
                <w:rFonts w:cstheme="minorHAnsi"/>
                <w:bCs w:val="0"/>
                <w:sz w:val="18"/>
                <w:szCs w:val="18"/>
              </w:rPr>
            </w:pPr>
            <w:r w:rsidRPr="00464A68">
              <w:rPr>
                <w:rFonts w:cstheme="minorHAnsi"/>
                <w:color w:val="000000"/>
                <w:sz w:val="18"/>
                <w:szCs w:val="18"/>
              </w:rPr>
              <w:t>March</w:t>
            </w:r>
          </w:p>
        </w:tc>
        <w:tc>
          <w:tcPr>
            <w:tcW w:w="1463" w:type="dxa"/>
          </w:tcPr>
          <w:p w14:paraId="79A71B7C" w14:textId="77777777" w:rsidR="00C97E83" w:rsidRPr="00464A68" w:rsidRDefault="00C97E83" w:rsidP="00C97E83">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64A68">
              <w:rPr>
                <w:rFonts w:cstheme="minorHAnsi"/>
                <w:sz w:val="18"/>
                <w:szCs w:val="18"/>
              </w:rPr>
              <w:t>2,007,020</w:t>
            </w:r>
          </w:p>
        </w:tc>
        <w:tc>
          <w:tcPr>
            <w:tcW w:w="1462" w:type="dxa"/>
          </w:tcPr>
          <w:p w14:paraId="1AD66BE5" w14:textId="77777777" w:rsidR="00C97E83" w:rsidRPr="00464A68" w:rsidRDefault="00C97E83" w:rsidP="00C97E83">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64A68">
              <w:rPr>
                <w:rFonts w:cstheme="minorHAnsi"/>
                <w:color w:val="000000"/>
                <w:sz w:val="18"/>
                <w:szCs w:val="18"/>
              </w:rPr>
              <w:t>2,301,800</w:t>
            </w:r>
          </w:p>
        </w:tc>
        <w:tc>
          <w:tcPr>
            <w:tcW w:w="1462" w:type="dxa"/>
          </w:tcPr>
          <w:p w14:paraId="2EF5EFCF" w14:textId="368C4D9F" w:rsidR="00C97E83" w:rsidRPr="00464A68" w:rsidRDefault="00C97E83" w:rsidP="00C97E83">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64A68">
              <w:rPr>
                <w:rFonts w:cstheme="minorHAnsi"/>
                <w:color w:val="000000"/>
                <w:sz w:val="18"/>
                <w:szCs w:val="18"/>
              </w:rPr>
              <w:t>1,731,488</w:t>
            </w:r>
          </w:p>
        </w:tc>
        <w:tc>
          <w:tcPr>
            <w:tcW w:w="1461" w:type="dxa"/>
          </w:tcPr>
          <w:p w14:paraId="2BFD93D8" w14:textId="2930BF3C" w:rsidR="00C97E83" w:rsidRPr="00464A68" w:rsidRDefault="00C97E83" w:rsidP="004919A3">
            <w:pPr>
              <w:spacing w:before="120" w:after="120"/>
              <w:ind w:right="384"/>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64A68">
              <w:rPr>
                <w:rFonts w:cstheme="minorHAnsi"/>
                <w:color w:val="000000"/>
                <w:sz w:val="18"/>
                <w:szCs w:val="18"/>
              </w:rPr>
              <w:t>14.7%</w:t>
            </w:r>
          </w:p>
        </w:tc>
        <w:tc>
          <w:tcPr>
            <w:tcW w:w="1461" w:type="dxa"/>
          </w:tcPr>
          <w:p w14:paraId="3A1D8F6C" w14:textId="009B86B1" w:rsidR="00C97E83" w:rsidRPr="00464A68" w:rsidRDefault="00C97E83" w:rsidP="004919A3">
            <w:pPr>
              <w:spacing w:before="120" w:after="120"/>
              <w:ind w:right="424"/>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64A68">
              <w:rPr>
                <w:rFonts w:cstheme="minorHAnsi"/>
                <w:color w:val="000000"/>
                <w:sz w:val="18"/>
                <w:szCs w:val="18"/>
              </w:rPr>
              <w:t>-24.8%</w:t>
            </w:r>
          </w:p>
        </w:tc>
      </w:tr>
      <w:tr w:rsidR="00C97E83" w:rsidRPr="00464A68" w14:paraId="1C2C23C1" w14:textId="77777777" w:rsidTr="00A92E12">
        <w:tc>
          <w:tcPr>
            <w:cnfStyle w:val="001000000000" w:firstRow="0" w:lastRow="0" w:firstColumn="1" w:lastColumn="0" w:oddVBand="0" w:evenVBand="0" w:oddHBand="0" w:evenHBand="0" w:firstRowFirstColumn="0" w:firstRowLastColumn="0" w:lastRowFirstColumn="0" w:lastRowLastColumn="0"/>
            <w:tcW w:w="1447" w:type="dxa"/>
          </w:tcPr>
          <w:p w14:paraId="6A554414" w14:textId="77777777" w:rsidR="00C97E83" w:rsidRPr="00464A68" w:rsidRDefault="00C97E83" w:rsidP="00C97E83">
            <w:pPr>
              <w:spacing w:before="120" w:after="120"/>
              <w:rPr>
                <w:rFonts w:cstheme="minorHAnsi"/>
                <w:bCs w:val="0"/>
                <w:sz w:val="18"/>
                <w:szCs w:val="18"/>
              </w:rPr>
            </w:pPr>
            <w:r w:rsidRPr="00464A68">
              <w:rPr>
                <w:rFonts w:cstheme="minorHAnsi"/>
                <w:color w:val="000000"/>
                <w:sz w:val="18"/>
                <w:szCs w:val="18"/>
              </w:rPr>
              <w:t>April</w:t>
            </w:r>
          </w:p>
        </w:tc>
        <w:tc>
          <w:tcPr>
            <w:tcW w:w="1463" w:type="dxa"/>
          </w:tcPr>
          <w:p w14:paraId="6421A528" w14:textId="77777777" w:rsidR="00C97E83" w:rsidRPr="00464A68" w:rsidRDefault="00C97E83" w:rsidP="00C97E8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64A68">
              <w:rPr>
                <w:rFonts w:cstheme="minorHAnsi"/>
                <w:sz w:val="18"/>
                <w:szCs w:val="18"/>
              </w:rPr>
              <w:t>2,007,517</w:t>
            </w:r>
          </w:p>
        </w:tc>
        <w:tc>
          <w:tcPr>
            <w:tcW w:w="1462" w:type="dxa"/>
          </w:tcPr>
          <w:p w14:paraId="79C9CCF7" w14:textId="77777777" w:rsidR="00C97E83" w:rsidRPr="00464A68" w:rsidRDefault="00C97E83" w:rsidP="00C97E83">
            <w:pPr>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464A68">
              <w:rPr>
                <w:color w:val="000000"/>
                <w:sz w:val="18"/>
                <w:szCs w:val="18"/>
              </w:rPr>
              <w:t>1,373,470</w:t>
            </w:r>
          </w:p>
        </w:tc>
        <w:tc>
          <w:tcPr>
            <w:tcW w:w="1462" w:type="dxa"/>
          </w:tcPr>
          <w:p w14:paraId="4DC90CFA" w14:textId="423DB51D" w:rsidR="00C97E83" w:rsidRPr="00464A68" w:rsidRDefault="00C97E83" w:rsidP="00C97E8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64A68">
              <w:rPr>
                <w:rFonts w:cstheme="minorHAnsi"/>
                <w:color w:val="000000"/>
                <w:sz w:val="18"/>
                <w:szCs w:val="18"/>
              </w:rPr>
              <w:t>1,561,206</w:t>
            </w:r>
          </w:p>
        </w:tc>
        <w:tc>
          <w:tcPr>
            <w:tcW w:w="1461" w:type="dxa"/>
          </w:tcPr>
          <w:p w14:paraId="3503A65E" w14:textId="0F0D6470" w:rsidR="00C97E83" w:rsidRPr="00464A68" w:rsidRDefault="00C97E83" w:rsidP="004919A3">
            <w:pPr>
              <w:spacing w:before="120" w:after="120"/>
              <w:ind w:right="384"/>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64A68">
              <w:rPr>
                <w:rFonts w:cstheme="minorHAnsi"/>
                <w:color w:val="000000"/>
                <w:sz w:val="18"/>
                <w:szCs w:val="18"/>
              </w:rPr>
              <w:t>-31.6%</w:t>
            </w:r>
          </w:p>
        </w:tc>
        <w:tc>
          <w:tcPr>
            <w:tcW w:w="1461" w:type="dxa"/>
          </w:tcPr>
          <w:p w14:paraId="68122BED" w14:textId="2638050B" w:rsidR="00C97E83" w:rsidRPr="00464A68" w:rsidRDefault="00C97E83" w:rsidP="004919A3">
            <w:pPr>
              <w:spacing w:before="120" w:after="120"/>
              <w:ind w:right="424"/>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64A68">
              <w:rPr>
                <w:rFonts w:cstheme="minorHAnsi"/>
                <w:color w:val="000000"/>
                <w:sz w:val="18"/>
                <w:szCs w:val="18"/>
              </w:rPr>
              <w:t>13.7%</w:t>
            </w:r>
          </w:p>
        </w:tc>
      </w:tr>
      <w:tr w:rsidR="00C97E83" w:rsidRPr="00464A68" w14:paraId="0CEA83AB" w14:textId="77777777" w:rsidTr="00A92E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tcPr>
          <w:p w14:paraId="646451DE" w14:textId="77777777" w:rsidR="00C97E83" w:rsidRPr="00464A68" w:rsidRDefault="00C97E83" w:rsidP="00C97E83">
            <w:pPr>
              <w:spacing w:before="120" w:after="120"/>
              <w:rPr>
                <w:rFonts w:cstheme="minorHAnsi"/>
                <w:bCs w:val="0"/>
                <w:sz w:val="18"/>
                <w:szCs w:val="18"/>
              </w:rPr>
            </w:pPr>
            <w:r w:rsidRPr="00464A68">
              <w:rPr>
                <w:rFonts w:cstheme="minorHAnsi"/>
                <w:color w:val="000000"/>
                <w:sz w:val="18"/>
                <w:szCs w:val="18"/>
              </w:rPr>
              <w:t>May</w:t>
            </w:r>
          </w:p>
        </w:tc>
        <w:tc>
          <w:tcPr>
            <w:tcW w:w="1463" w:type="dxa"/>
          </w:tcPr>
          <w:p w14:paraId="77A598AC" w14:textId="77777777" w:rsidR="00C97E83" w:rsidRPr="00464A68" w:rsidRDefault="00C97E83" w:rsidP="00C97E83">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64A68">
              <w:rPr>
                <w:rFonts w:cstheme="minorHAnsi"/>
                <w:sz w:val="18"/>
                <w:szCs w:val="18"/>
              </w:rPr>
              <w:t>2,259,025</w:t>
            </w:r>
          </w:p>
        </w:tc>
        <w:tc>
          <w:tcPr>
            <w:tcW w:w="1462" w:type="dxa"/>
          </w:tcPr>
          <w:p w14:paraId="26DEF553" w14:textId="77777777" w:rsidR="00C97E83" w:rsidRPr="00464A68" w:rsidRDefault="00C97E83" w:rsidP="00C97E83">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64A68">
              <w:rPr>
                <w:rFonts w:cstheme="minorHAnsi"/>
                <w:color w:val="000000"/>
                <w:sz w:val="18"/>
                <w:szCs w:val="18"/>
              </w:rPr>
              <w:t>1,332,901</w:t>
            </w:r>
          </w:p>
        </w:tc>
        <w:tc>
          <w:tcPr>
            <w:tcW w:w="1462" w:type="dxa"/>
          </w:tcPr>
          <w:p w14:paraId="527627ED" w14:textId="18C3A818" w:rsidR="00C97E83" w:rsidRPr="00464A68" w:rsidRDefault="00C97E83" w:rsidP="00C97E83">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64A68">
              <w:rPr>
                <w:rFonts w:cstheme="minorHAnsi"/>
                <w:color w:val="000000"/>
                <w:sz w:val="18"/>
                <w:szCs w:val="18"/>
              </w:rPr>
              <w:t>1,751,783</w:t>
            </w:r>
          </w:p>
        </w:tc>
        <w:tc>
          <w:tcPr>
            <w:tcW w:w="1461" w:type="dxa"/>
          </w:tcPr>
          <w:p w14:paraId="19E68079" w14:textId="602D8BC9" w:rsidR="00C97E83" w:rsidRPr="00464A68" w:rsidRDefault="00C97E83" w:rsidP="004919A3">
            <w:pPr>
              <w:spacing w:before="120" w:after="120"/>
              <w:ind w:right="384"/>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64A68">
              <w:rPr>
                <w:rFonts w:cstheme="minorHAnsi"/>
                <w:color w:val="000000"/>
                <w:sz w:val="18"/>
                <w:szCs w:val="18"/>
              </w:rPr>
              <w:t>-41</w:t>
            </w:r>
            <w:r w:rsidR="00C21856" w:rsidRPr="00464A68">
              <w:rPr>
                <w:rFonts w:cstheme="minorHAnsi"/>
                <w:color w:val="000000"/>
                <w:sz w:val="18"/>
                <w:szCs w:val="18"/>
              </w:rPr>
              <w:t>.0</w:t>
            </w:r>
            <w:r w:rsidRPr="00464A68">
              <w:rPr>
                <w:rFonts w:cstheme="minorHAnsi"/>
                <w:color w:val="000000"/>
                <w:sz w:val="18"/>
                <w:szCs w:val="18"/>
              </w:rPr>
              <w:t>%</w:t>
            </w:r>
          </w:p>
        </w:tc>
        <w:tc>
          <w:tcPr>
            <w:tcW w:w="1461" w:type="dxa"/>
          </w:tcPr>
          <w:p w14:paraId="3ADB5F79" w14:textId="3B4F752E" w:rsidR="00C97E83" w:rsidRPr="00464A68" w:rsidRDefault="00C97E83" w:rsidP="004919A3">
            <w:pPr>
              <w:spacing w:before="120" w:after="120"/>
              <w:ind w:right="424"/>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64A68">
              <w:rPr>
                <w:rFonts w:cstheme="minorHAnsi"/>
                <w:color w:val="000000"/>
                <w:sz w:val="18"/>
                <w:szCs w:val="18"/>
              </w:rPr>
              <w:t>31.4%</w:t>
            </w:r>
          </w:p>
        </w:tc>
      </w:tr>
      <w:tr w:rsidR="00C97E83" w:rsidRPr="00464A68" w14:paraId="67487024" w14:textId="77777777" w:rsidTr="00A92E12">
        <w:tc>
          <w:tcPr>
            <w:cnfStyle w:val="001000000000" w:firstRow="0" w:lastRow="0" w:firstColumn="1" w:lastColumn="0" w:oddVBand="0" w:evenVBand="0" w:oddHBand="0" w:evenHBand="0" w:firstRowFirstColumn="0" w:firstRowLastColumn="0" w:lastRowFirstColumn="0" w:lastRowLastColumn="0"/>
            <w:tcW w:w="1447" w:type="dxa"/>
          </w:tcPr>
          <w:p w14:paraId="1BCA0161" w14:textId="77777777" w:rsidR="00C97E83" w:rsidRPr="00464A68" w:rsidRDefault="00C97E83" w:rsidP="00C97E83">
            <w:pPr>
              <w:spacing w:before="120" w:after="120"/>
              <w:rPr>
                <w:rFonts w:cstheme="minorHAnsi"/>
                <w:bCs w:val="0"/>
                <w:sz w:val="18"/>
                <w:szCs w:val="18"/>
              </w:rPr>
            </w:pPr>
            <w:r w:rsidRPr="00464A68">
              <w:rPr>
                <w:rFonts w:cstheme="minorHAnsi"/>
                <w:color w:val="000000"/>
                <w:sz w:val="18"/>
                <w:szCs w:val="18"/>
              </w:rPr>
              <w:t>June</w:t>
            </w:r>
          </w:p>
        </w:tc>
        <w:tc>
          <w:tcPr>
            <w:tcW w:w="1463" w:type="dxa"/>
          </w:tcPr>
          <w:p w14:paraId="2FA399F1" w14:textId="77777777" w:rsidR="00C97E83" w:rsidRPr="00464A68" w:rsidRDefault="00C97E83" w:rsidP="00C97E8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64A68">
              <w:rPr>
                <w:rFonts w:cstheme="minorHAnsi"/>
                <w:sz w:val="18"/>
                <w:szCs w:val="18"/>
              </w:rPr>
              <w:t>2,322,758</w:t>
            </w:r>
          </w:p>
        </w:tc>
        <w:tc>
          <w:tcPr>
            <w:tcW w:w="1462" w:type="dxa"/>
          </w:tcPr>
          <w:p w14:paraId="325572C4" w14:textId="77777777" w:rsidR="00C97E83" w:rsidRPr="00464A68" w:rsidRDefault="00C97E83" w:rsidP="00C97E8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64A68">
              <w:rPr>
                <w:rFonts w:cstheme="minorHAnsi"/>
                <w:color w:val="000000"/>
                <w:sz w:val="18"/>
                <w:szCs w:val="18"/>
              </w:rPr>
              <w:t>1,480,499</w:t>
            </w:r>
          </w:p>
        </w:tc>
        <w:tc>
          <w:tcPr>
            <w:tcW w:w="1462" w:type="dxa"/>
          </w:tcPr>
          <w:p w14:paraId="1320963C" w14:textId="1A4798CF" w:rsidR="00C97E83" w:rsidRPr="00464A68" w:rsidRDefault="00C97E83" w:rsidP="00C97E8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64A68">
              <w:rPr>
                <w:rFonts w:cstheme="minorHAnsi"/>
                <w:color w:val="000000"/>
                <w:sz w:val="18"/>
                <w:szCs w:val="18"/>
              </w:rPr>
              <w:t>1,818,959</w:t>
            </w:r>
          </w:p>
        </w:tc>
        <w:tc>
          <w:tcPr>
            <w:tcW w:w="1461" w:type="dxa"/>
          </w:tcPr>
          <w:p w14:paraId="643024C8" w14:textId="66374B07" w:rsidR="00C97E83" w:rsidRPr="00464A68" w:rsidRDefault="00C97E83" w:rsidP="004919A3">
            <w:pPr>
              <w:spacing w:before="120" w:after="120"/>
              <w:ind w:right="384"/>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64A68">
              <w:rPr>
                <w:rFonts w:cstheme="minorHAnsi"/>
                <w:color w:val="000000"/>
                <w:sz w:val="18"/>
                <w:szCs w:val="18"/>
              </w:rPr>
              <w:t>-36.3%</w:t>
            </w:r>
          </w:p>
        </w:tc>
        <w:tc>
          <w:tcPr>
            <w:tcW w:w="1461" w:type="dxa"/>
          </w:tcPr>
          <w:p w14:paraId="25FFF436" w14:textId="0DA6B222" w:rsidR="00C97E83" w:rsidRPr="00464A68" w:rsidRDefault="00C97E83" w:rsidP="004919A3">
            <w:pPr>
              <w:spacing w:before="120" w:after="120"/>
              <w:ind w:right="424"/>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64A68">
              <w:rPr>
                <w:rFonts w:cstheme="minorHAnsi"/>
                <w:color w:val="000000"/>
                <w:sz w:val="18"/>
                <w:szCs w:val="18"/>
              </w:rPr>
              <w:t>22.9%</w:t>
            </w:r>
          </w:p>
        </w:tc>
      </w:tr>
      <w:tr w:rsidR="00C97E83" w:rsidRPr="00464A68" w14:paraId="2C05274D" w14:textId="77777777" w:rsidTr="00A92E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tcPr>
          <w:p w14:paraId="6102FB94" w14:textId="77777777" w:rsidR="00C97E83" w:rsidRPr="00464A68" w:rsidRDefault="00C97E83" w:rsidP="00C97E83">
            <w:pPr>
              <w:spacing w:before="120" w:after="120"/>
              <w:rPr>
                <w:rFonts w:cstheme="minorHAnsi"/>
                <w:bCs w:val="0"/>
                <w:sz w:val="18"/>
                <w:szCs w:val="18"/>
              </w:rPr>
            </w:pPr>
            <w:r w:rsidRPr="00464A68">
              <w:rPr>
                <w:rFonts w:cstheme="minorHAnsi"/>
                <w:color w:val="000000"/>
                <w:sz w:val="18"/>
                <w:szCs w:val="18"/>
              </w:rPr>
              <w:t>July</w:t>
            </w:r>
          </w:p>
        </w:tc>
        <w:tc>
          <w:tcPr>
            <w:tcW w:w="1463" w:type="dxa"/>
          </w:tcPr>
          <w:p w14:paraId="4A7A4930" w14:textId="77777777" w:rsidR="00C97E83" w:rsidRPr="00464A68" w:rsidRDefault="00C97E83" w:rsidP="00C97E83">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64A68">
              <w:rPr>
                <w:rFonts w:cstheme="minorHAnsi"/>
                <w:sz w:val="18"/>
                <w:szCs w:val="18"/>
              </w:rPr>
              <w:t>2,538,929</w:t>
            </w:r>
          </w:p>
        </w:tc>
        <w:tc>
          <w:tcPr>
            <w:tcW w:w="1462" w:type="dxa"/>
          </w:tcPr>
          <w:p w14:paraId="505689E8" w14:textId="77777777" w:rsidR="00C97E83" w:rsidRPr="00464A68" w:rsidRDefault="00C97E83" w:rsidP="00C97E83">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64A68">
              <w:rPr>
                <w:rFonts w:cstheme="minorHAnsi"/>
                <w:color w:val="000000"/>
                <w:sz w:val="18"/>
                <w:szCs w:val="18"/>
              </w:rPr>
              <w:t>1,588,499</w:t>
            </w:r>
          </w:p>
        </w:tc>
        <w:tc>
          <w:tcPr>
            <w:tcW w:w="1462" w:type="dxa"/>
          </w:tcPr>
          <w:p w14:paraId="22F57076" w14:textId="5FDD6AF4" w:rsidR="00C97E83" w:rsidRPr="00464A68" w:rsidRDefault="00C97E83" w:rsidP="00C97E83">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64A68">
              <w:rPr>
                <w:rFonts w:cstheme="minorHAnsi"/>
                <w:color w:val="000000"/>
                <w:sz w:val="18"/>
                <w:szCs w:val="18"/>
              </w:rPr>
              <w:t>1,759,258</w:t>
            </w:r>
          </w:p>
        </w:tc>
        <w:tc>
          <w:tcPr>
            <w:tcW w:w="1461" w:type="dxa"/>
          </w:tcPr>
          <w:p w14:paraId="3CE816EA" w14:textId="2A67AAD4" w:rsidR="00C97E83" w:rsidRPr="00464A68" w:rsidRDefault="00C97E83" w:rsidP="004919A3">
            <w:pPr>
              <w:spacing w:before="120" w:after="120"/>
              <w:ind w:right="384"/>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64A68">
              <w:rPr>
                <w:rFonts w:cstheme="minorHAnsi"/>
                <w:color w:val="000000"/>
                <w:sz w:val="18"/>
                <w:szCs w:val="18"/>
              </w:rPr>
              <w:t>-37.4%</w:t>
            </w:r>
          </w:p>
        </w:tc>
        <w:tc>
          <w:tcPr>
            <w:tcW w:w="1461" w:type="dxa"/>
          </w:tcPr>
          <w:p w14:paraId="2EC3E3C1" w14:textId="4316CABB" w:rsidR="00C97E83" w:rsidRPr="00464A68" w:rsidRDefault="00C97E83" w:rsidP="004919A3">
            <w:pPr>
              <w:spacing w:before="120" w:after="120"/>
              <w:ind w:right="424"/>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64A68">
              <w:rPr>
                <w:rFonts w:cstheme="minorHAnsi"/>
                <w:color w:val="000000"/>
                <w:sz w:val="18"/>
                <w:szCs w:val="18"/>
              </w:rPr>
              <w:t>10.7%</w:t>
            </w:r>
          </w:p>
        </w:tc>
      </w:tr>
      <w:tr w:rsidR="00C97E83" w:rsidRPr="00464A68" w14:paraId="657B42A5" w14:textId="77777777" w:rsidTr="00A92E12">
        <w:tc>
          <w:tcPr>
            <w:cnfStyle w:val="001000000000" w:firstRow="0" w:lastRow="0" w:firstColumn="1" w:lastColumn="0" w:oddVBand="0" w:evenVBand="0" w:oddHBand="0" w:evenHBand="0" w:firstRowFirstColumn="0" w:firstRowLastColumn="0" w:lastRowFirstColumn="0" w:lastRowLastColumn="0"/>
            <w:tcW w:w="1447" w:type="dxa"/>
          </w:tcPr>
          <w:p w14:paraId="5CC173B0" w14:textId="77777777" w:rsidR="00C97E83" w:rsidRPr="00464A68" w:rsidRDefault="00C97E83" w:rsidP="00C97E83">
            <w:pPr>
              <w:spacing w:before="120" w:after="120"/>
              <w:rPr>
                <w:rFonts w:cstheme="minorHAnsi"/>
                <w:bCs w:val="0"/>
                <w:sz w:val="18"/>
                <w:szCs w:val="18"/>
              </w:rPr>
            </w:pPr>
            <w:r w:rsidRPr="00464A68">
              <w:rPr>
                <w:rFonts w:cstheme="minorHAnsi"/>
                <w:color w:val="000000"/>
                <w:sz w:val="18"/>
                <w:szCs w:val="18"/>
              </w:rPr>
              <w:t>August</w:t>
            </w:r>
          </w:p>
        </w:tc>
        <w:tc>
          <w:tcPr>
            <w:tcW w:w="1463" w:type="dxa"/>
          </w:tcPr>
          <w:p w14:paraId="0480020E" w14:textId="77777777" w:rsidR="00C97E83" w:rsidRPr="00464A68" w:rsidRDefault="00C97E83" w:rsidP="00C97E8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64A68">
              <w:rPr>
                <w:rFonts w:cstheme="minorHAnsi"/>
                <w:sz w:val="18"/>
                <w:szCs w:val="18"/>
              </w:rPr>
              <w:t>2,508,220</w:t>
            </w:r>
          </w:p>
        </w:tc>
        <w:tc>
          <w:tcPr>
            <w:tcW w:w="1462" w:type="dxa"/>
          </w:tcPr>
          <w:p w14:paraId="3DDB81C4" w14:textId="77777777" w:rsidR="00C97E83" w:rsidRPr="00464A68" w:rsidRDefault="00C97E83" w:rsidP="00C97E8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64A68">
              <w:rPr>
                <w:rFonts w:cstheme="minorHAnsi"/>
                <w:color w:val="000000"/>
                <w:sz w:val="18"/>
                <w:szCs w:val="18"/>
              </w:rPr>
              <w:t>1,535,752</w:t>
            </w:r>
          </w:p>
        </w:tc>
        <w:tc>
          <w:tcPr>
            <w:tcW w:w="1462" w:type="dxa"/>
          </w:tcPr>
          <w:p w14:paraId="290E1C43" w14:textId="267B3EBE" w:rsidR="00C97E83" w:rsidRPr="00464A68" w:rsidRDefault="00C97E83" w:rsidP="00C97E8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64A68">
              <w:rPr>
                <w:rFonts w:cstheme="minorHAnsi"/>
                <w:color w:val="000000"/>
                <w:sz w:val="18"/>
                <w:szCs w:val="18"/>
              </w:rPr>
              <w:t>1,689,161</w:t>
            </w:r>
          </w:p>
        </w:tc>
        <w:tc>
          <w:tcPr>
            <w:tcW w:w="1461" w:type="dxa"/>
          </w:tcPr>
          <w:p w14:paraId="1D5F0AF0" w14:textId="41660C1E" w:rsidR="00C97E83" w:rsidRPr="00464A68" w:rsidRDefault="00C97E83" w:rsidP="004919A3">
            <w:pPr>
              <w:spacing w:before="120" w:after="120"/>
              <w:ind w:right="384"/>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64A68">
              <w:rPr>
                <w:rFonts w:cstheme="minorHAnsi"/>
                <w:color w:val="000000"/>
                <w:sz w:val="18"/>
                <w:szCs w:val="18"/>
              </w:rPr>
              <w:t>-38.8%</w:t>
            </w:r>
          </w:p>
        </w:tc>
        <w:tc>
          <w:tcPr>
            <w:tcW w:w="1461" w:type="dxa"/>
          </w:tcPr>
          <w:p w14:paraId="62334F6F" w14:textId="75D063A9" w:rsidR="00C97E83" w:rsidRPr="00464A68" w:rsidRDefault="00C97E83" w:rsidP="004919A3">
            <w:pPr>
              <w:spacing w:before="120" w:after="120"/>
              <w:ind w:right="424"/>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64A68">
              <w:rPr>
                <w:rFonts w:cstheme="minorHAnsi"/>
                <w:color w:val="000000"/>
                <w:sz w:val="18"/>
                <w:szCs w:val="18"/>
              </w:rPr>
              <w:t>10</w:t>
            </w:r>
            <w:r w:rsidR="00C21856" w:rsidRPr="00464A68">
              <w:rPr>
                <w:rFonts w:cstheme="minorHAnsi"/>
                <w:color w:val="000000"/>
                <w:sz w:val="18"/>
                <w:szCs w:val="18"/>
              </w:rPr>
              <w:t>.0</w:t>
            </w:r>
            <w:r w:rsidRPr="00464A68">
              <w:rPr>
                <w:rFonts w:cstheme="minorHAnsi"/>
                <w:color w:val="000000"/>
                <w:sz w:val="18"/>
                <w:szCs w:val="18"/>
              </w:rPr>
              <w:t>%</w:t>
            </w:r>
          </w:p>
        </w:tc>
      </w:tr>
      <w:tr w:rsidR="00C97E83" w:rsidRPr="00464A68" w14:paraId="3B84A1DC" w14:textId="77777777" w:rsidTr="00A92E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tcPr>
          <w:p w14:paraId="44B88E4E" w14:textId="77777777" w:rsidR="00C97E83" w:rsidRPr="00464A68" w:rsidRDefault="00C97E83" w:rsidP="00C97E83">
            <w:pPr>
              <w:spacing w:before="120" w:after="120"/>
              <w:rPr>
                <w:rFonts w:cstheme="minorHAnsi"/>
                <w:bCs w:val="0"/>
                <w:sz w:val="18"/>
                <w:szCs w:val="18"/>
              </w:rPr>
            </w:pPr>
            <w:r w:rsidRPr="00464A68">
              <w:rPr>
                <w:rFonts w:cstheme="minorHAnsi"/>
                <w:color w:val="000000"/>
                <w:sz w:val="18"/>
                <w:szCs w:val="18"/>
              </w:rPr>
              <w:t>September</w:t>
            </w:r>
          </w:p>
        </w:tc>
        <w:tc>
          <w:tcPr>
            <w:tcW w:w="1463" w:type="dxa"/>
          </w:tcPr>
          <w:p w14:paraId="7738226B" w14:textId="77777777" w:rsidR="00C97E83" w:rsidRPr="00464A68" w:rsidRDefault="00C97E83" w:rsidP="00C97E83">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64A68">
              <w:rPr>
                <w:rFonts w:cstheme="minorHAnsi"/>
                <w:sz w:val="18"/>
                <w:szCs w:val="18"/>
              </w:rPr>
              <w:t>2,332,355</w:t>
            </w:r>
          </w:p>
        </w:tc>
        <w:tc>
          <w:tcPr>
            <w:tcW w:w="1462" w:type="dxa"/>
          </w:tcPr>
          <w:p w14:paraId="3F8D6C24" w14:textId="77777777" w:rsidR="00C97E83" w:rsidRPr="00464A68" w:rsidRDefault="00C97E83" w:rsidP="00C97E83">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64A68">
              <w:rPr>
                <w:rFonts w:cstheme="minorHAnsi"/>
                <w:color w:val="000000"/>
                <w:sz w:val="18"/>
                <w:szCs w:val="18"/>
              </w:rPr>
              <w:t>1,487,862</w:t>
            </w:r>
          </w:p>
        </w:tc>
        <w:tc>
          <w:tcPr>
            <w:tcW w:w="1462" w:type="dxa"/>
          </w:tcPr>
          <w:p w14:paraId="2F7A71ED" w14:textId="0D62B070" w:rsidR="00C97E83" w:rsidRPr="00464A68" w:rsidRDefault="00C97E83" w:rsidP="00C97E83">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64A68">
              <w:rPr>
                <w:rFonts w:cstheme="minorHAnsi"/>
                <w:color w:val="000000"/>
                <w:sz w:val="18"/>
                <w:szCs w:val="18"/>
              </w:rPr>
              <w:t>1,520,661</w:t>
            </w:r>
          </w:p>
        </w:tc>
        <w:tc>
          <w:tcPr>
            <w:tcW w:w="1461" w:type="dxa"/>
          </w:tcPr>
          <w:p w14:paraId="07716A91" w14:textId="15339DD6" w:rsidR="00C97E83" w:rsidRPr="00464A68" w:rsidRDefault="00C97E83" w:rsidP="004919A3">
            <w:pPr>
              <w:spacing w:before="120" w:after="120"/>
              <w:ind w:right="384"/>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64A68">
              <w:rPr>
                <w:rFonts w:cstheme="minorHAnsi"/>
                <w:color w:val="000000"/>
                <w:sz w:val="18"/>
                <w:szCs w:val="18"/>
              </w:rPr>
              <w:t>-36.2%</w:t>
            </w:r>
          </w:p>
        </w:tc>
        <w:tc>
          <w:tcPr>
            <w:tcW w:w="1461" w:type="dxa"/>
          </w:tcPr>
          <w:p w14:paraId="2511EB82" w14:textId="056A5079" w:rsidR="00C97E83" w:rsidRPr="00464A68" w:rsidRDefault="00C97E83" w:rsidP="004919A3">
            <w:pPr>
              <w:spacing w:before="120" w:after="120"/>
              <w:ind w:right="424"/>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64A68">
              <w:rPr>
                <w:rFonts w:cstheme="minorHAnsi"/>
                <w:color w:val="000000"/>
                <w:sz w:val="18"/>
                <w:szCs w:val="18"/>
              </w:rPr>
              <w:t>2.2%</w:t>
            </w:r>
          </w:p>
        </w:tc>
      </w:tr>
      <w:tr w:rsidR="00C97E83" w:rsidRPr="00464A68" w14:paraId="3105ED5C" w14:textId="77777777" w:rsidTr="00A92E12">
        <w:tc>
          <w:tcPr>
            <w:cnfStyle w:val="001000000000" w:firstRow="0" w:lastRow="0" w:firstColumn="1" w:lastColumn="0" w:oddVBand="0" w:evenVBand="0" w:oddHBand="0" w:evenHBand="0" w:firstRowFirstColumn="0" w:firstRowLastColumn="0" w:lastRowFirstColumn="0" w:lastRowLastColumn="0"/>
            <w:tcW w:w="1447" w:type="dxa"/>
          </w:tcPr>
          <w:p w14:paraId="6A424146" w14:textId="77777777" w:rsidR="00C97E83" w:rsidRPr="00464A68" w:rsidRDefault="00C97E83" w:rsidP="00C97E83">
            <w:pPr>
              <w:spacing w:before="120" w:after="120"/>
              <w:rPr>
                <w:rFonts w:cstheme="minorHAnsi"/>
                <w:bCs w:val="0"/>
                <w:sz w:val="18"/>
                <w:szCs w:val="18"/>
              </w:rPr>
            </w:pPr>
            <w:r w:rsidRPr="00464A68">
              <w:rPr>
                <w:rFonts w:cstheme="minorHAnsi"/>
                <w:color w:val="000000"/>
                <w:sz w:val="18"/>
                <w:szCs w:val="18"/>
              </w:rPr>
              <w:t>October</w:t>
            </w:r>
          </w:p>
        </w:tc>
        <w:tc>
          <w:tcPr>
            <w:tcW w:w="1463" w:type="dxa"/>
          </w:tcPr>
          <w:p w14:paraId="0ACEF7CB" w14:textId="77777777" w:rsidR="00C97E83" w:rsidRPr="00464A68" w:rsidRDefault="00C97E83" w:rsidP="00C97E8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64A68">
              <w:rPr>
                <w:rFonts w:cstheme="minorHAnsi"/>
                <w:sz w:val="18"/>
                <w:szCs w:val="18"/>
              </w:rPr>
              <w:t>2,207,047</w:t>
            </w:r>
          </w:p>
        </w:tc>
        <w:tc>
          <w:tcPr>
            <w:tcW w:w="1462" w:type="dxa"/>
          </w:tcPr>
          <w:p w14:paraId="4104E6A9" w14:textId="77777777" w:rsidR="00C97E83" w:rsidRPr="00464A68" w:rsidRDefault="00C97E83" w:rsidP="00C97E8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64A68">
              <w:rPr>
                <w:rFonts w:cstheme="minorHAnsi"/>
                <w:color w:val="000000"/>
                <w:sz w:val="18"/>
                <w:szCs w:val="18"/>
              </w:rPr>
              <w:t>1,499,769</w:t>
            </w:r>
          </w:p>
        </w:tc>
        <w:tc>
          <w:tcPr>
            <w:tcW w:w="1462" w:type="dxa"/>
          </w:tcPr>
          <w:p w14:paraId="7411B8E8" w14:textId="07211074" w:rsidR="00C97E83" w:rsidRPr="00464A68" w:rsidRDefault="00C97E83" w:rsidP="00C97E8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64A68">
              <w:rPr>
                <w:rFonts w:cstheme="minorHAnsi"/>
                <w:color w:val="000000"/>
                <w:sz w:val="18"/>
                <w:szCs w:val="18"/>
              </w:rPr>
              <w:t>1,434,354</w:t>
            </w:r>
          </w:p>
        </w:tc>
        <w:tc>
          <w:tcPr>
            <w:tcW w:w="1461" w:type="dxa"/>
          </w:tcPr>
          <w:p w14:paraId="66EFA27A" w14:textId="5AD5FDFE" w:rsidR="00C97E83" w:rsidRPr="00464A68" w:rsidRDefault="00C97E83" w:rsidP="004919A3">
            <w:pPr>
              <w:spacing w:before="120" w:after="120"/>
              <w:ind w:right="384"/>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64A68">
              <w:rPr>
                <w:rFonts w:cstheme="minorHAnsi"/>
                <w:color w:val="000000"/>
                <w:sz w:val="18"/>
                <w:szCs w:val="18"/>
              </w:rPr>
              <w:t>-32</w:t>
            </w:r>
            <w:r w:rsidR="00C21856" w:rsidRPr="00464A68">
              <w:rPr>
                <w:rFonts w:cstheme="minorHAnsi"/>
                <w:color w:val="000000"/>
                <w:sz w:val="18"/>
                <w:szCs w:val="18"/>
              </w:rPr>
              <w:t>.0</w:t>
            </w:r>
            <w:r w:rsidRPr="00464A68">
              <w:rPr>
                <w:rFonts w:cstheme="minorHAnsi"/>
                <w:color w:val="000000"/>
                <w:sz w:val="18"/>
                <w:szCs w:val="18"/>
              </w:rPr>
              <w:t>%</w:t>
            </w:r>
          </w:p>
        </w:tc>
        <w:tc>
          <w:tcPr>
            <w:tcW w:w="1461" w:type="dxa"/>
          </w:tcPr>
          <w:p w14:paraId="12390873" w14:textId="7DAFFA32" w:rsidR="00C97E83" w:rsidRPr="00464A68" w:rsidRDefault="00C97E83" w:rsidP="004919A3">
            <w:pPr>
              <w:spacing w:before="120" w:after="120"/>
              <w:ind w:right="424"/>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64A68">
              <w:rPr>
                <w:rFonts w:cstheme="minorHAnsi"/>
                <w:color w:val="000000"/>
                <w:sz w:val="18"/>
                <w:szCs w:val="18"/>
              </w:rPr>
              <w:t>-4.4%</w:t>
            </w:r>
          </w:p>
        </w:tc>
      </w:tr>
      <w:tr w:rsidR="00C97E83" w:rsidRPr="00464A68" w14:paraId="3568290E" w14:textId="77777777" w:rsidTr="00A92E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tcPr>
          <w:p w14:paraId="4B6FA422" w14:textId="77777777" w:rsidR="00C97E83" w:rsidRPr="00464A68" w:rsidRDefault="00C97E83" w:rsidP="00C97E83">
            <w:pPr>
              <w:spacing w:before="120" w:after="120"/>
              <w:rPr>
                <w:rFonts w:cstheme="minorHAnsi"/>
                <w:bCs w:val="0"/>
                <w:sz w:val="18"/>
                <w:szCs w:val="18"/>
              </w:rPr>
            </w:pPr>
            <w:r w:rsidRPr="00464A68">
              <w:rPr>
                <w:rFonts w:cstheme="minorHAnsi"/>
                <w:color w:val="000000"/>
                <w:sz w:val="18"/>
                <w:szCs w:val="18"/>
              </w:rPr>
              <w:t>November</w:t>
            </w:r>
          </w:p>
        </w:tc>
        <w:tc>
          <w:tcPr>
            <w:tcW w:w="1463" w:type="dxa"/>
          </w:tcPr>
          <w:p w14:paraId="14F891A8" w14:textId="77777777" w:rsidR="00C97E83" w:rsidRPr="00464A68" w:rsidRDefault="00C97E83" w:rsidP="00C97E83">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64A68">
              <w:rPr>
                <w:rFonts w:cstheme="minorHAnsi"/>
                <w:sz w:val="18"/>
                <w:szCs w:val="18"/>
              </w:rPr>
              <w:t>2,026,532</w:t>
            </w:r>
          </w:p>
        </w:tc>
        <w:tc>
          <w:tcPr>
            <w:tcW w:w="1462" w:type="dxa"/>
          </w:tcPr>
          <w:p w14:paraId="1EF8A3B0" w14:textId="77777777" w:rsidR="00C97E83" w:rsidRPr="00464A68" w:rsidRDefault="00C97E83" w:rsidP="00C97E83">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64A68">
              <w:rPr>
                <w:rFonts w:cstheme="minorHAnsi"/>
                <w:color w:val="000000"/>
                <w:sz w:val="18"/>
                <w:szCs w:val="18"/>
              </w:rPr>
              <w:t>1,530,543</w:t>
            </w:r>
          </w:p>
        </w:tc>
        <w:tc>
          <w:tcPr>
            <w:tcW w:w="1462" w:type="dxa"/>
          </w:tcPr>
          <w:p w14:paraId="43AC5F9E" w14:textId="600F37E2" w:rsidR="00C97E83" w:rsidRPr="00464A68" w:rsidRDefault="00C97E83" w:rsidP="00C97E83">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64A68">
              <w:rPr>
                <w:rFonts w:cstheme="minorHAnsi"/>
                <w:color w:val="000000"/>
                <w:sz w:val="18"/>
                <w:szCs w:val="18"/>
              </w:rPr>
              <w:t>1,535,654</w:t>
            </w:r>
          </w:p>
        </w:tc>
        <w:tc>
          <w:tcPr>
            <w:tcW w:w="1461" w:type="dxa"/>
          </w:tcPr>
          <w:p w14:paraId="46DD1195" w14:textId="1B1DED6C" w:rsidR="00C97E83" w:rsidRPr="00464A68" w:rsidRDefault="00C97E83" w:rsidP="004919A3">
            <w:pPr>
              <w:spacing w:before="120" w:after="120"/>
              <w:ind w:right="384"/>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64A68">
              <w:rPr>
                <w:rFonts w:cstheme="minorHAnsi"/>
                <w:color w:val="000000"/>
                <w:sz w:val="18"/>
                <w:szCs w:val="18"/>
              </w:rPr>
              <w:t>-24.5%</w:t>
            </w:r>
          </w:p>
        </w:tc>
        <w:tc>
          <w:tcPr>
            <w:tcW w:w="1461" w:type="dxa"/>
          </w:tcPr>
          <w:p w14:paraId="29F84B29" w14:textId="733FEB92" w:rsidR="00C97E83" w:rsidRPr="00464A68" w:rsidRDefault="00C97E83" w:rsidP="004919A3">
            <w:pPr>
              <w:spacing w:before="120" w:after="120"/>
              <w:ind w:right="424"/>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64A68">
              <w:rPr>
                <w:rFonts w:cstheme="minorHAnsi"/>
                <w:color w:val="000000"/>
                <w:sz w:val="18"/>
                <w:szCs w:val="18"/>
              </w:rPr>
              <w:t>0.3%</w:t>
            </w:r>
          </w:p>
        </w:tc>
      </w:tr>
      <w:tr w:rsidR="00C97E83" w:rsidRPr="00464A68" w14:paraId="7A44AA91" w14:textId="77777777" w:rsidTr="00A92E12">
        <w:tc>
          <w:tcPr>
            <w:cnfStyle w:val="001000000000" w:firstRow="0" w:lastRow="0" w:firstColumn="1" w:lastColumn="0" w:oddVBand="0" w:evenVBand="0" w:oddHBand="0" w:evenHBand="0" w:firstRowFirstColumn="0" w:firstRowLastColumn="0" w:lastRowFirstColumn="0" w:lastRowLastColumn="0"/>
            <w:tcW w:w="1447" w:type="dxa"/>
          </w:tcPr>
          <w:p w14:paraId="77FBCAA9" w14:textId="77777777" w:rsidR="00C97E83" w:rsidRPr="00464A68" w:rsidRDefault="00C97E83" w:rsidP="00C97E83">
            <w:pPr>
              <w:spacing w:before="120" w:after="120"/>
              <w:rPr>
                <w:rFonts w:cstheme="minorHAnsi"/>
                <w:color w:val="000000"/>
                <w:sz w:val="18"/>
                <w:szCs w:val="18"/>
              </w:rPr>
            </w:pPr>
            <w:r w:rsidRPr="00464A68">
              <w:rPr>
                <w:rFonts w:cstheme="minorHAnsi"/>
                <w:color w:val="000000"/>
                <w:sz w:val="18"/>
                <w:szCs w:val="18"/>
              </w:rPr>
              <w:t>December</w:t>
            </w:r>
          </w:p>
        </w:tc>
        <w:tc>
          <w:tcPr>
            <w:tcW w:w="1463" w:type="dxa"/>
          </w:tcPr>
          <w:p w14:paraId="119AA7AA" w14:textId="77777777" w:rsidR="00C97E83" w:rsidRPr="00464A68" w:rsidRDefault="00C97E83" w:rsidP="00C97E8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64A68">
              <w:rPr>
                <w:rFonts w:cstheme="minorHAnsi"/>
                <w:sz w:val="18"/>
                <w:szCs w:val="18"/>
              </w:rPr>
              <w:t>2,049,800</w:t>
            </w:r>
          </w:p>
        </w:tc>
        <w:tc>
          <w:tcPr>
            <w:tcW w:w="1462" w:type="dxa"/>
          </w:tcPr>
          <w:p w14:paraId="751ED861" w14:textId="77777777" w:rsidR="00C97E83" w:rsidRPr="00464A68" w:rsidRDefault="00C97E83" w:rsidP="00C97E83">
            <w:pPr>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464A68">
              <w:rPr>
                <w:color w:val="000000"/>
                <w:sz w:val="18"/>
                <w:szCs w:val="18"/>
              </w:rPr>
              <w:t>1,613,988</w:t>
            </w:r>
          </w:p>
        </w:tc>
        <w:tc>
          <w:tcPr>
            <w:tcW w:w="1462" w:type="dxa"/>
          </w:tcPr>
          <w:p w14:paraId="3B600736" w14:textId="200DBD9B" w:rsidR="00C97E83" w:rsidRPr="00464A68" w:rsidRDefault="00C97E83" w:rsidP="00C97E8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64A68">
              <w:rPr>
                <w:rFonts w:cstheme="minorHAnsi"/>
                <w:color w:val="000000"/>
                <w:sz w:val="18"/>
                <w:szCs w:val="18"/>
              </w:rPr>
              <w:t>1,567,400</w:t>
            </w:r>
          </w:p>
        </w:tc>
        <w:tc>
          <w:tcPr>
            <w:tcW w:w="1461" w:type="dxa"/>
          </w:tcPr>
          <w:p w14:paraId="6E0173C3" w14:textId="269FBEA8" w:rsidR="00C97E83" w:rsidRPr="00464A68" w:rsidRDefault="00C97E83" w:rsidP="004919A3">
            <w:pPr>
              <w:spacing w:before="120" w:after="120"/>
              <w:ind w:right="384"/>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64A68">
              <w:rPr>
                <w:rFonts w:cstheme="minorHAnsi"/>
                <w:color w:val="000000"/>
                <w:sz w:val="18"/>
                <w:szCs w:val="18"/>
              </w:rPr>
              <w:t>-21.3%</w:t>
            </w:r>
          </w:p>
        </w:tc>
        <w:tc>
          <w:tcPr>
            <w:tcW w:w="1461" w:type="dxa"/>
          </w:tcPr>
          <w:p w14:paraId="48C2F52D" w14:textId="1C02D8D5" w:rsidR="00C97E83" w:rsidRPr="00464A68" w:rsidRDefault="00C97E83" w:rsidP="004919A3">
            <w:pPr>
              <w:spacing w:before="120" w:after="120"/>
              <w:ind w:right="424"/>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64A68">
              <w:rPr>
                <w:rFonts w:cstheme="minorHAnsi"/>
                <w:color w:val="000000"/>
                <w:sz w:val="18"/>
                <w:szCs w:val="18"/>
              </w:rPr>
              <w:t>-2.9%</w:t>
            </w:r>
          </w:p>
        </w:tc>
      </w:tr>
    </w:tbl>
    <w:p w14:paraId="37507A1B" w14:textId="0FB2B2E6" w:rsidR="00316BFB" w:rsidRPr="00F46944" w:rsidRDefault="00C97E83" w:rsidP="004919A3">
      <w:pPr>
        <w:tabs>
          <w:tab w:val="left" w:pos="142"/>
        </w:tabs>
        <w:spacing w:before="120" w:after="120"/>
        <w:rPr>
          <w:rFonts w:cstheme="minorHAnsi"/>
          <w:bCs/>
        </w:rPr>
      </w:pPr>
      <w:r w:rsidRPr="00F46944">
        <w:rPr>
          <w:rFonts w:cstheme="minorHAnsi"/>
          <w:sz w:val="16"/>
          <w:szCs w:val="16"/>
        </w:rPr>
        <w:t>PBS = Pharmaceutical Benefits Scheme; RPBS = Repatriation Pharmaceutical Benefits Scheme</w:t>
      </w:r>
      <w:r w:rsidRPr="00F46944">
        <w:rPr>
          <w:rFonts w:cstheme="minorHAnsi"/>
          <w:sz w:val="16"/>
          <w:szCs w:val="16"/>
        </w:rPr>
        <w:br/>
      </w:r>
      <w:r w:rsidR="00CC5D41" w:rsidRPr="00F46944">
        <w:rPr>
          <w:rFonts w:cstheme="minorHAnsi"/>
          <w:sz w:val="16"/>
          <w:szCs w:val="16"/>
        </w:rPr>
        <w:t>*</w:t>
      </w:r>
      <w:r w:rsidR="00112691">
        <w:rPr>
          <w:rFonts w:cstheme="minorHAnsi"/>
          <w:sz w:val="16"/>
          <w:szCs w:val="16"/>
        </w:rPr>
        <w:tab/>
      </w:r>
      <w:proofErr w:type="spellStart"/>
      <w:r w:rsidR="00CC5D41" w:rsidRPr="00F46944">
        <w:rPr>
          <w:rFonts w:cstheme="minorHAnsi"/>
          <w:sz w:val="16"/>
          <w:szCs w:val="16"/>
        </w:rPr>
        <w:t>Antibacterials</w:t>
      </w:r>
      <w:proofErr w:type="spellEnd"/>
      <w:r w:rsidR="00CC5D41" w:rsidRPr="00F46944">
        <w:rPr>
          <w:rFonts w:cstheme="minorHAnsi"/>
          <w:sz w:val="16"/>
          <w:szCs w:val="16"/>
        </w:rPr>
        <w:t xml:space="preserve"> for systemic use (</w:t>
      </w:r>
      <w:r w:rsidR="00844AD6">
        <w:rPr>
          <w:sz w:val="16"/>
          <w:szCs w:val="16"/>
        </w:rPr>
        <w:t>ATC code</w:t>
      </w:r>
      <w:r w:rsidR="00844AD6" w:rsidRPr="00F46944">
        <w:rPr>
          <w:rFonts w:cstheme="minorHAnsi"/>
          <w:sz w:val="16"/>
          <w:szCs w:val="16"/>
        </w:rPr>
        <w:t xml:space="preserve"> </w:t>
      </w:r>
      <w:r w:rsidR="00CC5D41" w:rsidRPr="00F46944">
        <w:rPr>
          <w:rFonts w:cstheme="minorHAnsi"/>
          <w:sz w:val="16"/>
          <w:szCs w:val="16"/>
        </w:rPr>
        <w:t>J01)</w:t>
      </w:r>
      <w:r w:rsidR="00CC5D41" w:rsidRPr="00F46944">
        <w:rPr>
          <w:rFonts w:cstheme="minorHAnsi"/>
          <w:sz w:val="16"/>
          <w:szCs w:val="16"/>
        </w:rPr>
        <w:br/>
      </w:r>
      <w:r w:rsidR="00202D52" w:rsidRPr="00F46944">
        <w:rPr>
          <w:rFonts w:cstheme="minorHAnsi"/>
          <w:sz w:val="16"/>
          <w:szCs w:val="16"/>
        </w:rPr>
        <w:t>Source: Gadzhanova, Roughead</w:t>
      </w:r>
      <w:r w:rsidR="00202D52" w:rsidRPr="00F46944">
        <w:rPr>
          <w:rFonts w:cstheme="minorHAnsi"/>
          <w:sz w:val="16"/>
          <w:szCs w:val="16"/>
        </w:rPr>
        <w:fldChar w:fldCharType="begin"/>
      </w:r>
      <w:r w:rsidR="00DB0DCB">
        <w:rPr>
          <w:rFonts w:cstheme="minorHAnsi"/>
          <w:sz w:val="16"/>
          <w:szCs w:val="16"/>
        </w:rPr>
        <w:instrText xml:space="preserve"> ADDIN EN.CITE &lt;EndNote&gt;&lt;Cite&gt;&lt;Author&gt;Gadzhanova&lt;/Author&gt;&lt;RecNum&gt;5&lt;/RecNum&gt;&lt;DisplayText&gt;&lt;style face="superscript"&gt;5&lt;/style&gt;&lt;/DisplayText&gt;&lt;record&gt;&lt;rec-number&gt;5&lt;/rec-number&gt;&lt;foreign-keys&gt;&lt;key app="EN" db-id="es9dr99ws90stoe5x2rp505nazvswdzppxa5" timestamp="1670810539"&gt;5&lt;/key&gt;&lt;/foreign-keys&gt;&lt;ref-type name="Unpublished Work"&gt;34&lt;/ref-type&gt;&lt;contributors&gt;&lt;authors&gt;&lt;author&gt;Gadzhanova, S.&lt;/author&gt;&lt;author&gt;Roughead, E.&lt;/author&gt;&lt;/authors&gt;&lt;/contributors&gt;&lt;titles&gt;&lt;title&gt;Analysis of 2015–2021 PBS data for the National Report on Antimicrobial Use and Resistance (unpublished)&lt;/title&gt;&lt;/titles&gt;&lt;dates&gt;&lt;/dates&gt;&lt;pub-location&gt;Sydney &lt;/pub-location&gt;&lt;publisher&gt;ACSQHC &lt;/publisher&gt;&lt;urls&gt;&lt;/urls&gt;&lt;/record&gt;&lt;/Cite&gt;&lt;/EndNote&gt;</w:instrText>
      </w:r>
      <w:r w:rsidR="00202D52" w:rsidRPr="00F46944">
        <w:rPr>
          <w:rFonts w:cstheme="minorHAnsi"/>
          <w:sz w:val="16"/>
          <w:szCs w:val="16"/>
        </w:rPr>
        <w:fldChar w:fldCharType="separate"/>
      </w:r>
      <w:r w:rsidR="001C0A42" w:rsidRPr="001C0A42">
        <w:rPr>
          <w:rFonts w:cstheme="minorHAnsi"/>
          <w:noProof/>
          <w:sz w:val="16"/>
          <w:szCs w:val="16"/>
          <w:vertAlign w:val="superscript"/>
        </w:rPr>
        <w:t>5</w:t>
      </w:r>
      <w:r w:rsidR="00202D52" w:rsidRPr="00F46944">
        <w:rPr>
          <w:rFonts w:cstheme="minorHAnsi"/>
          <w:sz w:val="16"/>
          <w:szCs w:val="16"/>
        </w:rPr>
        <w:fldChar w:fldCharType="end"/>
      </w:r>
    </w:p>
    <w:p w14:paraId="033B528D" w14:textId="7077CF97" w:rsidR="00202D52" w:rsidRPr="00F46944" w:rsidRDefault="00202D52" w:rsidP="00316BFB">
      <w:pPr>
        <w:spacing w:before="120" w:after="120"/>
        <w:rPr>
          <w:rFonts w:cstheme="minorHAnsi"/>
          <w:bCs/>
        </w:rPr>
      </w:pPr>
    </w:p>
    <w:p w14:paraId="12FCA3EE" w14:textId="77777777" w:rsidR="00B72C31" w:rsidRPr="00F46944" w:rsidRDefault="00B72C31">
      <w:pPr>
        <w:spacing w:after="80"/>
        <w:rPr>
          <w:rFonts w:cstheme="minorHAnsi"/>
          <w:b/>
        </w:rPr>
      </w:pPr>
      <w:r w:rsidRPr="00F46944">
        <w:rPr>
          <w:rFonts w:cstheme="minorHAnsi"/>
          <w:b/>
        </w:rPr>
        <w:br w:type="page"/>
      </w:r>
    </w:p>
    <w:p w14:paraId="6FCC36F2" w14:textId="41D110E9" w:rsidR="00D72BB1" w:rsidRPr="00B22B85" w:rsidRDefault="00B22B85" w:rsidP="00B22B85">
      <w:pPr>
        <w:pStyle w:val="Captions"/>
        <w:rPr>
          <w:b w:val="0"/>
          <w:bCs w:val="0"/>
        </w:rPr>
      </w:pPr>
      <w:bookmarkStart w:id="147" w:name="_Toc121744372"/>
      <w:bookmarkStart w:id="148" w:name="_Toc121491312"/>
      <w:r>
        <w:lastRenderedPageBreak/>
        <w:t>Table</w:t>
      </w:r>
      <w:r w:rsidRPr="00F46944">
        <w:t> </w:t>
      </w:r>
      <w:fldSimple w:instr=" SEQ Table \* ARABIC ">
        <w:r w:rsidR="00F34DDD">
          <w:rPr>
            <w:noProof/>
          </w:rPr>
          <w:t>12</w:t>
        </w:r>
      </w:fldSimple>
      <w:r w:rsidR="00B72C31" w:rsidRPr="00F46944">
        <w:t>:</w:t>
      </w:r>
      <w:r w:rsidR="006B0AC7" w:rsidRPr="00B22B85">
        <w:rPr>
          <w:b w:val="0"/>
          <w:bCs w:val="0"/>
        </w:rPr>
        <w:t> </w:t>
      </w:r>
      <w:r w:rsidR="000345D0" w:rsidRPr="00B22B85">
        <w:rPr>
          <w:b w:val="0"/>
          <w:bCs w:val="0"/>
        </w:rPr>
        <w:t xml:space="preserve">Volume of PBS/RPBS </w:t>
      </w:r>
      <w:r w:rsidR="00CC5D41" w:rsidRPr="00B22B85">
        <w:rPr>
          <w:b w:val="0"/>
          <w:bCs w:val="0"/>
        </w:rPr>
        <w:t>antimicrobial</w:t>
      </w:r>
      <w:r w:rsidR="0048767A" w:rsidRPr="00B22B85">
        <w:rPr>
          <w:b w:val="0"/>
          <w:bCs w:val="0"/>
        </w:rPr>
        <w:t>*</w:t>
      </w:r>
      <w:r w:rsidR="00CC5D41" w:rsidRPr="00B22B85">
        <w:rPr>
          <w:b w:val="0"/>
          <w:bCs w:val="0"/>
        </w:rPr>
        <w:t xml:space="preserve"> </w:t>
      </w:r>
      <w:r w:rsidR="000345D0" w:rsidRPr="00B22B85">
        <w:rPr>
          <w:b w:val="0"/>
          <w:bCs w:val="0"/>
        </w:rPr>
        <w:t>prescriptions</w:t>
      </w:r>
      <w:r w:rsidR="006C44BA" w:rsidRPr="00B22B85">
        <w:rPr>
          <w:b w:val="0"/>
          <w:bCs w:val="0"/>
        </w:rPr>
        <w:t xml:space="preserve"> use</w:t>
      </w:r>
      <w:r w:rsidR="000345D0" w:rsidRPr="00B22B85">
        <w:rPr>
          <w:b w:val="0"/>
          <w:bCs w:val="0"/>
        </w:rPr>
        <w:t xml:space="preserve"> (DDD/1,000 people/day),</w:t>
      </w:r>
      <w:r w:rsidR="0048767A" w:rsidRPr="00B22B85">
        <w:rPr>
          <w:b w:val="0"/>
          <w:bCs w:val="0"/>
        </w:rPr>
        <w:t xml:space="preserve"> </w:t>
      </w:r>
      <w:r w:rsidR="000345D0" w:rsidRPr="00B22B85">
        <w:rPr>
          <w:b w:val="0"/>
          <w:bCs w:val="0"/>
        </w:rPr>
        <w:t>2019–2021 (year</w:t>
      </w:r>
      <w:r w:rsidR="00B378B7" w:rsidRPr="00B22B85">
        <w:rPr>
          <w:b w:val="0"/>
          <w:bCs w:val="0"/>
        </w:rPr>
        <w:t>-</w:t>
      </w:r>
      <w:r w:rsidR="000345D0" w:rsidRPr="00B22B85">
        <w:rPr>
          <w:b w:val="0"/>
          <w:bCs w:val="0"/>
        </w:rPr>
        <w:t>to</w:t>
      </w:r>
      <w:r w:rsidR="00B378B7" w:rsidRPr="00B22B85">
        <w:rPr>
          <w:b w:val="0"/>
          <w:bCs w:val="0"/>
        </w:rPr>
        <w:t>-</w:t>
      </w:r>
      <w:r w:rsidR="000345D0" w:rsidRPr="00B22B85">
        <w:rPr>
          <w:b w:val="0"/>
          <w:bCs w:val="0"/>
        </w:rPr>
        <w:t>year comparison)</w:t>
      </w:r>
      <w:bookmarkEnd w:id="147"/>
      <w:bookmarkEnd w:id="148"/>
    </w:p>
    <w:tbl>
      <w:tblPr>
        <w:tblStyle w:val="PlainTable2"/>
        <w:tblW w:w="0" w:type="auto"/>
        <w:tblLook w:val="04A0" w:firstRow="1" w:lastRow="0" w:firstColumn="1" w:lastColumn="0" w:noHBand="0" w:noVBand="1"/>
      </w:tblPr>
      <w:tblGrid>
        <w:gridCol w:w="1147"/>
        <w:gridCol w:w="1637"/>
        <w:gridCol w:w="1637"/>
        <w:gridCol w:w="1637"/>
        <w:gridCol w:w="1637"/>
        <w:gridCol w:w="1637"/>
      </w:tblGrid>
      <w:tr w:rsidR="00C97E83" w:rsidRPr="00F46944" w14:paraId="13312179" w14:textId="77777777" w:rsidTr="00EB79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 w:type="dxa"/>
            <w:shd w:val="clear" w:color="auto" w:fill="F1BBA8" w:themeFill="accent5" w:themeFillTint="66"/>
            <w:vAlign w:val="center"/>
          </w:tcPr>
          <w:p w14:paraId="0864D1DC" w14:textId="77777777" w:rsidR="00C97E83" w:rsidRPr="00F46944" w:rsidRDefault="00C97E83" w:rsidP="00C97E83">
            <w:pPr>
              <w:spacing w:before="120" w:after="120"/>
              <w:rPr>
                <w:rFonts w:cstheme="minorHAnsi"/>
                <w:bCs w:val="0"/>
                <w:sz w:val="18"/>
                <w:szCs w:val="14"/>
              </w:rPr>
            </w:pPr>
            <w:r w:rsidRPr="00F46944">
              <w:rPr>
                <w:rFonts w:cstheme="minorHAnsi"/>
                <w:color w:val="000000"/>
                <w:sz w:val="18"/>
                <w:szCs w:val="14"/>
              </w:rPr>
              <w:t>Month</w:t>
            </w:r>
          </w:p>
        </w:tc>
        <w:tc>
          <w:tcPr>
            <w:tcW w:w="1455" w:type="dxa"/>
            <w:shd w:val="clear" w:color="auto" w:fill="F1BBA8" w:themeFill="accent5" w:themeFillTint="66"/>
            <w:vAlign w:val="center"/>
          </w:tcPr>
          <w:p w14:paraId="1ED3A6C9" w14:textId="608D4D89" w:rsidR="00C97E83" w:rsidRPr="00F46944" w:rsidRDefault="00C97E83" w:rsidP="00C97E83">
            <w:pPr>
              <w:spacing w:before="120" w:after="120"/>
              <w:cnfStyle w:val="100000000000" w:firstRow="1" w:lastRow="0" w:firstColumn="0" w:lastColumn="0" w:oddVBand="0" w:evenVBand="0" w:oddHBand="0" w:evenHBand="0" w:firstRowFirstColumn="0" w:firstRowLastColumn="0" w:lastRowFirstColumn="0" w:lastRowLastColumn="0"/>
              <w:rPr>
                <w:rFonts w:cstheme="minorHAnsi"/>
                <w:bCs w:val="0"/>
                <w:sz w:val="18"/>
                <w:szCs w:val="14"/>
              </w:rPr>
            </w:pPr>
            <w:r w:rsidRPr="00F46944">
              <w:rPr>
                <w:rFonts w:cstheme="minorHAnsi"/>
                <w:color w:val="000000"/>
                <w:sz w:val="18"/>
                <w:szCs w:val="14"/>
              </w:rPr>
              <w:t>Volume (DDD/1,000/day), 2019</w:t>
            </w:r>
          </w:p>
        </w:tc>
        <w:tc>
          <w:tcPr>
            <w:tcW w:w="1455" w:type="dxa"/>
            <w:shd w:val="clear" w:color="auto" w:fill="F1BBA8" w:themeFill="accent5" w:themeFillTint="66"/>
            <w:vAlign w:val="center"/>
          </w:tcPr>
          <w:p w14:paraId="38B239E6" w14:textId="1BDD6472" w:rsidR="00C97E83" w:rsidRPr="00F46944" w:rsidRDefault="00C97E83" w:rsidP="00C97E83">
            <w:pPr>
              <w:spacing w:before="120" w:after="120"/>
              <w:cnfStyle w:val="100000000000" w:firstRow="1" w:lastRow="0" w:firstColumn="0" w:lastColumn="0" w:oddVBand="0" w:evenVBand="0" w:oddHBand="0" w:evenHBand="0" w:firstRowFirstColumn="0" w:firstRowLastColumn="0" w:lastRowFirstColumn="0" w:lastRowLastColumn="0"/>
              <w:rPr>
                <w:rFonts w:cstheme="minorHAnsi"/>
                <w:bCs w:val="0"/>
                <w:sz w:val="18"/>
                <w:szCs w:val="14"/>
              </w:rPr>
            </w:pPr>
            <w:r w:rsidRPr="00F46944">
              <w:rPr>
                <w:rFonts w:cstheme="minorHAnsi"/>
                <w:color w:val="000000"/>
                <w:sz w:val="18"/>
                <w:szCs w:val="14"/>
              </w:rPr>
              <w:t>Volume (DDD/1,000/day), 2020</w:t>
            </w:r>
          </w:p>
        </w:tc>
        <w:tc>
          <w:tcPr>
            <w:tcW w:w="1455" w:type="dxa"/>
            <w:shd w:val="clear" w:color="auto" w:fill="F1BBA8" w:themeFill="accent5" w:themeFillTint="66"/>
            <w:vAlign w:val="center"/>
          </w:tcPr>
          <w:p w14:paraId="2863EDF8" w14:textId="6A8986A4" w:rsidR="00C97E83" w:rsidRPr="00F46944" w:rsidRDefault="00C97E83" w:rsidP="00C97E83">
            <w:pPr>
              <w:spacing w:before="120" w:after="120"/>
              <w:cnfStyle w:val="100000000000" w:firstRow="1" w:lastRow="0" w:firstColumn="0" w:lastColumn="0" w:oddVBand="0" w:evenVBand="0" w:oddHBand="0" w:evenHBand="0" w:firstRowFirstColumn="0" w:firstRowLastColumn="0" w:lastRowFirstColumn="0" w:lastRowLastColumn="0"/>
              <w:rPr>
                <w:rFonts w:cstheme="minorHAnsi"/>
                <w:bCs w:val="0"/>
                <w:sz w:val="18"/>
                <w:szCs w:val="14"/>
              </w:rPr>
            </w:pPr>
            <w:r w:rsidRPr="00F46944">
              <w:rPr>
                <w:rFonts w:cstheme="minorHAnsi"/>
                <w:color w:val="000000"/>
                <w:sz w:val="18"/>
                <w:szCs w:val="14"/>
              </w:rPr>
              <w:t>Volume (DDD/1,000/day), 2021</w:t>
            </w:r>
          </w:p>
        </w:tc>
        <w:tc>
          <w:tcPr>
            <w:tcW w:w="1455" w:type="dxa"/>
            <w:shd w:val="clear" w:color="auto" w:fill="F1BBA8" w:themeFill="accent5" w:themeFillTint="66"/>
            <w:vAlign w:val="center"/>
          </w:tcPr>
          <w:p w14:paraId="1CAD0C87" w14:textId="2456E4AB" w:rsidR="00C97E83" w:rsidRPr="00F46944" w:rsidRDefault="00C97E83" w:rsidP="00C97E83">
            <w:pPr>
              <w:spacing w:before="120" w:after="120"/>
              <w:cnfStyle w:val="100000000000" w:firstRow="1" w:lastRow="0" w:firstColumn="0" w:lastColumn="0" w:oddVBand="0" w:evenVBand="0" w:oddHBand="0" w:evenHBand="0" w:firstRowFirstColumn="0" w:firstRowLastColumn="0" w:lastRowFirstColumn="0" w:lastRowLastColumn="0"/>
              <w:rPr>
                <w:rFonts w:cstheme="minorHAnsi"/>
                <w:bCs w:val="0"/>
                <w:sz w:val="18"/>
                <w:szCs w:val="14"/>
              </w:rPr>
            </w:pPr>
            <w:r w:rsidRPr="00F46944">
              <w:rPr>
                <w:rFonts w:cstheme="minorHAnsi"/>
                <w:color w:val="000000"/>
                <w:sz w:val="18"/>
                <w:szCs w:val="14"/>
              </w:rPr>
              <w:t>Change in volume (DDD/1,000/day), 2019 to 2020</w:t>
            </w:r>
          </w:p>
        </w:tc>
        <w:tc>
          <w:tcPr>
            <w:tcW w:w="1472" w:type="dxa"/>
            <w:shd w:val="clear" w:color="auto" w:fill="F1BBA8" w:themeFill="accent5" w:themeFillTint="66"/>
            <w:vAlign w:val="center"/>
          </w:tcPr>
          <w:p w14:paraId="35C64AD2" w14:textId="4B6F0083" w:rsidR="00C97E83" w:rsidRPr="00F46944" w:rsidRDefault="00C97E83" w:rsidP="00C97E83">
            <w:pPr>
              <w:spacing w:before="120" w:after="120"/>
              <w:cnfStyle w:val="100000000000" w:firstRow="1" w:lastRow="0" w:firstColumn="0" w:lastColumn="0" w:oddVBand="0" w:evenVBand="0" w:oddHBand="0" w:evenHBand="0" w:firstRowFirstColumn="0" w:firstRowLastColumn="0" w:lastRowFirstColumn="0" w:lastRowLastColumn="0"/>
              <w:rPr>
                <w:rFonts w:cstheme="minorHAnsi"/>
                <w:bCs w:val="0"/>
                <w:sz w:val="18"/>
                <w:szCs w:val="14"/>
              </w:rPr>
            </w:pPr>
            <w:r w:rsidRPr="00F46944">
              <w:rPr>
                <w:rFonts w:cstheme="minorHAnsi"/>
                <w:color w:val="000000"/>
                <w:sz w:val="18"/>
                <w:szCs w:val="14"/>
              </w:rPr>
              <w:t>Change in volume (DDD/1,000/day), 2020 to 2021</w:t>
            </w:r>
          </w:p>
        </w:tc>
      </w:tr>
      <w:tr w:rsidR="004D06F1" w:rsidRPr="00F46944" w14:paraId="2007D796" w14:textId="77777777" w:rsidTr="00A92E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 w:type="dxa"/>
          </w:tcPr>
          <w:p w14:paraId="5EDDE7DC" w14:textId="77777777" w:rsidR="004D06F1" w:rsidRPr="00F46944" w:rsidRDefault="004D06F1" w:rsidP="004D06F1">
            <w:pPr>
              <w:spacing w:before="120" w:after="120"/>
              <w:rPr>
                <w:rFonts w:cstheme="minorHAnsi"/>
                <w:bCs w:val="0"/>
                <w:sz w:val="18"/>
                <w:szCs w:val="16"/>
              </w:rPr>
            </w:pPr>
            <w:r w:rsidRPr="00F46944">
              <w:rPr>
                <w:rFonts w:cstheme="minorHAnsi"/>
                <w:color w:val="000000"/>
                <w:sz w:val="18"/>
                <w:szCs w:val="16"/>
              </w:rPr>
              <w:t>January</w:t>
            </w:r>
          </w:p>
        </w:tc>
        <w:tc>
          <w:tcPr>
            <w:tcW w:w="1455" w:type="dxa"/>
          </w:tcPr>
          <w:p w14:paraId="0214D903" w14:textId="4EFE47D9" w:rsidR="004D06F1" w:rsidRPr="00F46944" w:rsidRDefault="004D06F1" w:rsidP="004D06F1">
            <w:pPr>
              <w:spacing w:before="120" w:after="120"/>
              <w:cnfStyle w:val="000000100000" w:firstRow="0" w:lastRow="0" w:firstColumn="0" w:lastColumn="0" w:oddVBand="0" w:evenVBand="0" w:oddHBand="1" w:evenHBand="0" w:firstRowFirstColumn="0" w:firstRowLastColumn="0" w:lastRowFirstColumn="0" w:lastRowLastColumn="0"/>
              <w:rPr>
                <w:rFonts w:cstheme="minorHAnsi"/>
                <w:bCs/>
                <w:sz w:val="18"/>
                <w:szCs w:val="16"/>
              </w:rPr>
            </w:pPr>
            <w:r w:rsidRPr="00F46944">
              <w:rPr>
                <w:color w:val="000000"/>
                <w:sz w:val="18"/>
                <w:szCs w:val="16"/>
              </w:rPr>
              <w:t>18.61</w:t>
            </w:r>
          </w:p>
        </w:tc>
        <w:tc>
          <w:tcPr>
            <w:tcW w:w="1455" w:type="dxa"/>
          </w:tcPr>
          <w:p w14:paraId="74D605C1" w14:textId="0C172448" w:rsidR="004D06F1" w:rsidRPr="00F46944" w:rsidRDefault="004D06F1" w:rsidP="004D06F1">
            <w:pPr>
              <w:spacing w:before="120" w:after="120"/>
              <w:cnfStyle w:val="000000100000" w:firstRow="0" w:lastRow="0" w:firstColumn="0" w:lastColumn="0" w:oddVBand="0" w:evenVBand="0" w:oddHBand="1" w:evenHBand="0" w:firstRowFirstColumn="0" w:firstRowLastColumn="0" w:lastRowFirstColumn="0" w:lastRowLastColumn="0"/>
              <w:rPr>
                <w:rFonts w:cstheme="minorHAnsi"/>
                <w:bCs/>
                <w:sz w:val="18"/>
                <w:szCs w:val="16"/>
              </w:rPr>
            </w:pPr>
            <w:r w:rsidRPr="00F46944">
              <w:rPr>
                <w:color w:val="000000"/>
                <w:sz w:val="18"/>
                <w:szCs w:val="16"/>
              </w:rPr>
              <w:t>17.73</w:t>
            </w:r>
          </w:p>
        </w:tc>
        <w:tc>
          <w:tcPr>
            <w:tcW w:w="1455" w:type="dxa"/>
          </w:tcPr>
          <w:p w14:paraId="51A7A9C3" w14:textId="6ED78677" w:rsidR="004D06F1" w:rsidRPr="00F46944" w:rsidRDefault="004D06F1" w:rsidP="004D06F1">
            <w:pPr>
              <w:spacing w:before="120" w:after="120"/>
              <w:cnfStyle w:val="000000100000" w:firstRow="0" w:lastRow="0" w:firstColumn="0" w:lastColumn="0" w:oddVBand="0" w:evenVBand="0" w:oddHBand="1" w:evenHBand="0" w:firstRowFirstColumn="0" w:firstRowLastColumn="0" w:lastRowFirstColumn="0" w:lastRowLastColumn="0"/>
              <w:rPr>
                <w:rFonts w:cstheme="minorHAnsi"/>
                <w:bCs/>
                <w:sz w:val="18"/>
                <w:szCs w:val="16"/>
              </w:rPr>
            </w:pPr>
            <w:r w:rsidRPr="00F46944">
              <w:rPr>
                <w:color w:val="000000"/>
                <w:sz w:val="18"/>
                <w:szCs w:val="16"/>
              </w:rPr>
              <w:t>14.47</w:t>
            </w:r>
          </w:p>
        </w:tc>
        <w:tc>
          <w:tcPr>
            <w:tcW w:w="1455" w:type="dxa"/>
          </w:tcPr>
          <w:p w14:paraId="282876EE" w14:textId="5D4E78CB" w:rsidR="004D06F1" w:rsidRPr="00F46944" w:rsidRDefault="004D06F1" w:rsidP="004D06F1">
            <w:pPr>
              <w:spacing w:before="120" w:after="120"/>
              <w:cnfStyle w:val="000000100000" w:firstRow="0" w:lastRow="0" w:firstColumn="0" w:lastColumn="0" w:oddVBand="0" w:evenVBand="0" w:oddHBand="1" w:evenHBand="0" w:firstRowFirstColumn="0" w:firstRowLastColumn="0" w:lastRowFirstColumn="0" w:lastRowLastColumn="0"/>
              <w:rPr>
                <w:rFonts w:cstheme="minorHAnsi"/>
                <w:bCs/>
                <w:sz w:val="18"/>
                <w:szCs w:val="16"/>
              </w:rPr>
            </w:pPr>
            <w:r w:rsidRPr="00F46944">
              <w:rPr>
                <w:color w:val="000000"/>
                <w:sz w:val="18"/>
                <w:szCs w:val="16"/>
              </w:rPr>
              <w:t>-4.7</w:t>
            </w:r>
          </w:p>
        </w:tc>
        <w:tc>
          <w:tcPr>
            <w:tcW w:w="1472" w:type="dxa"/>
          </w:tcPr>
          <w:p w14:paraId="3367612D" w14:textId="267CDD70" w:rsidR="004D06F1" w:rsidRPr="00F46944" w:rsidRDefault="004D06F1" w:rsidP="004D06F1">
            <w:pPr>
              <w:spacing w:before="120" w:after="120"/>
              <w:cnfStyle w:val="000000100000" w:firstRow="0" w:lastRow="0" w:firstColumn="0" w:lastColumn="0" w:oddVBand="0" w:evenVBand="0" w:oddHBand="1" w:evenHBand="0" w:firstRowFirstColumn="0" w:firstRowLastColumn="0" w:lastRowFirstColumn="0" w:lastRowLastColumn="0"/>
              <w:rPr>
                <w:rFonts w:cstheme="minorHAnsi"/>
                <w:bCs/>
                <w:sz w:val="18"/>
                <w:szCs w:val="16"/>
              </w:rPr>
            </w:pPr>
            <w:r w:rsidRPr="00F46944">
              <w:rPr>
                <w:color w:val="000000"/>
                <w:sz w:val="18"/>
                <w:szCs w:val="16"/>
              </w:rPr>
              <w:t>-18.4</w:t>
            </w:r>
          </w:p>
        </w:tc>
      </w:tr>
      <w:tr w:rsidR="004D06F1" w:rsidRPr="00F46944" w14:paraId="7D9D61A4" w14:textId="77777777" w:rsidTr="00A92E12">
        <w:tc>
          <w:tcPr>
            <w:cnfStyle w:val="001000000000" w:firstRow="0" w:lastRow="0" w:firstColumn="1" w:lastColumn="0" w:oddVBand="0" w:evenVBand="0" w:oddHBand="0" w:evenHBand="0" w:firstRowFirstColumn="0" w:firstRowLastColumn="0" w:lastRowFirstColumn="0" w:lastRowLastColumn="0"/>
            <w:tcW w:w="1464" w:type="dxa"/>
          </w:tcPr>
          <w:p w14:paraId="67E65FF8" w14:textId="77777777" w:rsidR="004D06F1" w:rsidRPr="00F46944" w:rsidRDefault="004D06F1" w:rsidP="004D06F1">
            <w:pPr>
              <w:spacing w:before="120" w:after="120"/>
              <w:rPr>
                <w:rFonts w:cstheme="minorHAnsi"/>
                <w:bCs w:val="0"/>
                <w:sz w:val="18"/>
                <w:szCs w:val="16"/>
              </w:rPr>
            </w:pPr>
            <w:r w:rsidRPr="00F46944">
              <w:rPr>
                <w:rFonts w:cstheme="minorHAnsi"/>
                <w:color w:val="000000"/>
                <w:sz w:val="18"/>
                <w:szCs w:val="16"/>
              </w:rPr>
              <w:t>February</w:t>
            </w:r>
          </w:p>
        </w:tc>
        <w:tc>
          <w:tcPr>
            <w:tcW w:w="1455" w:type="dxa"/>
          </w:tcPr>
          <w:p w14:paraId="0BFC9C11" w14:textId="1F47D56D" w:rsidR="004D06F1" w:rsidRPr="00F46944" w:rsidRDefault="004D06F1" w:rsidP="004D06F1">
            <w:pPr>
              <w:spacing w:before="120" w:after="120"/>
              <w:cnfStyle w:val="000000000000" w:firstRow="0" w:lastRow="0" w:firstColumn="0" w:lastColumn="0" w:oddVBand="0" w:evenVBand="0" w:oddHBand="0" w:evenHBand="0" w:firstRowFirstColumn="0" w:firstRowLastColumn="0" w:lastRowFirstColumn="0" w:lastRowLastColumn="0"/>
              <w:rPr>
                <w:rFonts w:cstheme="minorHAnsi"/>
                <w:bCs/>
                <w:sz w:val="18"/>
                <w:szCs w:val="16"/>
              </w:rPr>
            </w:pPr>
            <w:r w:rsidRPr="00F46944">
              <w:rPr>
                <w:color w:val="000000"/>
                <w:sz w:val="18"/>
                <w:szCs w:val="16"/>
              </w:rPr>
              <w:t>20.1</w:t>
            </w:r>
          </w:p>
        </w:tc>
        <w:tc>
          <w:tcPr>
            <w:tcW w:w="1455" w:type="dxa"/>
          </w:tcPr>
          <w:p w14:paraId="74FBEC06" w14:textId="21D371DE" w:rsidR="004D06F1" w:rsidRPr="00F46944" w:rsidRDefault="004D06F1" w:rsidP="004D06F1">
            <w:pPr>
              <w:spacing w:before="120" w:after="120"/>
              <w:cnfStyle w:val="000000000000" w:firstRow="0" w:lastRow="0" w:firstColumn="0" w:lastColumn="0" w:oddVBand="0" w:evenVBand="0" w:oddHBand="0" w:evenHBand="0" w:firstRowFirstColumn="0" w:firstRowLastColumn="0" w:lastRowFirstColumn="0" w:lastRowLastColumn="0"/>
              <w:rPr>
                <w:rFonts w:cstheme="minorHAnsi"/>
                <w:bCs/>
                <w:sz w:val="18"/>
                <w:szCs w:val="16"/>
              </w:rPr>
            </w:pPr>
            <w:r w:rsidRPr="00F46944">
              <w:rPr>
                <w:color w:val="000000"/>
                <w:sz w:val="18"/>
                <w:szCs w:val="16"/>
              </w:rPr>
              <w:t>19.7</w:t>
            </w:r>
          </w:p>
        </w:tc>
        <w:tc>
          <w:tcPr>
            <w:tcW w:w="1455" w:type="dxa"/>
          </w:tcPr>
          <w:p w14:paraId="7F9A96B1" w14:textId="47C41F20" w:rsidR="004D06F1" w:rsidRPr="00F46944" w:rsidRDefault="004D06F1" w:rsidP="004D06F1">
            <w:pPr>
              <w:spacing w:before="120" w:after="120"/>
              <w:cnfStyle w:val="000000000000" w:firstRow="0" w:lastRow="0" w:firstColumn="0" w:lastColumn="0" w:oddVBand="0" w:evenVBand="0" w:oddHBand="0" w:evenHBand="0" w:firstRowFirstColumn="0" w:firstRowLastColumn="0" w:lastRowFirstColumn="0" w:lastRowLastColumn="0"/>
              <w:rPr>
                <w:rFonts w:cstheme="minorHAnsi"/>
                <w:bCs/>
                <w:sz w:val="18"/>
                <w:szCs w:val="16"/>
              </w:rPr>
            </w:pPr>
            <w:r w:rsidRPr="00F46944">
              <w:rPr>
                <w:color w:val="000000"/>
                <w:sz w:val="18"/>
                <w:szCs w:val="16"/>
              </w:rPr>
              <w:t>16.72</w:t>
            </w:r>
          </w:p>
        </w:tc>
        <w:tc>
          <w:tcPr>
            <w:tcW w:w="1455" w:type="dxa"/>
          </w:tcPr>
          <w:p w14:paraId="6893EF85" w14:textId="49EAE16C" w:rsidR="004D06F1" w:rsidRPr="00F46944" w:rsidRDefault="004D06F1" w:rsidP="004D06F1">
            <w:pPr>
              <w:spacing w:before="120" w:after="120"/>
              <w:cnfStyle w:val="000000000000" w:firstRow="0" w:lastRow="0" w:firstColumn="0" w:lastColumn="0" w:oddVBand="0" w:evenVBand="0" w:oddHBand="0" w:evenHBand="0" w:firstRowFirstColumn="0" w:firstRowLastColumn="0" w:lastRowFirstColumn="0" w:lastRowLastColumn="0"/>
              <w:rPr>
                <w:rFonts w:cstheme="minorHAnsi"/>
                <w:bCs/>
                <w:sz w:val="18"/>
                <w:szCs w:val="16"/>
              </w:rPr>
            </w:pPr>
            <w:r w:rsidRPr="00F46944">
              <w:rPr>
                <w:color w:val="000000"/>
                <w:sz w:val="18"/>
                <w:szCs w:val="16"/>
              </w:rPr>
              <w:t>-2</w:t>
            </w:r>
          </w:p>
        </w:tc>
        <w:tc>
          <w:tcPr>
            <w:tcW w:w="1472" w:type="dxa"/>
          </w:tcPr>
          <w:p w14:paraId="0E58BED3" w14:textId="52D6BB0F" w:rsidR="004D06F1" w:rsidRPr="00F46944" w:rsidRDefault="004D06F1" w:rsidP="004D06F1">
            <w:pPr>
              <w:spacing w:before="120" w:after="120"/>
              <w:cnfStyle w:val="000000000000" w:firstRow="0" w:lastRow="0" w:firstColumn="0" w:lastColumn="0" w:oddVBand="0" w:evenVBand="0" w:oddHBand="0" w:evenHBand="0" w:firstRowFirstColumn="0" w:firstRowLastColumn="0" w:lastRowFirstColumn="0" w:lastRowLastColumn="0"/>
              <w:rPr>
                <w:rFonts w:cstheme="minorHAnsi"/>
                <w:bCs/>
                <w:sz w:val="18"/>
                <w:szCs w:val="16"/>
              </w:rPr>
            </w:pPr>
            <w:r w:rsidRPr="00F46944">
              <w:rPr>
                <w:color w:val="000000"/>
                <w:sz w:val="18"/>
                <w:szCs w:val="16"/>
              </w:rPr>
              <w:t>-15.1</w:t>
            </w:r>
          </w:p>
        </w:tc>
      </w:tr>
      <w:tr w:rsidR="004D06F1" w:rsidRPr="00F46944" w14:paraId="14B7A342" w14:textId="77777777" w:rsidTr="00A92E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 w:type="dxa"/>
          </w:tcPr>
          <w:p w14:paraId="19B7CB3D" w14:textId="77777777" w:rsidR="004D06F1" w:rsidRPr="00F46944" w:rsidRDefault="004D06F1" w:rsidP="004D06F1">
            <w:pPr>
              <w:spacing w:before="120" w:after="120"/>
              <w:rPr>
                <w:rFonts w:cstheme="minorHAnsi"/>
                <w:bCs w:val="0"/>
                <w:sz w:val="18"/>
                <w:szCs w:val="16"/>
              </w:rPr>
            </w:pPr>
            <w:r w:rsidRPr="00F46944">
              <w:rPr>
                <w:rFonts w:cstheme="minorHAnsi"/>
                <w:color w:val="000000"/>
                <w:sz w:val="18"/>
                <w:szCs w:val="16"/>
              </w:rPr>
              <w:t>March</w:t>
            </w:r>
          </w:p>
        </w:tc>
        <w:tc>
          <w:tcPr>
            <w:tcW w:w="1455" w:type="dxa"/>
          </w:tcPr>
          <w:p w14:paraId="3AFCA3F9" w14:textId="12D30B97" w:rsidR="004D06F1" w:rsidRPr="00F46944" w:rsidRDefault="004D06F1" w:rsidP="004D06F1">
            <w:pPr>
              <w:spacing w:before="120" w:after="120"/>
              <w:cnfStyle w:val="000000100000" w:firstRow="0" w:lastRow="0" w:firstColumn="0" w:lastColumn="0" w:oddVBand="0" w:evenVBand="0" w:oddHBand="1" w:evenHBand="0" w:firstRowFirstColumn="0" w:firstRowLastColumn="0" w:lastRowFirstColumn="0" w:lastRowLastColumn="0"/>
              <w:rPr>
                <w:rFonts w:cstheme="minorHAnsi"/>
                <w:bCs/>
                <w:sz w:val="18"/>
                <w:szCs w:val="16"/>
              </w:rPr>
            </w:pPr>
            <w:r w:rsidRPr="00F46944">
              <w:rPr>
                <w:color w:val="000000"/>
                <w:sz w:val="18"/>
                <w:szCs w:val="16"/>
              </w:rPr>
              <w:t>20.45</w:t>
            </w:r>
          </w:p>
        </w:tc>
        <w:tc>
          <w:tcPr>
            <w:tcW w:w="1455" w:type="dxa"/>
          </w:tcPr>
          <w:p w14:paraId="092B65DF" w14:textId="45704ADD" w:rsidR="004D06F1" w:rsidRPr="00F46944" w:rsidRDefault="004D06F1" w:rsidP="004D06F1">
            <w:pPr>
              <w:spacing w:before="120" w:after="120"/>
              <w:cnfStyle w:val="000000100000" w:firstRow="0" w:lastRow="0" w:firstColumn="0" w:lastColumn="0" w:oddVBand="0" w:evenVBand="0" w:oddHBand="1" w:evenHBand="0" w:firstRowFirstColumn="0" w:firstRowLastColumn="0" w:lastRowFirstColumn="0" w:lastRowLastColumn="0"/>
              <w:rPr>
                <w:rFonts w:cstheme="minorHAnsi"/>
                <w:bCs/>
                <w:sz w:val="18"/>
                <w:szCs w:val="16"/>
              </w:rPr>
            </w:pPr>
            <w:r w:rsidRPr="00F46944">
              <w:rPr>
                <w:color w:val="000000"/>
                <w:sz w:val="18"/>
                <w:szCs w:val="16"/>
              </w:rPr>
              <w:t>22.88</w:t>
            </w:r>
          </w:p>
        </w:tc>
        <w:tc>
          <w:tcPr>
            <w:tcW w:w="1455" w:type="dxa"/>
          </w:tcPr>
          <w:p w14:paraId="60EFCA64" w14:textId="7FF4E429" w:rsidR="004D06F1" w:rsidRPr="00F46944" w:rsidRDefault="004D06F1" w:rsidP="004D06F1">
            <w:pPr>
              <w:spacing w:before="120" w:after="120"/>
              <w:cnfStyle w:val="000000100000" w:firstRow="0" w:lastRow="0" w:firstColumn="0" w:lastColumn="0" w:oddVBand="0" w:evenVBand="0" w:oddHBand="1" w:evenHBand="0" w:firstRowFirstColumn="0" w:firstRowLastColumn="0" w:lastRowFirstColumn="0" w:lastRowLastColumn="0"/>
              <w:rPr>
                <w:rFonts w:cstheme="minorHAnsi"/>
                <w:bCs/>
                <w:sz w:val="18"/>
                <w:szCs w:val="16"/>
              </w:rPr>
            </w:pPr>
            <w:r w:rsidRPr="00F46944">
              <w:rPr>
                <w:color w:val="000000"/>
                <w:sz w:val="18"/>
                <w:szCs w:val="16"/>
              </w:rPr>
              <w:t>18.06</w:t>
            </w:r>
          </w:p>
        </w:tc>
        <w:tc>
          <w:tcPr>
            <w:tcW w:w="1455" w:type="dxa"/>
          </w:tcPr>
          <w:p w14:paraId="6A3448E0" w14:textId="70E1FDF7" w:rsidR="004D06F1" w:rsidRPr="00F46944" w:rsidRDefault="004D06F1" w:rsidP="004D06F1">
            <w:pPr>
              <w:spacing w:before="120" w:after="120"/>
              <w:cnfStyle w:val="000000100000" w:firstRow="0" w:lastRow="0" w:firstColumn="0" w:lastColumn="0" w:oddVBand="0" w:evenVBand="0" w:oddHBand="1" w:evenHBand="0" w:firstRowFirstColumn="0" w:firstRowLastColumn="0" w:lastRowFirstColumn="0" w:lastRowLastColumn="0"/>
              <w:rPr>
                <w:rFonts w:cstheme="minorHAnsi"/>
                <w:bCs/>
                <w:sz w:val="18"/>
                <w:szCs w:val="16"/>
              </w:rPr>
            </w:pPr>
            <w:r w:rsidRPr="00F46944">
              <w:rPr>
                <w:color w:val="000000"/>
                <w:sz w:val="18"/>
                <w:szCs w:val="16"/>
              </w:rPr>
              <w:t>11.9</w:t>
            </w:r>
          </w:p>
        </w:tc>
        <w:tc>
          <w:tcPr>
            <w:tcW w:w="1472" w:type="dxa"/>
          </w:tcPr>
          <w:p w14:paraId="72DC9E73" w14:textId="28D8DD59" w:rsidR="004D06F1" w:rsidRPr="00F46944" w:rsidRDefault="004D06F1" w:rsidP="004D06F1">
            <w:pPr>
              <w:spacing w:before="120" w:after="120"/>
              <w:cnfStyle w:val="000000100000" w:firstRow="0" w:lastRow="0" w:firstColumn="0" w:lastColumn="0" w:oddVBand="0" w:evenVBand="0" w:oddHBand="1" w:evenHBand="0" w:firstRowFirstColumn="0" w:firstRowLastColumn="0" w:lastRowFirstColumn="0" w:lastRowLastColumn="0"/>
              <w:rPr>
                <w:rFonts w:cstheme="minorHAnsi"/>
                <w:bCs/>
                <w:sz w:val="18"/>
                <w:szCs w:val="16"/>
              </w:rPr>
            </w:pPr>
            <w:r w:rsidRPr="00F46944">
              <w:rPr>
                <w:color w:val="000000"/>
                <w:sz w:val="18"/>
                <w:szCs w:val="16"/>
              </w:rPr>
              <w:t>-21.1</w:t>
            </w:r>
          </w:p>
        </w:tc>
      </w:tr>
      <w:tr w:rsidR="004D06F1" w:rsidRPr="00F46944" w14:paraId="648767B0" w14:textId="77777777" w:rsidTr="00A92E12">
        <w:tc>
          <w:tcPr>
            <w:cnfStyle w:val="001000000000" w:firstRow="0" w:lastRow="0" w:firstColumn="1" w:lastColumn="0" w:oddVBand="0" w:evenVBand="0" w:oddHBand="0" w:evenHBand="0" w:firstRowFirstColumn="0" w:firstRowLastColumn="0" w:lastRowFirstColumn="0" w:lastRowLastColumn="0"/>
            <w:tcW w:w="1464" w:type="dxa"/>
          </w:tcPr>
          <w:p w14:paraId="63FEC9A8" w14:textId="77777777" w:rsidR="004D06F1" w:rsidRPr="00F46944" w:rsidRDefault="004D06F1" w:rsidP="004D06F1">
            <w:pPr>
              <w:spacing w:before="120" w:after="120"/>
              <w:rPr>
                <w:rFonts w:cstheme="minorHAnsi"/>
                <w:bCs w:val="0"/>
                <w:sz w:val="18"/>
                <w:szCs w:val="16"/>
              </w:rPr>
            </w:pPr>
            <w:r w:rsidRPr="00F46944">
              <w:rPr>
                <w:rFonts w:cstheme="minorHAnsi"/>
                <w:color w:val="000000"/>
                <w:sz w:val="18"/>
                <w:szCs w:val="16"/>
              </w:rPr>
              <w:t>April</w:t>
            </w:r>
          </w:p>
        </w:tc>
        <w:tc>
          <w:tcPr>
            <w:tcW w:w="1455" w:type="dxa"/>
          </w:tcPr>
          <w:p w14:paraId="408B1217" w14:textId="22B07979" w:rsidR="004D06F1" w:rsidRPr="00F46944" w:rsidRDefault="004D06F1" w:rsidP="004D06F1">
            <w:pPr>
              <w:spacing w:before="120" w:after="120"/>
              <w:cnfStyle w:val="000000000000" w:firstRow="0" w:lastRow="0" w:firstColumn="0" w:lastColumn="0" w:oddVBand="0" w:evenVBand="0" w:oddHBand="0" w:evenHBand="0" w:firstRowFirstColumn="0" w:firstRowLastColumn="0" w:lastRowFirstColumn="0" w:lastRowLastColumn="0"/>
              <w:rPr>
                <w:rFonts w:cstheme="minorHAnsi"/>
                <w:bCs/>
                <w:sz w:val="18"/>
                <w:szCs w:val="16"/>
              </w:rPr>
            </w:pPr>
            <w:r w:rsidRPr="00F46944">
              <w:rPr>
                <w:color w:val="000000"/>
                <w:sz w:val="18"/>
                <w:szCs w:val="16"/>
              </w:rPr>
              <w:t>21.39</w:t>
            </w:r>
          </w:p>
        </w:tc>
        <w:tc>
          <w:tcPr>
            <w:tcW w:w="1455" w:type="dxa"/>
          </w:tcPr>
          <w:p w14:paraId="3241D0F3" w14:textId="6730DE23" w:rsidR="004D06F1" w:rsidRPr="00F46944" w:rsidRDefault="004D06F1" w:rsidP="004D06F1">
            <w:pPr>
              <w:spacing w:before="120" w:after="120"/>
              <w:cnfStyle w:val="000000000000" w:firstRow="0" w:lastRow="0" w:firstColumn="0" w:lastColumn="0" w:oddVBand="0" w:evenVBand="0" w:oddHBand="0" w:evenHBand="0" w:firstRowFirstColumn="0" w:firstRowLastColumn="0" w:lastRowFirstColumn="0" w:lastRowLastColumn="0"/>
              <w:rPr>
                <w:rFonts w:cstheme="minorHAnsi"/>
                <w:bCs/>
                <w:sz w:val="18"/>
                <w:szCs w:val="16"/>
              </w:rPr>
            </w:pPr>
            <w:r w:rsidRPr="00F46944">
              <w:rPr>
                <w:color w:val="000000"/>
                <w:sz w:val="18"/>
                <w:szCs w:val="16"/>
              </w:rPr>
              <w:t>13.88</w:t>
            </w:r>
          </w:p>
        </w:tc>
        <w:tc>
          <w:tcPr>
            <w:tcW w:w="1455" w:type="dxa"/>
          </w:tcPr>
          <w:p w14:paraId="21F9D6E4" w14:textId="58C6D3FB" w:rsidR="004D06F1" w:rsidRPr="00F46944" w:rsidRDefault="004D06F1" w:rsidP="004D06F1">
            <w:pPr>
              <w:spacing w:before="120" w:after="120"/>
              <w:cnfStyle w:val="000000000000" w:firstRow="0" w:lastRow="0" w:firstColumn="0" w:lastColumn="0" w:oddVBand="0" w:evenVBand="0" w:oddHBand="0" w:evenHBand="0" w:firstRowFirstColumn="0" w:firstRowLastColumn="0" w:lastRowFirstColumn="0" w:lastRowLastColumn="0"/>
              <w:rPr>
                <w:rFonts w:cstheme="minorHAnsi"/>
                <w:bCs/>
                <w:sz w:val="18"/>
                <w:szCs w:val="16"/>
              </w:rPr>
            </w:pPr>
            <w:r w:rsidRPr="00F46944">
              <w:rPr>
                <w:color w:val="000000"/>
                <w:sz w:val="18"/>
                <w:szCs w:val="16"/>
              </w:rPr>
              <w:t>17.09</w:t>
            </w:r>
          </w:p>
        </w:tc>
        <w:tc>
          <w:tcPr>
            <w:tcW w:w="1455" w:type="dxa"/>
          </w:tcPr>
          <w:p w14:paraId="08B5AFCA" w14:textId="5EBF3A45" w:rsidR="004D06F1" w:rsidRPr="00F46944" w:rsidRDefault="004D06F1" w:rsidP="004D06F1">
            <w:pPr>
              <w:spacing w:before="120" w:after="120"/>
              <w:cnfStyle w:val="000000000000" w:firstRow="0" w:lastRow="0" w:firstColumn="0" w:lastColumn="0" w:oddVBand="0" w:evenVBand="0" w:oddHBand="0" w:evenHBand="0" w:firstRowFirstColumn="0" w:firstRowLastColumn="0" w:lastRowFirstColumn="0" w:lastRowLastColumn="0"/>
              <w:rPr>
                <w:rFonts w:cstheme="minorHAnsi"/>
                <w:bCs/>
                <w:sz w:val="18"/>
                <w:szCs w:val="16"/>
              </w:rPr>
            </w:pPr>
            <w:r w:rsidRPr="00F46944">
              <w:rPr>
                <w:color w:val="000000"/>
                <w:sz w:val="18"/>
                <w:szCs w:val="16"/>
              </w:rPr>
              <w:t>-35.1</w:t>
            </w:r>
          </w:p>
        </w:tc>
        <w:tc>
          <w:tcPr>
            <w:tcW w:w="1472" w:type="dxa"/>
          </w:tcPr>
          <w:p w14:paraId="3D258C62" w14:textId="692B4D18" w:rsidR="004D06F1" w:rsidRPr="00F46944" w:rsidRDefault="004D06F1" w:rsidP="004D06F1">
            <w:pPr>
              <w:spacing w:before="120" w:after="120"/>
              <w:cnfStyle w:val="000000000000" w:firstRow="0" w:lastRow="0" w:firstColumn="0" w:lastColumn="0" w:oddVBand="0" w:evenVBand="0" w:oddHBand="0" w:evenHBand="0" w:firstRowFirstColumn="0" w:firstRowLastColumn="0" w:lastRowFirstColumn="0" w:lastRowLastColumn="0"/>
              <w:rPr>
                <w:rFonts w:cstheme="minorHAnsi"/>
                <w:bCs/>
                <w:sz w:val="18"/>
                <w:szCs w:val="16"/>
              </w:rPr>
            </w:pPr>
            <w:r w:rsidRPr="00F46944">
              <w:rPr>
                <w:color w:val="000000"/>
                <w:sz w:val="18"/>
                <w:szCs w:val="16"/>
              </w:rPr>
              <w:t>23.2</w:t>
            </w:r>
          </w:p>
        </w:tc>
      </w:tr>
      <w:tr w:rsidR="004D06F1" w:rsidRPr="00F46944" w14:paraId="7EAFA271" w14:textId="77777777" w:rsidTr="00A92E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 w:type="dxa"/>
          </w:tcPr>
          <w:p w14:paraId="39A1ADD8" w14:textId="77777777" w:rsidR="004D06F1" w:rsidRPr="00F46944" w:rsidRDefault="004D06F1" w:rsidP="004D06F1">
            <w:pPr>
              <w:spacing w:before="120" w:after="120"/>
              <w:rPr>
                <w:rFonts w:cstheme="minorHAnsi"/>
                <w:bCs w:val="0"/>
                <w:sz w:val="18"/>
                <w:szCs w:val="16"/>
              </w:rPr>
            </w:pPr>
            <w:r w:rsidRPr="00F46944">
              <w:rPr>
                <w:rFonts w:cstheme="minorHAnsi"/>
                <w:color w:val="000000"/>
                <w:sz w:val="18"/>
                <w:szCs w:val="16"/>
              </w:rPr>
              <w:t>May</w:t>
            </w:r>
          </w:p>
        </w:tc>
        <w:tc>
          <w:tcPr>
            <w:tcW w:w="1455" w:type="dxa"/>
          </w:tcPr>
          <w:p w14:paraId="0A970852" w14:textId="3D397E5E" w:rsidR="004D06F1" w:rsidRPr="00F46944" w:rsidRDefault="004D06F1" w:rsidP="004D06F1">
            <w:pPr>
              <w:spacing w:before="120" w:after="120"/>
              <w:cnfStyle w:val="000000100000" w:firstRow="0" w:lastRow="0" w:firstColumn="0" w:lastColumn="0" w:oddVBand="0" w:evenVBand="0" w:oddHBand="1" w:evenHBand="0" w:firstRowFirstColumn="0" w:firstRowLastColumn="0" w:lastRowFirstColumn="0" w:lastRowLastColumn="0"/>
              <w:rPr>
                <w:rFonts w:cstheme="minorHAnsi"/>
                <w:bCs/>
                <w:sz w:val="18"/>
                <w:szCs w:val="16"/>
              </w:rPr>
            </w:pPr>
            <w:r w:rsidRPr="00F46944">
              <w:rPr>
                <w:color w:val="000000"/>
                <w:sz w:val="18"/>
                <w:szCs w:val="16"/>
              </w:rPr>
              <w:t>23.54</w:t>
            </w:r>
          </w:p>
        </w:tc>
        <w:tc>
          <w:tcPr>
            <w:tcW w:w="1455" w:type="dxa"/>
          </w:tcPr>
          <w:p w14:paraId="5F26E4E3" w14:textId="61B19E29" w:rsidR="004D06F1" w:rsidRPr="00F46944" w:rsidRDefault="004D06F1" w:rsidP="004D06F1">
            <w:pPr>
              <w:spacing w:before="120" w:after="120"/>
              <w:cnfStyle w:val="000000100000" w:firstRow="0" w:lastRow="0" w:firstColumn="0" w:lastColumn="0" w:oddVBand="0" w:evenVBand="0" w:oddHBand="1" w:evenHBand="0" w:firstRowFirstColumn="0" w:firstRowLastColumn="0" w:lastRowFirstColumn="0" w:lastRowLastColumn="0"/>
              <w:rPr>
                <w:rFonts w:cstheme="minorHAnsi"/>
                <w:bCs/>
                <w:sz w:val="18"/>
                <w:szCs w:val="16"/>
              </w:rPr>
            </w:pPr>
            <w:r w:rsidRPr="00F46944">
              <w:rPr>
                <w:color w:val="000000"/>
                <w:sz w:val="18"/>
                <w:szCs w:val="16"/>
              </w:rPr>
              <w:t>12.96</w:t>
            </w:r>
          </w:p>
        </w:tc>
        <w:tc>
          <w:tcPr>
            <w:tcW w:w="1455" w:type="dxa"/>
          </w:tcPr>
          <w:p w14:paraId="7227D405" w14:textId="760D65B4" w:rsidR="004D06F1" w:rsidRPr="00F46944" w:rsidRDefault="004D06F1" w:rsidP="004D06F1">
            <w:pPr>
              <w:spacing w:before="120" w:after="120"/>
              <w:cnfStyle w:val="000000100000" w:firstRow="0" w:lastRow="0" w:firstColumn="0" w:lastColumn="0" w:oddVBand="0" w:evenVBand="0" w:oddHBand="1" w:evenHBand="0" w:firstRowFirstColumn="0" w:firstRowLastColumn="0" w:lastRowFirstColumn="0" w:lastRowLastColumn="0"/>
              <w:rPr>
                <w:rFonts w:cstheme="minorHAnsi"/>
                <w:bCs/>
                <w:sz w:val="18"/>
                <w:szCs w:val="16"/>
              </w:rPr>
            </w:pPr>
            <w:r w:rsidRPr="00F46944">
              <w:rPr>
                <w:color w:val="000000"/>
                <w:sz w:val="18"/>
                <w:szCs w:val="16"/>
              </w:rPr>
              <w:t>18.47</w:t>
            </w:r>
          </w:p>
        </w:tc>
        <w:tc>
          <w:tcPr>
            <w:tcW w:w="1455" w:type="dxa"/>
          </w:tcPr>
          <w:p w14:paraId="7CFDB1CF" w14:textId="7B03B049" w:rsidR="004D06F1" w:rsidRPr="00F46944" w:rsidRDefault="004D06F1" w:rsidP="004D06F1">
            <w:pPr>
              <w:spacing w:before="120" w:after="120"/>
              <w:cnfStyle w:val="000000100000" w:firstRow="0" w:lastRow="0" w:firstColumn="0" w:lastColumn="0" w:oddVBand="0" w:evenVBand="0" w:oddHBand="1" w:evenHBand="0" w:firstRowFirstColumn="0" w:firstRowLastColumn="0" w:lastRowFirstColumn="0" w:lastRowLastColumn="0"/>
              <w:rPr>
                <w:rFonts w:cstheme="minorHAnsi"/>
                <w:bCs/>
                <w:sz w:val="18"/>
                <w:szCs w:val="16"/>
              </w:rPr>
            </w:pPr>
            <w:r w:rsidRPr="00F46944">
              <w:rPr>
                <w:color w:val="000000"/>
                <w:sz w:val="18"/>
                <w:szCs w:val="16"/>
              </w:rPr>
              <w:t>-44.9</w:t>
            </w:r>
          </w:p>
        </w:tc>
        <w:tc>
          <w:tcPr>
            <w:tcW w:w="1472" w:type="dxa"/>
          </w:tcPr>
          <w:p w14:paraId="2B9B44EA" w14:textId="578ED123" w:rsidR="004D06F1" w:rsidRPr="00F46944" w:rsidRDefault="004D06F1" w:rsidP="004D06F1">
            <w:pPr>
              <w:spacing w:before="120" w:after="120"/>
              <w:cnfStyle w:val="000000100000" w:firstRow="0" w:lastRow="0" w:firstColumn="0" w:lastColumn="0" w:oddVBand="0" w:evenVBand="0" w:oddHBand="1" w:evenHBand="0" w:firstRowFirstColumn="0" w:firstRowLastColumn="0" w:lastRowFirstColumn="0" w:lastRowLastColumn="0"/>
              <w:rPr>
                <w:rFonts w:cstheme="minorHAnsi"/>
                <w:bCs/>
                <w:sz w:val="18"/>
                <w:szCs w:val="16"/>
              </w:rPr>
            </w:pPr>
            <w:r w:rsidRPr="00F46944">
              <w:rPr>
                <w:color w:val="000000"/>
                <w:sz w:val="18"/>
                <w:szCs w:val="16"/>
              </w:rPr>
              <w:t>42.5</w:t>
            </w:r>
          </w:p>
        </w:tc>
      </w:tr>
      <w:tr w:rsidR="004D06F1" w:rsidRPr="00F46944" w14:paraId="419A1E54" w14:textId="77777777" w:rsidTr="00A92E12">
        <w:tc>
          <w:tcPr>
            <w:cnfStyle w:val="001000000000" w:firstRow="0" w:lastRow="0" w:firstColumn="1" w:lastColumn="0" w:oddVBand="0" w:evenVBand="0" w:oddHBand="0" w:evenHBand="0" w:firstRowFirstColumn="0" w:firstRowLastColumn="0" w:lastRowFirstColumn="0" w:lastRowLastColumn="0"/>
            <w:tcW w:w="1464" w:type="dxa"/>
          </w:tcPr>
          <w:p w14:paraId="32F7B64C" w14:textId="77777777" w:rsidR="004D06F1" w:rsidRPr="00F46944" w:rsidRDefault="004D06F1" w:rsidP="004D06F1">
            <w:pPr>
              <w:spacing w:before="120" w:after="120"/>
              <w:rPr>
                <w:rFonts w:cstheme="minorHAnsi"/>
                <w:bCs w:val="0"/>
                <w:sz w:val="18"/>
                <w:szCs w:val="16"/>
              </w:rPr>
            </w:pPr>
            <w:r w:rsidRPr="00F46944">
              <w:rPr>
                <w:rFonts w:cstheme="minorHAnsi"/>
                <w:color w:val="000000"/>
                <w:sz w:val="18"/>
                <w:szCs w:val="16"/>
              </w:rPr>
              <w:t>June</w:t>
            </w:r>
          </w:p>
        </w:tc>
        <w:tc>
          <w:tcPr>
            <w:tcW w:w="1455" w:type="dxa"/>
          </w:tcPr>
          <w:p w14:paraId="64195527" w14:textId="1CFA05DB" w:rsidR="004D06F1" w:rsidRPr="00F46944" w:rsidRDefault="004D06F1" w:rsidP="004D06F1">
            <w:pPr>
              <w:spacing w:before="120" w:after="120"/>
              <w:cnfStyle w:val="000000000000" w:firstRow="0" w:lastRow="0" w:firstColumn="0" w:lastColumn="0" w:oddVBand="0" w:evenVBand="0" w:oddHBand="0" w:evenHBand="0" w:firstRowFirstColumn="0" w:firstRowLastColumn="0" w:lastRowFirstColumn="0" w:lastRowLastColumn="0"/>
              <w:rPr>
                <w:rFonts w:cstheme="minorHAnsi"/>
                <w:bCs/>
                <w:sz w:val="18"/>
                <w:szCs w:val="16"/>
              </w:rPr>
            </w:pPr>
            <w:r w:rsidRPr="00F46944">
              <w:rPr>
                <w:color w:val="000000"/>
                <w:sz w:val="18"/>
                <w:szCs w:val="16"/>
              </w:rPr>
              <w:t>24.81</w:t>
            </w:r>
          </w:p>
        </w:tc>
        <w:tc>
          <w:tcPr>
            <w:tcW w:w="1455" w:type="dxa"/>
          </w:tcPr>
          <w:p w14:paraId="3AE4A750" w14:textId="3EBF69BE" w:rsidR="004D06F1" w:rsidRPr="00F46944" w:rsidRDefault="004D06F1" w:rsidP="004D06F1">
            <w:pPr>
              <w:spacing w:before="120" w:after="120"/>
              <w:cnfStyle w:val="000000000000" w:firstRow="0" w:lastRow="0" w:firstColumn="0" w:lastColumn="0" w:oddVBand="0" w:evenVBand="0" w:oddHBand="0" w:evenHBand="0" w:firstRowFirstColumn="0" w:firstRowLastColumn="0" w:lastRowFirstColumn="0" w:lastRowLastColumn="0"/>
              <w:rPr>
                <w:rFonts w:cstheme="minorHAnsi"/>
                <w:bCs/>
                <w:sz w:val="18"/>
                <w:szCs w:val="16"/>
              </w:rPr>
            </w:pPr>
            <w:r w:rsidRPr="00F46944">
              <w:rPr>
                <w:color w:val="000000"/>
                <w:sz w:val="18"/>
                <w:szCs w:val="16"/>
              </w:rPr>
              <w:t>14.75</w:t>
            </w:r>
          </w:p>
        </w:tc>
        <w:tc>
          <w:tcPr>
            <w:tcW w:w="1455" w:type="dxa"/>
          </w:tcPr>
          <w:p w14:paraId="70F38259" w14:textId="504866EE" w:rsidR="004D06F1" w:rsidRPr="00F46944" w:rsidRDefault="004D06F1" w:rsidP="004D06F1">
            <w:pPr>
              <w:spacing w:before="120" w:after="120"/>
              <w:cnfStyle w:val="000000000000" w:firstRow="0" w:lastRow="0" w:firstColumn="0" w:lastColumn="0" w:oddVBand="0" w:evenVBand="0" w:oddHBand="0" w:evenHBand="0" w:firstRowFirstColumn="0" w:firstRowLastColumn="0" w:lastRowFirstColumn="0" w:lastRowLastColumn="0"/>
              <w:rPr>
                <w:rFonts w:cstheme="minorHAnsi"/>
                <w:bCs/>
                <w:sz w:val="18"/>
                <w:szCs w:val="16"/>
              </w:rPr>
            </w:pPr>
            <w:r w:rsidRPr="00F46944">
              <w:rPr>
                <w:color w:val="000000"/>
                <w:sz w:val="18"/>
                <w:szCs w:val="16"/>
              </w:rPr>
              <w:t>19.92</w:t>
            </w:r>
          </w:p>
        </w:tc>
        <w:tc>
          <w:tcPr>
            <w:tcW w:w="1455" w:type="dxa"/>
          </w:tcPr>
          <w:p w14:paraId="48DC8BD0" w14:textId="04A18830" w:rsidR="004D06F1" w:rsidRPr="00F46944" w:rsidRDefault="004D06F1" w:rsidP="004D06F1">
            <w:pPr>
              <w:spacing w:before="120" w:after="120"/>
              <w:cnfStyle w:val="000000000000" w:firstRow="0" w:lastRow="0" w:firstColumn="0" w:lastColumn="0" w:oddVBand="0" w:evenVBand="0" w:oddHBand="0" w:evenHBand="0" w:firstRowFirstColumn="0" w:firstRowLastColumn="0" w:lastRowFirstColumn="0" w:lastRowLastColumn="0"/>
              <w:rPr>
                <w:rFonts w:cstheme="minorHAnsi"/>
                <w:bCs/>
                <w:sz w:val="18"/>
                <w:szCs w:val="16"/>
              </w:rPr>
            </w:pPr>
            <w:r w:rsidRPr="00F46944">
              <w:rPr>
                <w:color w:val="000000"/>
                <w:sz w:val="18"/>
                <w:szCs w:val="16"/>
              </w:rPr>
              <w:t>-40.5</w:t>
            </w:r>
          </w:p>
        </w:tc>
        <w:tc>
          <w:tcPr>
            <w:tcW w:w="1472" w:type="dxa"/>
          </w:tcPr>
          <w:p w14:paraId="4FEC9197" w14:textId="43F2571B" w:rsidR="004D06F1" w:rsidRPr="00F46944" w:rsidRDefault="004D06F1" w:rsidP="004D06F1">
            <w:pPr>
              <w:spacing w:before="120" w:after="120"/>
              <w:cnfStyle w:val="000000000000" w:firstRow="0" w:lastRow="0" w:firstColumn="0" w:lastColumn="0" w:oddVBand="0" w:evenVBand="0" w:oddHBand="0" w:evenHBand="0" w:firstRowFirstColumn="0" w:firstRowLastColumn="0" w:lastRowFirstColumn="0" w:lastRowLastColumn="0"/>
              <w:rPr>
                <w:rFonts w:cstheme="minorHAnsi"/>
                <w:bCs/>
                <w:sz w:val="18"/>
                <w:szCs w:val="16"/>
              </w:rPr>
            </w:pPr>
            <w:r w:rsidRPr="00F46944">
              <w:rPr>
                <w:color w:val="000000"/>
                <w:sz w:val="18"/>
                <w:szCs w:val="16"/>
              </w:rPr>
              <w:t>35.1</w:t>
            </w:r>
          </w:p>
        </w:tc>
      </w:tr>
      <w:tr w:rsidR="004D06F1" w:rsidRPr="00F46944" w14:paraId="03EB7994" w14:textId="77777777" w:rsidTr="00A92E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 w:type="dxa"/>
          </w:tcPr>
          <w:p w14:paraId="508A5980" w14:textId="77777777" w:rsidR="004D06F1" w:rsidRPr="00F46944" w:rsidRDefault="004D06F1" w:rsidP="004D06F1">
            <w:pPr>
              <w:spacing w:before="120" w:after="120"/>
              <w:rPr>
                <w:rFonts w:cstheme="minorHAnsi"/>
                <w:bCs w:val="0"/>
                <w:sz w:val="18"/>
                <w:szCs w:val="16"/>
              </w:rPr>
            </w:pPr>
            <w:r w:rsidRPr="00F46944">
              <w:rPr>
                <w:rFonts w:cstheme="minorHAnsi"/>
                <w:color w:val="000000"/>
                <w:sz w:val="18"/>
                <w:szCs w:val="16"/>
              </w:rPr>
              <w:t>July</w:t>
            </w:r>
          </w:p>
        </w:tc>
        <w:tc>
          <w:tcPr>
            <w:tcW w:w="1455" w:type="dxa"/>
          </w:tcPr>
          <w:p w14:paraId="66986D4C" w14:textId="43046D17" w:rsidR="004D06F1" w:rsidRPr="00F46944" w:rsidRDefault="004D06F1" w:rsidP="004D06F1">
            <w:pPr>
              <w:spacing w:before="120" w:after="120"/>
              <w:cnfStyle w:val="000000100000" w:firstRow="0" w:lastRow="0" w:firstColumn="0" w:lastColumn="0" w:oddVBand="0" w:evenVBand="0" w:oddHBand="1" w:evenHBand="0" w:firstRowFirstColumn="0" w:firstRowLastColumn="0" w:lastRowFirstColumn="0" w:lastRowLastColumn="0"/>
              <w:rPr>
                <w:rFonts w:cstheme="minorHAnsi"/>
                <w:bCs/>
                <w:sz w:val="18"/>
                <w:szCs w:val="16"/>
              </w:rPr>
            </w:pPr>
            <w:r w:rsidRPr="00F46944">
              <w:rPr>
                <w:color w:val="000000"/>
                <w:sz w:val="18"/>
                <w:szCs w:val="16"/>
              </w:rPr>
              <w:t>26.39</w:t>
            </w:r>
          </w:p>
        </w:tc>
        <w:tc>
          <w:tcPr>
            <w:tcW w:w="1455" w:type="dxa"/>
          </w:tcPr>
          <w:p w14:paraId="00A5E8BC" w14:textId="1BD9F3BC" w:rsidR="004D06F1" w:rsidRPr="00F46944" w:rsidRDefault="004D06F1" w:rsidP="004D06F1">
            <w:pPr>
              <w:spacing w:before="120" w:after="120"/>
              <w:cnfStyle w:val="000000100000" w:firstRow="0" w:lastRow="0" w:firstColumn="0" w:lastColumn="0" w:oddVBand="0" w:evenVBand="0" w:oddHBand="1" w:evenHBand="0" w:firstRowFirstColumn="0" w:firstRowLastColumn="0" w:lastRowFirstColumn="0" w:lastRowLastColumn="0"/>
              <w:rPr>
                <w:rFonts w:cstheme="minorHAnsi"/>
                <w:bCs/>
                <w:sz w:val="18"/>
                <w:szCs w:val="16"/>
              </w:rPr>
            </w:pPr>
            <w:r w:rsidRPr="00F46944">
              <w:rPr>
                <w:color w:val="000000"/>
                <w:sz w:val="18"/>
                <w:szCs w:val="16"/>
              </w:rPr>
              <w:t>15.43</w:t>
            </w:r>
          </w:p>
        </w:tc>
        <w:tc>
          <w:tcPr>
            <w:tcW w:w="1455" w:type="dxa"/>
          </w:tcPr>
          <w:p w14:paraId="77DE2BE4" w14:textId="136827C0" w:rsidR="004D06F1" w:rsidRPr="00F46944" w:rsidRDefault="004D06F1" w:rsidP="004D06F1">
            <w:pPr>
              <w:spacing w:before="120" w:after="120"/>
              <w:cnfStyle w:val="000000100000" w:firstRow="0" w:lastRow="0" w:firstColumn="0" w:lastColumn="0" w:oddVBand="0" w:evenVBand="0" w:oddHBand="1" w:evenHBand="0" w:firstRowFirstColumn="0" w:firstRowLastColumn="0" w:lastRowFirstColumn="0" w:lastRowLastColumn="0"/>
              <w:rPr>
                <w:rFonts w:cstheme="minorHAnsi"/>
                <w:bCs/>
                <w:sz w:val="18"/>
                <w:szCs w:val="16"/>
              </w:rPr>
            </w:pPr>
            <w:r w:rsidRPr="00F46944">
              <w:rPr>
                <w:color w:val="000000"/>
                <w:sz w:val="18"/>
                <w:szCs w:val="16"/>
              </w:rPr>
              <w:t>18.85</w:t>
            </w:r>
          </w:p>
        </w:tc>
        <w:tc>
          <w:tcPr>
            <w:tcW w:w="1455" w:type="dxa"/>
          </w:tcPr>
          <w:p w14:paraId="2146C17E" w14:textId="1DC9A9EC" w:rsidR="004D06F1" w:rsidRPr="00F46944" w:rsidRDefault="004D06F1" w:rsidP="004D06F1">
            <w:pPr>
              <w:spacing w:before="120" w:after="120"/>
              <w:cnfStyle w:val="000000100000" w:firstRow="0" w:lastRow="0" w:firstColumn="0" w:lastColumn="0" w:oddVBand="0" w:evenVBand="0" w:oddHBand="1" w:evenHBand="0" w:firstRowFirstColumn="0" w:firstRowLastColumn="0" w:lastRowFirstColumn="0" w:lastRowLastColumn="0"/>
              <w:rPr>
                <w:rFonts w:cstheme="minorHAnsi"/>
                <w:bCs/>
                <w:sz w:val="18"/>
                <w:szCs w:val="16"/>
              </w:rPr>
            </w:pPr>
            <w:r w:rsidRPr="00F46944">
              <w:rPr>
                <w:color w:val="000000"/>
                <w:sz w:val="18"/>
                <w:szCs w:val="16"/>
              </w:rPr>
              <w:t>-41.5</w:t>
            </w:r>
          </w:p>
        </w:tc>
        <w:tc>
          <w:tcPr>
            <w:tcW w:w="1472" w:type="dxa"/>
          </w:tcPr>
          <w:p w14:paraId="3279C0F0" w14:textId="5C888CE9" w:rsidR="004D06F1" w:rsidRPr="00F46944" w:rsidRDefault="004D06F1" w:rsidP="004D06F1">
            <w:pPr>
              <w:spacing w:before="120" w:after="120"/>
              <w:cnfStyle w:val="000000100000" w:firstRow="0" w:lastRow="0" w:firstColumn="0" w:lastColumn="0" w:oddVBand="0" w:evenVBand="0" w:oddHBand="1" w:evenHBand="0" w:firstRowFirstColumn="0" w:firstRowLastColumn="0" w:lastRowFirstColumn="0" w:lastRowLastColumn="0"/>
              <w:rPr>
                <w:rFonts w:cstheme="minorHAnsi"/>
                <w:bCs/>
                <w:sz w:val="18"/>
                <w:szCs w:val="16"/>
              </w:rPr>
            </w:pPr>
            <w:r w:rsidRPr="00F46944">
              <w:rPr>
                <w:color w:val="000000"/>
                <w:sz w:val="18"/>
                <w:szCs w:val="16"/>
              </w:rPr>
              <w:t>22.2</w:t>
            </w:r>
          </w:p>
        </w:tc>
      </w:tr>
      <w:tr w:rsidR="004D06F1" w:rsidRPr="00F46944" w14:paraId="3A59CF0D" w14:textId="77777777" w:rsidTr="00A92E12">
        <w:tc>
          <w:tcPr>
            <w:cnfStyle w:val="001000000000" w:firstRow="0" w:lastRow="0" w:firstColumn="1" w:lastColumn="0" w:oddVBand="0" w:evenVBand="0" w:oddHBand="0" w:evenHBand="0" w:firstRowFirstColumn="0" w:firstRowLastColumn="0" w:lastRowFirstColumn="0" w:lastRowLastColumn="0"/>
            <w:tcW w:w="1464" w:type="dxa"/>
          </w:tcPr>
          <w:p w14:paraId="7BA3D3B1" w14:textId="77777777" w:rsidR="004D06F1" w:rsidRPr="00F46944" w:rsidRDefault="004D06F1" w:rsidP="004D06F1">
            <w:pPr>
              <w:spacing w:before="120" w:after="120"/>
              <w:rPr>
                <w:rFonts w:cstheme="minorHAnsi"/>
                <w:bCs w:val="0"/>
                <w:sz w:val="18"/>
                <w:szCs w:val="16"/>
              </w:rPr>
            </w:pPr>
            <w:r w:rsidRPr="00F46944">
              <w:rPr>
                <w:rFonts w:cstheme="minorHAnsi"/>
                <w:color w:val="000000"/>
                <w:sz w:val="18"/>
                <w:szCs w:val="16"/>
              </w:rPr>
              <w:t>August</w:t>
            </w:r>
          </w:p>
        </w:tc>
        <w:tc>
          <w:tcPr>
            <w:tcW w:w="1455" w:type="dxa"/>
          </w:tcPr>
          <w:p w14:paraId="56FD1E97" w14:textId="7D92C01A" w:rsidR="004D06F1" w:rsidRPr="00F46944" w:rsidRDefault="004D06F1" w:rsidP="004D06F1">
            <w:pPr>
              <w:spacing w:before="120" w:after="120"/>
              <w:cnfStyle w:val="000000000000" w:firstRow="0" w:lastRow="0" w:firstColumn="0" w:lastColumn="0" w:oddVBand="0" w:evenVBand="0" w:oddHBand="0" w:evenHBand="0" w:firstRowFirstColumn="0" w:firstRowLastColumn="0" w:lastRowFirstColumn="0" w:lastRowLastColumn="0"/>
              <w:rPr>
                <w:rFonts w:cstheme="minorHAnsi"/>
                <w:bCs/>
                <w:sz w:val="18"/>
                <w:szCs w:val="16"/>
              </w:rPr>
            </w:pPr>
            <w:r w:rsidRPr="00F46944">
              <w:rPr>
                <w:color w:val="000000"/>
                <w:sz w:val="18"/>
                <w:szCs w:val="16"/>
              </w:rPr>
              <w:t>23.15</w:t>
            </w:r>
          </w:p>
        </w:tc>
        <w:tc>
          <w:tcPr>
            <w:tcW w:w="1455" w:type="dxa"/>
          </w:tcPr>
          <w:p w14:paraId="478B7945" w14:textId="01E09026" w:rsidR="004D06F1" w:rsidRPr="00F46944" w:rsidRDefault="004D06F1" w:rsidP="004D06F1">
            <w:pPr>
              <w:spacing w:before="120" w:after="120"/>
              <w:cnfStyle w:val="000000000000" w:firstRow="0" w:lastRow="0" w:firstColumn="0" w:lastColumn="0" w:oddVBand="0" w:evenVBand="0" w:oddHBand="0" w:evenHBand="0" w:firstRowFirstColumn="0" w:firstRowLastColumn="0" w:lastRowFirstColumn="0" w:lastRowLastColumn="0"/>
              <w:rPr>
                <w:rFonts w:cstheme="minorHAnsi"/>
                <w:bCs/>
                <w:sz w:val="18"/>
                <w:szCs w:val="16"/>
              </w:rPr>
            </w:pPr>
            <w:r w:rsidRPr="00F46944">
              <w:rPr>
                <w:color w:val="000000"/>
                <w:sz w:val="18"/>
                <w:szCs w:val="16"/>
              </w:rPr>
              <w:t>14.82</w:t>
            </w:r>
          </w:p>
        </w:tc>
        <w:tc>
          <w:tcPr>
            <w:tcW w:w="1455" w:type="dxa"/>
          </w:tcPr>
          <w:p w14:paraId="4CB833EB" w14:textId="1F06A818" w:rsidR="004D06F1" w:rsidRPr="00F46944" w:rsidRDefault="004D06F1" w:rsidP="004D06F1">
            <w:pPr>
              <w:spacing w:before="120" w:after="120"/>
              <w:cnfStyle w:val="000000000000" w:firstRow="0" w:lastRow="0" w:firstColumn="0" w:lastColumn="0" w:oddVBand="0" w:evenVBand="0" w:oddHBand="0" w:evenHBand="0" w:firstRowFirstColumn="0" w:firstRowLastColumn="0" w:lastRowFirstColumn="0" w:lastRowLastColumn="0"/>
              <w:rPr>
                <w:rFonts w:cstheme="minorHAnsi"/>
                <w:bCs/>
                <w:sz w:val="18"/>
                <w:szCs w:val="16"/>
              </w:rPr>
            </w:pPr>
            <w:r w:rsidRPr="00F46944">
              <w:rPr>
                <w:color w:val="000000"/>
                <w:sz w:val="18"/>
                <w:szCs w:val="16"/>
              </w:rPr>
              <w:t>18.27</w:t>
            </w:r>
          </w:p>
        </w:tc>
        <w:tc>
          <w:tcPr>
            <w:tcW w:w="1455" w:type="dxa"/>
          </w:tcPr>
          <w:p w14:paraId="51AC8EC5" w14:textId="5D6B7397" w:rsidR="004D06F1" w:rsidRPr="00F46944" w:rsidRDefault="004D06F1" w:rsidP="004D06F1">
            <w:pPr>
              <w:spacing w:before="120" w:after="120"/>
              <w:cnfStyle w:val="000000000000" w:firstRow="0" w:lastRow="0" w:firstColumn="0" w:lastColumn="0" w:oddVBand="0" w:evenVBand="0" w:oddHBand="0" w:evenHBand="0" w:firstRowFirstColumn="0" w:firstRowLastColumn="0" w:lastRowFirstColumn="0" w:lastRowLastColumn="0"/>
              <w:rPr>
                <w:rFonts w:cstheme="minorHAnsi"/>
                <w:bCs/>
                <w:sz w:val="18"/>
                <w:szCs w:val="16"/>
              </w:rPr>
            </w:pPr>
            <w:r w:rsidRPr="00F46944">
              <w:rPr>
                <w:color w:val="000000"/>
                <w:sz w:val="18"/>
                <w:szCs w:val="16"/>
              </w:rPr>
              <w:t>-43.3</w:t>
            </w:r>
          </w:p>
        </w:tc>
        <w:tc>
          <w:tcPr>
            <w:tcW w:w="1472" w:type="dxa"/>
          </w:tcPr>
          <w:p w14:paraId="63EDF195" w14:textId="7E3E54A6" w:rsidR="004D06F1" w:rsidRPr="00F46944" w:rsidRDefault="004D06F1" w:rsidP="004D06F1">
            <w:pPr>
              <w:spacing w:before="120" w:after="120"/>
              <w:cnfStyle w:val="000000000000" w:firstRow="0" w:lastRow="0" w:firstColumn="0" w:lastColumn="0" w:oddVBand="0" w:evenVBand="0" w:oddHBand="0" w:evenHBand="0" w:firstRowFirstColumn="0" w:firstRowLastColumn="0" w:lastRowFirstColumn="0" w:lastRowLastColumn="0"/>
              <w:rPr>
                <w:rFonts w:cstheme="minorHAnsi"/>
                <w:bCs/>
                <w:sz w:val="18"/>
                <w:szCs w:val="16"/>
              </w:rPr>
            </w:pPr>
            <w:r w:rsidRPr="00F46944">
              <w:rPr>
                <w:color w:val="000000"/>
                <w:sz w:val="18"/>
                <w:szCs w:val="16"/>
              </w:rPr>
              <w:t>23.3</w:t>
            </w:r>
          </w:p>
        </w:tc>
      </w:tr>
      <w:tr w:rsidR="004D06F1" w:rsidRPr="00F46944" w14:paraId="1C681325" w14:textId="77777777" w:rsidTr="00A92E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 w:type="dxa"/>
          </w:tcPr>
          <w:p w14:paraId="2268EB1C" w14:textId="77777777" w:rsidR="004D06F1" w:rsidRPr="00F46944" w:rsidRDefault="004D06F1" w:rsidP="004D06F1">
            <w:pPr>
              <w:spacing w:before="120" w:after="120"/>
              <w:rPr>
                <w:rFonts w:cstheme="minorHAnsi"/>
                <w:bCs w:val="0"/>
                <w:sz w:val="18"/>
                <w:szCs w:val="16"/>
              </w:rPr>
            </w:pPr>
            <w:r w:rsidRPr="00F46944">
              <w:rPr>
                <w:rFonts w:cstheme="minorHAnsi"/>
                <w:color w:val="000000"/>
                <w:sz w:val="18"/>
                <w:szCs w:val="16"/>
              </w:rPr>
              <w:t>September</w:t>
            </w:r>
          </w:p>
        </w:tc>
        <w:tc>
          <w:tcPr>
            <w:tcW w:w="1455" w:type="dxa"/>
          </w:tcPr>
          <w:p w14:paraId="2E104C4B" w14:textId="38425A9E" w:rsidR="004D06F1" w:rsidRPr="00F46944" w:rsidRDefault="004D06F1" w:rsidP="004D06F1">
            <w:pPr>
              <w:spacing w:before="120" w:after="120"/>
              <w:cnfStyle w:val="000000100000" w:firstRow="0" w:lastRow="0" w:firstColumn="0" w:lastColumn="0" w:oddVBand="0" w:evenVBand="0" w:oddHBand="1" w:evenHBand="0" w:firstRowFirstColumn="0" w:firstRowLastColumn="0" w:lastRowFirstColumn="0" w:lastRowLastColumn="0"/>
              <w:rPr>
                <w:rFonts w:cstheme="minorHAnsi"/>
                <w:bCs/>
                <w:sz w:val="18"/>
                <w:szCs w:val="16"/>
              </w:rPr>
            </w:pPr>
            <w:r w:rsidRPr="00F46944">
              <w:rPr>
                <w:color w:val="000000"/>
                <w:sz w:val="18"/>
                <w:szCs w:val="16"/>
              </w:rPr>
              <w:t>25.17</w:t>
            </w:r>
          </w:p>
        </w:tc>
        <w:tc>
          <w:tcPr>
            <w:tcW w:w="1455" w:type="dxa"/>
          </w:tcPr>
          <w:p w14:paraId="424B98C9" w14:textId="649B320B" w:rsidR="004D06F1" w:rsidRPr="00F46944" w:rsidRDefault="004D06F1" w:rsidP="004D06F1">
            <w:pPr>
              <w:spacing w:before="120" w:after="120"/>
              <w:cnfStyle w:val="000000100000" w:firstRow="0" w:lastRow="0" w:firstColumn="0" w:lastColumn="0" w:oddVBand="0" w:evenVBand="0" w:oddHBand="1" w:evenHBand="0" w:firstRowFirstColumn="0" w:firstRowLastColumn="0" w:lastRowFirstColumn="0" w:lastRowLastColumn="0"/>
              <w:rPr>
                <w:rFonts w:cstheme="minorHAnsi"/>
                <w:bCs/>
                <w:sz w:val="18"/>
                <w:szCs w:val="16"/>
              </w:rPr>
            </w:pPr>
            <w:r w:rsidRPr="00F46944">
              <w:rPr>
                <w:color w:val="000000"/>
                <w:sz w:val="18"/>
                <w:szCs w:val="16"/>
              </w:rPr>
              <w:t>14.77</w:t>
            </w:r>
          </w:p>
        </w:tc>
        <w:tc>
          <w:tcPr>
            <w:tcW w:w="1455" w:type="dxa"/>
          </w:tcPr>
          <w:p w14:paraId="6931320E" w14:textId="30DBB740" w:rsidR="004D06F1" w:rsidRPr="00F46944" w:rsidRDefault="004D06F1" w:rsidP="004D06F1">
            <w:pPr>
              <w:spacing w:before="120" w:after="120"/>
              <w:cnfStyle w:val="000000100000" w:firstRow="0" w:lastRow="0" w:firstColumn="0" w:lastColumn="0" w:oddVBand="0" w:evenVBand="0" w:oddHBand="1" w:evenHBand="0" w:firstRowFirstColumn="0" w:firstRowLastColumn="0" w:lastRowFirstColumn="0" w:lastRowLastColumn="0"/>
              <w:rPr>
                <w:rFonts w:cstheme="minorHAnsi"/>
                <w:bCs/>
                <w:sz w:val="18"/>
                <w:szCs w:val="16"/>
              </w:rPr>
            </w:pPr>
            <w:r w:rsidRPr="00F46944">
              <w:rPr>
                <w:color w:val="000000"/>
                <w:sz w:val="18"/>
                <w:szCs w:val="16"/>
              </w:rPr>
              <w:t>17.31</w:t>
            </w:r>
          </w:p>
        </w:tc>
        <w:tc>
          <w:tcPr>
            <w:tcW w:w="1455" w:type="dxa"/>
          </w:tcPr>
          <w:p w14:paraId="1F5A3787" w14:textId="7811D143" w:rsidR="004D06F1" w:rsidRPr="00F46944" w:rsidRDefault="004D06F1" w:rsidP="004D06F1">
            <w:pPr>
              <w:spacing w:before="120" w:after="120"/>
              <w:cnfStyle w:val="000000100000" w:firstRow="0" w:lastRow="0" w:firstColumn="0" w:lastColumn="0" w:oddVBand="0" w:evenVBand="0" w:oddHBand="1" w:evenHBand="0" w:firstRowFirstColumn="0" w:firstRowLastColumn="0" w:lastRowFirstColumn="0" w:lastRowLastColumn="0"/>
              <w:rPr>
                <w:rFonts w:cstheme="minorHAnsi"/>
                <w:bCs/>
                <w:sz w:val="18"/>
                <w:szCs w:val="16"/>
              </w:rPr>
            </w:pPr>
            <w:r w:rsidRPr="00F46944">
              <w:rPr>
                <w:color w:val="000000"/>
                <w:sz w:val="18"/>
                <w:szCs w:val="16"/>
              </w:rPr>
              <w:t>-41.3</w:t>
            </w:r>
          </w:p>
        </w:tc>
        <w:tc>
          <w:tcPr>
            <w:tcW w:w="1472" w:type="dxa"/>
          </w:tcPr>
          <w:p w14:paraId="6310F3DB" w14:textId="5E95EE53" w:rsidR="004D06F1" w:rsidRPr="00F46944" w:rsidRDefault="004D06F1" w:rsidP="004D06F1">
            <w:pPr>
              <w:spacing w:before="120" w:after="120"/>
              <w:cnfStyle w:val="000000100000" w:firstRow="0" w:lastRow="0" w:firstColumn="0" w:lastColumn="0" w:oddVBand="0" w:evenVBand="0" w:oddHBand="1" w:evenHBand="0" w:firstRowFirstColumn="0" w:firstRowLastColumn="0" w:lastRowFirstColumn="0" w:lastRowLastColumn="0"/>
              <w:rPr>
                <w:rFonts w:cstheme="minorHAnsi"/>
                <w:bCs/>
                <w:sz w:val="18"/>
                <w:szCs w:val="16"/>
              </w:rPr>
            </w:pPr>
            <w:r w:rsidRPr="00F46944">
              <w:rPr>
                <w:color w:val="000000"/>
                <w:sz w:val="18"/>
                <w:szCs w:val="16"/>
              </w:rPr>
              <w:t>17.2</w:t>
            </w:r>
          </w:p>
        </w:tc>
      </w:tr>
      <w:tr w:rsidR="004D06F1" w:rsidRPr="00F46944" w14:paraId="7053095F" w14:textId="77777777" w:rsidTr="00A92E12">
        <w:tc>
          <w:tcPr>
            <w:cnfStyle w:val="001000000000" w:firstRow="0" w:lastRow="0" w:firstColumn="1" w:lastColumn="0" w:oddVBand="0" w:evenVBand="0" w:oddHBand="0" w:evenHBand="0" w:firstRowFirstColumn="0" w:firstRowLastColumn="0" w:lastRowFirstColumn="0" w:lastRowLastColumn="0"/>
            <w:tcW w:w="1464" w:type="dxa"/>
          </w:tcPr>
          <w:p w14:paraId="5FB32C36" w14:textId="77777777" w:rsidR="004D06F1" w:rsidRPr="00F46944" w:rsidRDefault="004D06F1" w:rsidP="004D06F1">
            <w:pPr>
              <w:spacing w:before="120" w:after="120"/>
              <w:rPr>
                <w:rFonts w:cstheme="minorHAnsi"/>
                <w:bCs w:val="0"/>
                <w:sz w:val="18"/>
                <w:szCs w:val="16"/>
              </w:rPr>
            </w:pPr>
            <w:r w:rsidRPr="00F46944">
              <w:rPr>
                <w:rFonts w:cstheme="minorHAnsi"/>
                <w:color w:val="000000"/>
                <w:sz w:val="18"/>
                <w:szCs w:val="16"/>
              </w:rPr>
              <w:t>October</w:t>
            </w:r>
          </w:p>
        </w:tc>
        <w:tc>
          <w:tcPr>
            <w:tcW w:w="1455" w:type="dxa"/>
          </w:tcPr>
          <w:p w14:paraId="77B3EF2D" w14:textId="38E4D113" w:rsidR="004D06F1" w:rsidRPr="00F46944" w:rsidRDefault="004D06F1" w:rsidP="004D06F1">
            <w:pPr>
              <w:spacing w:before="120" w:after="120"/>
              <w:cnfStyle w:val="000000000000" w:firstRow="0" w:lastRow="0" w:firstColumn="0" w:lastColumn="0" w:oddVBand="0" w:evenVBand="0" w:oddHBand="0" w:evenHBand="0" w:firstRowFirstColumn="0" w:firstRowLastColumn="0" w:lastRowFirstColumn="0" w:lastRowLastColumn="0"/>
              <w:rPr>
                <w:rFonts w:cstheme="minorHAnsi"/>
                <w:bCs/>
                <w:sz w:val="18"/>
                <w:szCs w:val="16"/>
              </w:rPr>
            </w:pPr>
            <w:r w:rsidRPr="00F46944">
              <w:rPr>
                <w:color w:val="000000"/>
                <w:sz w:val="18"/>
                <w:szCs w:val="16"/>
              </w:rPr>
              <w:t>23.33</w:t>
            </w:r>
          </w:p>
        </w:tc>
        <w:tc>
          <w:tcPr>
            <w:tcW w:w="1455" w:type="dxa"/>
          </w:tcPr>
          <w:p w14:paraId="4CEB9033" w14:textId="3D35A776" w:rsidR="004D06F1" w:rsidRPr="00F46944" w:rsidRDefault="004D06F1" w:rsidP="004D06F1">
            <w:pPr>
              <w:spacing w:before="120" w:after="120"/>
              <w:cnfStyle w:val="000000000000" w:firstRow="0" w:lastRow="0" w:firstColumn="0" w:lastColumn="0" w:oddVBand="0" w:evenVBand="0" w:oddHBand="0" w:evenHBand="0" w:firstRowFirstColumn="0" w:firstRowLastColumn="0" w:lastRowFirstColumn="0" w:lastRowLastColumn="0"/>
              <w:rPr>
                <w:rFonts w:cstheme="minorHAnsi"/>
                <w:bCs/>
                <w:sz w:val="18"/>
                <w:szCs w:val="16"/>
              </w:rPr>
            </w:pPr>
            <w:r w:rsidRPr="00F46944">
              <w:rPr>
                <w:color w:val="000000"/>
                <w:sz w:val="18"/>
                <w:szCs w:val="16"/>
              </w:rPr>
              <w:t>14.31</w:t>
            </w:r>
          </w:p>
        </w:tc>
        <w:tc>
          <w:tcPr>
            <w:tcW w:w="1455" w:type="dxa"/>
          </w:tcPr>
          <w:p w14:paraId="0407E24D" w14:textId="4E662060" w:rsidR="004D06F1" w:rsidRPr="00F46944" w:rsidRDefault="004D06F1" w:rsidP="004D06F1">
            <w:pPr>
              <w:spacing w:before="120" w:after="120"/>
              <w:cnfStyle w:val="000000000000" w:firstRow="0" w:lastRow="0" w:firstColumn="0" w:lastColumn="0" w:oddVBand="0" w:evenVBand="0" w:oddHBand="0" w:evenHBand="0" w:firstRowFirstColumn="0" w:firstRowLastColumn="0" w:lastRowFirstColumn="0" w:lastRowLastColumn="0"/>
              <w:rPr>
                <w:rFonts w:cstheme="minorHAnsi"/>
                <w:bCs/>
                <w:sz w:val="18"/>
                <w:szCs w:val="16"/>
              </w:rPr>
            </w:pPr>
            <w:r w:rsidRPr="00F46944">
              <w:rPr>
                <w:color w:val="000000"/>
                <w:sz w:val="18"/>
                <w:szCs w:val="16"/>
              </w:rPr>
              <w:t>15.81</w:t>
            </w:r>
          </w:p>
        </w:tc>
        <w:tc>
          <w:tcPr>
            <w:tcW w:w="1455" w:type="dxa"/>
          </w:tcPr>
          <w:p w14:paraId="3D815B6C" w14:textId="3EF4D9CB" w:rsidR="004D06F1" w:rsidRPr="00F46944" w:rsidRDefault="004D06F1" w:rsidP="004D06F1">
            <w:pPr>
              <w:spacing w:before="120" w:after="120"/>
              <w:cnfStyle w:val="000000000000" w:firstRow="0" w:lastRow="0" w:firstColumn="0" w:lastColumn="0" w:oddVBand="0" w:evenVBand="0" w:oddHBand="0" w:evenHBand="0" w:firstRowFirstColumn="0" w:firstRowLastColumn="0" w:lastRowFirstColumn="0" w:lastRowLastColumn="0"/>
              <w:rPr>
                <w:rFonts w:cstheme="minorHAnsi"/>
                <w:bCs/>
                <w:sz w:val="18"/>
                <w:szCs w:val="16"/>
              </w:rPr>
            </w:pPr>
            <w:r w:rsidRPr="00F46944">
              <w:rPr>
                <w:color w:val="000000"/>
                <w:sz w:val="18"/>
                <w:szCs w:val="16"/>
              </w:rPr>
              <w:t>-38.7</w:t>
            </w:r>
          </w:p>
        </w:tc>
        <w:tc>
          <w:tcPr>
            <w:tcW w:w="1472" w:type="dxa"/>
          </w:tcPr>
          <w:p w14:paraId="269D0199" w14:textId="52540F32" w:rsidR="004D06F1" w:rsidRPr="00F46944" w:rsidRDefault="004D06F1" w:rsidP="004D06F1">
            <w:pPr>
              <w:spacing w:before="120" w:after="120"/>
              <w:cnfStyle w:val="000000000000" w:firstRow="0" w:lastRow="0" w:firstColumn="0" w:lastColumn="0" w:oddVBand="0" w:evenVBand="0" w:oddHBand="0" w:evenHBand="0" w:firstRowFirstColumn="0" w:firstRowLastColumn="0" w:lastRowFirstColumn="0" w:lastRowLastColumn="0"/>
              <w:rPr>
                <w:rFonts w:cstheme="minorHAnsi"/>
                <w:bCs/>
                <w:sz w:val="18"/>
                <w:szCs w:val="16"/>
              </w:rPr>
            </w:pPr>
            <w:r w:rsidRPr="00F46944">
              <w:rPr>
                <w:color w:val="000000"/>
                <w:sz w:val="18"/>
                <w:szCs w:val="16"/>
              </w:rPr>
              <w:t>10.5</w:t>
            </w:r>
          </w:p>
        </w:tc>
      </w:tr>
      <w:tr w:rsidR="004D06F1" w:rsidRPr="00F46944" w14:paraId="2A4AE7EF" w14:textId="77777777" w:rsidTr="00A92E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 w:type="dxa"/>
          </w:tcPr>
          <w:p w14:paraId="3C9B6398" w14:textId="77777777" w:rsidR="004D06F1" w:rsidRPr="00F46944" w:rsidRDefault="004D06F1" w:rsidP="004D06F1">
            <w:pPr>
              <w:spacing w:before="120" w:after="120"/>
              <w:rPr>
                <w:rFonts w:cstheme="minorHAnsi"/>
                <w:bCs w:val="0"/>
                <w:sz w:val="18"/>
                <w:szCs w:val="16"/>
              </w:rPr>
            </w:pPr>
            <w:r w:rsidRPr="00F46944">
              <w:rPr>
                <w:rFonts w:cstheme="minorHAnsi"/>
                <w:color w:val="000000"/>
                <w:sz w:val="18"/>
                <w:szCs w:val="16"/>
              </w:rPr>
              <w:t>November</w:t>
            </w:r>
          </w:p>
        </w:tc>
        <w:tc>
          <w:tcPr>
            <w:tcW w:w="1455" w:type="dxa"/>
          </w:tcPr>
          <w:p w14:paraId="30488F38" w14:textId="7DD7D1D1" w:rsidR="004D06F1" w:rsidRPr="00F46944" w:rsidRDefault="004D06F1" w:rsidP="004D06F1">
            <w:pPr>
              <w:spacing w:before="120" w:after="120"/>
              <w:cnfStyle w:val="000000100000" w:firstRow="0" w:lastRow="0" w:firstColumn="0" w:lastColumn="0" w:oddVBand="0" w:evenVBand="0" w:oddHBand="1" w:evenHBand="0" w:firstRowFirstColumn="0" w:firstRowLastColumn="0" w:lastRowFirstColumn="0" w:lastRowLastColumn="0"/>
              <w:rPr>
                <w:rFonts w:cstheme="minorHAnsi"/>
                <w:bCs/>
                <w:sz w:val="18"/>
                <w:szCs w:val="16"/>
              </w:rPr>
            </w:pPr>
            <w:r w:rsidRPr="00F46944">
              <w:rPr>
                <w:color w:val="000000"/>
                <w:sz w:val="18"/>
                <w:szCs w:val="16"/>
              </w:rPr>
              <w:t>22.18</w:t>
            </w:r>
          </w:p>
        </w:tc>
        <w:tc>
          <w:tcPr>
            <w:tcW w:w="1455" w:type="dxa"/>
          </w:tcPr>
          <w:p w14:paraId="6AAB1861" w14:textId="5B994B44" w:rsidR="004D06F1" w:rsidRPr="00F46944" w:rsidRDefault="004D06F1" w:rsidP="004D06F1">
            <w:pPr>
              <w:spacing w:before="120" w:after="120"/>
              <w:cnfStyle w:val="000000100000" w:firstRow="0" w:lastRow="0" w:firstColumn="0" w:lastColumn="0" w:oddVBand="0" w:evenVBand="0" w:oddHBand="1" w:evenHBand="0" w:firstRowFirstColumn="0" w:firstRowLastColumn="0" w:lastRowFirstColumn="0" w:lastRowLastColumn="0"/>
              <w:rPr>
                <w:rFonts w:cstheme="minorHAnsi"/>
                <w:bCs/>
                <w:sz w:val="18"/>
                <w:szCs w:val="16"/>
              </w:rPr>
            </w:pPr>
            <w:r w:rsidRPr="00F46944">
              <w:rPr>
                <w:color w:val="000000"/>
                <w:sz w:val="18"/>
                <w:szCs w:val="16"/>
              </w:rPr>
              <w:t>14.95</w:t>
            </w:r>
          </w:p>
        </w:tc>
        <w:tc>
          <w:tcPr>
            <w:tcW w:w="1455" w:type="dxa"/>
          </w:tcPr>
          <w:p w14:paraId="40D3348E" w14:textId="22E951C9" w:rsidR="004D06F1" w:rsidRPr="00F46944" w:rsidRDefault="004D06F1" w:rsidP="004D06F1">
            <w:pPr>
              <w:spacing w:before="120" w:after="120"/>
              <w:cnfStyle w:val="000000100000" w:firstRow="0" w:lastRow="0" w:firstColumn="0" w:lastColumn="0" w:oddVBand="0" w:evenVBand="0" w:oddHBand="1" w:evenHBand="0" w:firstRowFirstColumn="0" w:firstRowLastColumn="0" w:lastRowFirstColumn="0" w:lastRowLastColumn="0"/>
              <w:rPr>
                <w:rFonts w:cstheme="minorHAnsi"/>
                <w:bCs/>
                <w:sz w:val="18"/>
                <w:szCs w:val="16"/>
              </w:rPr>
            </w:pPr>
            <w:r w:rsidRPr="00F46944">
              <w:rPr>
                <w:color w:val="000000"/>
                <w:sz w:val="18"/>
                <w:szCs w:val="16"/>
              </w:rPr>
              <w:t>17.36</w:t>
            </w:r>
          </w:p>
        </w:tc>
        <w:tc>
          <w:tcPr>
            <w:tcW w:w="1455" w:type="dxa"/>
          </w:tcPr>
          <w:p w14:paraId="0193F3F9" w14:textId="6BF35CF1" w:rsidR="004D06F1" w:rsidRPr="00F46944" w:rsidRDefault="004D06F1" w:rsidP="004D06F1">
            <w:pPr>
              <w:spacing w:before="120" w:after="120"/>
              <w:cnfStyle w:val="000000100000" w:firstRow="0" w:lastRow="0" w:firstColumn="0" w:lastColumn="0" w:oddVBand="0" w:evenVBand="0" w:oddHBand="1" w:evenHBand="0" w:firstRowFirstColumn="0" w:firstRowLastColumn="0" w:lastRowFirstColumn="0" w:lastRowLastColumn="0"/>
              <w:rPr>
                <w:rFonts w:cstheme="minorHAnsi"/>
                <w:bCs/>
                <w:sz w:val="18"/>
                <w:szCs w:val="16"/>
              </w:rPr>
            </w:pPr>
            <w:r w:rsidRPr="00F46944">
              <w:rPr>
                <w:color w:val="000000"/>
                <w:sz w:val="18"/>
                <w:szCs w:val="16"/>
              </w:rPr>
              <w:t>-32.6</w:t>
            </w:r>
          </w:p>
        </w:tc>
        <w:tc>
          <w:tcPr>
            <w:tcW w:w="1472" w:type="dxa"/>
          </w:tcPr>
          <w:p w14:paraId="24033668" w14:textId="724169FB" w:rsidR="004D06F1" w:rsidRPr="00F46944" w:rsidRDefault="004D06F1" w:rsidP="004D06F1">
            <w:pPr>
              <w:spacing w:before="120" w:after="120"/>
              <w:cnfStyle w:val="000000100000" w:firstRow="0" w:lastRow="0" w:firstColumn="0" w:lastColumn="0" w:oddVBand="0" w:evenVBand="0" w:oddHBand="1" w:evenHBand="0" w:firstRowFirstColumn="0" w:firstRowLastColumn="0" w:lastRowFirstColumn="0" w:lastRowLastColumn="0"/>
              <w:rPr>
                <w:rFonts w:cstheme="minorHAnsi"/>
                <w:bCs/>
                <w:sz w:val="18"/>
                <w:szCs w:val="16"/>
              </w:rPr>
            </w:pPr>
            <w:r w:rsidRPr="00F46944">
              <w:rPr>
                <w:color w:val="000000"/>
                <w:sz w:val="18"/>
                <w:szCs w:val="16"/>
              </w:rPr>
              <w:t>16.1</w:t>
            </w:r>
          </w:p>
        </w:tc>
      </w:tr>
      <w:tr w:rsidR="004D06F1" w:rsidRPr="00F46944" w14:paraId="12F51FB9" w14:textId="77777777" w:rsidTr="00A92E12">
        <w:tc>
          <w:tcPr>
            <w:cnfStyle w:val="001000000000" w:firstRow="0" w:lastRow="0" w:firstColumn="1" w:lastColumn="0" w:oddVBand="0" w:evenVBand="0" w:oddHBand="0" w:evenHBand="0" w:firstRowFirstColumn="0" w:firstRowLastColumn="0" w:lastRowFirstColumn="0" w:lastRowLastColumn="0"/>
            <w:tcW w:w="1464" w:type="dxa"/>
          </w:tcPr>
          <w:p w14:paraId="16B08AFD" w14:textId="77777777" w:rsidR="004D06F1" w:rsidRPr="00F46944" w:rsidRDefault="004D06F1" w:rsidP="004D06F1">
            <w:pPr>
              <w:spacing w:before="120" w:after="120"/>
              <w:rPr>
                <w:rFonts w:cstheme="minorHAnsi"/>
                <w:color w:val="000000"/>
                <w:sz w:val="18"/>
                <w:szCs w:val="16"/>
              </w:rPr>
            </w:pPr>
            <w:r w:rsidRPr="00F46944">
              <w:rPr>
                <w:rFonts w:cstheme="minorHAnsi"/>
                <w:color w:val="000000"/>
                <w:sz w:val="18"/>
                <w:szCs w:val="16"/>
              </w:rPr>
              <w:t>December</w:t>
            </w:r>
          </w:p>
        </w:tc>
        <w:tc>
          <w:tcPr>
            <w:tcW w:w="1455" w:type="dxa"/>
          </w:tcPr>
          <w:p w14:paraId="0DD0CEDD" w14:textId="528BB9B2" w:rsidR="004D06F1" w:rsidRPr="00F46944" w:rsidRDefault="004D06F1" w:rsidP="004D06F1">
            <w:pPr>
              <w:spacing w:before="120" w:after="120"/>
              <w:cnfStyle w:val="000000000000" w:firstRow="0" w:lastRow="0" w:firstColumn="0" w:lastColumn="0" w:oddVBand="0" w:evenVBand="0" w:oddHBand="0" w:evenHBand="0" w:firstRowFirstColumn="0" w:firstRowLastColumn="0" w:lastRowFirstColumn="0" w:lastRowLastColumn="0"/>
              <w:rPr>
                <w:rFonts w:cstheme="minorHAnsi"/>
                <w:bCs/>
                <w:sz w:val="18"/>
                <w:szCs w:val="16"/>
              </w:rPr>
            </w:pPr>
            <w:r w:rsidRPr="00F46944">
              <w:rPr>
                <w:color w:val="000000"/>
                <w:sz w:val="18"/>
                <w:szCs w:val="16"/>
              </w:rPr>
              <w:t>22.21</w:t>
            </w:r>
          </w:p>
        </w:tc>
        <w:tc>
          <w:tcPr>
            <w:tcW w:w="1455" w:type="dxa"/>
          </w:tcPr>
          <w:p w14:paraId="1E9C9FEF" w14:textId="555FB0B6" w:rsidR="004D06F1" w:rsidRPr="00F46944" w:rsidRDefault="004D06F1" w:rsidP="004D06F1">
            <w:pPr>
              <w:spacing w:before="120" w:after="120"/>
              <w:cnfStyle w:val="000000000000" w:firstRow="0" w:lastRow="0" w:firstColumn="0" w:lastColumn="0" w:oddVBand="0" w:evenVBand="0" w:oddHBand="0" w:evenHBand="0" w:firstRowFirstColumn="0" w:firstRowLastColumn="0" w:lastRowFirstColumn="0" w:lastRowLastColumn="0"/>
              <w:rPr>
                <w:rFonts w:cstheme="minorHAnsi"/>
                <w:bCs/>
                <w:sz w:val="18"/>
                <w:szCs w:val="16"/>
              </w:rPr>
            </w:pPr>
            <w:r w:rsidRPr="00F46944">
              <w:rPr>
                <w:color w:val="000000"/>
                <w:sz w:val="18"/>
                <w:szCs w:val="16"/>
              </w:rPr>
              <w:t>15.55</w:t>
            </w:r>
          </w:p>
        </w:tc>
        <w:tc>
          <w:tcPr>
            <w:tcW w:w="1455" w:type="dxa"/>
          </w:tcPr>
          <w:p w14:paraId="79B05306" w14:textId="530B2828" w:rsidR="004D06F1" w:rsidRPr="00F46944" w:rsidRDefault="004D06F1" w:rsidP="004D06F1">
            <w:pPr>
              <w:spacing w:before="120" w:after="120"/>
              <w:cnfStyle w:val="000000000000" w:firstRow="0" w:lastRow="0" w:firstColumn="0" w:lastColumn="0" w:oddVBand="0" w:evenVBand="0" w:oddHBand="0" w:evenHBand="0" w:firstRowFirstColumn="0" w:firstRowLastColumn="0" w:lastRowFirstColumn="0" w:lastRowLastColumn="0"/>
              <w:rPr>
                <w:rFonts w:cstheme="minorHAnsi"/>
                <w:bCs/>
                <w:sz w:val="18"/>
                <w:szCs w:val="16"/>
              </w:rPr>
            </w:pPr>
            <w:r w:rsidRPr="00F46944">
              <w:rPr>
                <w:color w:val="000000"/>
                <w:sz w:val="18"/>
                <w:szCs w:val="16"/>
              </w:rPr>
              <w:t>17.55</w:t>
            </w:r>
          </w:p>
        </w:tc>
        <w:tc>
          <w:tcPr>
            <w:tcW w:w="1455" w:type="dxa"/>
          </w:tcPr>
          <w:p w14:paraId="7C6E0267" w14:textId="6E1071E7" w:rsidR="004D06F1" w:rsidRPr="00F46944" w:rsidRDefault="004D06F1" w:rsidP="004D06F1">
            <w:pPr>
              <w:spacing w:before="120" w:after="120"/>
              <w:cnfStyle w:val="000000000000" w:firstRow="0" w:lastRow="0" w:firstColumn="0" w:lastColumn="0" w:oddVBand="0" w:evenVBand="0" w:oddHBand="0" w:evenHBand="0" w:firstRowFirstColumn="0" w:firstRowLastColumn="0" w:lastRowFirstColumn="0" w:lastRowLastColumn="0"/>
              <w:rPr>
                <w:rFonts w:cstheme="minorHAnsi"/>
                <w:bCs/>
                <w:sz w:val="18"/>
                <w:szCs w:val="16"/>
              </w:rPr>
            </w:pPr>
            <w:r w:rsidRPr="00F46944">
              <w:rPr>
                <w:color w:val="000000"/>
                <w:sz w:val="18"/>
                <w:szCs w:val="16"/>
              </w:rPr>
              <w:t>-30</w:t>
            </w:r>
          </w:p>
        </w:tc>
        <w:tc>
          <w:tcPr>
            <w:tcW w:w="1472" w:type="dxa"/>
          </w:tcPr>
          <w:p w14:paraId="235F1D56" w14:textId="07EE8FED" w:rsidR="004D06F1" w:rsidRPr="00F46944" w:rsidRDefault="004D06F1" w:rsidP="004D06F1">
            <w:pPr>
              <w:spacing w:before="120" w:after="120"/>
              <w:cnfStyle w:val="000000000000" w:firstRow="0" w:lastRow="0" w:firstColumn="0" w:lastColumn="0" w:oddVBand="0" w:evenVBand="0" w:oddHBand="0" w:evenHBand="0" w:firstRowFirstColumn="0" w:firstRowLastColumn="0" w:lastRowFirstColumn="0" w:lastRowLastColumn="0"/>
              <w:rPr>
                <w:rFonts w:cstheme="minorHAnsi"/>
                <w:bCs/>
                <w:sz w:val="18"/>
                <w:szCs w:val="16"/>
              </w:rPr>
            </w:pPr>
            <w:r w:rsidRPr="00F46944">
              <w:rPr>
                <w:color w:val="000000"/>
                <w:sz w:val="18"/>
                <w:szCs w:val="16"/>
              </w:rPr>
              <w:t>12.9</w:t>
            </w:r>
          </w:p>
        </w:tc>
      </w:tr>
    </w:tbl>
    <w:p w14:paraId="6F379632" w14:textId="5585CE49" w:rsidR="000D72ED" w:rsidRPr="00F46944" w:rsidRDefault="0063319A" w:rsidP="004919A3">
      <w:pPr>
        <w:pStyle w:val="Pa30"/>
        <w:tabs>
          <w:tab w:val="left" w:pos="142"/>
        </w:tabs>
        <w:rPr>
          <w:rFonts w:asciiTheme="majorHAnsi" w:hAnsiTheme="majorHAnsi" w:cstheme="majorHAnsi"/>
          <w:sz w:val="16"/>
          <w:szCs w:val="16"/>
        </w:rPr>
      </w:pPr>
      <w:r w:rsidRPr="00F46944">
        <w:rPr>
          <w:rFonts w:asciiTheme="majorHAnsi" w:hAnsiTheme="majorHAnsi" w:cstheme="majorHAnsi"/>
          <w:sz w:val="16"/>
          <w:szCs w:val="16"/>
        </w:rPr>
        <w:t>DDD</w:t>
      </w:r>
      <w:r w:rsidR="00CC5D41" w:rsidRPr="00F46944">
        <w:rPr>
          <w:rFonts w:asciiTheme="majorHAnsi" w:hAnsiTheme="majorHAnsi" w:cstheme="majorHAnsi"/>
          <w:sz w:val="16"/>
          <w:szCs w:val="16"/>
        </w:rPr>
        <w:t xml:space="preserve"> = </w:t>
      </w:r>
      <w:r w:rsidRPr="00F46944">
        <w:rPr>
          <w:rFonts w:asciiTheme="majorHAnsi" w:hAnsiTheme="majorHAnsi" w:cstheme="majorHAnsi"/>
          <w:sz w:val="16"/>
          <w:szCs w:val="16"/>
        </w:rPr>
        <w:t>defined daily dose</w:t>
      </w:r>
      <w:r w:rsidR="0048767A" w:rsidRPr="00F46944">
        <w:rPr>
          <w:rFonts w:asciiTheme="majorHAnsi" w:hAnsiTheme="majorHAnsi" w:cstheme="majorHAnsi"/>
          <w:sz w:val="16"/>
          <w:szCs w:val="16"/>
        </w:rPr>
        <w:t>;</w:t>
      </w:r>
      <w:r w:rsidRPr="00F46944">
        <w:rPr>
          <w:rFonts w:asciiTheme="majorHAnsi" w:hAnsiTheme="majorHAnsi" w:cstheme="majorHAnsi"/>
          <w:sz w:val="16"/>
          <w:szCs w:val="16"/>
        </w:rPr>
        <w:t xml:space="preserve"> </w:t>
      </w:r>
      <w:r w:rsidR="00C97E83" w:rsidRPr="00F46944">
        <w:rPr>
          <w:rFonts w:asciiTheme="majorHAnsi" w:hAnsiTheme="majorHAnsi" w:cstheme="majorHAnsi"/>
          <w:sz w:val="16"/>
          <w:szCs w:val="16"/>
        </w:rPr>
        <w:t>PBS = Pharmaceutical Benefits Scheme; RPBS = Repatriation Pharmaceutical Benefits Scheme</w:t>
      </w:r>
      <w:r w:rsidR="00C97E83" w:rsidRPr="00F46944">
        <w:rPr>
          <w:rFonts w:asciiTheme="majorHAnsi" w:hAnsiTheme="majorHAnsi" w:cstheme="majorHAnsi"/>
          <w:sz w:val="16"/>
          <w:szCs w:val="16"/>
        </w:rPr>
        <w:br/>
      </w:r>
      <w:r w:rsidR="00CC5D41" w:rsidRPr="00F46944">
        <w:rPr>
          <w:rFonts w:asciiTheme="majorHAnsi" w:hAnsiTheme="majorHAnsi" w:cstheme="majorHAnsi"/>
          <w:sz w:val="16"/>
          <w:szCs w:val="16"/>
        </w:rPr>
        <w:t>*</w:t>
      </w:r>
      <w:r w:rsidR="00112691">
        <w:rPr>
          <w:rFonts w:asciiTheme="majorHAnsi" w:hAnsiTheme="majorHAnsi" w:cstheme="majorHAnsi"/>
          <w:sz w:val="16"/>
          <w:szCs w:val="16"/>
        </w:rPr>
        <w:tab/>
      </w:r>
      <w:proofErr w:type="spellStart"/>
      <w:r w:rsidR="00CC5D41" w:rsidRPr="00F46944">
        <w:rPr>
          <w:rFonts w:asciiTheme="majorHAnsi" w:hAnsiTheme="majorHAnsi" w:cstheme="majorHAnsi"/>
          <w:sz w:val="16"/>
          <w:szCs w:val="16"/>
        </w:rPr>
        <w:t>Antibacterials</w:t>
      </w:r>
      <w:proofErr w:type="spellEnd"/>
      <w:r w:rsidR="00CC5D41" w:rsidRPr="00F46944">
        <w:rPr>
          <w:rFonts w:asciiTheme="majorHAnsi" w:hAnsiTheme="majorHAnsi" w:cstheme="majorHAnsi"/>
          <w:sz w:val="16"/>
          <w:szCs w:val="16"/>
        </w:rPr>
        <w:t xml:space="preserve"> for systemic use (</w:t>
      </w:r>
      <w:r w:rsidR="00844AD6" w:rsidRPr="00844AD6">
        <w:rPr>
          <w:rFonts w:asciiTheme="majorHAnsi" w:hAnsiTheme="majorHAnsi" w:cstheme="majorHAnsi"/>
          <w:sz w:val="16"/>
          <w:szCs w:val="16"/>
        </w:rPr>
        <w:t xml:space="preserve">ATC code </w:t>
      </w:r>
      <w:r w:rsidR="00CC5D41" w:rsidRPr="00F46944">
        <w:rPr>
          <w:rFonts w:asciiTheme="majorHAnsi" w:hAnsiTheme="majorHAnsi" w:cstheme="majorHAnsi"/>
          <w:sz w:val="16"/>
          <w:szCs w:val="16"/>
        </w:rPr>
        <w:t>J01)</w:t>
      </w:r>
      <w:r w:rsidR="00CC5D41" w:rsidRPr="00F46944">
        <w:rPr>
          <w:rFonts w:asciiTheme="majorHAnsi" w:hAnsiTheme="majorHAnsi" w:cstheme="majorHAnsi"/>
          <w:sz w:val="16"/>
          <w:szCs w:val="16"/>
        </w:rPr>
        <w:br/>
      </w:r>
      <w:r w:rsidR="00202D52" w:rsidRPr="00F46944">
        <w:rPr>
          <w:rFonts w:asciiTheme="majorHAnsi" w:hAnsiTheme="majorHAnsi" w:cstheme="majorHAnsi"/>
          <w:sz w:val="16"/>
          <w:szCs w:val="16"/>
        </w:rPr>
        <w:t>Source: Gadzhanova, Roughead</w:t>
      </w:r>
      <w:r w:rsidR="00202D52" w:rsidRPr="00F46944">
        <w:rPr>
          <w:rFonts w:asciiTheme="majorHAnsi" w:hAnsiTheme="majorHAnsi" w:cstheme="majorHAnsi"/>
          <w:sz w:val="16"/>
          <w:szCs w:val="16"/>
        </w:rPr>
        <w:fldChar w:fldCharType="begin"/>
      </w:r>
      <w:r w:rsidR="00DB0DCB">
        <w:rPr>
          <w:rFonts w:asciiTheme="majorHAnsi" w:hAnsiTheme="majorHAnsi" w:cstheme="majorHAnsi"/>
          <w:sz w:val="16"/>
          <w:szCs w:val="16"/>
        </w:rPr>
        <w:instrText xml:space="preserve"> ADDIN EN.CITE &lt;EndNote&gt;&lt;Cite&gt;&lt;Author&gt;Gadzhanova&lt;/Author&gt;&lt;RecNum&gt;5&lt;/RecNum&gt;&lt;DisplayText&gt;&lt;style face="superscript"&gt;5&lt;/style&gt;&lt;/DisplayText&gt;&lt;record&gt;&lt;rec-number&gt;5&lt;/rec-number&gt;&lt;foreign-keys&gt;&lt;key app="EN" db-id="es9dr99ws90stoe5x2rp505nazvswdzppxa5" timestamp="1670810539"&gt;5&lt;/key&gt;&lt;/foreign-keys&gt;&lt;ref-type name="Unpublished Work"&gt;34&lt;/ref-type&gt;&lt;contributors&gt;&lt;authors&gt;&lt;author&gt;Gadzhanova, S.&lt;/author&gt;&lt;author&gt;Roughead, E.&lt;/author&gt;&lt;/authors&gt;&lt;/contributors&gt;&lt;titles&gt;&lt;title&gt;Analysis of 2015–2021 PBS data for the National Report on Antimicrobial Use and Resistance (unpublished)&lt;/title&gt;&lt;/titles&gt;&lt;dates&gt;&lt;/dates&gt;&lt;pub-location&gt;Sydney &lt;/pub-location&gt;&lt;publisher&gt;ACSQHC &lt;/publisher&gt;&lt;urls&gt;&lt;/urls&gt;&lt;/record&gt;&lt;/Cite&gt;&lt;/EndNote&gt;</w:instrText>
      </w:r>
      <w:r w:rsidR="00202D52" w:rsidRPr="00F46944">
        <w:rPr>
          <w:rFonts w:asciiTheme="majorHAnsi" w:hAnsiTheme="majorHAnsi" w:cstheme="majorHAnsi"/>
          <w:sz w:val="16"/>
          <w:szCs w:val="16"/>
        </w:rPr>
        <w:fldChar w:fldCharType="separate"/>
      </w:r>
      <w:r w:rsidR="001C0A42" w:rsidRPr="001C0A42">
        <w:rPr>
          <w:rFonts w:asciiTheme="majorHAnsi" w:hAnsiTheme="majorHAnsi" w:cstheme="majorHAnsi"/>
          <w:noProof/>
          <w:sz w:val="16"/>
          <w:szCs w:val="16"/>
          <w:vertAlign w:val="superscript"/>
        </w:rPr>
        <w:t>5</w:t>
      </w:r>
      <w:r w:rsidR="00202D52" w:rsidRPr="00F46944">
        <w:rPr>
          <w:rFonts w:asciiTheme="majorHAnsi" w:hAnsiTheme="majorHAnsi" w:cstheme="majorHAnsi"/>
          <w:sz w:val="16"/>
          <w:szCs w:val="16"/>
        </w:rPr>
        <w:fldChar w:fldCharType="end"/>
      </w:r>
    </w:p>
    <w:p w14:paraId="3C691BF0" w14:textId="02E40EB7" w:rsidR="00AF305D" w:rsidRPr="00F46944" w:rsidRDefault="00436423" w:rsidP="002A44AA">
      <w:pPr>
        <w:pStyle w:val="Heading4"/>
      </w:pPr>
      <w:r w:rsidRPr="00F46944">
        <w:t xml:space="preserve">Number of prescriptions for </w:t>
      </w:r>
      <w:r w:rsidR="004D2FDA" w:rsidRPr="00F46944">
        <w:t>antimicrobial</w:t>
      </w:r>
      <w:r w:rsidRPr="00F46944">
        <w:t xml:space="preserve">s by indication for use </w:t>
      </w:r>
    </w:p>
    <w:p w14:paraId="337E89B4" w14:textId="4D6616DA" w:rsidR="00436423" w:rsidRPr="00F46944" w:rsidRDefault="00436423" w:rsidP="00AD0546">
      <w:r w:rsidRPr="00F46944">
        <w:t>To further determine the impact of the COVID-19 pandemic on type of antimicrobials</w:t>
      </w:r>
      <w:r w:rsidR="00594A43" w:rsidRPr="00F46944">
        <w:t xml:space="preserve">, this section of the report </w:t>
      </w:r>
      <w:r w:rsidRPr="00F46944">
        <w:t>group</w:t>
      </w:r>
      <w:r w:rsidR="00594A43" w:rsidRPr="00F46944">
        <w:t xml:space="preserve">s oral </w:t>
      </w:r>
      <w:proofErr w:type="spellStart"/>
      <w:r w:rsidR="0023029D" w:rsidRPr="00F46944">
        <w:t>antibacterials</w:t>
      </w:r>
      <w:proofErr w:type="spellEnd"/>
      <w:r w:rsidR="0023029D" w:rsidRPr="00F46944">
        <w:t xml:space="preserve"> for </w:t>
      </w:r>
      <w:r w:rsidR="00594A43" w:rsidRPr="00F46944">
        <w:t xml:space="preserve">systemic </w:t>
      </w:r>
      <w:r w:rsidR="0023029D" w:rsidRPr="00F46944">
        <w:t xml:space="preserve">use </w:t>
      </w:r>
      <w:r w:rsidR="00594A43" w:rsidRPr="00F46944">
        <w:t xml:space="preserve">(ATC </w:t>
      </w:r>
      <w:r w:rsidR="00844AD6">
        <w:t xml:space="preserve">code </w:t>
      </w:r>
      <w:r w:rsidR="00594A43" w:rsidRPr="00F46944">
        <w:t xml:space="preserve">J01) </w:t>
      </w:r>
      <w:r w:rsidRPr="00F46944">
        <w:t xml:space="preserve">by indication for use </w:t>
      </w:r>
      <w:r w:rsidR="00594A43" w:rsidRPr="00F46944">
        <w:t>as follows</w:t>
      </w:r>
      <w:r w:rsidRPr="00F46944">
        <w:t>:</w:t>
      </w:r>
    </w:p>
    <w:p w14:paraId="18758DAB" w14:textId="7D947B25" w:rsidR="00436423" w:rsidRPr="0003377C" w:rsidRDefault="00436423" w:rsidP="00D77422">
      <w:pPr>
        <w:pStyle w:val="ListParagraph"/>
        <w:numPr>
          <w:ilvl w:val="0"/>
          <w:numId w:val="27"/>
        </w:numPr>
        <w:ind w:left="360"/>
        <w:rPr>
          <w:bCs/>
        </w:rPr>
      </w:pPr>
      <w:r w:rsidRPr="0003377C">
        <w:rPr>
          <w:bCs/>
        </w:rPr>
        <w:t xml:space="preserve">Oral systemic antimicrobials for </w:t>
      </w:r>
      <w:r w:rsidR="003A499C" w:rsidRPr="0003377C">
        <w:rPr>
          <w:bCs/>
        </w:rPr>
        <w:t>URTIs</w:t>
      </w:r>
      <w:r w:rsidRPr="0003377C">
        <w:rPr>
          <w:bCs/>
        </w:rPr>
        <w:t xml:space="preserve"> – </w:t>
      </w:r>
      <w:bookmarkStart w:id="149" w:name="_Hlk112682808"/>
      <w:r w:rsidR="0003377C" w:rsidRPr="0003377C">
        <w:rPr>
          <w:bCs/>
        </w:rPr>
        <w:t>amoxicillin, amoxicillin</w:t>
      </w:r>
      <w:r w:rsidR="0003377C" w:rsidRPr="00F46944">
        <w:t>–</w:t>
      </w:r>
      <w:r w:rsidR="0003377C" w:rsidRPr="0003377C">
        <w:rPr>
          <w:bCs/>
        </w:rPr>
        <w:t>clavulanic acid, azithromycin, cefaclor,</w:t>
      </w:r>
      <w:r w:rsidR="0003377C">
        <w:rPr>
          <w:bCs/>
        </w:rPr>
        <w:t xml:space="preserve"> </w:t>
      </w:r>
      <w:r w:rsidR="0003377C" w:rsidRPr="0003377C">
        <w:rPr>
          <w:bCs/>
        </w:rPr>
        <w:t>cefalexin,</w:t>
      </w:r>
      <w:r w:rsidR="0003377C">
        <w:rPr>
          <w:bCs/>
        </w:rPr>
        <w:t xml:space="preserve"> </w:t>
      </w:r>
      <w:r w:rsidR="0003377C" w:rsidRPr="0003377C">
        <w:rPr>
          <w:bCs/>
        </w:rPr>
        <w:t>ciprofloxaci</w:t>
      </w:r>
      <w:r w:rsidR="0003377C">
        <w:rPr>
          <w:bCs/>
        </w:rPr>
        <w:t>n</w:t>
      </w:r>
      <w:r w:rsidR="0003377C" w:rsidRPr="0003377C">
        <w:rPr>
          <w:bCs/>
        </w:rPr>
        <w:t xml:space="preserve">, clarithromycin, </w:t>
      </w:r>
      <w:r w:rsidRPr="0003377C">
        <w:rPr>
          <w:bCs/>
        </w:rPr>
        <w:t>doxycycline, erythromycin</w:t>
      </w:r>
      <w:r w:rsidR="0003377C">
        <w:rPr>
          <w:bCs/>
        </w:rPr>
        <w:t>,</w:t>
      </w:r>
      <w:r w:rsidR="0003377C" w:rsidRPr="0003377C">
        <w:rPr>
          <w:bCs/>
        </w:rPr>
        <w:t xml:space="preserve"> </w:t>
      </w:r>
      <w:r w:rsidRPr="0003377C">
        <w:rPr>
          <w:bCs/>
        </w:rPr>
        <w:t>phenoxymethylpenicillin</w:t>
      </w:r>
      <w:bookmarkEnd w:id="149"/>
      <w:r w:rsidR="0003377C">
        <w:rPr>
          <w:bCs/>
        </w:rPr>
        <w:t>,</w:t>
      </w:r>
      <w:r w:rsidR="0003377C" w:rsidRPr="0003377C">
        <w:rPr>
          <w:bCs/>
        </w:rPr>
        <w:t xml:space="preserve"> roxithromycin</w:t>
      </w:r>
    </w:p>
    <w:p w14:paraId="70C89356" w14:textId="5614A56F" w:rsidR="00436423" w:rsidRPr="00F46944" w:rsidRDefault="00436423" w:rsidP="003140B6">
      <w:pPr>
        <w:pStyle w:val="ListParagraph"/>
        <w:numPr>
          <w:ilvl w:val="0"/>
          <w:numId w:val="27"/>
        </w:numPr>
        <w:ind w:left="360"/>
      </w:pPr>
      <w:r w:rsidRPr="00F46944">
        <w:t xml:space="preserve">Oral systemic antimicrobials for </w:t>
      </w:r>
      <w:r w:rsidR="00F74E80" w:rsidRPr="00F46944">
        <w:t>UTIs</w:t>
      </w:r>
      <w:r w:rsidRPr="00F46944">
        <w:t xml:space="preserve"> – </w:t>
      </w:r>
      <w:bookmarkStart w:id="150" w:name="_Hlk112682817"/>
      <w:r w:rsidR="0003377C" w:rsidRPr="00F46944">
        <w:t xml:space="preserve">methenamine </w:t>
      </w:r>
      <w:proofErr w:type="spellStart"/>
      <w:r w:rsidR="0003377C" w:rsidRPr="00F46944">
        <w:t>hippurate</w:t>
      </w:r>
      <w:proofErr w:type="spellEnd"/>
      <w:r w:rsidR="0003377C">
        <w:t xml:space="preserve">, </w:t>
      </w:r>
      <w:r w:rsidR="0003377C" w:rsidRPr="00F46944">
        <w:t>nitrofurantoin,</w:t>
      </w:r>
      <w:r w:rsidR="0003377C">
        <w:t xml:space="preserve"> </w:t>
      </w:r>
      <w:r w:rsidRPr="00F46944">
        <w:t xml:space="preserve">norfloxacin, </w:t>
      </w:r>
      <w:bookmarkEnd w:id="150"/>
      <w:r w:rsidR="0003377C" w:rsidRPr="00F46944">
        <w:t>trimethoprim</w:t>
      </w:r>
    </w:p>
    <w:p w14:paraId="59C94F9D" w14:textId="0C3F3249" w:rsidR="00436423" w:rsidRPr="00F46944" w:rsidRDefault="00436423" w:rsidP="003140B6">
      <w:pPr>
        <w:pStyle w:val="ListParagraph"/>
        <w:numPr>
          <w:ilvl w:val="0"/>
          <w:numId w:val="27"/>
        </w:numPr>
        <w:ind w:left="360"/>
      </w:pPr>
      <w:r w:rsidRPr="00F46944">
        <w:t xml:space="preserve">Oral systemic antimicrobials for skin conditions – </w:t>
      </w:r>
      <w:bookmarkStart w:id="151" w:name="_Hlk112682825"/>
      <w:r w:rsidR="0003377C" w:rsidRPr="00F46944">
        <w:t>flucloxacillin</w:t>
      </w:r>
      <w:r w:rsidR="0003377C">
        <w:t xml:space="preserve">, </w:t>
      </w:r>
      <w:r w:rsidRPr="00F46944">
        <w:t>minocycline</w:t>
      </w:r>
      <w:bookmarkEnd w:id="151"/>
    </w:p>
    <w:p w14:paraId="13D85762" w14:textId="496AE907" w:rsidR="00515589" w:rsidRPr="00F46944" w:rsidRDefault="00436423" w:rsidP="003140B6">
      <w:pPr>
        <w:pStyle w:val="ListParagraph"/>
        <w:numPr>
          <w:ilvl w:val="0"/>
          <w:numId w:val="27"/>
        </w:numPr>
        <w:ind w:left="360"/>
      </w:pPr>
      <w:r w:rsidRPr="00F46944">
        <w:t>Oral systemic antimicrobials for other conditions – the remaining J01</w:t>
      </w:r>
      <w:r w:rsidR="00E27C81" w:rsidRPr="00F46944">
        <w:t> </w:t>
      </w:r>
      <w:proofErr w:type="spellStart"/>
      <w:r w:rsidR="00BB0C25" w:rsidRPr="00F46944">
        <w:t>antibacterials</w:t>
      </w:r>
      <w:proofErr w:type="spellEnd"/>
      <w:r w:rsidR="007B6ADF" w:rsidRPr="00F46944">
        <w:t>.</w:t>
      </w:r>
    </w:p>
    <w:p w14:paraId="726A5B7E" w14:textId="509E9B47" w:rsidR="00AD0546" w:rsidRPr="00F46944" w:rsidRDefault="00E56050" w:rsidP="00AD0546">
      <w:r w:rsidRPr="00D34887">
        <w:t>Figure 22</w:t>
      </w:r>
      <w:r w:rsidRPr="00F46944">
        <w:t xml:space="preserve"> shows antimicrobials were most commonly prescribed for URTIs in 2019, 2020 and 2021 compared to other indications (</w:t>
      </w:r>
      <w:r w:rsidRPr="00D34887">
        <w:t>Figure</w:t>
      </w:r>
      <w:r w:rsidR="00112691" w:rsidRPr="004919A3">
        <w:t> </w:t>
      </w:r>
      <w:r w:rsidRPr="00112691">
        <w:t>23</w:t>
      </w:r>
      <w:r w:rsidRPr="00F46944">
        <w:t>).</w:t>
      </w:r>
      <w:r w:rsidR="0003377C">
        <w:t xml:space="preserve"> </w:t>
      </w:r>
      <w:r w:rsidR="00AD0546" w:rsidRPr="00F46944">
        <w:t xml:space="preserve">It is noted that some antimicrobials are commonly indicated for multiple conditions. </w:t>
      </w:r>
      <w:r w:rsidR="00131A8E" w:rsidRPr="00F46944">
        <w:t xml:space="preserve">Based on </w:t>
      </w:r>
      <w:proofErr w:type="spellStart"/>
      <w:r w:rsidR="00AD0546" w:rsidRPr="00F46944">
        <w:t>MedicineInsight</w:t>
      </w:r>
      <w:proofErr w:type="spellEnd"/>
      <w:r w:rsidR="00AD0546" w:rsidRPr="00F46944">
        <w:t xml:space="preserve"> </w:t>
      </w:r>
      <w:r w:rsidR="00000115" w:rsidRPr="00F46944">
        <w:t>data, cefalexin</w:t>
      </w:r>
      <w:r w:rsidR="00AD0546" w:rsidRPr="00F46944">
        <w:t xml:space="preserve"> was </w:t>
      </w:r>
      <w:r w:rsidR="00A75FBF" w:rsidRPr="00F46944">
        <w:t xml:space="preserve">often </w:t>
      </w:r>
      <w:r w:rsidR="00AD0546" w:rsidRPr="00F46944">
        <w:t xml:space="preserve">prescribed for </w:t>
      </w:r>
      <w:r w:rsidR="00F74E80" w:rsidRPr="00F46944">
        <w:t>UTIs</w:t>
      </w:r>
      <w:r w:rsidR="00AD0546" w:rsidRPr="00F46944">
        <w:t xml:space="preserve"> and skin conditions. However, given</w:t>
      </w:r>
      <w:r w:rsidR="008D46C1">
        <w:t xml:space="preserve"> that</w:t>
      </w:r>
      <w:r w:rsidR="00AD0546" w:rsidRPr="00F46944">
        <w:t xml:space="preserve"> the sharp decline in cefalexin use between March and April 2020 (</w:t>
      </w:r>
      <w:r w:rsidR="00AD0546" w:rsidRPr="00F46944">
        <w:rPr>
          <w:i/>
          <w:iCs/>
        </w:rPr>
        <w:t>n</w:t>
      </w:r>
      <w:r w:rsidR="00AD0546" w:rsidRPr="00F46944">
        <w:t xml:space="preserve"> = 513,447 in March 2020; </w:t>
      </w:r>
      <w:r w:rsidR="00AD0546" w:rsidRPr="00F46944">
        <w:rPr>
          <w:i/>
          <w:iCs/>
        </w:rPr>
        <w:t>n</w:t>
      </w:r>
      <w:r w:rsidR="00AD0546" w:rsidRPr="00F46944">
        <w:t xml:space="preserve"> = 341,373) </w:t>
      </w:r>
      <w:r w:rsidR="00131A8E" w:rsidRPr="00F46944">
        <w:t>correlates with</w:t>
      </w:r>
      <w:r w:rsidR="00AD0546" w:rsidRPr="00F46944">
        <w:t xml:space="preserve"> the decline in dispensing for </w:t>
      </w:r>
      <w:r w:rsidR="00F74E80" w:rsidRPr="00F46944">
        <w:t>URTIs</w:t>
      </w:r>
      <w:r w:rsidR="00AD0546" w:rsidRPr="00F46944">
        <w:t xml:space="preserve"> (</w:t>
      </w:r>
      <w:r w:rsidR="00AD0546" w:rsidRPr="00F46944">
        <w:rPr>
          <w:i/>
          <w:iCs/>
        </w:rPr>
        <w:t>n</w:t>
      </w:r>
      <w:r w:rsidR="00AD0546" w:rsidRPr="00F46944">
        <w:t xml:space="preserve"> = 1,903,783 in March 2020; </w:t>
      </w:r>
      <w:r w:rsidR="00AD0546" w:rsidRPr="00F46944">
        <w:rPr>
          <w:i/>
          <w:iCs/>
        </w:rPr>
        <w:t>n</w:t>
      </w:r>
      <w:r w:rsidR="00AD0546" w:rsidRPr="00F46944">
        <w:t> = 1,054,355</w:t>
      </w:r>
      <w:r w:rsidR="008D46C1">
        <w:t>)</w:t>
      </w:r>
      <w:r w:rsidR="00AD0546" w:rsidRPr="00F46944">
        <w:t xml:space="preserve"> </w:t>
      </w:r>
      <w:r w:rsidR="008D46C1">
        <w:t>(</w:t>
      </w:r>
      <w:r w:rsidR="00AD0546" w:rsidRPr="00D34887">
        <w:t>Figure </w:t>
      </w:r>
      <w:r w:rsidR="0014044D" w:rsidRPr="00D34887">
        <w:t>2</w:t>
      </w:r>
      <w:r w:rsidR="009F20DA" w:rsidRPr="00D34887">
        <w:t>2</w:t>
      </w:r>
      <w:r w:rsidR="00AD0546" w:rsidRPr="00F46944">
        <w:t xml:space="preserve">), but not for </w:t>
      </w:r>
      <w:r w:rsidR="00F74E80" w:rsidRPr="00F46944">
        <w:t>UTIs</w:t>
      </w:r>
      <w:r w:rsidR="00AD0546" w:rsidRPr="00F46944">
        <w:t xml:space="preserve"> (</w:t>
      </w:r>
      <w:r w:rsidR="00AD0546" w:rsidRPr="00F46944">
        <w:rPr>
          <w:i/>
          <w:iCs/>
        </w:rPr>
        <w:t>n</w:t>
      </w:r>
      <w:r w:rsidR="00AD0546" w:rsidRPr="00F46944">
        <w:t xml:space="preserve"> = 130,228 in March 2020; </w:t>
      </w:r>
      <w:r w:rsidR="00AD0546" w:rsidRPr="00F46944">
        <w:rPr>
          <w:i/>
          <w:iCs/>
        </w:rPr>
        <w:t>n</w:t>
      </w:r>
      <w:r w:rsidR="00AD0546" w:rsidRPr="00F46944">
        <w:t> = 108,559 or skin conditions (</w:t>
      </w:r>
      <w:r w:rsidR="00AD0546" w:rsidRPr="00F46944">
        <w:rPr>
          <w:i/>
          <w:iCs/>
        </w:rPr>
        <w:t>n</w:t>
      </w:r>
      <w:r w:rsidR="00AD0546" w:rsidRPr="00F46944">
        <w:t xml:space="preserve"> = 102,263 in March 2020; </w:t>
      </w:r>
      <w:r w:rsidR="00AD0546" w:rsidRPr="00F46944">
        <w:rPr>
          <w:i/>
          <w:iCs/>
        </w:rPr>
        <w:t>n</w:t>
      </w:r>
      <w:r w:rsidR="00AD0546" w:rsidRPr="00F46944">
        <w:t> = 82,580</w:t>
      </w:r>
      <w:r w:rsidR="008D46C1">
        <w:t>)</w:t>
      </w:r>
      <w:r w:rsidR="00AD0546" w:rsidRPr="00F46944">
        <w:t xml:space="preserve"> </w:t>
      </w:r>
      <w:r w:rsidR="008D46C1">
        <w:t>(</w:t>
      </w:r>
      <w:r w:rsidR="00AD0546" w:rsidRPr="00D34887">
        <w:t>Figure</w:t>
      </w:r>
      <w:r w:rsidR="00112691" w:rsidRPr="004919A3">
        <w:t> </w:t>
      </w:r>
      <w:r w:rsidRPr="00112691">
        <w:t>2</w:t>
      </w:r>
      <w:r w:rsidRPr="004919A3">
        <w:t>3</w:t>
      </w:r>
      <w:r w:rsidR="00AD0546" w:rsidRPr="00F46944">
        <w:t xml:space="preserve">), it </w:t>
      </w:r>
      <w:r w:rsidR="008D46C1">
        <w:t>may</w:t>
      </w:r>
      <w:r w:rsidR="008D46C1" w:rsidRPr="00F46944">
        <w:t xml:space="preserve"> </w:t>
      </w:r>
      <w:r w:rsidR="00AD0546" w:rsidRPr="00F46944">
        <w:t>be inferred that cefalexin was commonly prescribed for respiratory infections.</w:t>
      </w:r>
      <w:r w:rsidR="00DF238E" w:rsidRPr="00F46944">
        <w:t xml:space="preserve"> </w:t>
      </w:r>
      <w:r w:rsidR="00131A8E" w:rsidRPr="00F46944">
        <w:t>It is</w:t>
      </w:r>
      <w:r w:rsidR="00146F1A" w:rsidRPr="00F46944">
        <w:t xml:space="preserve"> also </w:t>
      </w:r>
      <w:r w:rsidR="00131A8E" w:rsidRPr="00F46944">
        <w:t>important to note</w:t>
      </w:r>
      <w:r w:rsidR="00DF238E" w:rsidRPr="00F46944">
        <w:t xml:space="preserve"> that </w:t>
      </w:r>
      <w:proofErr w:type="spellStart"/>
      <w:r w:rsidR="00DF238E" w:rsidRPr="00F46944">
        <w:t>MedicineInsight</w:t>
      </w:r>
      <w:proofErr w:type="spellEnd"/>
      <w:r w:rsidR="00DF238E" w:rsidRPr="00F46944">
        <w:t xml:space="preserve"> captures information on a </w:t>
      </w:r>
      <w:r w:rsidR="00DF238E" w:rsidRPr="00F46944">
        <w:lastRenderedPageBreak/>
        <w:t>much smaller dataset than the PBS/RPBS.</w:t>
      </w:r>
      <w:r w:rsidR="00AD0546" w:rsidRPr="00F46944">
        <w:t xml:space="preserve"> Therefore, cefalexin has been grouped as an antimicrobial indicated for </w:t>
      </w:r>
      <w:r w:rsidR="00DF238E" w:rsidRPr="00F46944">
        <w:t xml:space="preserve">URTIs </w:t>
      </w:r>
      <w:r w:rsidR="00AD0546" w:rsidRPr="00F46944">
        <w:t xml:space="preserve">in this section. </w:t>
      </w:r>
    </w:p>
    <w:p w14:paraId="34FE8773" w14:textId="0947B139" w:rsidR="00C97E83" w:rsidRPr="00F46944" w:rsidRDefault="00692ED8" w:rsidP="00E56050">
      <w:bookmarkStart w:id="152" w:name="_Hlk105366991"/>
      <w:bookmarkStart w:id="153" w:name="_Hlk105365467"/>
      <w:r w:rsidRPr="00F46944">
        <w:t>There was an increase in supply of antimicrobials for URTIs in March 2020</w:t>
      </w:r>
      <w:r w:rsidR="005E2BEF" w:rsidRPr="00F46944">
        <w:t>,</w:t>
      </w:r>
      <w:r w:rsidRPr="00F46944">
        <w:t xml:space="preserve"> which aligned with increased GP presentations for respiratory illnesses.</w:t>
      </w:r>
      <w:r w:rsidRPr="00F46944">
        <w:fldChar w:fldCharType="begin"/>
      </w:r>
      <w:r w:rsidR="00412507">
        <w:instrText xml:space="preserve"> ADDIN EN.CITE &lt;EndNote&gt;&lt;Cite&gt;&lt;Author&gt;Care&lt;/Author&gt;&lt;Year&gt;2020&lt;/Year&gt;&lt;RecNum&gt;11&lt;/RecNum&gt;&lt;DisplayText&gt;&lt;style face="superscript"&gt;6,12&lt;/style&gt;&lt;/DisplayText&gt;&lt;record&gt;&lt;rec-number&gt;11&lt;/rec-number&gt;&lt;foreign-keys&gt;&lt;key app="EN" db-id="es9dr99ws90stoe5x2rp505nazvswdzppxa5" timestamp="1670810540"&gt;11&lt;/key&gt;&lt;/foreign-keys&gt;&lt;ref-type name="Government Document"&gt;46&lt;/ref-type&gt;&lt;contributors&gt;&lt;authors&gt;&lt;author&gt;Australian Government Department of Health and Aged Care&lt;/author&gt;&lt;/authors&gt;&lt;/contributors&gt;&lt;titles&gt;&lt;title&gt;National 2020 Influenza Season Summary &lt;/title&gt;&lt;/titles&gt;&lt;dates&gt;&lt;year&gt;2020&lt;/year&gt;&lt;/dates&gt;&lt;urls&gt;&lt;related-urls&gt;&lt;url&gt;https://www1.health.gov.au/internet/main/publishing.nsf/Content/03943F9CD20D2CCCCA2586410078F296/$File/National-Influenza-Season-Summary2020.pdf&lt;/url&gt;&lt;/related-urls&gt;&lt;/urls&gt;&lt;/record&gt;&lt;/Cite&gt;&lt;Cite&gt;&lt;Author&gt;NPS MedicineWise&lt;/Author&gt;&lt;RecNum&gt;6&lt;/RecNum&gt;&lt;record&gt;&lt;rec-number&gt;6&lt;/rec-number&gt;&lt;foreign-keys&gt;&lt;key app="EN" db-id="es9dr99ws90stoe5x2rp505nazvswdzppxa5" timestamp="1670810539"&gt;6&lt;/key&gt;&lt;/foreign-keys&gt;&lt;ref-type name="Unpublished Work"&gt;34&lt;/ref-type&gt;&lt;contributors&gt;&lt;authors&gt;&lt;author&gt;NPS MedicineWise,&lt;/author&gt;&lt;/authors&gt;&lt;/contributors&gt;&lt;titles&gt;&lt;title&gt;MedicineInsight data analyses for AURA Community report, May 2022 (unpublished)&lt;/title&gt;&lt;/titles&gt;&lt;dates&gt;&lt;/dates&gt;&lt;publisher&gt;NPS MedicineWise&lt;/publisher&gt;&lt;urls&gt;&lt;/urls&gt;&lt;/record&gt;&lt;/Cite&gt;&lt;/EndNote&gt;</w:instrText>
      </w:r>
      <w:r w:rsidRPr="00F46944">
        <w:fldChar w:fldCharType="separate"/>
      </w:r>
      <w:r w:rsidR="00C16B8F" w:rsidRPr="00C16B8F">
        <w:rPr>
          <w:noProof/>
          <w:vertAlign w:val="superscript"/>
        </w:rPr>
        <w:t>6,12</w:t>
      </w:r>
      <w:r w:rsidRPr="00F46944">
        <w:fldChar w:fldCharType="end"/>
      </w:r>
      <w:bookmarkEnd w:id="152"/>
      <w:r w:rsidRPr="00F46944">
        <w:t xml:space="preserve"> </w:t>
      </w:r>
      <w:r w:rsidR="00C97E83" w:rsidRPr="00F46944">
        <w:t xml:space="preserve">The largest decrease in supply of antimicrobials </w:t>
      </w:r>
      <w:r w:rsidR="00131A8E" w:rsidRPr="00F46944">
        <w:t xml:space="preserve">following the introduction of </w:t>
      </w:r>
      <w:r w:rsidR="00C97E83" w:rsidRPr="00F46944">
        <w:t>the COVID-19 pandemic restrictions</w:t>
      </w:r>
      <w:r w:rsidR="00131A8E" w:rsidRPr="00F46944">
        <w:t xml:space="preserve"> </w:t>
      </w:r>
      <w:r w:rsidR="00C97E83" w:rsidRPr="00F46944">
        <w:t xml:space="preserve">was for antimicrobials commonly indicated for URTIs </w:t>
      </w:r>
      <w:r w:rsidR="003B2837" w:rsidRPr="00F46944">
        <w:t>(Figure 22). This is compared to prescription rates for antimicrobials predominantly used for UTIs and skin conditions and those prescribed for other indications, which have been relatively consistent between 2019 and 2021 (</w:t>
      </w:r>
      <w:r w:rsidR="003B2837" w:rsidRPr="00D34887">
        <w:t>Figure</w:t>
      </w:r>
      <w:r w:rsidR="003B2837" w:rsidRPr="00112691">
        <w:t> 23</w:t>
      </w:r>
      <w:r w:rsidR="003B2837" w:rsidRPr="00F46944">
        <w:t>).</w:t>
      </w:r>
      <w:bookmarkEnd w:id="153"/>
      <w:r w:rsidR="003E588E">
        <w:t xml:space="preserve">There was </w:t>
      </w:r>
      <w:r w:rsidR="00C97E83" w:rsidRPr="00F46944">
        <w:t xml:space="preserve">also an increase in the use of antimicrobials commonly used for respiratory </w:t>
      </w:r>
      <w:r w:rsidR="00000115" w:rsidRPr="00F46944">
        <w:t>illnesses</w:t>
      </w:r>
      <w:r w:rsidR="00C97E83" w:rsidRPr="00F46944">
        <w:t xml:space="preserve"> </w:t>
      </w:r>
      <w:r w:rsidR="00BE7A0E" w:rsidRPr="00F46944">
        <w:t xml:space="preserve">during the </w:t>
      </w:r>
      <w:r w:rsidR="00C97E83" w:rsidRPr="00F46944">
        <w:t xml:space="preserve">winter </w:t>
      </w:r>
      <w:r w:rsidR="00BE7A0E" w:rsidRPr="00F46944">
        <w:t xml:space="preserve">months </w:t>
      </w:r>
      <w:r w:rsidR="00C97E83" w:rsidRPr="00F46944">
        <w:t>in 2021</w:t>
      </w:r>
      <w:r w:rsidR="00BE7A0E" w:rsidRPr="00F46944">
        <w:t>, although</w:t>
      </w:r>
      <w:r w:rsidR="00C97E83" w:rsidRPr="00F46944">
        <w:t xml:space="preserve"> use remained lower </w:t>
      </w:r>
      <w:r w:rsidR="00BE7A0E" w:rsidRPr="00F46944">
        <w:t>than in</w:t>
      </w:r>
      <w:r w:rsidR="00C97E83" w:rsidRPr="00F46944">
        <w:t xml:space="preserve"> 2019</w:t>
      </w:r>
      <w:r w:rsidR="00E56050">
        <w:t xml:space="preserve"> (</w:t>
      </w:r>
      <w:r w:rsidR="00E56050" w:rsidRPr="00D34887">
        <w:t>Figure</w:t>
      </w:r>
      <w:r w:rsidR="00112691">
        <w:t> </w:t>
      </w:r>
      <w:r w:rsidR="00E56050" w:rsidRPr="00112691">
        <w:t>22</w:t>
      </w:r>
      <w:r w:rsidR="00E56050">
        <w:t>)</w:t>
      </w:r>
      <w:r w:rsidR="00C97E83" w:rsidRPr="00F46944">
        <w:t xml:space="preserve">. </w:t>
      </w:r>
    </w:p>
    <w:p w14:paraId="483D5801" w14:textId="60FA8DC6" w:rsidR="0017097B" w:rsidRPr="00FF4C3A" w:rsidRDefault="00FF4C3A" w:rsidP="00FF4C3A">
      <w:pPr>
        <w:pStyle w:val="Captions"/>
        <w:rPr>
          <w:b w:val="0"/>
          <w:bCs w:val="0"/>
        </w:rPr>
      </w:pPr>
      <w:bookmarkStart w:id="154" w:name="_Toc121491334"/>
      <w:bookmarkStart w:id="155" w:name="_Toc121840906"/>
      <w:r>
        <w:t>Figure</w:t>
      </w:r>
      <w:r w:rsidRPr="00F46944">
        <w:t> </w:t>
      </w:r>
      <w:fldSimple w:instr=" SEQ Figure \* ARABIC ">
        <w:r w:rsidR="00F34DDD">
          <w:rPr>
            <w:noProof/>
          </w:rPr>
          <w:t>22</w:t>
        </w:r>
      </w:fldSimple>
      <w:r w:rsidR="0017097B" w:rsidRPr="00F46944">
        <w:t>:</w:t>
      </w:r>
      <w:r w:rsidR="0017097B" w:rsidRPr="00FF4C3A">
        <w:rPr>
          <w:b w:val="0"/>
          <w:bCs w:val="0"/>
        </w:rPr>
        <w:t> </w:t>
      </w:r>
      <w:r w:rsidR="005729E2" w:rsidRPr="00FF4C3A">
        <w:rPr>
          <w:b w:val="0"/>
          <w:bCs w:val="0"/>
        </w:rPr>
        <w:t xml:space="preserve">Number of PBS/RPBS </w:t>
      </w:r>
      <w:r w:rsidR="00CC5D41" w:rsidRPr="00FF4C3A">
        <w:rPr>
          <w:b w:val="0"/>
          <w:bCs w:val="0"/>
        </w:rPr>
        <w:t xml:space="preserve">antimicrobial </w:t>
      </w:r>
      <w:r w:rsidR="005729E2" w:rsidRPr="00FF4C3A">
        <w:rPr>
          <w:b w:val="0"/>
          <w:bCs w:val="0"/>
        </w:rPr>
        <w:t xml:space="preserve">prescriptions </w:t>
      </w:r>
      <w:r w:rsidR="00FE69C2" w:rsidRPr="00FF4C3A">
        <w:rPr>
          <w:b w:val="0"/>
          <w:bCs w:val="0"/>
        </w:rPr>
        <w:t xml:space="preserve">dispensed for </w:t>
      </w:r>
      <w:r w:rsidR="00F74E80" w:rsidRPr="00FF4C3A">
        <w:rPr>
          <w:b w:val="0"/>
          <w:bCs w:val="0"/>
        </w:rPr>
        <w:t>URTIs</w:t>
      </w:r>
      <w:r w:rsidR="008A4AAE">
        <w:rPr>
          <w:b w:val="0"/>
          <w:bCs w:val="0"/>
        </w:rPr>
        <w:t>*</w:t>
      </w:r>
      <w:r w:rsidR="00FE69C2" w:rsidRPr="00FF4C3A">
        <w:rPr>
          <w:b w:val="0"/>
          <w:bCs w:val="0"/>
        </w:rPr>
        <w:t xml:space="preserve">, </w:t>
      </w:r>
      <w:r w:rsidR="005729E2" w:rsidRPr="00FF4C3A">
        <w:rPr>
          <w:b w:val="0"/>
          <w:bCs w:val="0"/>
        </w:rPr>
        <w:t>2019–2021</w:t>
      </w:r>
      <w:bookmarkEnd w:id="154"/>
      <w:bookmarkEnd w:id="155"/>
    </w:p>
    <w:p w14:paraId="63D9BF22" w14:textId="7D520870" w:rsidR="00436423" w:rsidRPr="00F46944" w:rsidRDefault="00580F90" w:rsidP="008B1CB0">
      <w:pPr>
        <w:spacing w:after="0"/>
        <w:jc w:val="center"/>
      </w:pPr>
      <w:r>
        <w:rPr>
          <w:noProof/>
        </w:rPr>
        <w:drawing>
          <wp:inline distT="0" distB="0" distL="0" distR="0" wp14:anchorId="3675ABA0" wp14:editId="008F3996">
            <wp:extent cx="6066155" cy="3602990"/>
            <wp:effectExtent l="0" t="0" r="0" b="0"/>
            <wp:docPr id="97" name="Picture 97" descr="Figure 22: Number of PBS/RPBS antimicrobial prescriptions dispensed for URTIs, 2019–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Figure 22: Number of PBS/RPBS antimicrobial prescriptions dispensed for URTIs, 2019–20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66155" cy="3602990"/>
                    </a:xfrm>
                    <a:prstGeom prst="rect">
                      <a:avLst/>
                    </a:prstGeom>
                    <a:noFill/>
                  </pic:spPr>
                </pic:pic>
              </a:graphicData>
            </a:graphic>
          </wp:inline>
        </w:drawing>
      </w:r>
    </w:p>
    <w:p w14:paraId="38F51D1B" w14:textId="77777777" w:rsidR="00112691" w:rsidRDefault="005729E2" w:rsidP="004919A3">
      <w:pPr>
        <w:tabs>
          <w:tab w:val="left" w:pos="142"/>
        </w:tabs>
        <w:spacing w:after="0"/>
        <w:rPr>
          <w:rFonts w:cstheme="minorHAnsi"/>
          <w:sz w:val="16"/>
          <w:szCs w:val="16"/>
        </w:rPr>
      </w:pPr>
      <w:r w:rsidRPr="00F46944">
        <w:rPr>
          <w:rFonts w:cstheme="minorHAnsi"/>
          <w:sz w:val="16"/>
          <w:szCs w:val="16"/>
        </w:rPr>
        <w:t>PBS = Pharmaceutical Benefits Scheme; RPBS = Repatriation Pharmaceutical Benefits Scheme</w:t>
      </w:r>
      <w:r w:rsidR="00F74E80" w:rsidRPr="00F46944">
        <w:rPr>
          <w:rFonts w:cstheme="minorHAnsi"/>
          <w:sz w:val="16"/>
          <w:szCs w:val="16"/>
        </w:rPr>
        <w:t>; URTI = upper respiratory tract infection</w:t>
      </w:r>
    </w:p>
    <w:p w14:paraId="0CF0899F" w14:textId="327EFE7B" w:rsidR="00112691" w:rsidRDefault="00CC5D41" w:rsidP="004919A3">
      <w:pPr>
        <w:tabs>
          <w:tab w:val="left" w:pos="142"/>
        </w:tabs>
        <w:spacing w:after="0"/>
        <w:ind w:left="135" w:hanging="135"/>
        <w:rPr>
          <w:rFonts w:cstheme="minorHAnsi"/>
          <w:bCs/>
          <w:sz w:val="16"/>
          <w:szCs w:val="16"/>
        </w:rPr>
      </w:pPr>
      <w:r w:rsidRPr="00F46944">
        <w:rPr>
          <w:rFonts w:cstheme="minorHAnsi"/>
          <w:sz w:val="16"/>
          <w:szCs w:val="16"/>
        </w:rPr>
        <w:t>*</w:t>
      </w:r>
      <w:r w:rsidR="00112691">
        <w:rPr>
          <w:rFonts w:cstheme="minorHAnsi"/>
          <w:sz w:val="16"/>
          <w:szCs w:val="16"/>
        </w:rPr>
        <w:tab/>
      </w:r>
      <w:r w:rsidR="0003377C">
        <w:rPr>
          <w:rFonts w:cstheme="minorHAnsi"/>
          <w:sz w:val="16"/>
          <w:szCs w:val="16"/>
        </w:rPr>
        <w:t>A</w:t>
      </w:r>
      <w:r w:rsidR="0003377C" w:rsidRPr="0003377C">
        <w:rPr>
          <w:rFonts w:cstheme="minorHAnsi"/>
          <w:bCs/>
          <w:sz w:val="16"/>
          <w:szCs w:val="16"/>
        </w:rPr>
        <w:t>moxicillin, amoxicillin</w:t>
      </w:r>
      <w:r w:rsidR="0003377C" w:rsidRPr="0003377C">
        <w:rPr>
          <w:rFonts w:cstheme="minorHAnsi"/>
          <w:sz w:val="16"/>
          <w:szCs w:val="16"/>
        </w:rPr>
        <w:t>–</w:t>
      </w:r>
      <w:r w:rsidR="0003377C" w:rsidRPr="0003377C">
        <w:rPr>
          <w:rFonts w:cstheme="minorHAnsi"/>
          <w:bCs/>
          <w:sz w:val="16"/>
          <w:szCs w:val="16"/>
        </w:rPr>
        <w:t>clavulanic acid, azithromycin, cefaclor, cefalexin, ciprofloxacin, clarithromycin, doxycycline, erythromycin, phenoxymethylpenicillin</w:t>
      </w:r>
      <w:r w:rsidR="0003377C">
        <w:rPr>
          <w:rFonts w:cstheme="minorHAnsi"/>
          <w:bCs/>
          <w:sz w:val="16"/>
          <w:szCs w:val="16"/>
        </w:rPr>
        <w:t xml:space="preserve"> and </w:t>
      </w:r>
      <w:r w:rsidR="0003377C" w:rsidRPr="0003377C">
        <w:rPr>
          <w:rFonts w:cstheme="minorHAnsi"/>
          <w:bCs/>
          <w:sz w:val="16"/>
          <w:szCs w:val="16"/>
        </w:rPr>
        <w:t>roxithromycin</w:t>
      </w:r>
    </w:p>
    <w:p w14:paraId="0447C04B" w14:textId="5CFC7282" w:rsidR="00202D52" w:rsidRPr="00F46944" w:rsidRDefault="00202D52" w:rsidP="004919A3">
      <w:pPr>
        <w:tabs>
          <w:tab w:val="left" w:pos="142"/>
        </w:tabs>
        <w:spacing w:after="0"/>
        <w:rPr>
          <w:rFonts w:cstheme="minorHAnsi"/>
          <w:b/>
        </w:rPr>
      </w:pPr>
      <w:r w:rsidRPr="00F46944">
        <w:rPr>
          <w:rFonts w:cstheme="minorHAnsi"/>
          <w:sz w:val="16"/>
          <w:szCs w:val="16"/>
        </w:rPr>
        <w:t>Source: Gadzhanova, Roughead</w:t>
      </w:r>
      <w:r w:rsidRPr="00F46944">
        <w:rPr>
          <w:rFonts w:cstheme="minorHAnsi"/>
          <w:sz w:val="16"/>
          <w:szCs w:val="16"/>
        </w:rPr>
        <w:fldChar w:fldCharType="begin"/>
      </w:r>
      <w:r w:rsidR="00DB0DCB">
        <w:rPr>
          <w:rFonts w:cstheme="minorHAnsi"/>
          <w:sz w:val="16"/>
          <w:szCs w:val="16"/>
        </w:rPr>
        <w:instrText xml:space="preserve"> ADDIN EN.CITE &lt;EndNote&gt;&lt;Cite&gt;&lt;Author&gt;Gadzhanova&lt;/Author&gt;&lt;RecNum&gt;5&lt;/RecNum&gt;&lt;DisplayText&gt;&lt;style face="superscript"&gt;5&lt;/style&gt;&lt;/DisplayText&gt;&lt;record&gt;&lt;rec-number&gt;5&lt;/rec-number&gt;&lt;foreign-keys&gt;&lt;key app="EN" db-id="es9dr99ws90stoe5x2rp505nazvswdzppxa5" timestamp="1670810539"&gt;5&lt;/key&gt;&lt;/foreign-keys&gt;&lt;ref-type name="Unpublished Work"&gt;34&lt;/ref-type&gt;&lt;contributors&gt;&lt;authors&gt;&lt;author&gt;Gadzhanova, S.&lt;/author&gt;&lt;author&gt;Roughead, E.&lt;/author&gt;&lt;/authors&gt;&lt;/contributors&gt;&lt;titles&gt;&lt;title&gt;Analysis of 2015–2021 PBS data for the National Report on Antimicrobial Use and Resistance (unpublished)&lt;/title&gt;&lt;/titles&gt;&lt;dates&gt;&lt;/dates&gt;&lt;pub-location&gt;Sydney &lt;/pub-location&gt;&lt;publisher&gt;ACSQHC &lt;/publisher&gt;&lt;urls&gt;&lt;/urls&gt;&lt;/record&gt;&lt;/Cite&gt;&lt;/EndNote&gt;</w:instrText>
      </w:r>
      <w:r w:rsidRPr="00F46944">
        <w:rPr>
          <w:rFonts w:cstheme="minorHAnsi"/>
          <w:sz w:val="16"/>
          <w:szCs w:val="16"/>
        </w:rPr>
        <w:fldChar w:fldCharType="separate"/>
      </w:r>
      <w:r w:rsidR="001C0A42" w:rsidRPr="001C0A42">
        <w:rPr>
          <w:rFonts w:cstheme="minorHAnsi"/>
          <w:noProof/>
          <w:sz w:val="16"/>
          <w:szCs w:val="16"/>
          <w:vertAlign w:val="superscript"/>
        </w:rPr>
        <w:t>5</w:t>
      </w:r>
      <w:r w:rsidRPr="00F46944">
        <w:rPr>
          <w:rFonts w:cstheme="minorHAnsi"/>
          <w:sz w:val="16"/>
          <w:szCs w:val="16"/>
        </w:rPr>
        <w:fldChar w:fldCharType="end"/>
      </w:r>
    </w:p>
    <w:p w14:paraId="65F6034B" w14:textId="77777777" w:rsidR="00854F00" w:rsidRDefault="00854F00">
      <w:pPr>
        <w:spacing w:after="80"/>
        <w:rPr>
          <w:b/>
          <w:bCs/>
        </w:rPr>
      </w:pPr>
      <w:bookmarkStart w:id="156" w:name="_Toc121491335"/>
      <w:r>
        <w:rPr>
          <w:b/>
          <w:bCs/>
        </w:rPr>
        <w:br w:type="page"/>
      </w:r>
    </w:p>
    <w:p w14:paraId="68C4455E" w14:textId="165C83A2" w:rsidR="00E21902" w:rsidRPr="00C562B6" w:rsidRDefault="00C562B6" w:rsidP="004919A3">
      <w:pPr>
        <w:spacing w:after="80"/>
      </w:pPr>
      <w:bookmarkStart w:id="157" w:name="_Toc121840907"/>
      <w:r w:rsidRPr="004919A3">
        <w:rPr>
          <w:b/>
          <w:bCs/>
        </w:rPr>
        <w:lastRenderedPageBreak/>
        <w:t>Figure </w:t>
      </w:r>
      <w:r w:rsidR="003140B6" w:rsidRPr="004919A3">
        <w:rPr>
          <w:b/>
          <w:bCs/>
        </w:rPr>
        <w:fldChar w:fldCharType="begin"/>
      </w:r>
      <w:r w:rsidR="003140B6" w:rsidRPr="004919A3">
        <w:rPr>
          <w:b/>
          <w:bCs/>
        </w:rPr>
        <w:instrText xml:space="preserve"> SEQ Figure \* ARABIC </w:instrText>
      </w:r>
      <w:r w:rsidR="003140B6" w:rsidRPr="004919A3">
        <w:rPr>
          <w:b/>
          <w:bCs/>
        </w:rPr>
        <w:fldChar w:fldCharType="separate"/>
      </w:r>
      <w:r w:rsidR="00F34DDD">
        <w:rPr>
          <w:b/>
          <w:bCs/>
          <w:noProof/>
        </w:rPr>
        <w:t>23</w:t>
      </w:r>
      <w:r w:rsidR="003140B6" w:rsidRPr="004919A3">
        <w:rPr>
          <w:b/>
          <w:bCs/>
          <w:noProof/>
        </w:rPr>
        <w:fldChar w:fldCharType="end"/>
      </w:r>
      <w:r w:rsidR="00E21902" w:rsidRPr="004919A3">
        <w:rPr>
          <w:b/>
          <w:bCs/>
        </w:rPr>
        <w:t>:</w:t>
      </w:r>
      <w:r w:rsidRPr="00C562B6">
        <w:t> </w:t>
      </w:r>
      <w:r w:rsidR="00E21902" w:rsidRPr="00C562B6">
        <w:t xml:space="preserve">Number of </w:t>
      </w:r>
      <w:r w:rsidR="005729E2" w:rsidRPr="00C562B6">
        <w:t>PBS/RPBS</w:t>
      </w:r>
      <w:r w:rsidR="00CC5D41" w:rsidRPr="00C562B6">
        <w:t xml:space="preserve"> antimicrobial</w:t>
      </w:r>
      <w:r w:rsidR="005729E2" w:rsidRPr="00C562B6">
        <w:t xml:space="preserve"> </w:t>
      </w:r>
      <w:r w:rsidR="00E21902" w:rsidRPr="00C562B6">
        <w:t xml:space="preserve">prescriptions </w:t>
      </w:r>
      <w:r w:rsidR="00FE69C2" w:rsidRPr="00C562B6">
        <w:t xml:space="preserve">dispensed for </w:t>
      </w:r>
      <w:r w:rsidR="00BE7A1F" w:rsidRPr="00C562B6">
        <w:t xml:space="preserve">various </w:t>
      </w:r>
      <w:r w:rsidR="004E5645">
        <w:t>indications</w:t>
      </w:r>
      <w:r w:rsidR="00BE7A1F" w:rsidRPr="00C562B6">
        <w:t>*</w:t>
      </w:r>
      <w:r w:rsidR="00FE69C2" w:rsidRPr="00C562B6">
        <w:t>,</w:t>
      </w:r>
      <w:r w:rsidR="00E21902" w:rsidRPr="00C562B6">
        <w:t xml:space="preserve"> 2019</w:t>
      </w:r>
      <w:r w:rsidR="005729E2" w:rsidRPr="00C562B6">
        <w:t>–</w:t>
      </w:r>
      <w:r w:rsidR="00E21902" w:rsidRPr="00C562B6">
        <w:t>2021</w:t>
      </w:r>
      <w:bookmarkEnd w:id="156"/>
      <w:bookmarkEnd w:id="157"/>
    </w:p>
    <w:p w14:paraId="4D9756E2" w14:textId="649354A8" w:rsidR="00D646A7" w:rsidRPr="00F46944" w:rsidRDefault="00580F90" w:rsidP="00E21902">
      <w:pPr>
        <w:spacing w:before="120" w:after="120"/>
        <w:rPr>
          <w:rFonts w:cstheme="minorHAnsi"/>
          <w:bCs/>
        </w:rPr>
      </w:pPr>
      <w:r>
        <w:rPr>
          <w:rFonts w:cstheme="minorHAnsi"/>
          <w:bCs/>
          <w:noProof/>
        </w:rPr>
        <w:drawing>
          <wp:inline distT="0" distB="0" distL="0" distR="0" wp14:anchorId="600154C7" wp14:editId="1033C377">
            <wp:extent cx="5925820" cy="3066415"/>
            <wp:effectExtent l="0" t="0" r="0" b="635"/>
            <wp:docPr id="99" name="Picture 99" descr="Figure 23: Number of PBS/RPBS antimicrobial prescriptions dispensed for various indications, 2019–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Figure 23: Number of PBS/RPBS antimicrobial prescriptions dispensed for various indications, 2019–20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25820" cy="3066415"/>
                    </a:xfrm>
                    <a:prstGeom prst="rect">
                      <a:avLst/>
                    </a:prstGeom>
                    <a:noFill/>
                  </pic:spPr>
                </pic:pic>
              </a:graphicData>
            </a:graphic>
          </wp:inline>
        </w:drawing>
      </w:r>
    </w:p>
    <w:p w14:paraId="6D2E9D34" w14:textId="77777777" w:rsidR="008A4AAE" w:rsidRDefault="00844AD6" w:rsidP="008A4AAE">
      <w:pPr>
        <w:tabs>
          <w:tab w:val="left" w:pos="142"/>
        </w:tabs>
        <w:spacing w:before="120" w:after="0"/>
        <w:rPr>
          <w:rFonts w:cstheme="minorHAnsi"/>
          <w:sz w:val="16"/>
          <w:szCs w:val="16"/>
        </w:rPr>
      </w:pPr>
      <w:r w:rsidRPr="00F46944">
        <w:rPr>
          <w:rFonts w:cstheme="minorHAnsi"/>
          <w:sz w:val="16"/>
          <w:szCs w:val="16"/>
        </w:rPr>
        <w:t>PBS = Pharmaceutical Benefits Scheme; RPBS = Repatriation Pharmaceutical Benefits Scheme; UTI = urinary tract infection</w:t>
      </w:r>
    </w:p>
    <w:p w14:paraId="5DAFF6B2" w14:textId="5A5BACE0" w:rsidR="00D518EA" w:rsidRDefault="00114092" w:rsidP="004919A3">
      <w:pPr>
        <w:tabs>
          <w:tab w:val="left" w:pos="142"/>
        </w:tabs>
        <w:spacing w:after="0"/>
        <w:ind w:left="135" w:hanging="135"/>
        <w:rPr>
          <w:rFonts w:cstheme="minorHAnsi"/>
          <w:sz w:val="16"/>
          <w:szCs w:val="16"/>
        </w:rPr>
      </w:pPr>
      <w:r>
        <w:rPr>
          <w:rFonts w:cstheme="minorHAnsi"/>
          <w:sz w:val="16"/>
          <w:szCs w:val="16"/>
        </w:rPr>
        <w:t>*</w:t>
      </w:r>
      <w:r w:rsidR="004E5645">
        <w:rPr>
          <w:sz w:val="16"/>
          <w:szCs w:val="16"/>
        </w:rPr>
        <w:tab/>
        <w:t>Urinary tract infections (</w:t>
      </w:r>
      <w:r w:rsidR="00B464F1" w:rsidRPr="004E5645">
        <w:rPr>
          <w:sz w:val="16"/>
          <w:szCs w:val="16"/>
        </w:rPr>
        <w:t xml:space="preserve">methenamine </w:t>
      </w:r>
      <w:proofErr w:type="spellStart"/>
      <w:r w:rsidR="00B464F1" w:rsidRPr="004E5645">
        <w:rPr>
          <w:sz w:val="16"/>
          <w:szCs w:val="16"/>
        </w:rPr>
        <w:t>hippurate</w:t>
      </w:r>
      <w:proofErr w:type="spellEnd"/>
      <w:r w:rsidR="00B464F1">
        <w:rPr>
          <w:sz w:val="16"/>
          <w:szCs w:val="16"/>
        </w:rPr>
        <w:t xml:space="preserve">, </w:t>
      </w:r>
      <w:r w:rsidR="004E5645" w:rsidRPr="004E5645">
        <w:rPr>
          <w:sz w:val="16"/>
          <w:szCs w:val="16"/>
          <w:lang w:val="en-US"/>
        </w:rPr>
        <w:t>nitrofurantoin,</w:t>
      </w:r>
      <w:r w:rsidR="00B464F1">
        <w:rPr>
          <w:sz w:val="16"/>
          <w:szCs w:val="16"/>
          <w:lang w:val="en-US"/>
        </w:rPr>
        <w:t xml:space="preserve"> </w:t>
      </w:r>
      <w:r w:rsidR="00B464F1" w:rsidRPr="004E5645">
        <w:rPr>
          <w:sz w:val="16"/>
          <w:szCs w:val="16"/>
          <w:lang w:val="en-US"/>
        </w:rPr>
        <w:t>norfloxacin,</w:t>
      </w:r>
      <w:r w:rsidR="00B464F1">
        <w:rPr>
          <w:sz w:val="16"/>
          <w:szCs w:val="16"/>
          <w:lang w:val="en-US"/>
        </w:rPr>
        <w:t xml:space="preserve"> </w:t>
      </w:r>
      <w:r w:rsidR="00B464F1" w:rsidRPr="004E5645">
        <w:rPr>
          <w:sz w:val="16"/>
          <w:szCs w:val="16"/>
          <w:lang w:val="en-US"/>
        </w:rPr>
        <w:t>trimethopri</w:t>
      </w:r>
      <w:r w:rsidR="00B464F1">
        <w:rPr>
          <w:sz w:val="16"/>
          <w:szCs w:val="16"/>
          <w:lang w:val="en-US"/>
        </w:rPr>
        <w:t>m</w:t>
      </w:r>
      <w:r w:rsidR="004E5645">
        <w:rPr>
          <w:sz w:val="16"/>
          <w:szCs w:val="16"/>
        </w:rPr>
        <w:t>); Skin conditions (</w:t>
      </w:r>
      <w:r w:rsidR="004E5645" w:rsidRPr="004E5645">
        <w:rPr>
          <w:sz w:val="16"/>
          <w:szCs w:val="16"/>
          <w:lang w:val="en-US"/>
        </w:rPr>
        <w:t>flucloxacillin</w:t>
      </w:r>
      <w:r w:rsidR="00B464F1">
        <w:rPr>
          <w:sz w:val="16"/>
          <w:szCs w:val="16"/>
          <w:lang w:val="en-US"/>
        </w:rPr>
        <w:t xml:space="preserve">, </w:t>
      </w:r>
      <w:r w:rsidR="00B464F1" w:rsidRPr="004E5645">
        <w:rPr>
          <w:sz w:val="16"/>
          <w:szCs w:val="16"/>
          <w:lang w:val="en-US"/>
        </w:rPr>
        <w:t>minocycline</w:t>
      </w:r>
      <w:r w:rsidR="004E5645">
        <w:rPr>
          <w:sz w:val="16"/>
          <w:szCs w:val="16"/>
          <w:lang w:val="en-US"/>
        </w:rPr>
        <w:t>); Other conditions (</w:t>
      </w:r>
      <w:proofErr w:type="spellStart"/>
      <w:r w:rsidR="004E5645">
        <w:rPr>
          <w:sz w:val="16"/>
          <w:szCs w:val="16"/>
          <w:lang w:val="en-US"/>
        </w:rPr>
        <w:t>ant</w:t>
      </w:r>
      <w:r w:rsidR="00D518EA">
        <w:rPr>
          <w:sz w:val="16"/>
          <w:szCs w:val="16"/>
          <w:lang w:val="en-US"/>
        </w:rPr>
        <w:t>i</w:t>
      </w:r>
      <w:r w:rsidR="004E5645">
        <w:rPr>
          <w:sz w:val="16"/>
          <w:szCs w:val="16"/>
          <w:lang w:val="en-US"/>
        </w:rPr>
        <w:t>bacterials</w:t>
      </w:r>
      <w:proofErr w:type="spellEnd"/>
      <w:r w:rsidR="004E5645">
        <w:rPr>
          <w:sz w:val="16"/>
          <w:szCs w:val="16"/>
          <w:lang w:val="en-US"/>
        </w:rPr>
        <w:t xml:space="preserve"> for systemic use excluding </w:t>
      </w:r>
      <w:r w:rsidR="00844AD6" w:rsidRPr="00F46944">
        <w:rPr>
          <w:rFonts w:cstheme="minorHAnsi"/>
          <w:bCs/>
          <w:sz w:val="16"/>
          <w:szCs w:val="16"/>
        </w:rPr>
        <w:t>amoxicillin, amoxicillin</w:t>
      </w:r>
      <w:r w:rsidR="00844AD6" w:rsidRPr="00F46944">
        <w:rPr>
          <w:rFonts w:cstheme="minorHAnsi"/>
          <w:sz w:val="16"/>
          <w:szCs w:val="16"/>
        </w:rPr>
        <w:t>–</w:t>
      </w:r>
      <w:r w:rsidR="00844AD6" w:rsidRPr="00F46944">
        <w:rPr>
          <w:rFonts w:cstheme="minorHAnsi"/>
          <w:bCs/>
          <w:sz w:val="16"/>
          <w:szCs w:val="16"/>
        </w:rPr>
        <w:t xml:space="preserve">clavulanic acid, azithromycin, cefaclor, cefalexin, ciprofloxacin, clarithromycin, doxycycline, erythromycin, </w:t>
      </w:r>
      <w:r w:rsidR="00844AD6" w:rsidRPr="00F46944">
        <w:rPr>
          <w:rFonts w:cstheme="minorHAnsi"/>
          <w:sz w:val="16"/>
          <w:szCs w:val="16"/>
        </w:rPr>
        <w:t xml:space="preserve">flucloxacillin, methenamine </w:t>
      </w:r>
      <w:proofErr w:type="spellStart"/>
      <w:r w:rsidR="00844AD6" w:rsidRPr="00F46944">
        <w:rPr>
          <w:rFonts w:cstheme="minorHAnsi"/>
          <w:sz w:val="16"/>
          <w:szCs w:val="16"/>
        </w:rPr>
        <w:t>hippurate</w:t>
      </w:r>
      <w:proofErr w:type="spellEnd"/>
      <w:r w:rsidR="00844AD6" w:rsidRPr="00F46944">
        <w:rPr>
          <w:rFonts w:cstheme="minorHAnsi"/>
          <w:sz w:val="16"/>
          <w:szCs w:val="16"/>
        </w:rPr>
        <w:t xml:space="preserve">, minocycline, nitrofurantoin, norfloxacin, </w:t>
      </w:r>
      <w:r w:rsidR="00844AD6" w:rsidRPr="00F46944">
        <w:rPr>
          <w:rFonts w:cstheme="minorHAnsi"/>
          <w:bCs/>
          <w:sz w:val="16"/>
          <w:szCs w:val="16"/>
        </w:rPr>
        <w:t xml:space="preserve">phenoxymethylpenicillin, roxithromycin and </w:t>
      </w:r>
      <w:r w:rsidR="00844AD6" w:rsidRPr="00F46944">
        <w:rPr>
          <w:rFonts w:cstheme="minorHAnsi"/>
          <w:sz w:val="16"/>
          <w:szCs w:val="16"/>
        </w:rPr>
        <w:t>trimethoprim</w:t>
      </w:r>
      <w:r w:rsidR="00844AD6">
        <w:rPr>
          <w:rFonts w:cstheme="minorHAnsi"/>
          <w:sz w:val="16"/>
          <w:szCs w:val="16"/>
        </w:rPr>
        <w:t>)</w:t>
      </w:r>
    </w:p>
    <w:p w14:paraId="39BE8AFC" w14:textId="0AD7C821" w:rsidR="00202D52" w:rsidRDefault="00202D52">
      <w:pPr>
        <w:tabs>
          <w:tab w:val="left" w:pos="142"/>
        </w:tabs>
        <w:spacing w:after="120"/>
        <w:rPr>
          <w:rFonts w:cstheme="minorHAnsi"/>
          <w:sz w:val="16"/>
          <w:szCs w:val="16"/>
        </w:rPr>
      </w:pPr>
      <w:r w:rsidRPr="00F46944">
        <w:rPr>
          <w:rFonts w:cstheme="minorHAnsi"/>
          <w:sz w:val="16"/>
          <w:szCs w:val="16"/>
        </w:rPr>
        <w:t>Source: Gadzhanova, Roughead</w:t>
      </w:r>
      <w:r w:rsidRPr="00F46944">
        <w:rPr>
          <w:rFonts w:cstheme="minorHAnsi"/>
          <w:sz w:val="16"/>
          <w:szCs w:val="16"/>
        </w:rPr>
        <w:fldChar w:fldCharType="begin"/>
      </w:r>
      <w:r w:rsidR="00DB0DCB">
        <w:rPr>
          <w:rFonts w:cstheme="minorHAnsi"/>
          <w:sz w:val="16"/>
          <w:szCs w:val="16"/>
        </w:rPr>
        <w:instrText xml:space="preserve"> ADDIN EN.CITE &lt;EndNote&gt;&lt;Cite&gt;&lt;Author&gt;Gadzhanova&lt;/Author&gt;&lt;RecNum&gt;5&lt;/RecNum&gt;&lt;DisplayText&gt;&lt;style face="superscript"&gt;5&lt;/style&gt;&lt;/DisplayText&gt;&lt;record&gt;&lt;rec-number&gt;5&lt;/rec-number&gt;&lt;foreign-keys&gt;&lt;key app="EN" db-id="es9dr99ws90stoe5x2rp505nazvswdzppxa5" timestamp="1670810539"&gt;5&lt;/key&gt;&lt;/foreign-keys&gt;&lt;ref-type name="Unpublished Work"&gt;34&lt;/ref-type&gt;&lt;contributors&gt;&lt;authors&gt;&lt;author&gt;Gadzhanova, S.&lt;/author&gt;&lt;author&gt;Roughead, E.&lt;/author&gt;&lt;/authors&gt;&lt;/contributors&gt;&lt;titles&gt;&lt;title&gt;Analysis of 2015–2021 PBS data for the National Report on Antimicrobial Use and Resistance (unpublished)&lt;/title&gt;&lt;/titles&gt;&lt;dates&gt;&lt;/dates&gt;&lt;pub-location&gt;Sydney &lt;/pub-location&gt;&lt;publisher&gt;ACSQHC &lt;/publisher&gt;&lt;urls&gt;&lt;/urls&gt;&lt;/record&gt;&lt;/Cite&gt;&lt;/EndNote&gt;</w:instrText>
      </w:r>
      <w:r w:rsidRPr="00F46944">
        <w:rPr>
          <w:rFonts w:cstheme="minorHAnsi"/>
          <w:sz w:val="16"/>
          <w:szCs w:val="16"/>
        </w:rPr>
        <w:fldChar w:fldCharType="separate"/>
      </w:r>
      <w:r w:rsidR="001C0A42" w:rsidRPr="001C0A42">
        <w:rPr>
          <w:rFonts w:cstheme="minorHAnsi"/>
          <w:noProof/>
          <w:sz w:val="16"/>
          <w:szCs w:val="16"/>
          <w:vertAlign w:val="superscript"/>
        </w:rPr>
        <w:t>5</w:t>
      </w:r>
      <w:r w:rsidRPr="00F46944">
        <w:rPr>
          <w:rFonts w:cstheme="minorHAnsi"/>
          <w:sz w:val="16"/>
          <w:szCs w:val="16"/>
        </w:rPr>
        <w:fldChar w:fldCharType="end"/>
      </w:r>
    </w:p>
    <w:p w14:paraId="3B4B757D" w14:textId="3B05374C" w:rsidR="0093641B" w:rsidRPr="00F46944" w:rsidRDefault="00170850" w:rsidP="002A44AA">
      <w:pPr>
        <w:pStyle w:val="Heading4"/>
      </w:pPr>
      <w:r w:rsidRPr="00F46944">
        <w:t xml:space="preserve">Changes in use of </w:t>
      </w:r>
      <w:r w:rsidR="004D2FDA" w:rsidRPr="00F46944">
        <w:t>antimicrobial</w:t>
      </w:r>
      <w:r w:rsidRPr="00F46944">
        <w:t xml:space="preserve">s for upper respiratory tract infections due to </w:t>
      </w:r>
      <w:r w:rsidR="001B2B05">
        <w:t xml:space="preserve">the </w:t>
      </w:r>
      <w:r w:rsidRPr="00F46944">
        <w:t>COVID-19</w:t>
      </w:r>
      <w:r w:rsidR="001B2B05">
        <w:t xml:space="preserve"> pandemic</w:t>
      </w:r>
    </w:p>
    <w:p w14:paraId="05937F9C" w14:textId="132553FC" w:rsidR="0014718C" w:rsidRPr="00F46944" w:rsidRDefault="0014718C" w:rsidP="0014718C">
      <w:pPr>
        <w:spacing w:after="80"/>
        <w:rPr>
          <w:rFonts w:asciiTheme="majorHAnsi" w:hAnsiTheme="majorHAnsi" w:cstheme="majorHAnsi"/>
        </w:rPr>
      </w:pPr>
      <w:r w:rsidRPr="004E5645">
        <w:rPr>
          <w:rFonts w:asciiTheme="majorHAnsi" w:hAnsiTheme="majorHAnsi" w:cstheme="majorHAnsi"/>
        </w:rPr>
        <w:t>Figures</w:t>
      </w:r>
      <w:r w:rsidR="00D518EA">
        <w:rPr>
          <w:rFonts w:asciiTheme="majorHAnsi" w:hAnsiTheme="majorHAnsi" w:cstheme="majorHAnsi"/>
        </w:rPr>
        <w:t> </w:t>
      </w:r>
      <w:r w:rsidR="00E56050" w:rsidRPr="004E5645">
        <w:rPr>
          <w:rFonts w:asciiTheme="majorHAnsi" w:hAnsiTheme="majorHAnsi" w:cstheme="majorHAnsi"/>
        </w:rPr>
        <w:t>24</w:t>
      </w:r>
      <w:r w:rsidR="00E56050" w:rsidRPr="004919A3">
        <w:rPr>
          <w:rFonts w:asciiTheme="majorHAnsi" w:hAnsiTheme="majorHAnsi" w:cstheme="majorHAnsi"/>
        </w:rPr>
        <w:t xml:space="preserve"> </w:t>
      </w:r>
      <w:r w:rsidRPr="004E5645">
        <w:rPr>
          <w:rFonts w:asciiTheme="majorHAnsi" w:hAnsiTheme="majorHAnsi" w:cstheme="majorHAnsi"/>
        </w:rPr>
        <w:t>and</w:t>
      </w:r>
      <w:r w:rsidR="00E479E1" w:rsidRPr="004E5645">
        <w:rPr>
          <w:rFonts w:asciiTheme="majorHAnsi" w:hAnsiTheme="majorHAnsi" w:cstheme="majorHAnsi"/>
        </w:rPr>
        <w:t> </w:t>
      </w:r>
      <w:r w:rsidR="00E56050" w:rsidRPr="004E5645">
        <w:rPr>
          <w:rFonts w:asciiTheme="majorHAnsi" w:hAnsiTheme="majorHAnsi" w:cstheme="majorHAnsi"/>
        </w:rPr>
        <w:t>25</w:t>
      </w:r>
      <w:r w:rsidR="00E56050" w:rsidRPr="00F46944">
        <w:rPr>
          <w:rFonts w:asciiTheme="majorHAnsi" w:hAnsiTheme="majorHAnsi" w:cstheme="majorHAnsi"/>
        </w:rPr>
        <w:t xml:space="preserve"> </w:t>
      </w:r>
      <w:r w:rsidR="00EB7495" w:rsidRPr="00F46944">
        <w:rPr>
          <w:rFonts w:asciiTheme="majorHAnsi" w:hAnsiTheme="majorHAnsi" w:cstheme="majorHAnsi"/>
        </w:rPr>
        <w:t>show the number of prescriptions for</w:t>
      </w:r>
      <w:r w:rsidRPr="00F46944">
        <w:rPr>
          <w:rFonts w:asciiTheme="majorHAnsi" w:hAnsiTheme="majorHAnsi" w:cstheme="majorHAnsi"/>
        </w:rPr>
        <w:t xml:space="preserve"> antimicrobials </w:t>
      </w:r>
      <w:r w:rsidR="00EB7495" w:rsidRPr="00F46944">
        <w:rPr>
          <w:rFonts w:asciiTheme="majorHAnsi" w:hAnsiTheme="majorHAnsi" w:cstheme="majorHAnsi"/>
        </w:rPr>
        <w:t xml:space="preserve">used </w:t>
      </w:r>
      <w:r w:rsidRPr="00F46944">
        <w:rPr>
          <w:rFonts w:asciiTheme="majorHAnsi" w:hAnsiTheme="majorHAnsi" w:cstheme="majorHAnsi"/>
        </w:rPr>
        <w:t xml:space="preserve">for </w:t>
      </w:r>
      <w:r w:rsidR="003A499C" w:rsidRPr="00F46944">
        <w:rPr>
          <w:rFonts w:asciiTheme="majorHAnsi" w:hAnsiTheme="majorHAnsi" w:cstheme="majorHAnsi"/>
        </w:rPr>
        <w:t>URTIs</w:t>
      </w:r>
      <w:r w:rsidRPr="00F46944">
        <w:rPr>
          <w:rFonts w:asciiTheme="majorHAnsi" w:hAnsiTheme="majorHAnsi" w:cstheme="majorHAnsi"/>
        </w:rPr>
        <w:t xml:space="preserve"> by type of antimicrobial. </w:t>
      </w:r>
      <w:r w:rsidR="00EB7495" w:rsidRPr="00F46944">
        <w:rPr>
          <w:rFonts w:asciiTheme="majorHAnsi" w:hAnsiTheme="majorHAnsi" w:cstheme="majorHAnsi"/>
        </w:rPr>
        <w:t xml:space="preserve">The </w:t>
      </w:r>
      <w:r w:rsidRPr="00F46944">
        <w:rPr>
          <w:rFonts w:asciiTheme="majorHAnsi" w:hAnsiTheme="majorHAnsi" w:cstheme="majorHAnsi"/>
        </w:rPr>
        <w:t xml:space="preserve">largest reductions in use </w:t>
      </w:r>
      <w:r w:rsidR="00EB7495" w:rsidRPr="00F46944">
        <w:rPr>
          <w:rFonts w:asciiTheme="majorHAnsi" w:hAnsiTheme="majorHAnsi" w:cstheme="majorHAnsi"/>
        </w:rPr>
        <w:t>were observed for amoxicillin, amoxicillin–clavulanic acid and cefalexin between March and April 2020</w:t>
      </w:r>
      <w:r w:rsidRPr="00F46944">
        <w:rPr>
          <w:rFonts w:asciiTheme="majorHAnsi" w:hAnsiTheme="majorHAnsi" w:cstheme="majorHAnsi"/>
        </w:rPr>
        <w:t xml:space="preserve">. These antimicrobials were </w:t>
      </w:r>
      <w:r w:rsidR="003A499C" w:rsidRPr="00F46944">
        <w:rPr>
          <w:rFonts w:asciiTheme="majorHAnsi" w:hAnsiTheme="majorHAnsi" w:cstheme="majorHAnsi"/>
        </w:rPr>
        <w:t xml:space="preserve">also </w:t>
      </w:r>
      <w:r w:rsidRPr="00F46944">
        <w:rPr>
          <w:rFonts w:asciiTheme="majorHAnsi" w:hAnsiTheme="majorHAnsi" w:cstheme="majorHAnsi"/>
        </w:rPr>
        <w:t>subject to PBS</w:t>
      </w:r>
      <w:r w:rsidR="001C78C2" w:rsidRPr="00F46944">
        <w:rPr>
          <w:rFonts w:asciiTheme="majorHAnsi" w:hAnsiTheme="majorHAnsi" w:cstheme="majorHAnsi"/>
        </w:rPr>
        <w:t>/RPBS</w:t>
      </w:r>
      <w:r w:rsidRPr="00F46944">
        <w:rPr>
          <w:rFonts w:asciiTheme="majorHAnsi" w:hAnsiTheme="majorHAnsi" w:cstheme="majorHAnsi"/>
        </w:rPr>
        <w:t xml:space="preserve"> restriction changes </w:t>
      </w:r>
      <w:r w:rsidR="00EB7495" w:rsidRPr="00F46944">
        <w:rPr>
          <w:rFonts w:asciiTheme="majorHAnsi" w:hAnsiTheme="majorHAnsi" w:cstheme="majorHAnsi"/>
        </w:rPr>
        <w:t>relating</w:t>
      </w:r>
      <w:r w:rsidR="006033E9" w:rsidRPr="00F46944">
        <w:rPr>
          <w:rFonts w:asciiTheme="majorHAnsi" w:hAnsiTheme="majorHAnsi" w:cstheme="majorHAnsi"/>
        </w:rPr>
        <w:t xml:space="preserve"> to </w:t>
      </w:r>
      <w:r w:rsidR="00000115" w:rsidRPr="00F46944">
        <w:rPr>
          <w:rFonts w:asciiTheme="majorHAnsi" w:hAnsiTheme="majorHAnsi" w:cstheme="majorHAnsi"/>
        </w:rPr>
        <w:t xml:space="preserve">maximum quantities and </w:t>
      </w:r>
      <w:r w:rsidR="00EB7495" w:rsidRPr="00F46944">
        <w:rPr>
          <w:rFonts w:asciiTheme="majorHAnsi" w:hAnsiTheme="majorHAnsi" w:cstheme="majorHAnsi"/>
        </w:rPr>
        <w:t xml:space="preserve">the </w:t>
      </w:r>
      <w:r w:rsidR="006033E9" w:rsidRPr="00F46944">
        <w:rPr>
          <w:rFonts w:asciiTheme="majorHAnsi" w:hAnsiTheme="majorHAnsi" w:cstheme="majorHAnsi"/>
        </w:rPr>
        <w:t>number of allowed repeat</w:t>
      </w:r>
      <w:r w:rsidR="00140C30" w:rsidRPr="00F46944">
        <w:rPr>
          <w:rFonts w:asciiTheme="majorHAnsi" w:hAnsiTheme="majorHAnsi" w:cstheme="majorHAnsi"/>
        </w:rPr>
        <w:t>s</w:t>
      </w:r>
      <w:r w:rsidR="006033E9" w:rsidRPr="00F46944">
        <w:rPr>
          <w:rFonts w:asciiTheme="majorHAnsi" w:hAnsiTheme="majorHAnsi" w:cstheme="majorHAnsi"/>
        </w:rPr>
        <w:t xml:space="preserve"> </w:t>
      </w:r>
      <w:r w:rsidRPr="00F46944">
        <w:rPr>
          <w:rFonts w:asciiTheme="majorHAnsi" w:hAnsiTheme="majorHAnsi" w:cstheme="majorHAnsi"/>
        </w:rPr>
        <w:t>in April 2020</w:t>
      </w:r>
      <w:r w:rsidR="003A499C" w:rsidRPr="00F46944">
        <w:rPr>
          <w:rFonts w:asciiTheme="majorHAnsi" w:hAnsiTheme="majorHAnsi" w:cstheme="majorHAnsi"/>
        </w:rPr>
        <w:t>.</w:t>
      </w:r>
      <w:r w:rsidR="00442C54" w:rsidRPr="00F46944">
        <w:rPr>
          <w:rFonts w:asciiTheme="majorHAnsi" w:hAnsiTheme="majorHAnsi" w:cstheme="majorHAnsi"/>
        </w:rPr>
        <w:fldChar w:fldCharType="begin"/>
      </w:r>
      <w:r w:rsidR="00412507">
        <w:rPr>
          <w:rFonts w:asciiTheme="majorHAnsi" w:hAnsiTheme="majorHAnsi" w:cstheme="majorHAnsi"/>
        </w:rPr>
        <w:instrText xml:space="preserve"> ADDIN EN.CITE &lt;EndNote&gt;&lt;Cite&gt;&lt;Author&gt;Care&lt;/Author&gt;&lt;Year&gt;2020&lt;/Year&gt;&lt;RecNum&gt;13&lt;/RecNum&gt;&lt;DisplayText&gt;&lt;style face="superscript"&gt;14&lt;/style&gt;&lt;/DisplayText&gt;&lt;record&gt;&lt;rec-number&gt;13&lt;/rec-number&gt;&lt;foreign-keys&gt;&lt;key app="EN" db-id="es9dr99ws90stoe5x2rp505nazvswdzppxa5" timestamp="1670810541"&gt;13&lt;/key&gt;&lt;/foreign-keys&gt;&lt;ref-type name="Web Page"&gt;12&lt;/ref-type&gt;&lt;contributors&gt;&lt;authors&gt;&lt;author&gt;Australian Government Department of Health and Aged Care&lt;/author&gt;&lt;/authors&gt;&lt;/contributors&gt;&lt;titles&gt;&lt;title&gt;Revised PBS listings for Antibiotic use  &lt;/title&gt;&lt;/titles&gt;&lt;number&gt;May 2022&lt;/number&gt;&lt;dates&gt;&lt;year&gt;2020&lt;/year&gt;&lt;/dates&gt;&lt;urls&gt;&lt;related-urls&gt;&lt;url&gt;https://www.pbs.gov.au/news/2020/03/files/Antibiotics-factsheet-2020.pdf&lt;/url&gt;&lt;/related-urls&gt;&lt;/urls&gt;&lt;/record&gt;&lt;/Cite&gt;&lt;/EndNote&gt;</w:instrText>
      </w:r>
      <w:r w:rsidR="00442C54" w:rsidRPr="00F46944">
        <w:rPr>
          <w:rFonts w:asciiTheme="majorHAnsi" w:hAnsiTheme="majorHAnsi" w:cstheme="majorHAnsi"/>
        </w:rPr>
        <w:fldChar w:fldCharType="separate"/>
      </w:r>
      <w:r w:rsidR="00C16B8F" w:rsidRPr="00C16B8F">
        <w:rPr>
          <w:rFonts w:asciiTheme="majorHAnsi" w:hAnsiTheme="majorHAnsi" w:cstheme="majorHAnsi"/>
          <w:noProof/>
          <w:vertAlign w:val="superscript"/>
        </w:rPr>
        <w:t>14</w:t>
      </w:r>
      <w:r w:rsidR="00442C54" w:rsidRPr="00F46944">
        <w:rPr>
          <w:rFonts w:asciiTheme="majorHAnsi" w:hAnsiTheme="majorHAnsi" w:cstheme="majorHAnsi"/>
        </w:rPr>
        <w:fldChar w:fldCharType="end"/>
      </w:r>
      <w:r w:rsidR="003A499C" w:rsidRPr="00F46944">
        <w:rPr>
          <w:rFonts w:asciiTheme="majorHAnsi" w:hAnsiTheme="majorHAnsi" w:cstheme="majorHAnsi"/>
        </w:rPr>
        <w:t xml:space="preserve"> </w:t>
      </w:r>
      <w:r w:rsidR="00EB7495" w:rsidRPr="00F46944">
        <w:rPr>
          <w:rFonts w:asciiTheme="majorHAnsi" w:hAnsiTheme="majorHAnsi" w:cstheme="majorHAnsi"/>
        </w:rPr>
        <w:t xml:space="preserve">However, these restrictions </w:t>
      </w:r>
      <w:r w:rsidR="003A499C" w:rsidRPr="00F46944">
        <w:rPr>
          <w:rFonts w:asciiTheme="majorHAnsi" w:hAnsiTheme="majorHAnsi" w:cstheme="majorHAnsi"/>
        </w:rPr>
        <w:t>do not</w:t>
      </w:r>
      <w:r w:rsidR="00840AB7" w:rsidRPr="00F46944">
        <w:rPr>
          <w:rFonts w:asciiTheme="majorHAnsi" w:hAnsiTheme="majorHAnsi" w:cstheme="majorHAnsi"/>
        </w:rPr>
        <w:t xml:space="preserve"> </w:t>
      </w:r>
      <w:r w:rsidR="00EB7495" w:rsidRPr="00F46944">
        <w:rPr>
          <w:rFonts w:asciiTheme="majorHAnsi" w:hAnsiTheme="majorHAnsi" w:cstheme="majorHAnsi"/>
        </w:rPr>
        <w:t xml:space="preserve">fully </w:t>
      </w:r>
      <w:r w:rsidR="003A499C" w:rsidRPr="00F46944">
        <w:rPr>
          <w:rFonts w:asciiTheme="majorHAnsi" w:hAnsiTheme="majorHAnsi" w:cstheme="majorHAnsi"/>
        </w:rPr>
        <w:t xml:space="preserve">account for the </w:t>
      </w:r>
      <w:r w:rsidR="00EB7495" w:rsidRPr="00F46944">
        <w:rPr>
          <w:rFonts w:asciiTheme="majorHAnsi" w:hAnsiTheme="majorHAnsi" w:cstheme="majorHAnsi"/>
        </w:rPr>
        <w:t xml:space="preserve">observed </w:t>
      </w:r>
      <w:r w:rsidR="003A499C" w:rsidRPr="00F46944">
        <w:rPr>
          <w:rFonts w:asciiTheme="majorHAnsi" w:hAnsiTheme="majorHAnsi" w:cstheme="majorHAnsi"/>
        </w:rPr>
        <w:t>reduction</w:t>
      </w:r>
      <w:r w:rsidR="00EB7495" w:rsidRPr="00F46944">
        <w:rPr>
          <w:rFonts w:asciiTheme="majorHAnsi" w:hAnsiTheme="majorHAnsi" w:cstheme="majorHAnsi"/>
        </w:rPr>
        <w:t>s</w:t>
      </w:r>
      <w:r w:rsidR="003A499C" w:rsidRPr="00F46944">
        <w:rPr>
          <w:rFonts w:asciiTheme="majorHAnsi" w:hAnsiTheme="majorHAnsi" w:cstheme="majorHAnsi"/>
        </w:rPr>
        <w:t xml:space="preserve"> in use, as use of other </w:t>
      </w:r>
      <w:r w:rsidR="004D2FDA" w:rsidRPr="00F46944">
        <w:rPr>
          <w:rFonts w:asciiTheme="majorHAnsi" w:hAnsiTheme="majorHAnsi" w:cstheme="majorHAnsi"/>
        </w:rPr>
        <w:t>antimicrobial</w:t>
      </w:r>
      <w:r w:rsidR="003A499C" w:rsidRPr="00F46944">
        <w:rPr>
          <w:rFonts w:asciiTheme="majorHAnsi" w:hAnsiTheme="majorHAnsi" w:cstheme="majorHAnsi"/>
        </w:rPr>
        <w:t xml:space="preserve">s frequently indicated for URTIs also declined. </w:t>
      </w:r>
    </w:p>
    <w:p w14:paraId="58E70564" w14:textId="1CA24463" w:rsidR="0093641B" w:rsidRPr="00F46944" w:rsidRDefault="00E56050" w:rsidP="003A499C">
      <w:pPr>
        <w:spacing w:after="80"/>
        <w:rPr>
          <w:rFonts w:asciiTheme="majorHAnsi" w:hAnsiTheme="majorHAnsi" w:cstheme="majorHAnsi"/>
        </w:rPr>
      </w:pPr>
      <w:r>
        <w:rPr>
          <w:rFonts w:asciiTheme="majorHAnsi" w:hAnsiTheme="majorHAnsi" w:cstheme="majorHAnsi"/>
        </w:rPr>
        <w:t>There was</w:t>
      </w:r>
      <w:r w:rsidR="003A499C" w:rsidRPr="00F46944">
        <w:rPr>
          <w:rFonts w:asciiTheme="majorHAnsi" w:hAnsiTheme="majorHAnsi" w:cstheme="majorHAnsi"/>
        </w:rPr>
        <w:t xml:space="preserve"> increasing use of antimicrobials in the winter months of 2021</w:t>
      </w:r>
      <w:r w:rsidR="004E5645">
        <w:rPr>
          <w:rFonts w:asciiTheme="majorHAnsi" w:hAnsiTheme="majorHAnsi" w:cstheme="majorHAnsi"/>
        </w:rPr>
        <w:t xml:space="preserve"> (Figure</w:t>
      </w:r>
      <w:r w:rsidR="00FB5F29">
        <w:rPr>
          <w:rFonts w:asciiTheme="majorHAnsi" w:hAnsiTheme="majorHAnsi" w:cstheme="majorHAnsi"/>
        </w:rPr>
        <w:t>s 24 and 25</w:t>
      </w:r>
      <w:r w:rsidR="004E5645">
        <w:rPr>
          <w:rFonts w:asciiTheme="majorHAnsi" w:hAnsiTheme="majorHAnsi" w:cstheme="majorHAnsi"/>
        </w:rPr>
        <w:t>)</w:t>
      </w:r>
      <w:r w:rsidR="00140C30" w:rsidRPr="00F46944">
        <w:rPr>
          <w:rFonts w:asciiTheme="majorHAnsi" w:hAnsiTheme="majorHAnsi" w:cstheme="majorHAnsi"/>
        </w:rPr>
        <w:t xml:space="preserve">. When assessed by age, </w:t>
      </w:r>
      <w:r w:rsidR="00656B05" w:rsidRPr="00F46944">
        <w:rPr>
          <w:rFonts w:asciiTheme="majorHAnsi" w:hAnsiTheme="majorHAnsi" w:cstheme="majorHAnsi"/>
        </w:rPr>
        <w:t xml:space="preserve">use of </w:t>
      </w:r>
      <w:r w:rsidR="00140C30" w:rsidRPr="00F46944">
        <w:rPr>
          <w:rFonts w:asciiTheme="majorHAnsi" w:hAnsiTheme="majorHAnsi" w:cstheme="majorHAnsi"/>
        </w:rPr>
        <w:t xml:space="preserve">amoxicillin </w:t>
      </w:r>
      <w:r w:rsidR="00B74985" w:rsidRPr="00F46944">
        <w:rPr>
          <w:rFonts w:asciiTheme="majorHAnsi" w:hAnsiTheme="majorHAnsi" w:cstheme="majorHAnsi"/>
        </w:rPr>
        <w:t xml:space="preserve">particularly </w:t>
      </w:r>
      <w:r w:rsidR="00140C30" w:rsidRPr="00F46944">
        <w:rPr>
          <w:rFonts w:asciiTheme="majorHAnsi" w:hAnsiTheme="majorHAnsi" w:cstheme="majorHAnsi"/>
        </w:rPr>
        <w:t xml:space="preserve">increased </w:t>
      </w:r>
      <w:r w:rsidR="00B74985" w:rsidRPr="00F46944">
        <w:rPr>
          <w:rFonts w:asciiTheme="majorHAnsi" w:hAnsiTheme="majorHAnsi" w:cstheme="majorHAnsi"/>
        </w:rPr>
        <w:t>in the 0</w:t>
      </w:r>
      <w:r w:rsidR="00E479E1" w:rsidRPr="00F46944">
        <w:rPr>
          <w:rFonts w:asciiTheme="majorHAnsi" w:hAnsiTheme="majorHAnsi" w:cstheme="majorHAnsi"/>
        </w:rPr>
        <w:t>–</w:t>
      </w:r>
      <w:r w:rsidR="00B74985" w:rsidRPr="00F46944">
        <w:rPr>
          <w:rFonts w:asciiTheme="majorHAnsi" w:hAnsiTheme="majorHAnsi" w:cstheme="majorHAnsi"/>
        </w:rPr>
        <w:t>9</w:t>
      </w:r>
      <w:r w:rsidR="008F2B97" w:rsidRPr="00F46944">
        <w:rPr>
          <w:rFonts w:asciiTheme="majorHAnsi" w:hAnsiTheme="majorHAnsi" w:cstheme="majorHAnsi"/>
        </w:rPr>
        <w:t> </w:t>
      </w:r>
      <w:r w:rsidR="00B74985" w:rsidRPr="00F46944">
        <w:rPr>
          <w:rFonts w:asciiTheme="majorHAnsi" w:hAnsiTheme="majorHAnsi" w:cstheme="majorHAnsi"/>
        </w:rPr>
        <w:t>year age group (data not shown).</w:t>
      </w:r>
      <w:r>
        <w:rPr>
          <w:rFonts w:asciiTheme="majorHAnsi" w:hAnsiTheme="majorHAnsi" w:cstheme="majorHAnsi"/>
        </w:rPr>
        <w:t xml:space="preserve"> </w:t>
      </w:r>
      <w:r w:rsidR="009B2598" w:rsidRPr="00F46944">
        <w:rPr>
          <w:rFonts w:asciiTheme="majorHAnsi" w:hAnsiTheme="majorHAnsi" w:cstheme="majorHAnsi"/>
        </w:rPr>
        <w:t xml:space="preserve">The increase in antimicrobial use </w:t>
      </w:r>
      <w:r w:rsidR="003C4A44" w:rsidRPr="00F46944">
        <w:rPr>
          <w:rFonts w:asciiTheme="majorHAnsi" w:hAnsiTheme="majorHAnsi" w:cstheme="majorHAnsi"/>
        </w:rPr>
        <w:t xml:space="preserve">for URTIs </w:t>
      </w:r>
      <w:r w:rsidR="009B2598" w:rsidRPr="00F46944">
        <w:rPr>
          <w:rFonts w:asciiTheme="majorHAnsi" w:hAnsiTheme="majorHAnsi" w:cstheme="majorHAnsi"/>
        </w:rPr>
        <w:t>in 2021</w:t>
      </w:r>
      <w:r w:rsidR="00C22B0D" w:rsidRPr="00F46944">
        <w:rPr>
          <w:rFonts w:asciiTheme="majorHAnsi" w:hAnsiTheme="majorHAnsi" w:cstheme="majorHAnsi"/>
        </w:rPr>
        <w:t xml:space="preserve"> did</w:t>
      </w:r>
      <w:r w:rsidR="009B2598" w:rsidRPr="00F46944">
        <w:rPr>
          <w:rFonts w:asciiTheme="majorHAnsi" w:hAnsiTheme="majorHAnsi" w:cstheme="majorHAnsi"/>
        </w:rPr>
        <w:t xml:space="preserve"> </w:t>
      </w:r>
      <w:r w:rsidR="003A499C" w:rsidRPr="00F46944">
        <w:rPr>
          <w:rFonts w:asciiTheme="majorHAnsi" w:hAnsiTheme="majorHAnsi" w:cstheme="majorHAnsi"/>
        </w:rPr>
        <w:t xml:space="preserve">not </w:t>
      </w:r>
      <w:r w:rsidR="009B2598" w:rsidRPr="00F46944">
        <w:rPr>
          <w:rFonts w:asciiTheme="majorHAnsi" w:hAnsiTheme="majorHAnsi" w:cstheme="majorHAnsi"/>
        </w:rPr>
        <w:t xml:space="preserve">reach </w:t>
      </w:r>
      <w:r w:rsidR="003A499C" w:rsidRPr="00F46944">
        <w:rPr>
          <w:rFonts w:asciiTheme="majorHAnsi" w:hAnsiTheme="majorHAnsi" w:cstheme="majorHAnsi"/>
        </w:rPr>
        <w:t xml:space="preserve">the same peaks observed </w:t>
      </w:r>
      <w:r w:rsidR="009B2598" w:rsidRPr="00F46944">
        <w:rPr>
          <w:rFonts w:asciiTheme="majorHAnsi" w:hAnsiTheme="majorHAnsi" w:cstheme="majorHAnsi"/>
        </w:rPr>
        <w:t xml:space="preserve">prior to the pandemic </w:t>
      </w:r>
      <w:r w:rsidR="003A499C" w:rsidRPr="00F46944">
        <w:rPr>
          <w:rFonts w:asciiTheme="majorHAnsi" w:hAnsiTheme="majorHAnsi" w:cstheme="majorHAnsi"/>
        </w:rPr>
        <w:t xml:space="preserve">in 2019. </w:t>
      </w:r>
    </w:p>
    <w:p w14:paraId="7F6D1281" w14:textId="230D9B29" w:rsidR="003A499C" w:rsidRPr="00F46944" w:rsidRDefault="003A499C" w:rsidP="003A499C">
      <w:pPr>
        <w:spacing w:after="80"/>
        <w:rPr>
          <w:rFonts w:asciiTheme="majorHAnsi" w:hAnsiTheme="majorHAnsi" w:cstheme="majorHAnsi"/>
        </w:rPr>
      </w:pPr>
    </w:p>
    <w:p w14:paraId="759365E1" w14:textId="77777777" w:rsidR="00854F00" w:rsidRDefault="00854F00">
      <w:pPr>
        <w:spacing w:after="80"/>
        <w:rPr>
          <w:b/>
          <w:bCs/>
        </w:rPr>
      </w:pPr>
      <w:bookmarkStart w:id="158" w:name="_Toc121491336"/>
      <w:r>
        <w:br w:type="page"/>
      </w:r>
    </w:p>
    <w:p w14:paraId="7634D5BF" w14:textId="04217FC2" w:rsidR="00FD7B12" w:rsidRPr="00C562B6" w:rsidRDefault="00C562B6" w:rsidP="00C562B6">
      <w:pPr>
        <w:pStyle w:val="Captions"/>
        <w:rPr>
          <w:b w:val="0"/>
          <w:bCs w:val="0"/>
        </w:rPr>
      </w:pPr>
      <w:bookmarkStart w:id="159" w:name="_Toc121840908"/>
      <w:r>
        <w:lastRenderedPageBreak/>
        <w:t>Figure</w:t>
      </w:r>
      <w:r w:rsidRPr="00F46944">
        <w:t> </w:t>
      </w:r>
      <w:fldSimple w:instr=" SEQ Figure \* ARABIC ">
        <w:r w:rsidR="00F34DDD">
          <w:rPr>
            <w:noProof/>
          </w:rPr>
          <w:t>24</w:t>
        </w:r>
      </w:fldSimple>
      <w:r w:rsidR="003E588E">
        <w:t>:</w:t>
      </w:r>
      <w:r w:rsidR="00CC09FB" w:rsidRPr="00C562B6">
        <w:rPr>
          <w:b w:val="0"/>
          <w:bCs w:val="0"/>
        </w:rPr>
        <w:t> </w:t>
      </w:r>
      <w:r w:rsidR="00FD7B12" w:rsidRPr="00C562B6">
        <w:rPr>
          <w:b w:val="0"/>
          <w:bCs w:val="0"/>
        </w:rPr>
        <w:t xml:space="preserve">Number of </w:t>
      </w:r>
      <w:r w:rsidR="00D22ADD" w:rsidRPr="00C562B6">
        <w:rPr>
          <w:b w:val="0"/>
          <w:bCs w:val="0"/>
        </w:rPr>
        <w:t xml:space="preserve">PBS/RPBS </w:t>
      </w:r>
      <w:r w:rsidR="00FD7B12" w:rsidRPr="00C562B6">
        <w:rPr>
          <w:b w:val="0"/>
          <w:bCs w:val="0"/>
        </w:rPr>
        <w:t>prescriptions</w:t>
      </w:r>
      <w:r w:rsidR="00FA2F00" w:rsidRPr="00C562B6">
        <w:rPr>
          <w:b w:val="0"/>
          <w:bCs w:val="0"/>
        </w:rPr>
        <w:t xml:space="preserve"> with PBS/RPBS restriction changes</w:t>
      </w:r>
      <w:r w:rsidR="00FD7B12" w:rsidRPr="00C562B6">
        <w:rPr>
          <w:b w:val="0"/>
          <w:bCs w:val="0"/>
        </w:rPr>
        <w:t xml:space="preserve"> </w:t>
      </w:r>
      <w:r w:rsidR="00D22ADD" w:rsidRPr="00C562B6">
        <w:rPr>
          <w:b w:val="0"/>
          <w:bCs w:val="0"/>
        </w:rPr>
        <w:t xml:space="preserve">dispensed for </w:t>
      </w:r>
      <w:r w:rsidR="00F74E80" w:rsidRPr="00C562B6">
        <w:rPr>
          <w:b w:val="0"/>
          <w:bCs w:val="0"/>
        </w:rPr>
        <w:t>URTIs</w:t>
      </w:r>
      <w:r w:rsidR="00FD7B12" w:rsidRPr="00C562B6">
        <w:rPr>
          <w:b w:val="0"/>
          <w:bCs w:val="0"/>
        </w:rPr>
        <w:t xml:space="preserve">, by type of </w:t>
      </w:r>
      <w:r w:rsidR="00E21902" w:rsidRPr="00C562B6">
        <w:rPr>
          <w:b w:val="0"/>
          <w:bCs w:val="0"/>
        </w:rPr>
        <w:t>antimicrobial</w:t>
      </w:r>
      <w:r w:rsidR="00FD7B12" w:rsidRPr="00C562B6">
        <w:rPr>
          <w:b w:val="0"/>
          <w:bCs w:val="0"/>
        </w:rPr>
        <w:t>, 2019</w:t>
      </w:r>
      <w:r w:rsidR="005729E2" w:rsidRPr="00C562B6">
        <w:rPr>
          <w:b w:val="0"/>
          <w:bCs w:val="0"/>
        </w:rPr>
        <w:t>–</w:t>
      </w:r>
      <w:r w:rsidR="00FD7B12" w:rsidRPr="00C562B6">
        <w:rPr>
          <w:b w:val="0"/>
          <w:bCs w:val="0"/>
        </w:rPr>
        <w:t>2021</w:t>
      </w:r>
      <w:bookmarkEnd w:id="158"/>
      <w:bookmarkEnd w:id="159"/>
    </w:p>
    <w:p w14:paraId="3B95A60A" w14:textId="61E4F2E8" w:rsidR="003A499C" w:rsidRPr="00F46944" w:rsidRDefault="00580F90" w:rsidP="00EB7959">
      <w:pPr>
        <w:jc w:val="center"/>
      </w:pPr>
      <w:r>
        <w:rPr>
          <w:noProof/>
        </w:rPr>
        <w:drawing>
          <wp:inline distT="0" distB="0" distL="0" distR="0" wp14:anchorId="7B0ACCBE" wp14:editId="0F233A3D">
            <wp:extent cx="5962650" cy="3237230"/>
            <wp:effectExtent l="0" t="0" r="0" b="1270"/>
            <wp:docPr id="101" name="Picture 101" descr="Figure 24: Number of PBS/RPBS prescriptions with PBS/RPBS restriction changes dispensed for URTIs, by type of antimicrobial, 2019–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Figure 24: Number of PBS/RPBS prescriptions with PBS/RPBS restriction changes dispensed for URTIs, by type of antimicrobial, 2019–20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62650" cy="3237230"/>
                    </a:xfrm>
                    <a:prstGeom prst="rect">
                      <a:avLst/>
                    </a:prstGeom>
                    <a:noFill/>
                  </pic:spPr>
                </pic:pic>
              </a:graphicData>
            </a:graphic>
          </wp:inline>
        </w:drawing>
      </w:r>
    </w:p>
    <w:p w14:paraId="405E6F57" w14:textId="13F942A4" w:rsidR="00E32773" w:rsidRPr="00F46944" w:rsidRDefault="005729E2" w:rsidP="00A92E12">
      <w:pPr>
        <w:rPr>
          <w:rFonts w:cstheme="minorHAnsi"/>
          <w:sz w:val="16"/>
          <w:szCs w:val="16"/>
        </w:rPr>
      </w:pPr>
      <w:r w:rsidRPr="00F46944">
        <w:rPr>
          <w:rFonts w:cstheme="minorHAnsi"/>
          <w:sz w:val="16"/>
          <w:szCs w:val="16"/>
        </w:rPr>
        <w:t>PBS = Pharmaceutical Benefits Scheme; RPBS = Repatriation Pharmaceutical Benefits Scheme</w:t>
      </w:r>
      <w:r w:rsidR="00F74E80" w:rsidRPr="00F46944">
        <w:rPr>
          <w:rFonts w:cstheme="minorHAnsi"/>
          <w:sz w:val="16"/>
          <w:szCs w:val="16"/>
        </w:rPr>
        <w:t>; URTI = upper respiratory tract infection</w:t>
      </w:r>
      <w:r w:rsidRPr="00F46944">
        <w:rPr>
          <w:rFonts w:cstheme="minorHAnsi"/>
          <w:sz w:val="16"/>
          <w:szCs w:val="16"/>
        </w:rPr>
        <w:br/>
      </w:r>
      <w:r w:rsidR="00202D52" w:rsidRPr="00F46944">
        <w:rPr>
          <w:rFonts w:cstheme="minorHAnsi"/>
          <w:sz w:val="16"/>
          <w:szCs w:val="16"/>
        </w:rPr>
        <w:t>Source: Gadzhanova, Roughead</w:t>
      </w:r>
      <w:r w:rsidR="00202D52" w:rsidRPr="00F46944">
        <w:rPr>
          <w:rFonts w:cstheme="minorHAnsi"/>
          <w:sz w:val="16"/>
          <w:szCs w:val="16"/>
        </w:rPr>
        <w:fldChar w:fldCharType="begin"/>
      </w:r>
      <w:r w:rsidR="00DB0DCB">
        <w:rPr>
          <w:rFonts w:cstheme="minorHAnsi"/>
          <w:sz w:val="16"/>
          <w:szCs w:val="16"/>
        </w:rPr>
        <w:instrText xml:space="preserve"> ADDIN EN.CITE &lt;EndNote&gt;&lt;Cite&gt;&lt;Author&gt;Gadzhanova&lt;/Author&gt;&lt;RecNum&gt;5&lt;/RecNum&gt;&lt;DisplayText&gt;&lt;style face="superscript"&gt;5&lt;/style&gt;&lt;/DisplayText&gt;&lt;record&gt;&lt;rec-number&gt;5&lt;/rec-number&gt;&lt;foreign-keys&gt;&lt;key app="EN" db-id="es9dr99ws90stoe5x2rp505nazvswdzppxa5" timestamp="1670810539"&gt;5&lt;/key&gt;&lt;/foreign-keys&gt;&lt;ref-type name="Unpublished Work"&gt;34&lt;/ref-type&gt;&lt;contributors&gt;&lt;authors&gt;&lt;author&gt;Gadzhanova, S.&lt;/author&gt;&lt;author&gt;Roughead, E.&lt;/author&gt;&lt;/authors&gt;&lt;/contributors&gt;&lt;titles&gt;&lt;title&gt;Analysis of 2015–2021 PBS data for the National Report on Antimicrobial Use and Resistance (unpublished)&lt;/title&gt;&lt;/titles&gt;&lt;dates&gt;&lt;/dates&gt;&lt;pub-location&gt;Sydney &lt;/pub-location&gt;&lt;publisher&gt;ACSQHC &lt;/publisher&gt;&lt;urls&gt;&lt;/urls&gt;&lt;/record&gt;&lt;/Cite&gt;&lt;/EndNote&gt;</w:instrText>
      </w:r>
      <w:r w:rsidR="00202D52" w:rsidRPr="00F46944">
        <w:rPr>
          <w:rFonts w:cstheme="minorHAnsi"/>
          <w:sz w:val="16"/>
          <w:szCs w:val="16"/>
        </w:rPr>
        <w:fldChar w:fldCharType="separate"/>
      </w:r>
      <w:r w:rsidR="001C0A42" w:rsidRPr="001C0A42">
        <w:rPr>
          <w:rFonts w:cstheme="minorHAnsi"/>
          <w:noProof/>
          <w:sz w:val="16"/>
          <w:szCs w:val="16"/>
          <w:vertAlign w:val="superscript"/>
        </w:rPr>
        <w:t>5</w:t>
      </w:r>
      <w:r w:rsidR="00202D52" w:rsidRPr="00F46944">
        <w:rPr>
          <w:rFonts w:cstheme="minorHAnsi"/>
          <w:sz w:val="16"/>
          <w:szCs w:val="16"/>
        </w:rPr>
        <w:fldChar w:fldCharType="end"/>
      </w:r>
    </w:p>
    <w:p w14:paraId="51B2FF83" w14:textId="227F1DE5" w:rsidR="00AA455D" w:rsidRPr="00F46944" w:rsidRDefault="00AA455D">
      <w:pPr>
        <w:spacing w:after="80"/>
        <w:rPr>
          <w:rFonts w:cstheme="minorHAnsi"/>
          <w:b/>
        </w:rPr>
      </w:pPr>
    </w:p>
    <w:p w14:paraId="55BA1E49" w14:textId="69BE53F0" w:rsidR="00FD7B12" w:rsidRPr="003F722F" w:rsidRDefault="003F722F" w:rsidP="003F722F">
      <w:pPr>
        <w:pStyle w:val="Captions"/>
        <w:rPr>
          <w:b w:val="0"/>
          <w:bCs w:val="0"/>
        </w:rPr>
      </w:pPr>
      <w:bookmarkStart w:id="160" w:name="_Toc121491337"/>
      <w:bookmarkStart w:id="161" w:name="_Toc121840909"/>
      <w:r>
        <w:t>Figure</w:t>
      </w:r>
      <w:r w:rsidRPr="00F46944">
        <w:t> </w:t>
      </w:r>
      <w:fldSimple w:instr=" SEQ Figure \* ARABIC ">
        <w:r w:rsidR="00F34DDD">
          <w:rPr>
            <w:noProof/>
          </w:rPr>
          <w:t>25</w:t>
        </w:r>
      </w:fldSimple>
      <w:r w:rsidR="00FD7B12" w:rsidRPr="00F46944">
        <w:t>:</w:t>
      </w:r>
      <w:r w:rsidR="00CC09FB" w:rsidRPr="003F722F">
        <w:rPr>
          <w:b w:val="0"/>
          <w:bCs w:val="0"/>
        </w:rPr>
        <w:t> </w:t>
      </w:r>
      <w:r w:rsidR="00FD7B12" w:rsidRPr="003F722F">
        <w:rPr>
          <w:b w:val="0"/>
          <w:bCs w:val="0"/>
        </w:rPr>
        <w:t xml:space="preserve">Number of </w:t>
      </w:r>
      <w:r w:rsidR="00AA69A5" w:rsidRPr="003F722F">
        <w:rPr>
          <w:b w:val="0"/>
          <w:bCs w:val="0"/>
        </w:rPr>
        <w:t xml:space="preserve">PBS/RPBS </w:t>
      </w:r>
      <w:r w:rsidR="00FD7B12" w:rsidRPr="003F722F">
        <w:rPr>
          <w:b w:val="0"/>
          <w:bCs w:val="0"/>
        </w:rPr>
        <w:t xml:space="preserve">prescriptions </w:t>
      </w:r>
      <w:r w:rsidR="00FA2F00" w:rsidRPr="003F722F">
        <w:rPr>
          <w:b w:val="0"/>
          <w:bCs w:val="0"/>
        </w:rPr>
        <w:t xml:space="preserve">without PBS/RPBS restriction changes, </w:t>
      </w:r>
      <w:r w:rsidR="00AA69A5" w:rsidRPr="003F722F">
        <w:rPr>
          <w:b w:val="0"/>
          <w:bCs w:val="0"/>
        </w:rPr>
        <w:t xml:space="preserve">dispensed for </w:t>
      </w:r>
      <w:r w:rsidR="00F74E80" w:rsidRPr="003F722F">
        <w:rPr>
          <w:b w:val="0"/>
          <w:bCs w:val="0"/>
        </w:rPr>
        <w:t>URTIs</w:t>
      </w:r>
      <w:r w:rsidR="00FD7B12" w:rsidRPr="003F722F">
        <w:rPr>
          <w:b w:val="0"/>
          <w:bCs w:val="0"/>
        </w:rPr>
        <w:t>, by type of antimicrobial, 2019</w:t>
      </w:r>
      <w:r w:rsidR="005729E2" w:rsidRPr="003F722F">
        <w:rPr>
          <w:b w:val="0"/>
          <w:bCs w:val="0"/>
        </w:rPr>
        <w:t>–</w:t>
      </w:r>
      <w:r w:rsidR="00FD7B12" w:rsidRPr="003F722F">
        <w:rPr>
          <w:b w:val="0"/>
          <w:bCs w:val="0"/>
        </w:rPr>
        <w:t>2021</w:t>
      </w:r>
      <w:bookmarkEnd w:id="160"/>
      <w:bookmarkEnd w:id="161"/>
    </w:p>
    <w:p w14:paraId="3F10176A" w14:textId="4F6C628D" w:rsidR="00E32773" w:rsidRPr="00F46944" w:rsidRDefault="00580F90" w:rsidP="00EB7959">
      <w:pPr>
        <w:jc w:val="center"/>
      </w:pPr>
      <w:r>
        <w:rPr>
          <w:noProof/>
        </w:rPr>
        <w:drawing>
          <wp:inline distT="0" distB="0" distL="0" distR="0" wp14:anchorId="395A8790" wp14:editId="570675FB">
            <wp:extent cx="5980430" cy="3237230"/>
            <wp:effectExtent l="0" t="0" r="1270" b="1270"/>
            <wp:docPr id="103" name="Picture 103" descr="Figure 25: Number of PBS/RPBS prescriptions without PBS/RPBS restriction changes, dispensed for URTIs, by type of antimicrobial, 2019–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Figure 25: Number of PBS/RPBS prescriptions without PBS/RPBS restriction changes, dispensed for URTIs, by type of antimicrobial, 2019–20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80430" cy="3237230"/>
                    </a:xfrm>
                    <a:prstGeom prst="rect">
                      <a:avLst/>
                    </a:prstGeom>
                    <a:noFill/>
                  </pic:spPr>
                </pic:pic>
              </a:graphicData>
            </a:graphic>
          </wp:inline>
        </w:drawing>
      </w:r>
    </w:p>
    <w:p w14:paraId="368B7AE7" w14:textId="5C7E4459" w:rsidR="00575B03" w:rsidRPr="00F46944" w:rsidRDefault="005729E2" w:rsidP="00934F93">
      <w:pPr>
        <w:rPr>
          <w:rFonts w:cstheme="minorHAnsi"/>
          <w:sz w:val="16"/>
          <w:szCs w:val="16"/>
        </w:rPr>
      </w:pPr>
      <w:r w:rsidRPr="00F46944">
        <w:rPr>
          <w:rFonts w:cstheme="minorHAnsi"/>
          <w:sz w:val="16"/>
          <w:szCs w:val="16"/>
        </w:rPr>
        <w:t>PBS = Pharmaceutical Benefits Scheme; RPBS = Repatriation Pharmaceutical Benefits Scheme</w:t>
      </w:r>
      <w:r w:rsidR="00F74E80" w:rsidRPr="00F46944">
        <w:rPr>
          <w:rFonts w:cstheme="minorHAnsi"/>
          <w:sz w:val="16"/>
          <w:szCs w:val="16"/>
        </w:rPr>
        <w:t>; URTI = upper respiratory tract infection</w:t>
      </w:r>
      <w:r w:rsidRPr="00F46944">
        <w:rPr>
          <w:rFonts w:cstheme="minorHAnsi"/>
          <w:sz w:val="16"/>
          <w:szCs w:val="16"/>
        </w:rPr>
        <w:br/>
      </w:r>
      <w:r w:rsidR="00202D52" w:rsidRPr="00F46944">
        <w:rPr>
          <w:rFonts w:cstheme="minorHAnsi"/>
          <w:sz w:val="16"/>
          <w:szCs w:val="16"/>
        </w:rPr>
        <w:t>Source: Gadzhanova, Roughead</w:t>
      </w:r>
      <w:r w:rsidR="00202D52" w:rsidRPr="00F46944">
        <w:rPr>
          <w:rFonts w:cstheme="minorHAnsi"/>
          <w:sz w:val="16"/>
          <w:szCs w:val="16"/>
        </w:rPr>
        <w:fldChar w:fldCharType="begin"/>
      </w:r>
      <w:r w:rsidR="00DB0DCB">
        <w:rPr>
          <w:rFonts w:cstheme="minorHAnsi"/>
          <w:sz w:val="16"/>
          <w:szCs w:val="16"/>
        </w:rPr>
        <w:instrText xml:space="preserve"> ADDIN EN.CITE &lt;EndNote&gt;&lt;Cite&gt;&lt;Author&gt;Gadzhanova&lt;/Author&gt;&lt;RecNum&gt;5&lt;/RecNum&gt;&lt;DisplayText&gt;&lt;style face="superscript"&gt;5&lt;/style&gt;&lt;/DisplayText&gt;&lt;record&gt;&lt;rec-number&gt;5&lt;/rec-number&gt;&lt;foreign-keys&gt;&lt;key app="EN" db-id="es9dr99ws90stoe5x2rp505nazvswdzppxa5" timestamp="1670810539"&gt;5&lt;/key&gt;&lt;/foreign-keys&gt;&lt;ref-type name="Unpublished Work"&gt;34&lt;/ref-type&gt;&lt;contributors&gt;&lt;authors&gt;&lt;author&gt;Gadzhanova, S.&lt;/author&gt;&lt;author&gt;Roughead, E.&lt;/author&gt;&lt;/authors&gt;&lt;/contributors&gt;&lt;titles&gt;&lt;title&gt;Analysis of 2015–2021 PBS data for the National Report on Antimicrobial Use and Resistance (unpublished)&lt;/title&gt;&lt;/titles&gt;&lt;dates&gt;&lt;/dates&gt;&lt;pub-location&gt;Sydney &lt;/pub-location&gt;&lt;publisher&gt;ACSQHC &lt;/publisher&gt;&lt;urls&gt;&lt;/urls&gt;&lt;/record&gt;&lt;/Cite&gt;&lt;/EndNote&gt;</w:instrText>
      </w:r>
      <w:r w:rsidR="00202D52" w:rsidRPr="00F46944">
        <w:rPr>
          <w:rFonts w:cstheme="minorHAnsi"/>
          <w:sz w:val="16"/>
          <w:szCs w:val="16"/>
        </w:rPr>
        <w:fldChar w:fldCharType="separate"/>
      </w:r>
      <w:r w:rsidR="001C0A42" w:rsidRPr="001C0A42">
        <w:rPr>
          <w:rFonts w:cstheme="minorHAnsi"/>
          <w:noProof/>
          <w:sz w:val="16"/>
          <w:szCs w:val="16"/>
          <w:vertAlign w:val="superscript"/>
        </w:rPr>
        <w:t>5</w:t>
      </w:r>
      <w:r w:rsidR="00202D52" w:rsidRPr="00F46944">
        <w:rPr>
          <w:rFonts w:cstheme="minorHAnsi"/>
          <w:sz w:val="16"/>
          <w:szCs w:val="16"/>
        </w:rPr>
        <w:fldChar w:fldCharType="end"/>
      </w:r>
    </w:p>
    <w:p w14:paraId="7FEDCBD2" w14:textId="06938CF9" w:rsidR="003B422D" w:rsidRPr="00F46944" w:rsidRDefault="00D7090F" w:rsidP="003B422D">
      <w:pPr>
        <w:spacing w:after="80"/>
        <w:rPr>
          <w:rFonts w:asciiTheme="majorHAnsi" w:hAnsiTheme="majorHAnsi" w:cstheme="majorHAnsi"/>
        </w:rPr>
      </w:pPr>
      <w:r w:rsidRPr="004E5645">
        <w:rPr>
          <w:rFonts w:asciiTheme="majorHAnsi" w:hAnsiTheme="majorHAnsi" w:cstheme="majorHAnsi"/>
        </w:rPr>
        <w:lastRenderedPageBreak/>
        <w:t>Figure</w:t>
      </w:r>
      <w:r w:rsidR="00CC09FB" w:rsidRPr="004E5645">
        <w:rPr>
          <w:rFonts w:asciiTheme="majorHAnsi" w:hAnsiTheme="majorHAnsi" w:cstheme="majorHAnsi"/>
        </w:rPr>
        <w:t> </w:t>
      </w:r>
      <w:r w:rsidR="005C2BEB" w:rsidRPr="004E5645">
        <w:rPr>
          <w:rFonts w:asciiTheme="majorHAnsi" w:hAnsiTheme="majorHAnsi" w:cstheme="majorHAnsi"/>
        </w:rPr>
        <w:t>26</w:t>
      </w:r>
      <w:r w:rsidR="005C2BEB" w:rsidRPr="00F46944">
        <w:rPr>
          <w:rFonts w:asciiTheme="majorHAnsi" w:hAnsiTheme="majorHAnsi" w:cstheme="majorHAnsi"/>
        </w:rPr>
        <w:t xml:space="preserve"> </w:t>
      </w:r>
      <w:r w:rsidR="003B422D" w:rsidRPr="00F46944">
        <w:rPr>
          <w:rFonts w:asciiTheme="majorHAnsi" w:hAnsiTheme="majorHAnsi" w:cstheme="majorHAnsi"/>
        </w:rPr>
        <w:t xml:space="preserve">stratifies the number of </w:t>
      </w:r>
      <w:r w:rsidRPr="00F46944">
        <w:rPr>
          <w:rFonts w:asciiTheme="majorHAnsi" w:hAnsiTheme="majorHAnsi" w:cstheme="majorHAnsi"/>
        </w:rPr>
        <w:t xml:space="preserve">prescriptions for </w:t>
      </w:r>
      <w:r w:rsidR="003B422D" w:rsidRPr="00F46944">
        <w:rPr>
          <w:rFonts w:asciiTheme="majorHAnsi" w:hAnsiTheme="majorHAnsi" w:cstheme="majorHAnsi"/>
        </w:rPr>
        <w:t xml:space="preserve">URTIs </w:t>
      </w:r>
      <w:r w:rsidRPr="00F46944">
        <w:rPr>
          <w:rFonts w:asciiTheme="majorHAnsi" w:hAnsiTheme="majorHAnsi" w:cstheme="majorHAnsi"/>
        </w:rPr>
        <w:t>per 1,000</w:t>
      </w:r>
      <w:r w:rsidR="00C53268" w:rsidRPr="00F46944">
        <w:rPr>
          <w:rFonts w:asciiTheme="majorHAnsi" w:hAnsiTheme="majorHAnsi" w:cstheme="majorHAnsi"/>
        </w:rPr>
        <w:t> </w:t>
      </w:r>
      <w:r w:rsidRPr="00F46944">
        <w:rPr>
          <w:rFonts w:asciiTheme="majorHAnsi" w:hAnsiTheme="majorHAnsi" w:cstheme="majorHAnsi"/>
        </w:rPr>
        <w:t>people at state and territory level, comparing 2019</w:t>
      </w:r>
      <w:r w:rsidR="003B422D" w:rsidRPr="00F46944">
        <w:rPr>
          <w:rFonts w:asciiTheme="majorHAnsi" w:hAnsiTheme="majorHAnsi" w:cstheme="majorHAnsi"/>
        </w:rPr>
        <w:t>, 2020 and 2021</w:t>
      </w:r>
      <w:r w:rsidRPr="00F46944">
        <w:rPr>
          <w:rFonts w:asciiTheme="majorHAnsi" w:hAnsiTheme="majorHAnsi" w:cstheme="majorHAnsi"/>
        </w:rPr>
        <w:t xml:space="preserve">. </w:t>
      </w:r>
      <w:r w:rsidR="00085202" w:rsidRPr="00F46944">
        <w:rPr>
          <w:rFonts w:asciiTheme="majorHAnsi" w:hAnsiTheme="majorHAnsi" w:cstheme="majorHAnsi"/>
        </w:rPr>
        <w:t>Despite differences in state and territory lockdown restrictions, there was a decrease</w:t>
      </w:r>
      <w:r w:rsidR="006465FF" w:rsidRPr="00F46944">
        <w:rPr>
          <w:rFonts w:asciiTheme="majorHAnsi" w:hAnsiTheme="majorHAnsi" w:cstheme="majorHAnsi"/>
        </w:rPr>
        <w:t xml:space="preserve"> in </w:t>
      </w:r>
      <w:r w:rsidR="00B018A4" w:rsidRPr="00F46944">
        <w:rPr>
          <w:rFonts w:asciiTheme="majorHAnsi" w:hAnsiTheme="majorHAnsi" w:cstheme="majorHAnsi"/>
        </w:rPr>
        <w:t xml:space="preserve">the number of </w:t>
      </w:r>
      <w:r w:rsidR="006465FF" w:rsidRPr="00F46944">
        <w:rPr>
          <w:rFonts w:asciiTheme="majorHAnsi" w:hAnsiTheme="majorHAnsi" w:cstheme="majorHAnsi"/>
        </w:rPr>
        <w:t xml:space="preserve">antimicrobials prescribed </w:t>
      </w:r>
      <w:r w:rsidR="00085202" w:rsidRPr="00F46944">
        <w:rPr>
          <w:rFonts w:asciiTheme="majorHAnsi" w:hAnsiTheme="majorHAnsi" w:cstheme="majorHAnsi"/>
        </w:rPr>
        <w:t>across all states and territories in 2020 compared to 2019, which was sustained in 2021.</w:t>
      </w:r>
    </w:p>
    <w:p w14:paraId="0B089013" w14:textId="6593D2F8" w:rsidR="00146E5B" w:rsidRPr="00F46944" w:rsidRDefault="00167F1A" w:rsidP="00840AB7">
      <w:r w:rsidRPr="00F46944">
        <w:rPr>
          <w:rFonts w:asciiTheme="majorHAnsi" w:hAnsiTheme="majorHAnsi" w:cstheme="majorHAnsi"/>
        </w:rPr>
        <w:t xml:space="preserve">From </w:t>
      </w:r>
      <w:r w:rsidR="00A75FBF" w:rsidRPr="00F46944">
        <w:rPr>
          <w:rFonts w:asciiTheme="majorHAnsi" w:hAnsiTheme="majorHAnsi" w:cstheme="majorHAnsi"/>
        </w:rPr>
        <w:t>2019</w:t>
      </w:r>
      <w:r w:rsidRPr="00F46944">
        <w:rPr>
          <w:rFonts w:asciiTheme="majorHAnsi" w:hAnsiTheme="majorHAnsi" w:cstheme="majorHAnsi"/>
        </w:rPr>
        <w:t xml:space="preserve"> to 2020</w:t>
      </w:r>
      <w:r w:rsidR="00A75FBF" w:rsidRPr="00F46944">
        <w:rPr>
          <w:rFonts w:asciiTheme="majorHAnsi" w:hAnsiTheme="majorHAnsi" w:cstheme="majorHAnsi"/>
        </w:rPr>
        <w:t>,</w:t>
      </w:r>
      <w:r w:rsidR="00670342" w:rsidRPr="00F46944">
        <w:rPr>
          <w:rFonts w:asciiTheme="majorHAnsi" w:hAnsiTheme="majorHAnsi" w:cstheme="majorHAnsi"/>
        </w:rPr>
        <w:t xml:space="preserve"> </w:t>
      </w:r>
      <w:r w:rsidR="00A75FBF" w:rsidRPr="00F46944">
        <w:rPr>
          <w:rFonts w:asciiTheme="majorHAnsi" w:hAnsiTheme="majorHAnsi" w:cstheme="majorHAnsi"/>
        </w:rPr>
        <w:t>t</w:t>
      </w:r>
      <w:r w:rsidR="00085202" w:rsidRPr="00F46944">
        <w:t xml:space="preserve">he largest decrease was in Victoria </w:t>
      </w:r>
      <w:r w:rsidR="00840AB7" w:rsidRPr="00F46944">
        <w:t>(</w:t>
      </w:r>
      <w:r w:rsidR="00840AB7" w:rsidRPr="00F46944">
        <w:rPr>
          <w:i/>
          <w:iCs/>
        </w:rPr>
        <w:t>n</w:t>
      </w:r>
      <w:r w:rsidR="00840AB7" w:rsidRPr="00F46944">
        <w:t xml:space="preserve"> = 831 in 2019; </w:t>
      </w:r>
      <w:r w:rsidR="00840AB7" w:rsidRPr="00F46944">
        <w:rPr>
          <w:i/>
          <w:iCs/>
        </w:rPr>
        <w:t>n</w:t>
      </w:r>
      <w:r w:rsidR="00840AB7" w:rsidRPr="00F46944">
        <w:t> = 537 in 2020; down 3</w:t>
      </w:r>
      <w:r w:rsidR="00085202" w:rsidRPr="00F46944">
        <w:t>5</w:t>
      </w:r>
      <w:r w:rsidR="00BF2D7E">
        <w:t>.4</w:t>
      </w:r>
      <w:r w:rsidR="00085202" w:rsidRPr="00F46944">
        <w:t xml:space="preserve">%) and the smallest was in the Northern Territory </w:t>
      </w:r>
      <w:r w:rsidR="00840AB7" w:rsidRPr="00F46944">
        <w:t>(</w:t>
      </w:r>
      <w:r w:rsidR="00840AB7" w:rsidRPr="00F46944">
        <w:rPr>
          <w:i/>
          <w:iCs/>
        </w:rPr>
        <w:t>n</w:t>
      </w:r>
      <w:r w:rsidR="00840AB7" w:rsidRPr="00F46944">
        <w:t xml:space="preserve"> = 481 in 2019; </w:t>
      </w:r>
      <w:r w:rsidR="00840AB7" w:rsidRPr="00F46944">
        <w:rPr>
          <w:i/>
          <w:iCs/>
        </w:rPr>
        <w:t>n</w:t>
      </w:r>
      <w:r w:rsidR="00840AB7" w:rsidRPr="00F46944">
        <w:t> = 382 in 2020; down 2</w:t>
      </w:r>
      <w:r w:rsidR="00BF2D7E">
        <w:t>0.6</w:t>
      </w:r>
      <w:r w:rsidR="00840AB7" w:rsidRPr="00F46944">
        <w:t xml:space="preserve">%). </w:t>
      </w:r>
    </w:p>
    <w:p w14:paraId="5AB5EC76" w14:textId="73115BDE" w:rsidR="00085202" w:rsidRPr="00F46944" w:rsidRDefault="00085202" w:rsidP="00085202">
      <w:r w:rsidRPr="00F46944">
        <w:t xml:space="preserve">When comparing 2021 to 2020, the largest decrease was in </w:t>
      </w:r>
      <w:r w:rsidR="00840AB7" w:rsidRPr="00F46944">
        <w:t>New South Wales (</w:t>
      </w:r>
      <w:r w:rsidR="00840AB7" w:rsidRPr="00F46944">
        <w:rPr>
          <w:i/>
          <w:iCs/>
        </w:rPr>
        <w:t>n</w:t>
      </w:r>
      <w:r w:rsidR="00840AB7" w:rsidRPr="00F46944">
        <w:t xml:space="preserve"> = 648 in 2020; </w:t>
      </w:r>
      <w:r w:rsidR="00840AB7" w:rsidRPr="00F46944">
        <w:rPr>
          <w:i/>
          <w:iCs/>
        </w:rPr>
        <w:t>n</w:t>
      </w:r>
      <w:r w:rsidR="00840AB7" w:rsidRPr="00F46944">
        <w:t xml:space="preserve"> = 598 in 2021; down </w:t>
      </w:r>
      <w:r w:rsidR="00BF2D7E">
        <w:t>7.7</w:t>
      </w:r>
      <w:r w:rsidR="00840AB7" w:rsidRPr="00F46944">
        <w:t xml:space="preserve">%), whilst </w:t>
      </w:r>
      <w:r w:rsidRPr="00F46944">
        <w:t xml:space="preserve">the </w:t>
      </w:r>
      <w:r w:rsidR="00FD7B12" w:rsidRPr="00F46944">
        <w:t>largest</w:t>
      </w:r>
      <w:r w:rsidRPr="00F46944">
        <w:t xml:space="preserve"> increase was in Tasmania </w:t>
      </w:r>
      <w:r w:rsidR="00840AB7" w:rsidRPr="00F46944">
        <w:t>(</w:t>
      </w:r>
      <w:r w:rsidR="00840AB7" w:rsidRPr="00F46944">
        <w:rPr>
          <w:i/>
          <w:iCs/>
        </w:rPr>
        <w:t>n</w:t>
      </w:r>
      <w:r w:rsidR="00840AB7" w:rsidRPr="00F46944">
        <w:t xml:space="preserve"> = 554 in 2020; </w:t>
      </w:r>
      <w:r w:rsidR="00840AB7" w:rsidRPr="00F46944">
        <w:rPr>
          <w:i/>
          <w:iCs/>
        </w:rPr>
        <w:t>n</w:t>
      </w:r>
      <w:r w:rsidR="00840AB7" w:rsidRPr="00F46944">
        <w:t> = 589 in 2021; up 6</w:t>
      </w:r>
      <w:r w:rsidR="00BF2D7E">
        <w:t>.3</w:t>
      </w:r>
      <w:r w:rsidR="00840AB7" w:rsidRPr="00F46944">
        <w:t>%)</w:t>
      </w:r>
      <w:r w:rsidRPr="00F46944">
        <w:t xml:space="preserve">. A </w:t>
      </w:r>
      <w:r w:rsidR="00257141" w:rsidRPr="00F46944">
        <w:t>1</w:t>
      </w:r>
      <w:r w:rsidR="00BF2D7E">
        <w:t>.2</w:t>
      </w:r>
      <w:r w:rsidR="00257141" w:rsidRPr="00F46944">
        <w:t xml:space="preserve">% </w:t>
      </w:r>
      <w:r w:rsidR="00FD7B12" w:rsidRPr="00F46944">
        <w:t xml:space="preserve">decrease </w:t>
      </w:r>
      <w:r w:rsidRPr="00F46944">
        <w:t xml:space="preserve">was observed in </w:t>
      </w:r>
      <w:r w:rsidR="008303FB" w:rsidRPr="00F46944">
        <w:t>South Australia</w:t>
      </w:r>
      <w:r w:rsidR="00257141" w:rsidRPr="00F46944">
        <w:t xml:space="preserve"> (</w:t>
      </w:r>
      <w:r w:rsidR="00257141" w:rsidRPr="00F46944">
        <w:rPr>
          <w:i/>
          <w:iCs/>
        </w:rPr>
        <w:t>n</w:t>
      </w:r>
      <w:r w:rsidR="00257141" w:rsidRPr="00F46944">
        <w:t xml:space="preserve"> = 596 in 2020; </w:t>
      </w:r>
      <w:r w:rsidR="00257141" w:rsidRPr="00F46944">
        <w:rPr>
          <w:i/>
          <w:iCs/>
        </w:rPr>
        <w:t>n</w:t>
      </w:r>
      <w:r w:rsidR="00257141" w:rsidRPr="00F46944">
        <w:t> = 589 in 2021)</w:t>
      </w:r>
      <w:r w:rsidRPr="00F46944">
        <w:t xml:space="preserve">, which did not </w:t>
      </w:r>
      <w:r w:rsidR="00840AB7" w:rsidRPr="00F46944">
        <w:t>experience</w:t>
      </w:r>
      <w:r w:rsidRPr="00F46944">
        <w:t xml:space="preserve"> </w:t>
      </w:r>
      <w:r w:rsidR="003227D2" w:rsidRPr="00F46944">
        <w:t>prolonged</w:t>
      </w:r>
      <w:r w:rsidRPr="004F2D0B">
        <w:t xml:space="preserve"> </w:t>
      </w:r>
      <w:r w:rsidRPr="00F46944">
        <w:t xml:space="preserve">lockdowns but did </w:t>
      </w:r>
      <w:r w:rsidR="00840AB7" w:rsidRPr="00F46944">
        <w:t xml:space="preserve">close inter-state </w:t>
      </w:r>
      <w:r w:rsidRPr="00F46944">
        <w:t xml:space="preserve">borders. </w:t>
      </w:r>
      <w:r w:rsidR="00840AB7" w:rsidRPr="00F46944">
        <w:t xml:space="preserve">In contrast however, </w:t>
      </w:r>
      <w:r w:rsidRPr="00F46944">
        <w:t xml:space="preserve">in </w:t>
      </w:r>
      <w:r w:rsidR="008303FB" w:rsidRPr="00F46944">
        <w:t xml:space="preserve">Western Australia, </w:t>
      </w:r>
      <w:r w:rsidRPr="00F46944">
        <w:t xml:space="preserve">which also </w:t>
      </w:r>
      <w:r w:rsidR="00840AB7" w:rsidRPr="00F46944">
        <w:t xml:space="preserve">experienced closed borders without </w:t>
      </w:r>
      <w:r w:rsidR="003227D2" w:rsidRPr="00F46944">
        <w:t>prolonged</w:t>
      </w:r>
      <w:r w:rsidR="001B521D" w:rsidRPr="00F46944">
        <w:t xml:space="preserve"> </w:t>
      </w:r>
      <w:r w:rsidRPr="00F46944">
        <w:t>lockdowns</w:t>
      </w:r>
      <w:r w:rsidR="00840AB7" w:rsidRPr="00F46944">
        <w:t xml:space="preserve">, </w:t>
      </w:r>
      <w:r w:rsidR="00FD7B12" w:rsidRPr="00F46944">
        <w:t xml:space="preserve">there was an </w:t>
      </w:r>
      <w:r w:rsidRPr="00F46944">
        <w:t xml:space="preserve">increase </w:t>
      </w:r>
      <w:r w:rsidR="00FD7B12" w:rsidRPr="00F46944">
        <w:t>of</w:t>
      </w:r>
      <w:r w:rsidRPr="00F46944">
        <w:t xml:space="preserve"> </w:t>
      </w:r>
      <w:r w:rsidR="00BF2D7E">
        <w:t>4.</w:t>
      </w:r>
      <w:r w:rsidRPr="00F46944">
        <w:t>5%</w:t>
      </w:r>
      <w:r w:rsidR="00A75FBF" w:rsidRPr="00F46944">
        <w:t xml:space="preserve"> in dispensing for URTIs</w:t>
      </w:r>
      <w:r w:rsidRPr="00F46944">
        <w:t xml:space="preserve"> in 2021</w:t>
      </w:r>
      <w:r w:rsidR="00840AB7" w:rsidRPr="00F46944">
        <w:t xml:space="preserve"> (</w:t>
      </w:r>
      <w:r w:rsidR="00840AB7" w:rsidRPr="00F46944">
        <w:rPr>
          <w:i/>
          <w:iCs/>
        </w:rPr>
        <w:t>n</w:t>
      </w:r>
      <w:r w:rsidR="00840AB7" w:rsidRPr="00F46944">
        <w:t> = </w:t>
      </w:r>
      <w:r w:rsidR="00257141" w:rsidRPr="00F46944">
        <w:t>572</w:t>
      </w:r>
      <w:r w:rsidR="00840AB7" w:rsidRPr="00F46944">
        <w:t>)</w:t>
      </w:r>
      <w:r w:rsidRPr="00F46944">
        <w:t xml:space="preserve"> compared to 2020</w:t>
      </w:r>
      <w:r w:rsidR="00840AB7" w:rsidRPr="00F46944">
        <w:t xml:space="preserve"> (</w:t>
      </w:r>
      <w:r w:rsidR="00840AB7" w:rsidRPr="00F46944">
        <w:rPr>
          <w:i/>
          <w:iCs/>
        </w:rPr>
        <w:t>n</w:t>
      </w:r>
      <w:r w:rsidR="00840AB7" w:rsidRPr="00F46944">
        <w:t> = </w:t>
      </w:r>
      <w:r w:rsidR="00257141" w:rsidRPr="00F46944">
        <w:t>546</w:t>
      </w:r>
      <w:r w:rsidR="00840AB7" w:rsidRPr="00F46944">
        <w:t xml:space="preserve">). </w:t>
      </w:r>
    </w:p>
    <w:p w14:paraId="547219B6" w14:textId="39A6711E" w:rsidR="00AA455D" w:rsidRPr="008B1CB0" w:rsidRDefault="00257141" w:rsidP="00C33DF0">
      <w:pPr>
        <w:rPr>
          <w:rFonts w:asciiTheme="majorHAnsi" w:hAnsiTheme="majorHAnsi" w:cstheme="majorHAnsi"/>
        </w:rPr>
      </w:pPr>
      <w:r w:rsidRPr="00F46944">
        <w:rPr>
          <w:rFonts w:asciiTheme="majorHAnsi" w:hAnsiTheme="majorHAnsi" w:cstheme="majorHAnsi"/>
        </w:rPr>
        <w:t xml:space="preserve">While there was variation in restrictions across local government areas, </w:t>
      </w:r>
      <w:r w:rsidR="00A75FBF" w:rsidRPr="00F46944">
        <w:rPr>
          <w:rFonts w:asciiTheme="majorHAnsi" w:hAnsiTheme="majorHAnsi" w:cstheme="majorHAnsi"/>
        </w:rPr>
        <w:t xml:space="preserve">Victoria had the longest </w:t>
      </w:r>
      <w:r w:rsidR="00D13F57" w:rsidRPr="00F46944">
        <w:rPr>
          <w:rFonts w:asciiTheme="majorHAnsi" w:hAnsiTheme="majorHAnsi" w:cstheme="majorHAnsi"/>
        </w:rPr>
        <w:t xml:space="preserve">enforced </w:t>
      </w:r>
      <w:r w:rsidR="00A75FBF" w:rsidRPr="00F46944">
        <w:rPr>
          <w:rFonts w:asciiTheme="majorHAnsi" w:hAnsiTheme="majorHAnsi" w:cstheme="majorHAnsi"/>
        </w:rPr>
        <w:t xml:space="preserve">lockdown period </w:t>
      </w:r>
      <w:r w:rsidR="00D13F57" w:rsidRPr="00F46944">
        <w:rPr>
          <w:rFonts w:asciiTheme="majorHAnsi" w:hAnsiTheme="majorHAnsi" w:cstheme="majorHAnsi"/>
        </w:rPr>
        <w:t xml:space="preserve">of all Australian states and territories. </w:t>
      </w:r>
      <w:r w:rsidR="00B1110C" w:rsidRPr="00F46944">
        <w:rPr>
          <w:rFonts w:asciiTheme="majorHAnsi" w:hAnsiTheme="majorHAnsi" w:cstheme="majorHAnsi"/>
        </w:rPr>
        <w:t>Further analysis for Victori</w:t>
      </w:r>
      <w:r w:rsidR="00E97FB3" w:rsidRPr="00F46944">
        <w:rPr>
          <w:rFonts w:asciiTheme="majorHAnsi" w:hAnsiTheme="majorHAnsi" w:cstheme="majorHAnsi"/>
        </w:rPr>
        <w:t xml:space="preserve">a, </w:t>
      </w:r>
      <w:r w:rsidR="00B1110C" w:rsidRPr="00F46944">
        <w:rPr>
          <w:rFonts w:asciiTheme="majorHAnsi" w:hAnsiTheme="majorHAnsi" w:cstheme="majorHAnsi"/>
        </w:rPr>
        <w:t xml:space="preserve">showed that </w:t>
      </w:r>
      <w:r w:rsidR="00E91B37" w:rsidRPr="00F46944">
        <w:rPr>
          <w:rFonts w:asciiTheme="majorHAnsi" w:hAnsiTheme="majorHAnsi" w:cstheme="majorHAnsi"/>
        </w:rPr>
        <w:t>dispensing of antimicrobial prescriptions per 1,000 people was lower in Greater Melbourne compared to the rest of Victoria in both 2020 (</w:t>
      </w:r>
      <w:r w:rsidR="00E91B37" w:rsidRPr="00F46944">
        <w:rPr>
          <w:rFonts w:asciiTheme="majorHAnsi" w:hAnsiTheme="majorHAnsi" w:cstheme="majorHAnsi"/>
          <w:i/>
          <w:iCs/>
        </w:rPr>
        <w:t>n </w:t>
      </w:r>
      <w:r w:rsidR="00E91B37" w:rsidRPr="00F46944">
        <w:rPr>
          <w:rFonts w:asciiTheme="majorHAnsi" w:hAnsiTheme="majorHAnsi" w:cstheme="majorHAnsi"/>
        </w:rPr>
        <w:t>=</w:t>
      </w:r>
      <w:r w:rsidR="00E91B37" w:rsidRPr="00F46944">
        <w:rPr>
          <w:rFonts w:asciiTheme="majorHAnsi" w:hAnsiTheme="majorHAnsi" w:cstheme="majorHAnsi"/>
          <w:i/>
          <w:iCs/>
        </w:rPr>
        <w:t> </w:t>
      </w:r>
      <w:r w:rsidR="00E91B37" w:rsidRPr="00F46944">
        <w:rPr>
          <w:rFonts w:asciiTheme="majorHAnsi" w:hAnsiTheme="majorHAnsi" w:cstheme="majorHAnsi"/>
        </w:rPr>
        <w:t xml:space="preserve">530 and </w:t>
      </w:r>
      <w:r w:rsidR="00E91B37" w:rsidRPr="00F46944">
        <w:rPr>
          <w:rFonts w:asciiTheme="majorHAnsi" w:hAnsiTheme="majorHAnsi" w:cstheme="majorHAnsi"/>
          <w:i/>
          <w:iCs/>
        </w:rPr>
        <w:t>n </w:t>
      </w:r>
      <w:r w:rsidR="00E91B37" w:rsidRPr="00F46944">
        <w:rPr>
          <w:rFonts w:asciiTheme="majorHAnsi" w:hAnsiTheme="majorHAnsi" w:cstheme="majorHAnsi"/>
        </w:rPr>
        <w:t>= 576 respectively) and 2021 (</w:t>
      </w:r>
      <w:r w:rsidR="00E91B37" w:rsidRPr="00F46944">
        <w:rPr>
          <w:rFonts w:asciiTheme="majorHAnsi" w:hAnsiTheme="majorHAnsi" w:cstheme="majorHAnsi"/>
          <w:i/>
          <w:iCs/>
        </w:rPr>
        <w:t>n </w:t>
      </w:r>
      <w:r w:rsidR="00E91B37" w:rsidRPr="00F46944">
        <w:rPr>
          <w:rFonts w:asciiTheme="majorHAnsi" w:hAnsiTheme="majorHAnsi" w:cstheme="majorHAnsi"/>
        </w:rPr>
        <w:t>=</w:t>
      </w:r>
      <w:r w:rsidR="00E91B37" w:rsidRPr="00F46944">
        <w:rPr>
          <w:rFonts w:asciiTheme="majorHAnsi" w:hAnsiTheme="majorHAnsi" w:cstheme="majorHAnsi"/>
          <w:i/>
          <w:iCs/>
        </w:rPr>
        <w:t> </w:t>
      </w:r>
      <w:r w:rsidR="00E91B37" w:rsidRPr="00F46944">
        <w:rPr>
          <w:rFonts w:asciiTheme="majorHAnsi" w:hAnsiTheme="majorHAnsi" w:cstheme="majorHAnsi"/>
        </w:rPr>
        <w:t xml:space="preserve">532 and </w:t>
      </w:r>
      <w:r w:rsidR="00E91B37" w:rsidRPr="00F46944">
        <w:rPr>
          <w:rFonts w:asciiTheme="majorHAnsi" w:hAnsiTheme="majorHAnsi" w:cstheme="majorHAnsi"/>
          <w:i/>
          <w:iCs/>
        </w:rPr>
        <w:t>n </w:t>
      </w:r>
      <w:r w:rsidR="00E91B37" w:rsidRPr="00F46944">
        <w:rPr>
          <w:rFonts w:asciiTheme="majorHAnsi" w:hAnsiTheme="majorHAnsi" w:cstheme="majorHAnsi"/>
        </w:rPr>
        <w:t xml:space="preserve">= 588 respectively). </w:t>
      </w:r>
    </w:p>
    <w:p w14:paraId="4D70552B" w14:textId="0BBF347F" w:rsidR="00B1110C" w:rsidRPr="003F722F" w:rsidRDefault="003F722F" w:rsidP="003F722F">
      <w:pPr>
        <w:pStyle w:val="Captions"/>
        <w:rPr>
          <w:b w:val="0"/>
          <w:bCs w:val="0"/>
        </w:rPr>
      </w:pPr>
      <w:bookmarkStart w:id="162" w:name="_Toc121491338"/>
      <w:bookmarkStart w:id="163" w:name="_Toc121840910"/>
      <w:r>
        <w:t>Figure</w:t>
      </w:r>
      <w:r w:rsidRPr="00F46944">
        <w:t> </w:t>
      </w:r>
      <w:fldSimple w:instr=" SEQ Figure \* ARABIC ">
        <w:r w:rsidR="00F34DDD">
          <w:rPr>
            <w:noProof/>
          </w:rPr>
          <w:t>26</w:t>
        </w:r>
      </w:fldSimple>
      <w:r w:rsidR="00FD7B12" w:rsidRPr="00F46944">
        <w:t>:</w:t>
      </w:r>
      <w:r w:rsidR="00CC09FB" w:rsidRPr="003F722F">
        <w:rPr>
          <w:b w:val="0"/>
          <w:bCs w:val="0"/>
        </w:rPr>
        <w:t> </w:t>
      </w:r>
      <w:r w:rsidR="00FD7B12" w:rsidRPr="003F722F">
        <w:rPr>
          <w:b w:val="0"/>
          <w:bCs w:val="0"/>
        </w:rPr>
        <w:t xml:space="preserve">Number of </w:t>
      </w:r>
      <w:r w:rsidR="00FE69C2" w:rsidRPr="003F722F">
        <w:rPr>
          <w:b w:val="0"/>
          <w:bCs w:val="0"/>
        </w:rPr>
        <w:t xml:space="preserve">PBS/RPBS </w:t>
      </w:r>
      <w:r w:rsidR="004A4591" w:rsidRPr="003F722F">
        <w:rPr>
          <w:b w:val="0"/>
          <w:bCs w:val="0"/>
        </w:rPr>
        <w:t xml:space="preserve">antimicrobial* </w:t>
      </w:r>
      <w:r w:rsidR="00FD7B12" w:rsidRPr="003F722F">
        <w:rPr>
          <w:b w:val="0"/>
          <w:bCs w:val="0"/>
        </w:rPr>
        <w:t>prescriptions per</w:t>
      </w:r>
      <w:r w:rsidR="00772DCB" w:rsidRPr="003F722F">
        <w:rPr>
          <w:b w:val="0"/>
          <w:bCs w:val="0"/>
        </w:rPr>
        <w:t xml:space="preserve"> </w:t>
      </w:r>
      <w:r w:rsidR="00FD7B12" w:rsidRPr="003F722F">
        <w:rPr>
          <w:b w:val="0"/>
          <w:bCs w:val="0"/>
        </w:rPr>
        <w:t>1,000</w:t>
      </w:r>
      <w:r w:rsidR="00772DCB" w:rsidRPr="003F722F">
        <w:rPr>
          <w:b w:val="0"/>
          <w:bCs w:val="0"/>
        </w:rPr>
        <w:t> </w:t>
      </w:r>
      <w:r w:rsidR="00FD7B12" w:rsidRPr="003F722F">
        <w:rPr>
          <w:b w:val="0"/>
          <w:bCs w:val="0"/>
        </w:rPr>
        <w:t xml:space="preserve">people for </w:t>
      </w:r>
      <w:r w:rsidR="00F74E80" w:rsidRPr="003F722F">
        <w:rPr>
          <w:b w:val="0"/>
          <w:bCs w:val="0"/>
        </w:rPr>
        <w:t>URTIs</w:t>
      </w:r>
      <w:r w:rsidR="00FD7B12" w:rsidRPr="003F722F">
        <w:rPr>
          <w:b w:val="0"/>
          <w:bCs w:val="0"/>
        </w:rPr>
        <w:t>, by state and territory, 2019</w:t>
      </w:r>
      <w:r w:rsidR="00FE69C2" w:rsidRPr="003F722F">
        <w:rPr>
          <w:b w:val="0"/>
          <w:bCs w:val="0"/>
        </w:rPr>
        <w:t>–</w:t>
      </w:r>
      <w:r w:rsidR="00FD7B12" w:rsidRPr="003F722F">
        <w:rPr>
          <w:b w:val="0"/>
          <w:bCs w:val="0"/>
        </w:rPr>
        <w:t>2021</w:t>
      </w:r>
      <w:bookmarkEnd w:id="162"/>
      <w:bookmarkEnd w:id="163"/>
    </w:p>
    <w:p w14:paraId="226353A9" w14:textId="6DCAFADD" w:rsidR="00B1110C" w:rsidRPr="00F46944" w:rsidRDefault="00580F90" w:rsidP="00C87E95">
      <w:pPr>
        <w:spacing w:after="0"/>
      </w:pPr>
      <w:r>
        <w:rPr>
          <w:noProof/>
        </w:rPr>
        <w:drawing>
          <wp:inline distT="0" distB="0" distL="0" distR="0" wp14:anchorId="6656DD01" wp14:editId="44022AC6">
            <wp:extent cx="5986780" cy="4194175"/>
            <wp:effectExtent l="0" t="0" r="0" b="0"/>
            <wp:docPr id="105" name="Picture 105" descr="Figure 26: Number of PBS/RPBS antimicrobial prescriptions per 1,000 people for URTIs, by state and territory, 2019–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Figure 26: Number of PBS/RPBS antimicrobial prescriptions per 1,000 people for URTIs, by state and territory, 2019–20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86780" cy="4194175"/>
                    </a:xfrm>
                    <a:prstGeom prst="rect">
                      <a:avLst/>
                    </a:prstGeom>
                    <a:noFill/>
                  </pic:spPr>
                </pic:pic>
              </a:graphicData>
            </a:graphic>
          </wp:inline>
        </w:drawing>
      </w:r>
    </w:p>
    <w:p w14:paraId="64589A81" w14:textId="6E892A0D" w:rsidR="00202D52" w:rsidRPr="00F46944" w:rsidRDefault="004A4591" w:rsidP="004919A3">
      <w:pPr>
        <w:tabs>
          <w:tab w:val="left" w:pos="142"/>
        </w:tabs>
        <w:spacing w:before="120" w:after="120"/>
        <w:rPr>
          <w:rFonts w:cstheme="minorHAnsi"/>
          <w:b/>
        </w:rPr>
      </w:pPr>
      <w:r w:rsidRPr="00F46944">
        <w:rPr>
          <w:rFonts w:cstheme="minorHAnsi"/>
          <w:sz w:val="16"/>
          <w:szCs w:val="16"/>
        </w:rPr>
        <w:t>PBS = Pharmaceutical Benefits Scheme; RPBS = Repatriation Pharmaceutical Benefits Scheme</w:t>
      </w:r>
      <w:r w:rsidR="00F74E80" w:rsidRPr="00F46944">
        <w:rPr>
          <w:rFonts w:cstheme="minorHAnsi"/>
          <w:sz w:val="16"/>
          <w:szCs w:val="16"/>
        </w:rPr>
        <w:t>; URTI = upper respiratory tract infection</w:t>
      </w:r>
      <w:r w:rsidRPr="00F46944">
        <w:rPr>
          <w:rFonts w:cstheme="minorHAnsi"/>
          <w:sz w:val="16"/>
          <w:szCs w:val="16"/>
        </w:rPr>
        <w:br/>
        <w:t>*</w:t>
      </w:r>
      <w:r w:rsidR="00D518EA">
        <w:rPr>
          <w:rFonts w:cstheme="minorHAnsi"/>
          <w:sz w:val="16"/>
          <w:szCs w:val="16"/>
        </w:rPr>
        <w:tab/>
      </w:r>
      <w:proofErr w:type="spellStart"/>
      <w:r w:rsidRPr="00F46944">
        <w:rPr>
          <w:rFonts w:cstheme="minorHAnsi"/>
          <w:sz w:val="16"/>
          <w:szCs w:val="16"/>
        </w:rPr>
        <w:t>Antibacterials</w:t>
      </w:r>
      <w:proofErr w:type="spellEnd"/>
      <w:r w:rsidRPr="00F46944">
        <w:rPr>
          <w:rFonts w:cstheme="minorHAnsi"/>
          <w:sz w:val="16"/>
          <w:szCs w:val="16"/>
        </w:rPr>
        <w:t xml:space="preserve"> for systemic use (</w:t>
      </w:r>
      <w:r w:rsidR="0069577B">
        <w:rPr>
          <w:rFonts w:cstheme="minorHAnsi"/>
          <w:sz w:val="16"/>
          <w:szCs w:val="16"/>
        </w:rPr>
        <w:t xml:space="preserve">ATC code </w:t>
      </w:r>
      <w:r w:rsidRPr="00F46944">
        <w:rPr>
          <w:rFonts w:cstheme="minorHAnsi"/>
          <w:sz w:val="16"/>
          <w:szCs w:val="16"/>
        </w:rPr>
        <w:t>J01)</w:t>
      </w:r>
      <w:r w:rsidRPr="00F46944">
        <w:rPr>
          <w:rFonts w:cstheme="minorHAnsi"/>
          <w:sz w:val="16"/>
          <w:szCs w:val="16"/>
        </w:rPr>
        <w:br/>
      </w:r>
      <w:r w:rsidR="00202D52" w:rsidRPr="00F46944">
        <w:rPr>
          <w:rFonts w:cstheme="minorHAnsi"/>
          <w:sz w:val="16"/>
          <w:szCs w:val="16"/>
        </w:rPr>
        <w:t>Source: Gadzhanova, Roughead</w:t>
      </w:r>
      <w:r w:rsidR="00202D52" w:rsidRPr="00F46944">
        <w:rPr>
          <w:rFonts w:cstheme="minorHAnsi"/>
          <w:sz w:val="16"/>
          <w:szCs w:val="16"/>
        </w:rPr>
        <w:fldChar w:fldCharType="begin"/>
      </w:r>
      <w:r w:rsidR="00DB0DCB">
        <w:rPr>
          <w:rFonts w:cstheme="minorHAnsi"/>
          <w:sz w:val="16"/>
          <w:szCs w:val="16"/>
        </w:rPr>
        <w:instrText xml:space="preserve"> ADDIN EN.CITE &lt;EndNote&gt;&lt;Cite&gt;&lt;Author&gt;Gadzhanova&lt;/Author&gt;&lt;RecNum&gt;5&lt;/RecNum&gt;&lt;DisplayText&gt;&lt;style face="superscript"&gt;5&lt;/style&gt;&lt;/DisplayText&gt;&lt;record&gt;&lt;rec-number&gt;5&lt;/rec-number&gt;&lt;foreign-keys&gt;&lt;key app="EN" db-id="es9dr99ws90stoe5x2rp505nazvswdzppxa5" timestamp="1670810539"&gt;5&lt;/key&gt;&lt;/foreign-keys&gt;&lt;ref-type name="Unpublished Work"&gt;34&lt;/ref-type&gt;&lt;contributors&gt;&lt;authors&gt;&lt;author&gt;Gadzhanova, S.&lt;/author&gt;&lt;author&gt;Roughead, E.&lt;/author&gt;&lt;/authors&gt;&lt;/contributors&gt;&lt;titles&gt;&lt;title&gt;Analysis of 2015–2021 PBS data for the National Report on Antimicrobial Use and Resistance (unpublished)&lt;/title&gt;&lt;/titles&gt;&lt;dates&gt;&lt;/dates&gt;&lt;pub-location&gt;Sydney &lt;/pub-location&gt;&lt;publisher&gt;ACSQHC &lt;/publisher&gt;&lt;urls&gt;&lt;/urls&gt;&lt;/record&gt;&lt;/Cite&gt;&lt;/EndNote&gt;</w:instrText>
      </w:r>
      <w:r w:rsidR="00202D52" w:rsidRPr="00F46944">
        <w:rPr>
          <w:rFonts w:cstheme="minorHAnsi"/>
          <w:sz w:val="16"/>
          <w:szCs w:val="16"/>
        </w:rPr>
        <w:fldChar w:fldCharType="separate"/>
      </w:r>
      <w:r w:rsidR="001C0A42" w:rsidRPr="001C0A42">
        <w:rPr>
          <w:rFonts w:cstheme="minorHAnsi"/>
          <w:noProof/>
          <w:sz w:val="16"/>
          <w:szCs w:val="16"/>
          <w:vertAlign w:val="superscript"/>
        </w:rPr>
        <w:t>5</w:t>
      </w:r>
      <w:r w:rsidR="00202D52" w:rsidRPr="00F46944">
        <w:rPr>
          <w:rFonts w:cstheme="minorHAnsi"/>
          <w:sz w:val="16"/>
          <w:szCs w:val="16"/>
        </w:rPr>
        <w:fldChar w:fldCharType="end"/>
      </w:r>
    </w:p>
    <w:p w14:paraId="78CB7348" w14:textId="760F7252" w:rsidR="00B1110C" w:rsidRPr="00F46944" w:rsidRDefault="0010769E" w:rsidP="005714EB">
      <w:r w:rsidRPr="00F46944">
        <w:lastRenderedPageBreak/>
        <w:t>When comparing 2020 with 2019</w:t>
      </w:r>
      <w:r w:rsidR="002B6336" w:rsidRPr="00F46944">
        <w:t>, t</w:t>
      </w:r>
      <w:r w:rsidRPr="00F46944">
        <w:t>here was a decrease in all age groups</w:t>
      </w:r>
      <w:r w:rsidR="002B6336" w:rsidRPr="00F46944">
        <w:t xml:space="preserve"> for the number of prescriptions of antimicrobials frequently used for </w:t>
      </w:r>
      <w:r w:rsidR="00F74E80" w:rsidRPr="00F46944">
        <w:t>URTIs</w:t>
      </w:r>
      <w:r w:rsidR="002B6336" w:rsidRPr="00F46944">
        <w:t xml:space="preserve"> per 1,000 people (</w:t>
      </w:r>
      <w:r w:rsidR="002B6336" w:rsidRPr="004E5645">
        <w:t>Figure </w:t>
      </w:r>
      <w:r w:rsidR="003F273E" w:rsidRPr="004E5645">
        <w:t>27</w:t>
      </w:r>
      <w:r w:rsidR="002B6336" w:rsidRPr="00F46944">
        <w:t xml:space="preserve">). </w:t>
      </w:r>
      <w:r w:rsidRPr="00F46944">
        <w:t>The largest decrease was in children aged 0–4</w:t>
      </w:r>
      <w:r w:rsidR="008F2B97" w:rsidRPr="00F46944">
        <w:t> </w:t>
      </w:r>
      <w:r w:rsidRPr="00F46944">
        <w:t xml:space="preserve">years </w:t>
      </w:r>
      <w:r w:rsidR="00FD60EF" w:rsidRPr="00F46944">
        <w:t>(</w:t>
      </w:r>
      <w:r w:rsidR="00FD60EF" w:rsidRPr="00F46944">
        <w:rPr>
          <w:i/>
          <w:iCs/>
        </w:rPr>
        <w:t>n</w:t>
      </w:r>
      <w:r w:rsidR="00FD60EF" w:rsidRPr="00F46944">
        <w:t xml:space="preserve"> = 851 in 2019; </w:t>
      </w:r>
      <w:r w:rsidR="00FD60EF" w:rsidRPr="00F46944">
        <w:rPr>
          <w:i/>
          <w:iCs/>
        </w:rPr>
        <w:t>n</w:t>
      </w:r>
      <w:r w:rsidR="00FD60EF" w:rsidRPr="00F46944">
        <w:t xml:space="preserve"> = 500 in 2020; down </w:t>
      </w:r>
      <w:r w:rsidRPr="00F46944">
        <w:t>41</w:t>
      </w:r>
      <w:r w:rsidR="00BF2D7E">
        <w:t>.2</w:t>
      </w:r>
      <w:r w:rsidRPr="00F46944">
        <w:t>%) and 5–14</w:t>
      </w:r>
      <w:r w:rsidR="008F2B97" w:rsidRPr="00F46944">
        <w:t> </w:t>
      </w:r>
      <w:r w:rsidRPr="00F46944">
        <w:t xml:space="preserve">years </w:t>
      </w:r>
      <w:r w:rsidR="00FD60EF" w:rsidRPr="00F46944">
        <w:t>(</w:t>
      </w:r>
      <w:r w:rsidR="00FD60EF" w:rsidRPr="00F46944">
        <w:rPr>
          <w:i/>
          <w:iCs/>
        </w:rPr>
        <w:t>n</w:t>
      </w:r>
      <w:r w:rsidR="00FD60EF" w:rsidRPr="00F46944">
        <w:t xml:space="preserve"> = 577 in 2019; </w:t>
      </w:r>
      <w:r w:rsidR="00FD60EF" w:rsidRPr="00F46944">
        <w:rPr>
          <w:i/>
          <w:iCs/>
        </w:rPr>
        <w:t>n</w:t>
      </w:r>
      <w:r w:rsidR="00FD60EF" w:rsidRPr="00F46944">
        <w:t xml:space="preserve"> = 334 in 2020; down </w:t>
      </w:r>
      <w:r w:rsidRPr="00F46944">
        <w:t>42</w:t>
      </w:r>
      <w:r w:rsidR="00BF2D7E">
        <w:t>.1</w:t>
      </w:r>
      <w:r w:rsidRPr="00F46944">
        <w:t xml:space="preserve">%). </w:t>
      </w:r>
      <w:r w:rsidR="00E95B28" w:rsidRPr="00F46944">
        <w:t>While largest by number, t</w:t>
      </w:r>
      <w:r w:rsidRPr="00F46944">
        <w:t xml:space="preserve">he decrease in use was the smallest </w:t>
      </w:r>
      <w:r w:rsidR="00E95B28" w:rsidRPr="00F46944">
        <w:t>by percentage</w:t>
      </w:r>
      <w:r w:rsidR="00FD60EF" w:rsidRPr="00F46944">
        <w:t xml:space="preserve"> </w:t>
      </w:r>
      <w:r w:rsidRPr="00F46944">
        <w:t xml:space="preserve">in </w:t>
      </w:r>
      <w:r w:rsidR="00D13F57" w:rsidRPr="00F46944">
        <w:t xml:space="preserve">adults </w:t>
      </w:r>
      <w:r w:rsidRPr="00F46944">
        <w:t>aged 75</w:t>
      </w:r>
      <w:r w:rsidR="008F2B97" w:rsidRPr="00F46944">
        <w:t> </w:t>
      </w:r>
      <w:r w:rsidRPr="00F46944">
        <w:t>years and over</w:t>
      </w:r>
      <w:r w:rsidR="00FD60EF" w:rsidRPr="00F46944">
        <w:t xml:space="preserve"> (</w:t>
      </w:r>
      <w:r w:rsidR="00FD60EF" w:rsidRPr="00F46944">
        <w:rPr>
          <w:i/>
          <w:iCs/>
        </w:rPr>
        <w:t>n</w:t>
      </w:r>
      <w:r w:rsidR="00FD60EF" w:rsidRPr="00F46944">
        <w:t> = 1</w:t>
      </w:r>
      <w:r w:rsidR="00BF2D7E">
        <w:t>,</w:t>
      </w:r>
      <w:r w:rsidR="00FD60EF" w:rsidRPr="00F46944">
        <w:t xml:space="preserve">918 in 2019; </w:t>
      </w:r>
      <w:r w:rsidR="00FD60EF" w:rsidRPr="00F46944">
        <w:rPr>
          <w:i/>
          <w:iCs/>
        </w:rPr>
        <w:t>n</w:t>
      </w:r>
      <w:r w:rsidR="00FD60EF" w:rsidRPr="00F46944">
        <w:t> = 1</w:t>
      </w:r>
      <w:r w:rsidR="00BF2D7E">
        <w:t>,</w:t>
      </w:r>
      <w:r w:rsidR="00FD60EF" w:rsidRPr="00F46944">
        <w:t>438 in 2020; down 25</w:t>
      </w:r>
      <w:r w:rsidR="00BF2D7E">
        <w:t>.0</w:t>
      </w:r>
      <w:r w:rsidR="00FD60EF" w:rsidRPr="00F46944">
        <w:t>%).</w:t>
      </w:r>
    </w:p>
    <w:p w14:paraId="0DBD9C2F" w14:textId="59668155" w:rsidR="00BF6F43" w:rsidRPr="00F46944" w:rsidRDefault="00BF6F43" w:rsidP="00983BF5">
      <w:r w:rsidRPr="00F46944">
        <w:t xml:space="preserve">When comparing 2021 to 2020, the use of antimicrobials for </w:t>
      </w:r>
      <w:r w:rsidR="00023E78" w:rsidRPr="00F46944">
        <w:t>URTIs</w:t>
      </w:r>
      <w:r w:rsidRPr="00F46944">
        <w:t xml:space="preserve"> further decreased in the elderly</w:t>
      </w:r>
      <w:r w:rsidR="00983BF5" w:rsidRPr="00F46944">
        <w:t xml:space="preserve">; by </w:t>
      </w:r>
      <w:r w:rsidR="00BF2D7E">
        <w:t xml:space="preserve">approximately </w:t>
      </w:r>
      <w:r w:rsidR="00983BF5" w:rsidRPr="00F46944">
        <w:t xml:space="preserve">9% </w:t>
      </w:r>
      <w:r w:rsidRPr="00F46944">
        <w:t xml:space="preserve">in both </w:t>
      </w:r>
      <w:r w:rsidR="00983BF5" w:rsidRPr="00F46944">
        <w:t>people aged </w:t>
      </w:r>
      <w:r w:rsidRPr="00F46944">
        <w:t>6</w:t>
      </w:r>
      <w:r w:rsidR="00983BF5" w:rsidRPr="00F46944">
        <w:t>5</w:t>
      </w:r>
      <w:r w:rsidR="00023E78" w:rsidRPr="00F46944">
        <w:t>–</w:t>
      </w:r>
      <w:r w:rsidRPr="00F46944">
        <w:t>74</w:t>
      </w:r>
      <w:r w:rsidR="008F2B97" w:rsidRPr="00F46944">
        <w:t> </w:t>
      </w:r>
      <w:r w:rsidR="00023E78" w:rsidRPr="00F46944">
        <w:t>years</w:t>
      </w:r>
      <w:r w:rsidR="00983BF5" w:rsidRPr="00F46944">
        <w:t xml:space="preserve"> (</w:t>
      </w:r>
      <w:r w:rsidR="00983BF5" w:rsidRPr="00F46944">
        <w:rPr>
          <w:i/>
          <w:iCs/>
        </w:rPr>
        <w:t>n</w:t>
      </w:r>
      <w:r w:rsidR="00983BF5" w:rsidRPr="00F46944">
        <w:t xml:space="preserve"> = 915 in 2020; </w:t>
      </w:r>
      <w:r w:rsidR="00983BF5" w:rsidRPr="00F46944">
        <w:rPr>
          <w:i/>
          <w:iCs/>
        </w:rPr>
        <w:t>n</w:t>
      </w:r>
      <w:r w:rsidR="00983BF5" w:rsidRPr="00F46944">
        <w:t> = 832 in 2021) a</w:t>
      </w:r>
      <w:r w:rsidRPr="00F46944">
        <w:t xml:space="preserve">nd </w:t>
      </w:r>
      <w:r w:rsidR="00983BF5" w:rsidRPr="00F46944">
        <w:t>aged </w:t>
      </w:r>
      <w:r w:rsidRPr="00F46944">
        <w:t>75</w:t>
      </w:r>
      <w:r w:rsidR="008F2B97" w:rsidRPr="00F46944">
        <w:t> </w:t>
      </w:r>
      <w:r w:rsidR="00023E78" w:rsidRPr="00F46944">
        <w:t xml:space="preserve">years </w:t>
      </w:r>
      <w:r w:rsidRPr="00F46944">
        <w:t>and over</w:t>
      </w:r>
      <w:r w:rsidR="00983BF5" w:rsidRPr="00F46944">
        <w:t xml:space="preserve"> (</w:t>
      </w:r>
      <w:r w:rsidR="00983BF5" w:rsidRPr="00F46944">
        <w:rPr>
          <w:i/>
          <w:iCs/>
        </w:rPr>
        <w:t>n</w:t>
      </w:r>
      <w:r w:rsidR="00983BF5" w:rsidRPr="00F46944">
        <w:t> = 1</w:t>
      </w:r>
      <w:r w:rsidR="00BF2D7E">
        <w:t>,</w:t>
      </w:r>
      <w:r w:rsidR="00983BF5" w:rsidRPr="00F46944">
        <w:t xml:space="preserve">438 in 2020; </w:t>
      </w:r>
      <w:r w:rsidR="00983BF5" w:rsidRPr="00F46944">
        <w:rPr>
          <w:i/>
          <w:iCs/>
        </w:rPr>
        <w:t>n</w:t>
      </w:r>
      <w:r w:rsidR="00983BF5" w:rsidRPr="00F46944">
        <w:t> = 1</w:t>
      </w:r>
      <w:r w:rsidR="00BF2D7E">
        <w:t>,</w:t>
      </w:r>
      <w:r w:rsidR="00983BF5" w:rsidRPr="00F46944">
        <w:t>308 in 2021)</w:t>
      </w:r>
      <w:r w:rsidR="00023E78" w:rsidRPr="00F46944">
        <w:t xml:space="preserve">. </w:t>
      </w:r>
      <w:r w:rsidR="00983BF5" w:rsidRPr="00F46944">
        <w:t>Use remained the same for the 20–</w:t>
      </w:r>
      <w:r w:rsidR="003D2FA2" w:rsidRPr="00F46944">
        <w:t>44-year</w:t>
      </w:r>
      <w:r w:rsidR="00983BF5" w:rsidRPr="00F46944">
        <w:t xml:space="preserve"> age group (</w:t>
      </w:r>
      <w:r w:rsidR="00983BF5" w:rsidRPr="00F46944">
        <w:rPr>
          <w:i/>
          <w:iCs/>
        </w:rPr>
        <w:t>n</w:t>
      </w:r>
      <w:r w:rsidR="00983BF5" w:rsidRPr="00F46944">
        <w:t xml:space="preserve"> = 446 in 2020 and 2021), and the </w:t>
      </w:r>
      <w:r w:rsidRPr="00F46944">
        <w:t>highest increase in use was observed in children aged 0</w:t>
      </w:r>
      <w:r w:rsidR="008F2B97" w:rsidRPr="00F46944">
        <w:t>–</w:t>
      </w:r>
      <w:r w:rsidRPr="00F46944">
        <w:t>4</w:t>
      </w:r>
      <w:r w:rsidR="008F2B97" w:rsidRPr="00F46944">
        <w:t> </w:t>
      </w:r>
      <w:r w:rsidR="00023E78" w:rsidRPr="00F46944">
        <w:t xml:space="preserve">years </w:t>
      </w:r>
      <w:r w:rsidRPr="00F46944">
        <w:t>(</w:t>
      </w:r>
      <w:r w:rsidR="00983BF5" w:rsidRPr="00F46944">
        <w:rPr>
          <w:i/>
          <w:iCs/>
        </w:rPr>
        <w:t>n</w:t>
      </w:r>
      <w:r w:rsidR="00983BF5" w:rsidRPr="00F46944">
        <w:t xml:space="preserve"> = 500 in 2020; </w:t>
      </w:r>
      <w:r w:rsidR="00983BF5" w:rsidRPr="00F46944">
        <w:rPr>
          <w:i/>
          <w:iCs/>
        </w:rPr>
        <w:t>n</w:t>
      </w:r>
      <w:r w:rsidR="00983BF5" w:rsidRPr="00F46944">
        <w:t xml:space="preserve"> = 673 in 2021; up </w:t>
      </w:r>
      <w:r w:rsidRPr="00F46944">
        <w:t>3</w:t>
      </w:r>
      <w:r w:rsidR="00BF2D7E">
        <w:t>4.6</w:t>
      </w:r>
      <w:r w:rsidRPr="00F46944">
        <w:t>%)</w:t>
      </w:r>
      <w:r w:rsidR="00FF112F" w:rsidRPr="00F46944">
        <w:t xml:space="preserve"> </w:t>
      </w:r>
      <w:r w:rsidR="00983BF5" w:rsidRPr="00F46944">
        <w:t>(</w:t>
      </w:r>
      <w:r w:rsidR="00983BF5" w:rsidRPr="004E5645">
        <w:t>Figure </w:t>
      </w:r>
      <w:r w:rsidR="003F273E" w:rsidRPr="004E5645">
        <w:t>27</w:t>
      </w:r>
      <w:r w:rsidR="00983BF5" w:rsidRPr="00F46944">
        <w:t>)</w:t>
      </w:r>
      <w:r w:rsidRPr="00F46944">
        <w:t>.</w:t>
      </w:r>
    </w:p>
    <w:p w14:paraId="4DC2116F" w14:textId="641BBD6B" w:rsidR="00E32773" w:rsidRPr="00F46944" w:rsidRDefault="00353859" w:rsidP="00934F93">
      <w:r w:rsidRPr="00F46944">
        <w:t xml:space="preserve">The findings in children are consistent with </w:t>
      </w:r>
      <w:r w:rsidR="005B44C1" w:rsidRPr="00F46944">
        <w:t>the reduction</w:t>
      </w:r>
      <w:r w:rsidRPr="00F46944">
        <w:t xml:space="preserve"> </w:t>
      </w:r>
      <w:r w:rsidR="00206D62">
        <w:t>in</w:t>
      </w:r>
      <w:r w:rsidRPr="00F46944">
        <w:t xml:space="preserve"> standard GP consultations </w:t>
      </w:r>
      <w:r w:rsidR="005B44C1" w:rsidRPr="00F46944">
        <w:t xml:space="preserve">for </w:t>
      </w:r>
      <w:r w:rsidRPr="00F46944">
        <w:t xml:space="preserve">these age groups around the </w:t>
      </w:r>
      <w:r w:rsidR="00D13F57" w:rsidRPr="00F46944">
        <w:t xml:space="preserve">beginning </w:t>
      </w:r>
      <w:r w:rsidRPr="00F46944">
        <w:t xml:space="preserve">of the COVID-19 pandemic in Australia in March 2020. </w:t>
      </w:r>
      <w:r w:rsidR="00B018A4" w:rsidRPr="00F46944">
        <w:t xml:space="preserve">This </w:t>
      </w:r>
      <w:r w:rsidRPr="00F46944">
        <w:t xml:space="preserve">is also consistent with </w:t>
      </w:r>
      <w:proofErr w:type="spellStart"/>
      <w:r w:rsidRPr="00F46944">
        <w:t>MedicineInsight</w:t>
      </w:r>
      <w:proofErr w:type="spellEnd"/>
      <w:r w:rsidRPr="00F46944">
        <w:t xml:space="preserve"> data, </w:t>
      </w:r>
      <w:r w:rsidR="00B018A4" w:rsidRPr="00F46944">
        <w:t xml:space="preserve">which revealed that </w:t>
      </w:r>
      <w:r w:rsidRPr="00F46944">
        <w:t xml:space="preserve">prescribing rates </w:t>
      </w:r>
      <w:r w:rsidR="00D13F57" w:rsidRPr="00F46944">
        <w:t xml:space="preserve">decreased </w:t>
      </w:r>
      <w:r w:rsidRPr="00F46944">
        <w:t>for all age groups from 2019 to 2020 and</w:t>
      </w:r>
      <w:r w:rsidR="00D13F57" w:rsidRPr="00F46944">
        <w:t xml:space="preserve"> increased for </w:t>
      </w:r>
      <w:r w:rsidR="005729E2" w:rsidRPr="00F46944">
        <w:t>children</w:t>
      </w:r>
      <w:r w:rsidRPr="00F46944">
        <w:t xml:space="preserve"> aged 0–4</w:t>
      </w:r>
      <w:r w:rsidRPr="00F46944">
        <w:rPr>
          <w:bCs/>
        </w:rPr>
        <w:t> years</w:t>
      </w:r>
      <w:r w:rsidRPr="00F46944">
        <w:t xml:space="preserve"> from 2020 to 2021. </w:t>
      </w:r>
    </w:p>
    <w:p w14:paraId="5F20DFEE" w14:textId="6C2DEEE2" w:rsidR="00C440C9" w:rsidRPr="003F722F" w:rsidRDefault="003F722F" w:rsidP="003F722F">
      <w:pPr>
        <w:pStyle w:val="Captions"/>
        <w:rPr>
          <w:b w:val="0"/>
          <w:bCs w:val="0"/>
        </w:rPr>
      </w:pPr>
      <w:bookmarkStart w:id="164" w:name="_Toc121491339"/>
      <w:bookmarkStart w:id="165" w:name="_Toc121840911"/>
      <w:r>
        <w:t>Figure</w:t>
      </w:r>
      <w:r w:rsidRPr="00F46944">
        <w:t> </w:t>
      </w:r>
      <w:fldSimple w:instr=" SEQ Figure \* ARABIC ">
        <w:r w:rsidR="00F34DDD">
          <w:rPr>
            <w:noProof/>
          </w:rPr>
          <w:t>27</w:t>
        </w:r>
      </w:fldSimple>
      <w:r w:rsidR="00C440C9" w:rsidRPr="00F46944">
        <w:t>:</w:t>
      </w:r>
      <w:r w:rsidR="00CC09FB" w:rsidRPr="003F722F">
        <w:rPr>
          <w:b w:val="0"/>
          <w:bCs w:val="0"/>
        </w:rPr>
        <w:t> </w:t>
      </w:r>
      <w:r w:rsidR="00C440C9" w:rsidRPr="003F722F">
        <w:rPr>
          <w:b w:val="0"/>
          <w:bCs w:val="0"/>
        </w:rPr>
        <w:t>Number of</w:t>
      </w:r>
      <w:r w:rsidR="00FE69C2" w:rsidRPr="003F722F">
        <w:rPr>
          <w:b w:val="0"/>
          <w:bCs w:val="0"/>
        </w:rPr>
        <w:t xml:space="preserve"> PBS/RPBS</w:t>
      </w:r>
      <w:r w:rsidR="00C440C9" w:rsidRPr="003F722F">
        <w:rPr>
          <w:b w:val="0"/>
          <w:bCs w:val="0"/>
        </w:rPr>
        <w:t xml:space="preserve"> </w:t>
      </w:r>
      <w:r w:rsidR="004A4591" w:rsidRPr="003F722F">
        <w:rPr>
          <w:b w:val="0"/>
          <w:bCs w:val="0"/>
        </w:rPr>
        <w:t xml:space="preserve">antimicrobial </w:t>
      </w:r>
      <w:r w:rsidR="00C440C9" w:rsidRPr="003F722F">
        <w:rPr>
          <w:b w:val="0"/>
          <w:bCs w:val="0"/>
        </w:rPr>
        <w:t xml:space="preserve">prescriptions </w:t>
      </w:r>
      <w:r w:rsidR="004A4591" w:rsidRPr="003F722F">
        <w:rPr>
          <w:b w:val="0"/>
          <w:bCs w:val="0"/>
        </w:rPr>
        <w:t xml:space="preserve">dispensed for </w:t>
      </w:r>
      <w:r w:rsidR="00F74E80" w:rsidRPr="003F722F">
        <w:rPr>
          <w:b w:val="0"/>
          <w:bCs w:val="0"/>
        </w:rPr>
        <w:t>URTIs</w:t>
      </w:r>
      <w:r w:rsidR="00E818CD">
        <w:rPr>
          <w:b w:val="0"/>
          <w:bCs w:val="0"/>
        </w:rPr>
        <w:t>*</w:t>
      </w:r>
      <w:r w:rsidR="004A4591" w:rsidRPr="003F722F">
        <w:rPr>
          <w:b w:val="0"/>
          <w:bCs w:val="0"/>
        </w:rPr>
        <w:t xml:space="preserve"> </w:t>
      </w:r>
      <w:r w:rsidR="00C440C9" w:rsidRPr="003F722F">
        <w:rPr>
          <w:b w:val="0"/>
          <w:bCs w:val="0"/>
        </w:rPr>
        <w:t>per</w:t>
      </w:r>
      <w:r w:rsidR="00CC09FB" w:rsidRPr="003F722F">
        <w:rPr>
          <w:b w:val="0"/>
          <w:bCs w:val="0"/>
        </w:rPr>
        <w:t> </w:t>
      </w:r>
      <w:r w:rsidR="00C440C9" w:rsidRPr="003F722F">
        <w:rPr>
          <w:b w:val="0"/>
          <w:bCs w:val="0"/>
        </w:rPr>
        <w:t>1,000</w:t>
      </w:r>
      <w:r w:rsidR="00772DCB" w:rsidRPr="003F722F">
        <w:rPr>
          <w:b w:val="0"/>
          <w:bCs w:val="0"/>
        </w:rPr>
        <w:t> </w:t>
      </w:r>
      <w:r w:rsidR="00C440C9" w:rsidRPr="003F722F">
        <w:rPr>
          <w:b w:val="0"/>
          <w:bCs w:val="0"/>
        </w:rPr>
        <w:t>people, by age groups,</w:t>
      </w:r>
      <w:r w:rsidR="00FE69C2" w:rsidRPr="003F722F">
        <w:rPr>
          <w:b w:val="0"/>
          <w:bCs w:val="0"/>
        </w:rPr>
        <w:t xml:space="preserve"> </w:t>
      </w:r>
      <w:r w:rsidR="00C440C9" w:rsidRPr="003F722F">
        <w:rPr>
          <w:b w:val="0"/>
          <w:bCs w:val="0"/>
        </w:rPr>
        <w:t>2019</w:t>
      </w:r>
      <w:r w:rsidR="00FE69C2" w:rsidRPr="003F722F">
        <w:rPr>
          <w:b w:val="0"/>
          <w:bCs w:val="0"/>
        </w:rPr>
        <w:t>–</w:t>
      </w:r>
      <w:r w:rsidR="00C440C9" w:rsidRPr="003F722F">
        <w:rPr>
          <w:b w:val="0"/>
          <w:bCs w:val="0"/>
        </w:rPr>
        <w:t>2021</w:t>
      </w:r>
      <w:bookmarkEnd w:id="164"/>
      <w:bookmarkEnd w:id="165"/>
    </w:p>
    <w:p w14:paraId="5734B315" w14:textId="6339DED3" w:rsidR="002D52D2" w:rsidRPr="00F46944" w:rsidRDefault="00D77422" w:rsidP="003A499C">
      <w:pPr>
        <w:spacing w:after="80"/>
        <w:rPr>
          <w:rFonts w:cstheme="minorHAnsi"/>
          <w:sz w:val="16"/>
          <w:szCs w:val="16"/>
        </w:rPr>
      </w:pPr>
      <w:r>
        <w:rPr>
          <w:rFonts w:ascii="ZWAdobeF" w:hAnsi="ZWAdobeF" w:cs="ZWAdobeF"/>
          <w:sz w:val="2"/>
          <w:szCs w:val="2"/>
        </w:rPr>
        <w:t>633B</w:t>
      </w:r>
      <w:r w:rsidR="00580F90">
        <w:rPr>
          <w:rFonts w:ascii="ZWAdobeF" w:hAnsi="ZWAdobeF" w:cs="ZWAdobeF"/>
          <w:noProof/>
          <w:sz w:val="2"/>
          <w:szCs w:val="2"/>
        </w:rPr>
        <w:drawing>
          <wp:inline distT="0" distB="0" distL="0" distR="0" wp14:anchorId="43CDF835" wp14:editId="306AC7CF">
            <wp:extent cx="5730875" cy="3578860"/>
            <wp:effectExtent l="0" t="0" r="3175" b="2540"/>
            <wp:docPr id="107" name="Picture 107" descr="Figure 27: Number of PBS/RPBS antimicrobial prescriptions dispensed for URTIs per 1,000 people, by age groups, 2019–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Figure 27: Number of PBS/RPBS antimicrobial prescriptions dispensed for URTIs per 1,000 people, by age groups, 2019–20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0875" cy="3578860"/>
                    </a:xfrm>
                    <a:prstGeom prst="rect">
                      <a:avLst/>
                    </a:prstGeom>
                    <a:noFill/>
                  </pic:spPr>
                </pic:pic>
              </a:graphicData>
            </a:graphic>
          </wp:inline>
        </w:drawing>
      </w:r>
    </w:p>
    <w:p w14:paraId="05F5DC14" w14:textId="303395DC" w:rsidR="00D518EA" w:rsidRDefault="00D77422" w:rsidP="004919A3">
      <w:pPr>
        <w:spacing w:after="0"/>
        <w:rPr>
          <w:rFonts w:cstheme="minorHAnsi"/>
          <w:sz w:val="16"/>
          <w:szCs w:val="16"/>
        </w:rPr>
      </w:pPr>
      <w:r>
        <w:rPr>
          <w:rFonts w:ascii="ZWAdobeF" w:hAnsi="ZWAdobeF" w:cs="ZWAdobeF"/>
          <w:sz w:val="2"/>
          <w:szCs w:val="2"/>
        </w:rPr>
        <w:t>634B</w:t>
      </w:r>
      <w:r w:rsidR="005729E2" w:rsidRPr="00F46944">
        <w:rPr>
          <w:rFonts w:cstheme="minorHAnsi"/>
          <w:sz w:val="16"/>
          <w:szCs w:val="16"/>
        </w:rPr>
        <w:t>PBS = Pharmaceutical Benefits Scheme; RPBS = Repatriation Pharmaceutical Benefits Scheme</w:t>
      </w:r>
      <w:r w:rsidR="00F74E80" w:rsidRPr="00F46944">
        <w:rPr>
          <w:rFonts w:cstheme="minorHAnsi"/>
          <w:sz w:val="16"/>
          <w:szCs w:val="16"/>
        </w:rPr>
        <w:t>; URTI = upper respiratory tract infection</w:t>
      </w:r>
    </w:p>
    <w:p w14:paraId="3444E639" w14:textId="272E244E" w:rsidR="00D518EA" w:rsidRDefault="00D77422" w:rsidP="004919A3">
      <w:pPr>
        <w:tabs>
          <w:tab w:val="left" w:pos="142"/>
        </w:tabs>
        <w:spacing w:after="0"/>
        <w:ind w:left="135" w:hanging="135"/>
        <w:rPr>
          <w:rFonts w:cstheme="minorHAnsi"/>
          <w:sz w:val="16"/>
          <w:szCs w:val="16"/>
        </w:rPr>
      </w:pPr>
      <w:r>
        <w:rPr>
          <w:rFonts w:ascii="ZWAdobeF" w:hAnsi="ZWAdobeF" w:cs="ZWAdobeF"/>
          <w:sz w:val="2"/>
          <w:szCs w:val="2"/>
        </w:rPr>
        <w:t>635B</w:t>
      </w:r>
      <w:r w:rsidR="004A4591" w:rsidRPr="00F46944">
        <w:rPr>
          <w:rFonts w:cstheme="minorHAnsi"/>
          <w:sz w:val="16"/>
          <w:szCs w:val="16"/>
        </w:rPr>
        <w:t>*</w:t>
      </w:r>
      <w:r w:rsidR="00D518EA">
        <w:rPr>
          <w:rFonts w:cstheme="minorHAnsi"/>
          <w:sz w:val="16"/>
          <w:szCs w:val="16"/>
        </w:rPr>
        <w:tab/>
      </w:r>
      <w:r w:rsidR="0003377C">
        <w:rPr>
          <w:rFonts w:cstheme="minorHAnsi"/>
          <w:sz w:val="16"/>
          <w:szCs w:val="16"/>
        </w:rPr>
        <w:t>A</w:t>
      </w:r>
      <w:r w:rsidR="0003377C" w:rsidRPr="0003377C">
        <w:rPr>
          <w:rFonts w:cstheme="minorHAnsi"/>
          <w:bCs/>
          <w:sz w:val="16"/>
          <w:szCs w:val="16"/>
        </w:rPr>
        <w:t>moxicillin, amoxicillin</w:t>
      </w:r>
      <w:r w:rsidR="0003377C" w:rsidRPr="0003377C">
        <w:rPr>
          <w:rFonts w:cstheme="minorHAnsi"/>
          <w:sz w:val="16"/>
          <w:szCs w:val="16"/>
        </w:rPr>
        <w:t>–</w:t>
      </w:r>
      <w:r w:rsidR="0003377C" w:rsidRPr="0003377C">
        <w:rPr>
          <w:rFonts w:cstheme="minorHAnsi"/>
          <w:bCs/>
          <w:sz w:val="16"/>
          <w:szCs w:val="16"/>
        </w:rPr>
        <w:t>clavulanic acid, azithromycin, cefaclor, cefalexin, ciprofloxacin, clarithromycin, doxycycline, erythromycin, phenoxymethylpenicillin</w:t>
      </w:r>
      <w:r w:rsidR="0003377C">
        <w:rPr>
          <w:rFonts w:cstheme="minorHAnsi"/>
          <w:bCs/>
          <w:sz w:val="16"/>
          <w:szCs w:val="16"/>
        </w:rPr>
        <w:t xml:space="preserve"> and </w:t>
      </w:r>
      <w:r w:rsidR="0003377C" w:rsidRPr="0003377C">
        <w:rPr>
          <w:rFonts w:cstheme="minorHAnsi"/>
          <w:bCs/>
          <w:sz w:val="16"/>
          <w:szCs w:val="16"/>
        </w:rPr>
        <w:t>roxithromycin</w:t>
      </w:r>
    </w:p>
    <w:p w14:paraId="79883197" w14:textId="1A681D06" w:rsidR="00B1110C" w:rsidRPr="00F46944" w:rsidRDefault="00D77422" w:rsidP="008B1CB0">
      <w:pPr>
        <w:tabs>
          <w:tab w:val="left" w:pos="142"/>
        </w:tabs>
        <w:spacing w:after="0"/>
        <w:ind w:left="135" w:hanging="135"/>
        <w:rPr>
          <w:rFonts w:cstheme="minorHAnsi"/>
          <w:sz w:val="16"/>
          <w:szCs w:val="16"/>
        </w:rPr>
      </w:pPr>
      <w:r>
        <w:rPr>
          <w:rFonts w:ascii="ZWAdobeF" w:hAnsi="ZWAdobeF" w:cs="ZWAdobeF"/>
          <w:sz w:val="2"/>
          <w:szCs w:val="2"/>
        </w:rPr>
        <w:t>636B</w:t>
      </w:r>
      <w:r w:rsidR="00202D52" w:rsidRPr="00F46944">
        <w:rPr>
          <w:rFonts w:cstheme="minorHAnsi"/>
          <w:sz w:val="16"/>
          <w:szCs w:val="16"/>
        </w:rPr>
        <w:t>Source: Gadzhanova, Roughead</w:t>
      </w:r>
      <w:r w:rsidR="00202D52" w:rsidRPr="00F46944">
        <w:rPr>
          <w:rFonts w:cstheme="minorHAnsi"/>
          <w:sz w:val="16"/>
          <w:szCs w:val="16"/>
        </w:rPr>
        <w:fldChar w:fldCharType="begin"/>
      </w:r>
      <w:r w:rsidR="00DB0DCB">
        <w:rPr>
          <w:rFonts w:cstheme="minorHAnsi"/>
          <w:sz w:val="16"/>
          <w:szCs w:val="16"/>
        </w:rPr>
        <w:instrText xml:space="preserve"> ADDIN EN.CITE &lt;EndNote&gt;&lt;Cite&gt;&lt;Author&gt;Gadzhanova&lt;/Author&gt;&lt;RecNum&gt;5&lt;/RecNum&gt;&lt;DisplayText&gt;&lt;style face="superscript"&gt;5&lt;/style&gt;&lt;/DisplayText&gt;&lt;record&gt;&lt;rec-number&gt;5&lt;/rec-number&gt;&lt;foreign-keys&gt;&lt;key app="EN" db-id="es9dr99ws90stoe5x2rp505nazvswdzppxa5" timestamp="1670810539"&gt;5&lt;/key&gt;&lt;/foreign-keys&gt;&lt;ref-type name="Unpublished Work"&gt;34&lt;/ref-type&gt;&lt;contributors&gt;&lt;authors&gt;&lt;author&gt;Gadzhanova, S.&lt;/author&gt;&lt;author&gt;Roughead, E.&lt;/author&gt;&lt;/authors&gt;&lt;/contributors&gt;&lt;titles&gt;&lt;title&gt;Analysis of 2015–2021 PBS data for the National Report on Antimicrobial Use and Resistance (unpublished)&lt;/title&gt;&lt;/titles&gt;&lt;dates&gt;&lt;/dates&gt;&lt;pub-location&gt;Sydney &lt;/pub-location&gt;&lt;publisher&gt;ACSQHC &lt;/publisher&gt;&lt;urls&gt;&lt;/urls&gt;&lt;/record&gt;&lt;/Cite&gt;&lt;Cite&gt;&lt;Author&gt;Gadzhanova&lt;/Author&gt;&lt;RecNum&gt;5&lt;/RecNum&gt;&lt;record&gt;&lt;rec-number&gt;5&lt;/rec-number&gt;&lt;foreign-keys&gt;&lt;key app="EN" db-id="es9dr99ws90stoe5x2rp505nazvswdzppxa5" timestamp="1670810539"&gt;5&lt;/key&gt;&lt;/foreign-keys&gt;&lt;ref-type name="Unpublished Work"&gt;34&lt;/ref-type&gt;&lt;contributors&gt;&lt;authors&gt;&lt;author&gt;Gadzhanova, S.&lt;/author&gt;&lt;author&gt;Roughead, E.&lt;/author&gt;&lt;/authors&gt;&lt;/contributors&gt;&lt;titles&gt;&lt;title&gt;Analysis of 2015–2021 PBS data for the National Report on Antimicrobial Use and Resistance (unpublished)&lt;/title&gt;&lt;/titles&gt;&lt;dates&gt;&lt;/dates&gt;&lt;pub-location&gt;Sydney &lt;/pub-location&gt;&lt;publisher&gt;ACSQHC &lt;/publisher&gt;&lt;urls&gt;&lt;/urls&gt;&lt;/record&gt;&lt;/Cite&gt;&lt;/EndNote&gt;</w:instrText>
      </w:r>
      <w:r w:rsidR="00202D52" w:rsidRPr="00F46944">
        <w:rPr>
          <w:rFonts w:cstheme="minorHAnsi"/>
          <w:sz w:val="16"/>
          <w:szCs w:val="16"/>
        </w:rPr>
        <w:fldChar w:fldCharType="separate"/>
      </w:r>
      <w:r w:rsidR="001C0A42" w:rsidRPr="001C0A42">
        <w:rPr>
          <w:rFonts w:cstheme="minorHAnsi"/>
          <w:noProof/>
          <w:sz w:val="16"/>
          <w:szCs w:val="16"/>
          <w:vertAlign w:val="superscript"/>
        </w:rPr>
        <w:t>5</w:t>
      </w:r>
      <w:r w:rsidR="00202D52" w:rsidRPr="00F46944">
        <w:rPr>
          <w:rFonts w:cstheme="minorHAnsi"/>
          <w:sz w:val="16"/>
          <w:szCs w:val="16"/>
        </w:rPr>
        <w:fldChar w:fldCharType="end"/>
      </w:r>
    </w:p>
    <w:p w14:paraId="5EF07DD8" w14:textId="420D4312" w:rsidR="00E32773" w:rsidRPr="00F46944" w:rsidRDefault="00BF6F43" w:rsidP="002A44AA">
      <w:pPr>
        <w:pStyle w:val="Heading4"/>
      </w:pPr>
      <w:r w:rsidRPr="00F46944">
        <w:t>Effect of COVID-19 lockdowns on use of antimicrobials for upper respiratory tract infections</w:t>
      </w:r>
    </w:p>
    <w:p w14:paraId="106D7F5A" w14:textId="7C105A60" w:rsidR="00934F93" w:rsidRDefault="00D77422" w:rsidP="00A8079A">
      <w:r>
        <w:rPr>
          <w:rFonts w:ascii="ZWAdobeF" w:hAnsi="ZWAdobeF" w:cs="ZWAdobeF"/>
          <w:sz w:val="2"/>
          <w:szCs w:val="2"/>
        </w:rPr>
        <w:t>637B</w:t>
      </w:r>
      <w:r w:rsidR="00985E02" w:rsidRPr="00F46944">
        <w:t xml:space="preserve">As </w:t>
      </w:r>
      <w:r w:rsidR="00B018A4" w:rsidRPr="00F46944">
        <w:t>shown</w:t>
      </w:r>
      <w:r w:rsidR="00985E02" w:rsidRPr="00F46944">
        <w:t xml:space="preserve"> in </w:t>
      </w:r>
      <w:r w:rsidR="00985E02" w:rsidRPr="004E5645">
        <w:t>Figure </w:t>
      </w:r>
      <w:r w:rsidR="003F273E" w:rsidRPr="004E5645">
        <w:t>26</w:t>
      </w:r>
      <w:r w:rsidR="00985E02" w:rsidRPr="00F46944">
        <w:t xml:space="preserve">, </w:t>
      </w:r>
      <w:r w:rsidR="00A8079A" w:rsidRPr="00F46944">
        <w:t>all states</w:t>
      </w:r>
      <w:r w:rsidR="00FE7B60" w:rsidRPr="00F46944">
        <w:t xml:space="preserve"> and territories</w:t>
      </w:r>
      <w:r w:rsidR="00985E02" w:rsidRPr="00F46944">
        <w:t xml:space="preserve"> experienced a </w:t>
      </w:r>
      <w:r w:rsidR="00A8079A" w:rsidRPr="00F46944">
        <w:t>reduction in</w:t>
      </w:r>
      <w:r w:rsidR="00B018A4" w:rsidRPr="00F46944">
        <w:t xml:space="preserve"> the</w:t>
      </w:r>
      <w:r w:rsidR="00A8079A" w:rsidRPr="00F46944">
        <w:t xml:space="preserve"> use of antimicrobials for </w:t>
      </w:r>
      <w:r w:rsidR="00FE7B60" w:rsidRPr="00F46944">
        <w:t>URTIs</w:t>
      </w:r>
      <w:r w:rsidR="00A8079A" w:rsidRPr="00F46944">
        <w:t xml:space="preserve"> </w:t>
      </w:r>
      <w:r w:rsidR="00985E02" w:rsidRPr="00F46944">
        <w:t xml:space="preserve">from </w:t>
      </w:r>
      <w:r w:rsidR="00A8079A" w:rsidRPr="00F46944">
        <w:t>April 2020</w:t>
      </w:r>
      <w:r w:rsidR="00512500">
        <w:t xml:space="preserve"> compared to 2019</w:t>
      </w:r>
      <w:r w:rsidR="00A8079A" w:rsidRPr="00F46944">
        <w:t>.</w:t>
      </w:r>
      <w:r w:rsidR="00985E02" w:rsidRPr="00F46944">
        <w:t xml:space="preserve"> </w:t>
      </w:r>
      <w:r w:rsidR="006F7E01" w:rsidRPr="00F46944">
        <w:t>Monthly utili</w:t>
      </w:r>
      <w:r w:rsidR="00C440C9" w:rsidRPr="00F46944">
        <w:t>s</w:t>
      </w:r>
      <w:r w:rsidR="006F7E01" w:rsidRPr="00F46944">
        <w:t xml:space="preserve">ation of antimicrobials for URTIs </w:t>
      </w:r>
      <w:r w:rsidR="00985E02" w:rsidRPr="00F46944">
        <w:t xml:space="preserve">between </w:t>
      </w:r>
      <w:r w:rsidR="006F7E01" w:rsidRPr="00F46944">
        <w:t xml:space="preserve">2019 </w:t>
      </w:r>
      <w:r w:rsidR="00985E02" w:rsidRPr="00F46944">
        <w:t xml:space="preserve">and </w:t>
      </w:r>
      <w:r w:rsidR="006F7E01" w:rsidRPr="00F46944">
        <w:t>2021</w:t>
      </w:r>
      <w:r w:rsidR="00897AA5" w:rsidRPr="00F46944">
        <w:t xml:space="preserve"> are shown in </w:t>
      </w:r>
      <w:r w:rsidR="00897AA5" w:rsidRPr="004E5645">
        <w:t>Figures</w:t>
      </w:r>
      <w:r w:rsidR="00CC09FB" w:rsidRPr="004E5645">
        <w:t> </w:t>
      </w:r>
      <w:r w:rsidR="003F273E" w:rsidRPr="004E5645">
        <w:t>28,</w:t>
      </w:r>
      <w:r w:rsidR="003E588E" w:rsidRPr="00AC7C9D">
        <w:rPr>
          <w:b/>
          <w:bCs/>
        </w:rPr>
        <w:t> </w:t>
      </w:r>
      <w:r w:rsidR="003F273E" w:rsidRPr="004E5645">
        <w:t>29</w:t>
      </w:r>
      <w:r w:rsidR="003E588E" w:rsidRPr="00AC7C9D">
        <w:rPr>
          <w:b/>
          <w:bCs/>
        </w:rPr>
        <w:t> </w:t>
      </w:r>
      <w:r w:rsidR="003F273E" w:rsidRPr="004E5645">
        <w:t>and</w:t>
      </w:r>
      <w:r w:rsidR="003E588E" w:rsidRPr="00AC7C9D">
        <w:rPr>
          <w:b/>
          <w:bCs/>
        </w:rPr>
        <w:t> </w:t>
      </w:r>
      <w:r w:rsidR="003F273E" w:rsidRPr="004E5645">
        <w:t>30</w:t>
      </w:r>
      <w:r w:rsidR="00FE0A89" w:rsidRPr="00F46944">
        <w:t xml:space="preserve"> for Victoria, New South</w:t>
      </w:r>
      <w:r w:rsidR="00956C22" w:rsidRPr="00F46944">
        <w:t xml:space="preserve"> Wales,</w:t>
      </w:r>
      <w:r w:rsidR="00FE0A89" w:rsidRPr="00F46944">
        <w:t xml:space="preserve"> and the Australian Capital Territory</w:t>
      </w:r>
      <w:r w:rsidR="00B018A4" w:rsidRPr="00F46944">
        <w:t>,</w:t>
      </w:r>
      <w:r w:rsidR="009004F1" w:rsidRPr="00F46944">
        <w:t xml:space="preserve"> respectively. These are the </w:t>
      </w:r>
      <w:r w:rsidR="00985E02" w:rsidRPr="00F46944">
        <w:t>jurisdictions</w:t>
      </w:r>
      <w:r w:rsidR="005729E2" w:rsidRPr="00F46944">
        <w:t xml:space="preserve"> </w:t>
      </w:r>
      <w:r w:rsidR="009004F1" w:rsidRPr="00F46944">
        <w:t>t</w:t>
      </w:r>
      <w:r w:rsidR="005729E2" w:rsidRPr="00F46944">
        <w:t xml:space="preserve">hat </w:t>
      </w:r>
      <w:r w:rsidR="0005536A" w:rsidRPr="00F46944">
        <w:lastRenderedPageBreak/>
        <w:t>experienced at least one lockdown for greater than 2</w:t>
      </w:r>
      <w:r w:rsidR="00CC09FB" w:rsidRPr="00F46944">
        <w:t> </w:t>
      </w:r>
      <w:r w:rsidR="0005536A" w:rsidRPr="00F46944">
        <w:t>weeks</w:t>
      </w:r>
      <w:r w:rsidR="003E1471" w:rsidRPr="00F46944">
        <w:t xml:space="preserve">, </w:t>
      </w:r>
      <w:r w:rsidR="00D13F57" w:rsidRPr="00F46944">
        <w:t xml:space="preserve">in addition to </w:t>
      </w:r>
      <w:r w:rsidR="003E1471" w:rsidRPr="00F46944">
        <w:t xml:space="preserve">the Australia-wide lockdown </w:t>
      </w:r>
      <w:r w:rsidR="002F11AF" w:rsidRPr="00F46944">
        <w:t xml:space="preserve">that </w:t>
      </w:r>
      <w:r w:rsidR="00985E02" w:rsidRPr="00F46944">
        <w:t>commenced in</w:t>
      </w:r>
      <w:r w:rsidR="003E1471" w:rsidRPr="00F46944">
        <w:t xml:space="preserve"> </w:t>
      </w:r>
      <w:r w:rsidR="00CC2D49" w:rsidRPr="00F46944">
        <w:t xml:space="preserve">late </w:t>
      </w:r>
      <w:r w:rsidR="003E1471" w:rsidRPr="00F46944">
        <w:t>March 2020</w:t>
      </w:r>
      <w:r w:rsidR="00985E02" w:rsidRPr="00F46944">
        <w:t xml:space="preserve"> and was fully implemented </w:t>
      </w:r>
      <w:r w:rsidR="00CC2D49" w:rsidRPr="00F46944">
        <w:t xml:space="preserve">in </w:t>
      </w:r>
      <w:r w:rsidR="00985E02" w:rsidRPr="00F46944">
        <w:t>April 2020</w:t>
      </w:r>
      <w:r w:rsidR="00240DD0" w:rsidRPr="00F46944">
        <w:t xml:space="preserve"> </w:t>
      </w:r>
      <w:r w:rsidR="00206D62">
        <w:t>(</w:t>
      </w:r>
      <w:r w:rsidR="00240DD0" w:rsidRPr="00F46944">
        <w:t xml:space="preserve">marked on </w:t>
      </w:r>
      <w:r w:rsidR="00240DD0" w:rsidRPr="004E5645">
        <w:t>Figures</w:t>
      </w:r>
      <w:r w:rsidR="00D518EA">
        <w:t> </w:t>
      </w:r>
      <w:r w:rsidR="003F273E" w:rsidRPr="004E5645">
        <w:t>28</w:t>
      </w:r>
      <w:r w:rsidR="00D518EA">
        <w:t xml:space="preserve"> to </w:t>
      </w:r>
      <w:r w:rsidR="003F273E" w:rsidRPr="004E5645">
        <w:t>30</w:t>
      </w:r>
      <w:r w:rsidR="00206D62">
        <w:t>)</w:t>
      </w:r>
      <w:r w:rsidR="0005536A" w:rsidRPr="00F46944">
        <w:t>.</w:t>
      </w:r>
      <w:r w:rsidR="00612DED" w:rsidRPr="00F46944">
        <w:t xml:space="preserve"> </w:t>
      </w:r>
      <w:r w:rsidR="00206D62">
        <w:t xml:space="preserve">There </w:t>
      </w:r>
      <w:r w:rsidR="00985E02" w:rsidRPr="00F46944">
        <w:t xml:space="preserve">were variations in </w:t>
      </w:r>
      <w:r w:rsidR="00C81800" w:rsidRPr="00F46944">
        <w:t xml:space="preserve">the extent of the </w:t>
      </w:r>
      <w:r w:rsidR="00985E02" w:rsidRPr="00F46944">
        <w:t xml:space="preserve">lockdowns across local government </w:t>
      </w:r>
      <w:r w:rsidR="00612DED" w:rsidRPr="00F46944">
        <w:t>areas</w:t>
      </w:r>
      <w:r w:rsidR="00772D2D" w:rsidRPr="00F46944">
        <w:t xml:space="preserve"> in Victoria and New South Wales</w:t>
      </w:r>
      <w:r w:rsidR="00985E02" w:rsidRPr="00F46944">
        <w:t>.</w:t>
      </w:r>
      <w:r w:rsidR="00612DED" w:rsidRPr="00F46944">
        <w:t xml:space="preserve"> </w:t>
      </w:r>
    </w:p>
    <w:p w14:paraId="7AA20195" w14:textId="7AAA8DD7" w:rsidR="00D518EA" w:rsidRDefault="00D77422" w:rsidP="00A8079A">
      <w:r>
        <w:rPr>
          <w:rFonts w:ascii="ZWAdobeF" w:hAnsi="ZWAdobeF" w:cs="ZWAdobeF"/>
          <w:sz w:val="2"/>
          <w:szCs w:val="2"/>
        </w:rPr>
        <w:t>638B</w:t>
      </w:r>
      <w:r w:rsidR="00D518EA" w:rsidRPr="00F46944">
        <w:t>Victoria’s second major lockdown commenced in July 2020 and lasted for 111 days to October 2020, and the third major lockdown occurred in August 2021 and was for 82 days to October 2021</w:t>
      </w:r>
      <w:r w:rsidR="004215F9">
        <w:t xml:space="preserve"> </w:t>
      </w:r>
      <w:r w:rsidR="00D518EA">
        <w:t>(</w:t>
      </w:r>
      <w:r w:rsidR="00D518EA" w:rsidRPr="004E5645">
        <w:t>Figure</w:t>
      </w:r>
      <w:r w:rsidR="00D518EA">
        <w:rPr>
          <w:b/>
          <w:bCs/>
        </w:rPr>
        <w:t xml:space="preserve"> </w:t>
      </w:r>
      <w:r w:rsidR="00D518EA" w:rsidRPr="004E5645">
        <w:t>28</w:t>
      </w:r>
      <w:r w:rsidR="00D518EA" w:rsidRPr="00580F90">
        <w:t>)</w:t>
      </w:r>
      <w:r w:rsidR="00D518EA" w:rsidRPr="00F46944">
        <w:t xml:space="preserve">. </w:t>
      </w:r>
    </w:p>
    <w:p w14:paraId="1F1A0AA6" w14:textId="0476AA93" w:rsidR="00EC6BFE" w:rsidRPr="00587DBC" w:rsidRDefault="00D77422" w:rsidP="00FA4F3B">
      <w:pPr>
        <w:pStyle w:val="Captions"/>
        <w:spacing w:after="0"/>
        <w:rPr>
          <w:b w:val="0"/>
          <w:bCs w:val="0"/>
        </w:rPr>
      </w:pPr>
      <w:bookmarkStart w:id="166" w:name="_Toc121491340"/>
      <w:bookmarkStart w:id="167" w:name="_Toc121840912"/>
      <w:r>
        <w:rPr>
          <w:rFonts w:ascii="ZWAdobeF" w:hAnsi="ZWAdobeF" w:cs="ZWAdobeF"/>
          <w:b w:val="0"/>
          <w:sz w:val="2"/>
          <w:szCs w:val="2"/>
        </w:rPr>
        <w:t>41B</w:t>
      </w:r>
      <w:r w:rsidR="00587DBC">
        <w:t>Figure</w:t>
      </w:r>
      <w:r w:rsidR="00587DBC" w:rsidRPr="00F46944">
        <w:t> </w:t>
      </w:r>
      <w:fldSimple w:instr=" SEQ Figure \* ARABIC ">
        <w:r w:rsidR="00F34DDD">
          <w:rPr>
            <w:noProof/>
          </w:rPr>
          <w:t>28</w:t>
        </w:r>
      </w:fldSimple>
      <w:r w:rsidR="00EC6BFE" w:rsidRPr="00F46944">
        <w:t>:</w:t>
      </w:r>
      <w:r w:rsidR="00CC09FB" w:rsidRPr="00587DBC">
        <w:rPr>
          <w:b w:val="0"/>
          <w:bCs w:val="0"/>
        </w:rPr>
        <w:t> </w:t>
      </w:r>
      <w:r w:rsidR="00EC6BFE" w:rsidRPr="00587DBC">
        <w:rPr>
          <w:b w:val="0"/>
          <w:bCs w:val="0"/>
        </w:rPr>
        <w:t xml:space="preserve">Number of </w:t>
      </w:r>
      <w:r w:rsidR="00FE69C2" w:rsidRPr="00587DBC">
        <w:rPr>
          <w:b w:val="0"/>
          <w:bCs w:val="0"/>
        </w:rPr>
        <w:t xml:space="preserve">PBS/RPBS </w:t>
      </w:r>
      <w:r w:rsidR="004A4591" w:rsidRPr="00587DBC">
        <w:rPr>
          <w:b w:val="0"/>
          <w:bCs w:val="0"/>
        </w:rPr>
        <w:t xml:space="preserve">antimicrobial </w:t>
      </w:r>
      <w:r w:rsidR="00594A43" w:rsidRPr="00587DBC">
        <w:rPr>
          <w:b w:val="0"/>
          <w:bCs w:val="0"/>
        </w:rPr>
        <w:t xml:space="preserve">prescriptions for </w:t>
      </w:r>
      <w:r w:rsidR="00F74E80" w:rsidRPr="00587DBC">
        <w:rPr>
          <w:b w:val="0"/>
          <w:bCs w:val="0"/>
        </w:rPr>
        <w:t>URTIs</w:t>
      </w:r>
      <w:r w:rsidR="00E818CD">
        <w:rPr>
          <w:b w:val="0"/>
          <w:bCs w:val="0"/>
        </w:rPr>
        <w:t>*</w:t>
      </w:r>
      <w:r w:rsidR="004A4591" w:rsidRPr="00587DBC">
        <w:rPr>
          <w:b w:val="0"/>
          <w:bCs w:val="0"/>
        </w:rPr>
        <w:t xml:space="preserve"> </w:t>
      </w:r>
      <w:r w:rsidR="00EC6BFE" w:rsidRPr="00587DBC">
        <w:rPr>
          <w:b w:val="0"/>
          <w:bCs w:val="0"/>
        </w:rPr>
        <w:t>per 1,000</w:t>
      </w:r>
      <w:r w:rsidR="00CC09FB" w:rsidRPr="00587DBC">
        <w:rPr>
          <w:b w:val="0"/>
          <w:bCs w:val="0"/>
        </w:rPr>
        <w:t> </w:t>
      </w:r>
      <w:r w:rsidR="00EC6BFE" w:rsidRPr="00587DBC">
        <w:rPr>
          <w:b w:val="0"/>
          <w:bCs w:val="0"/>
        </w:rPr>
        <w:t>people</w:t>
      </w:r>
      <w:r w:rsidR="002C6995" w:rsidRPr="00587DBC">
        <w:rPr>
          <w:b w:val="0"/>
          <w:bCs w:val="0"/>
        </w:rPr>
        <w:t xml:space="preserve">, </w:t>
      </w:r>
      <w:r w:rsidR="00EC6BFE" w:rsidRPr="00587DBC">
        <w:rPr>
          <w:b w:val="0"/>
          <w:bCs w:val="0"/>
        </w:rPr>
        <w:t>2019–2021</w:t>
      </w:r>
      <w:bookmarkEnd w:id="166"/>
      <w:bookmarkEnd w:id="167"/>
    </w:p>
    <w:p w14:paraId="77D20FF5" w14:textId="7391CBA8" w:rsidR="007E0ECB" w:rsidRPr="00F46944" w:rsidRDefault="00D77422" w:rsidP="00E21902">
      <w:pPr>
        <w:spacing w:after="0"/>
        <w:rPr>
          <w:b/>
        </w:rPr>
      </w:pPr>
      <w:r>
        <w:rPr>
          <w:rFonts w:ascii="ZWAdobeF" w:hAnsi="ZWAdobeF" w:cs="ZWAdobeF"/>
          <w:sz w:val="2"/>
          <w:szCs w:val="2"/>
        </w:rPr>
        <w:t>639B</w:t>
      </w:r>
      <w:r w:rsidR="00580F90">
        <w:rPr>
          <w:rFonts w:ascii="ZWAdobeF" w:hAnsi="ZWAdobeF" w:cs="ZWAdobeF"/>
          <w:noProof/>
          <w:sz w:val="2"/>
          <w:szCs w:val="2"/>
        </w:rPr>
        <w:drawing>
          <wp:inline distT="0" distB="0" distL="0" distR="0" wp14:anchorId="02C58D2B" wp14:editId="354CB8F8">
            <wp:extent cx="5761355" cy="3237230"/>
            <wp:effectExtent l="0" t="0" r="0" b="1270"/>
            <wp:docPr id="109" name="Picture 109" descr="Figure 28: Number of PBS/RPBS antimicrobial prescriptions for URTIs* per 1,000 people, 2019–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Figure 28: Number of PBS/RPBS antimicrobial prescriptions for URTIs* per 1,000 people, 2019–20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1355" cy="3237230"/>
                    </a:xfrm>
                    <a:prstGeom prst="rect">
                      <a:avLst/>
                    </a:prstGeom>
                    <a:noFill/>
                  </pic:spPr>
                </pic:pic>
              </a:graphicData>
            </a:graphic>
          </wp:inline>
        </w:drawing>
      </w:r>
    </w:p>
    <w:p w14:paraId="436D7046" w14:textId="20131BD2" w:rsidR="00E818CD" w:rsidRDefault="00D77422" w:rsidP="004919A3">
      <w:pPr>
        <w:spacing w:after="0"/>
        <w:rPr>
          <w:rFonts w:cstheme="minorHAnsi"/>
          <w:sz w:val="16"/>
          <w:szCs w:val="16"/>
        </w:rPr>
      </w:pPr>
      <w:r>
        <w:rPr>
          <w:rFonts w:ascii="ZWAdobeF" w:hAnsi="ZWAdobeF" w:cs="ZWAdobeF"/>
          <w:sz w:val="2"/>
          <w:szCs w:val="2"/>
        </w:rPr>
        <w:t>640B</w:t>
      </w:r>
      <w:r w:rsidR="004A4591" w:rsidRPr="00F46944">
        <w:rPr>
          <w:rFonts w:cstheme="minorHAnsi"/>
          <w:sz w:val="16"/>
          <w:szCs w:val="16"/>
        </w:rPr>
        <w:t>PBS = Pharmaceutical Benefits Scheme; RPBS = Repatriation Pharmaceutical Benefits Scheme</w:t>
      </w:r>
      <w:r w:rsidR="00F74E80" w:rsidRPr="00F46944">
        <w:rPr>
          <w:rFonts w:cstheme="minorHAnsi"/>
          <w:sz w:val="16"/>
          <w:szCs w:val="16"/>
        </w:rPr>
        <w:t>; URTI = upper respiratory tract infection</w:t>
      </w:r>
    </w:p>
    <w:p w14:paraId="0348AADD" w14:textId="024B5BF3" w:rsidR="00E818CD" w:rsidRDefault="00D77422" w:rsidP="00E818CD">
      <w:pPr>
        <w:tabs>
          <w:tab w:val="left" w:pos="142"/>
        </w:tabs>
        <w:spacing w:after="0"/>
        <w:ind w:left="135" w:hanging="135"/>
        <w:rPr>
          <w:rFonts w:cstheme="minorHAnsi"/>
          <w:sz w:val="16"/>
          <w:szCs w:val="16"/>
        </w:rPr>
      </w:pPr>
      <w:r>
        <w:rPr>
          <w:rFonts w:ascii="ZWAdobeF" w:hAnsi="ZWAdobeF" w:cs="ZWAdobeF"/>
          <w:sz w:val="2"/>
          <w:szCs w:val="2"/>
        </w:rPr>
        <w:t>641B</w:t>
      </w:r>
      <w:r w:rsidR="00E818CD" w:rsidRPr="00F46944">
        <w:rPr>
          <w:rFonts w:cstheme="minorHAnsi"/>
          <w:sz w:val="16"/>
          <w:szCs w:val="16"/>
        </w:rPr>
        <w:t>*</w:t>
      </w:r>
      <w:r w:rsidR="00E818CD">
        <w:rPr>
          <w:rFonts w:cstheme="minorHAnsi"/>
          <w:sz w:val="16"/>
          <w:szCs w:val="16"/>
        </w:rPr>
        <w:tab/>
      </w:r>
      <w:r w:rsidR="0003377C">
        <w:rPr>
          <w:rFonts w:cstheme="minorHAnsi"/>
          <w:sz w:val="16"/>
          <w:szCs w:val="16"/>
        </w:rPr>
        <w:t>A</w:t>
      </w:r>
      <w:r w:rsidR="0003377C" w:rsidRPr="0003377C">
        <w:rPr>
          <w:rFonts w:cstheme="minorHAnsi"/>
          <w:bCs/>
          <w:sz w:val="16"/>
          <w:szCs w:val="16"/>
        </w:rPr>
        <w:t>moxicillin, amoxicillin</w:t>
      </w:r>
      <w:r w:rsidR="0003377C" w:rsidRPr="0003377C">
        <w:rPr>
          <w:rFonts w:cstheme="minorHAnsi"/>
          <w:sz w:val="16"/>
          <w:szCs w:val="16"/>
        </w:rPr>
        <w:t>–</w:t>
      </w:r>
      <w:r w:rsidR="0003377C" w:rsidRPr="0003377C">
        <w:rPr>
          <w:rFonts w:cstheme="minorHAnsi"/>
          <w:bCs/>
          <w:sz w:val="16"/>
          <w:szCs w:val="16"/>
        </w:rPr>
        <w:t>clavulanic acid, azithromycin, cefaclor, cefalexin, ciprofloxacin, clarithromycin, doxycycline, erythromycin, phenoxymethylpenicillin</w:t>
      </w:r>
      <w:r w:rsidR="0003377C">
        <w:rPr>
          <w:rFonts w:cstheme="minorHAnsi"/>
          <w:bCs/>
          <w:sz w:val="16"/>
          <w:szCs w:val="16"/>
        </w:rPr>
        <w:t xml:space="preserve"> and </w:t>
      </w:r>
      <w:r w:rsidR="0003377C" w:rsidRPr="0003377C">
        <w:rPr>
          <w:rFonts w:cstheme="minorHAnsi"/>
          <w:bCs/>
          <w:sz w:val="16"/>
          <w:szCs w:val="16"/>
        </w:rPr>
        <w:t>roxithromycin</w:t>
      </w:r>
    </w:p>
    <w:p w14:paraId="641BCCC0" w14:textId="4DB3B59E" w:rsidR="005729E2" w:rsidRPr="00F46944" w:rsidRDefault="00D77422" w:rsidP="00985E02">
      <w:pPr>
        <w:rPr>
          <w:bCs/>
          <w:sz w:val="16"/>
          <w:szCs w:val="16"/>
        </w:rPr>
      </w:pPr>
      <w:r>
        <w:rPr>
          <w:rFonts w:ascii="ZWAdobeF" w:hAnsi="ZWAdobeF" w:cs="ZWAdobeF"/>
          <w:sz w:val="2"/>
          <w:szCs w:val="2"/>
        </w:rPr>
        <w:t>642B</w:t>
      </w:r>
      <w:r w:rsidR="005729E2" w:rsidRPr="00F46944">
        <w:rPr>
          <w:rFonts w:cstheme="minorHAnsi"/>
          <w:sz w:val="16"/>
          <w:szCs w:val="16"/>
        </w:rPr>
        <w:t>Source: Gadzhanova, Roughead</w:t>
      </w:r>
      <w:r w:rsidR="005729E2" w:rsidRPr="00F46944">
        <w:rPr>
          <w:rFonts w:cstheme="minorHAnsi"/>
          <w:sz w:val="16"/>
          <w:szCs w:val="16"/>
        </w:rPr>
        <w:fldChar w:fldCharType="begin"/>
      </w:r>
      <w:r w:rsidR="00DB0DCB">
        <w:rPr>
          <w:rFonts w:cstheme="minorHAnsi"/>
          <w:sz w:val="16"/>
          <w:szCs w:val="16"/>
        </w:rPr>
        <w:instrText xml:space="preserve"> ADDIN EN.CITE &lt;EndNote&gt;&lt;Cite&gt;&lt;Author&gt;Gadzhanova&lt;/Author&gt;&lt;RecNum&gt;5&lt;/RecNum&gt;&lt;DisplayText&gt;&lt;style face="superscript"&gt;5&lt;/style&gt;&lt;/DisplayText&gt;&lt;record&gt;&lt;rec-number&gt;5&lt;/rec-number&gt;&lt;foreign-keys&gt;&lt;key app="EN" db-id="es9dr99ws90stoe5x2rp505nazvswdzppxa5" timestamp="1670810539"&gt;5&lt;/key&gt;&lt;/foreign-keys&gt;&lt;ref-type name="Unpublished Work"&gt;34&lt;/ref-type&gt;&lt;contributors&gt;&lt;authors&gt;&lt;author&gt;Gadzhanova, S.&lt;/author&gt;&lt;author&gt;Roughead, E.&lt;/author&gt;&lt;/authors&gt;&lt;/contributors&gt;&lt;titles&gt;&lt;title&gt;Analysis of 2015–2021 PBS data for the National Report on Antimicrobial Use and Resistance (unpublished)&lt;/title&gt;&lt;/titles&gt;&lt;dates&gt;&lt;/dates&gt;&lt;pub-location&gt;Sydney &lt;/pub-location&gt;&lt;publisher&gt;ACSQHC &lt;/publisher&gt;&lt;urls&gt;&lt;/urls&gt;&lt;/record&gt;&lt;/Cite&gt;&lt;/EndNote&gt;</w:instrText>
      </w:r>
      <w:r w:rsidR="005729E2" w:rsidRPr="00F46944">
        <w:rPr>
          <w:rFonts w:cstheme="minorHAnsi"/>
          <w:sz w:val="16"/>
          <w:szCs w:val="16"/>
        </w:rPr>
        <w:fldChar w:fldCharType="separate"/>
      </w:r>
      <w:r w:rsidR="001C0A42" w:rsidRPr="001C0A42">
        <w:rPr>
          <w:rFonts w:cstheme="minorHAnsi"/>
          <w:noProof/>
          <w:sz w:val="16"/>
          <w:szCs w:val="16"/>
          <w:vertAlign w:val="superscript"/>
        </w:rPr>
        <w:t>5</w:t>
      </w:r>
      <w:r w:rsidR="005729E2" w:rsidRPr="00F46944">
        <w:rPr>
          <w:rFonts w:cstheme="minorHAnsi"/>
          <w:sz w:val="16"/>
          <w:szCs w:val="16"/>
        </w:rPr>
        <w:fldChar w:fldCharType="end"/>
      </w:r>
    </w:p>
    <w:p w14:paraId="0105BA47" w14:textId="77777777" w:rsidR="005D46A0" w:rsidRPr="00F46944" w:rsidRDefault="005D46A0" w:rsidP="00C81800"/>
    <w:p w14:paraId="2DCE242C" w14:textId="77777777" w:rsidR="00E431E7" w:rsidRDefault="00E431E7">
      <w:pPr>
        <w:spacing w:after="80"/>
      </w:pPr>
      <w:r>
        <w:br w:type="page"/>
      </w:r>
    </w:p>
    <w:p w14:paraId="45F015CB" w14:textId="4D443BB7" w:rsidR="00D518EA" w:rsidRPr="00F46944" w:rsidRDefault="00D77422" w:rsidP="00D518EA">
      <w:r>
        <w:rPr>
          <w:rFonts w:ascii="ZWAdobeF" w:hAnsi="ZWAdobeF" w:cs="ZWAdobeF"/>
          <w:sz w:val="2"/>
          <w:szCs w:val="2"/>
        </w:rPr>
        <w:lastRenderedPageBreak/>
        <w:t>643B</w:t>
      </w:r>
      <w:r w:rsidR="00D518EA" w:rsidRPr="00F46944">
        <w:t xml:space="preserve">New South </w:t>
      </w:r>
      <w:proofErr w:type="spellStart"/>
      <w:r w:rsidR="00D518EA" w:rsidRPr="00F46944">
        <w:t>Wales’</w:t>
      </w:r>
      <w:proofErr w:type="spellEnd"/>
      <w:r w:rsidR="00D518EA" w:rsidRPr="00F46944">
        <w:t xml:space="preserve"> second major lockdown commenced in July 2021 and lasted for 107 days to October 2021 </w:t>
      </w:r>
      <w:r w:rsidR="00D518EA">
        <w:t>(</w:t>
      </w:r>
      <w:r w:rsidR="00D518EA" w:rsidRPr="00D34887">
        <w:t>Figure </w:t>
      </w:r>
      <w:r w:rsidR="00D518EA" w:rsidRPr="004919A3">
        <w:t>29</w:t>
      </w:r>
      <w:r w:rsidR="00D518EA">
        <w:t>)</w:t>
      </w:r>
      <w:r w:rsidR="00D518EA" w:rsidRPr="00F46944">
        <w:t>.</w:t>
      </w:r>
    </w:p>
    <w:p w14:paraId="752785D7" w14:textId="1B5BC8C8" w:rsidR="00EC6BFE" w:rsidRPr="009A2F28" w:rsidRDefault="00D77422" w:rsidP="00FA4F3B">
      <w:pPr>
        <w:pStyle w:val="Captions"/>
        <w:spacing w:after="0"/>
        <w:rPr>
          <w:b w:val="0"/>
          <w:bCs w:val="0"/>
        </w:rPr>
      </w:pPr>
      <w:bookmarkStart w:id="168" w:name="_Toc121491341"/>
      <w:bookmarkStart w:id="169" w:name="_Toc121840913"/>
      <w:r>
        <w:rPr>
          <w:rFonts w:ascii="ZWAdobeF" w:hAnsi="ZWAdobeF" w:cs="ZWAdobeF"/>
          <w:b w:val="0"/>
          <w:sz w:val="2"/>
          <w:szCs w:val="2"/>
        </w:rPr>
        <w:t>42B</w:t>
      </w:r>
      <w:r w:rsidR="009A2F28">
        <w:t>Figure</w:t>
      </w:r>
      <w:r w:rsidR="009A2F28" w:rsidRPr="00F46944">
        <w:t> </w:t>
      </w:r>
      <w:fldSimple w:instr=" SEQ Figure \* ARABIC ">
        <w:r w:rsidR="00F34DDD">
          <w:rPr>
            <w:noProof/>
          </w:rPr>
          <w:t>29</w:t>
        </w:r>
      </w:fldSimple>
      <w:r w:rsidR="00EC6BFE" w:rsidRPr="00F46944">
        <w:t>:</w:t>
      </w:r>
      <w:r w:rsidR="00CC09FB" w:rsidRPr="009A2F28">
        <w:rPr>
          <w:b w:val="0"/>
          <w:bCs w:val="0"/>
        </w:rPr>
        <w:t> </w:t>
      </w:r>
      <w:r w:rsidR="00EC6BFE" w:rsidRPr="009A2F28">
        <w:rPr>
          <w:b w:val="0"/>
          <w:bCs w:val="0"/>
        </w:rPr>
        <w:t xml:space="preserve">Number of </w:t>
      </w:r>
      <w:r w:rsidR="00B5616A" w:rsidRPr="009A2F28">
        <w:rPr>
          <w:b w:val="0"/>
          <w:bCs w:val="0"/>
        </w:rPr>
        <w:t xml:space="preserve">PBS/RPBS </w:t>
      </w:r>
      <w:r w:rsidR="004A4591" w:rsidRPr="009A2F28">
        <w:rPr>
          <w:b w:val="0"/>
          <w:bCs w:val="0"/>
        </w:rPr>
        <w:t xml:space="preserve">antimicrobial </w:t>
      </w:r>
      <w:r w:rsidR="00EC6BFE" w:rsidRPr="009A2F28">
        <w:rPr>
          <w:b w:val="0"/>
          <w:bCs w:val="0"/>
        </w:rPr>
        <w:t>prescriptions</w:t>
      </w:r>
      <w:r w:rsidR="00C81800" w:rsidRPr="009A2F28">
        <w:rPr>
          <w:b w:val="0"/>
          <w:bCs w:val="0"/>
        </w:rPr>
        <w:t xml:space="preserve"> for </w:t>
      </w:r>
      <w:r w:rsidR="00F74E80" w:rsidRPr="009A2F28">
        <w:rPr>
          <w:b w:val="0"/>
          <w:bCs w:val="0"/>
        </w:rPr>
        <w:t>URTIs</w:t>
      </w:r>
      <w:r w:rsidR="00E818CD">
        <w:rPr>
          <w:b w:val="0"/>
          <w:bCs w:val="0"/>
        </w:rPr>
        <w:t>*</w:t>
      </w:r>
      <w:r w:rsidR="00EC6BFE" w:rsidRPr="009A2F28">
        <w:rPr>
          <w:b w:val="0"/>
          <w:bCs w:val="0"/>
        </w:rPr>
        <w:t xml:space="preserve"> per 1,000</w:t>
      </w:r>
      <w:r w:rsidR="00CC09FB" w:rsidRPr="009A2F28">
        <w:rPr>
          <w:b w:val="0"/>
          <w:bCs w:val="0"/>
        </w:rPr>
        <w:t> </w:t>
      </w:r>
      <w:r w:rsidR="00EC6BFE" w:rsidRPr="009A2F28">
        <w:rPr>
          <w:b w:val="0"/>
          <w:bCs w:val="0"/>
        </w:rPr>
        <w:t>people, 2019</w:t>
      </w:r>
      <w:r w:rsidR="00B5616A" w:rsidRPr="009A2F28">
        <w:rPr>
          <w:b w:val="0"/>
          <w:bCs w:val="0"/>
        </w:rPr>
        <w:t>–</w:t>
      </w:r>
      <w:r w:rsidR="00EC6BFE" w:rsidRPr="009A2F28">
        <w:rPr>
          <w:b w:val="0"/>
          <w:bCs w:val="0"/>
        </w:rPr>
        <w:t>2021</w:t>
      </w:r>
      <w:bookmarkEnd w:id="168"/>
      <w:bookmarkEnd w:id="169"/>
    </w:p>
    <w:p w14:paraId="61EEDADB" w14:textId="54B28264" w:rsidR="0047405C" w:rsidRPr="00F46944" w:rsidRDefault="00D77422" w:rsidP="0047405C">
      <w:pPr>
        <w:spacing w:after="0"/>
        <w:jc w:val="center"/>
        <w:rPr>
          <w:bCs/>
        </w:rPr>
      </w:pPr>
      <w:r>
        <w:rPr>
          <w:rFonts w:ascii="ZWAdobeF" w:hAnsi="ZWAdobeF" w:cs="ZWAdobeF"/>
          <w:bCs/>
          <w:sz w:val="2"/>
          <w:szCs w:val="2"/>
        </w:rPr>
        <w:t>644B</w:t>
      </w:r>
      <w:r w:rsidR="00664A28">
        <w:rPr>
          <w:rFonts w:ascii="ZWAdobeF" w:hAnsi="ZWAdobeF" w:cs="ZWAdobeF"/>
          <w:bCs/>
          <w:noProof/>
          <w:sz w:val="2"/>
          <w:szCs w:val="2"/>
        </w:rPr>
        <w:drawing>
          <wp:inline distT="0" distB="0" distL="0" distR="0" wp14:anchorId="36F843A7" wp14:editId="4B790990">
            <wp:extent cx="5761355" cy="3237230"/>
            <wp:effectExtent l="0" t="0" r="0" b="1270"/>
            <wp:docPr id="111" name="Picture 111" descr="Figure 29: Number of PBS/RPBS antimicrobial prescriptions for URTIs per 1,000 people, 2019–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Figure 29: Number of PBS/RPBS antimicrobial prescriptions for URTIs per 1,000 people, 2019–20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1355" cy="3237230"/>
                    </a:xfrm>
                    <a:prstGeom prst="rect">
                      <a:avLst/>
                    </a:prstGeom>
                    <a:noFill/>
                  </pic:spPr>
                </pic:pic>
              </a:graphicData>
            </a:graphic>
          </wp:inline>
        </w:drawing>
      </w:r>
    </w:p>
    <w:p w14:paraId="2C8AECB7" w14:textId="00CE9230" w:rsidR="00E818CD" w:rsidRDefault="00D77422" w:rsidP="00E818CD">
      <w:pPr>
        <w:spacing w:after="0"/>
        <w:rPr>
          <w:rFonts w:cstheme="minorHAnsi"/>
          <w:sz w:val="16"/>
          <w:szCs w:val="16"/>
        </w:rPr>
      </w:pPr>
      <w:r>
        <w:rPr>
          <w:rFonts w:ascii="ZWAdobeF" w:hAnsi="ZWAdobeF" w:cs="ZWAdobeF"/>
          <w:sz w:val="2"/>
          <w:szCs w:val="2"/>
        </w:rPr>
        <w:t>645B</w:t>
      </w:r>
      <w:r w:rsidR="00E818CD" w:rsidRPr="00F46944">
        <w:rPr>
          <w:rFonts w:cstheme="minorHAnsi"/>
          <w:sz w:val="16"/>
          <w:szCs w:val="16"/>
        </w:rPr>
        <w:t>PBS = Pharmaceutical Benefits Scheme; RPBS = Repatriation Pharmaceutical Benefits Scheme; URTI = upper respiratory tract infection</w:t>
      </w:r>
    </w:p>
    <w:p w14:paraId="68A7E5EB" w14:textId="314D62A8" w:rsidR="00E818CD" w:rsidRDefault="00D77422" w:rsidP="00E818CD">
      <w:pPr>
        <w:tabs>
          <w:tab w:val="left" w:pos="142"/>
        </w:tabs>
        <w:spacing w:after="0"/>
        <w:ind w:left="135" w:hanging="135"/>
        <w:rPr>
          <w:rFonts w:cstheme="minorHAnsi"/>
          <w:sz w:val="16"/>
          <w:szCs w:val="16"/>
        </w:rPr>
      </w:pPr>
      <w:r>
        <w:rPr>
          <w:rFonts w:ascii="ZWAdobeF" w:hAnsi="ZWAdobeF" w:cs="ZWAdobeF"/>
          <w:sz w:val="2"/>
          <w:szCs w:val="2"/>
        </w:rPr>
        <w:t>646B</w:t>
      </w:r>
      <w:r w:rsidR="00E818CD" w:rsidRPr="00F46944">
        <w:rPr>
          <w:rFonts w:cstheme="minorHAnsi"/>
          <w:sz w:val="16"/>
          <w:szCs w:val="16"/>
        </w:rPr>
        <w:t>*</w:t>
      </w:r>
      <w:r w:rsidR="00E818CD">
        <w:rPr>
          <w:rFonts w:cstheme="minorHAnsi"/>
          <w:sz w:val="16"/>
          <w:szCs w:val="16"/>
        </w:rPr>
        <w:tab/>
      </w:r>
      <w:r w:rsidR="0003377C">
        <w:rPr>
          <w:rFonts w:cstheme="minorHAnsi"/>
          <w:sz w:val="16"/>
          <w:szCs w:val="16"/>
        </w:rPr>
        <w:t>A</w:t>
      </w:r>
      <w:r w:rsidR="0003377C" w:rsidRPr="0003377C">
        <w:rPr>
          <w:rFonts w:cstheme="minorHAnsi"/>
          <w:bCs/>
          <w:sz w:val="16"/>
          <w:szCs w:val="16"/>
        </w:rPr>
        <w:t>moxicillin, amoxicillin</w:t>
      </w:r>
      <w:r w:rsidR="0003377C" w:rsidRPr="0003377C">
        <w:rPr>
          <w:rFonts w:cstheme="minorHAnsi"/>
          <w:sz w:val="16"/>
          <w:szCs w:val="16"/>
        </w:rPr>
        <w:t>–</w:t>
      </w:r>
      <w:r w:rsidR="0003377C" w:rsidRPr="0003377C">
        <w:rPr>
          <w:rFonts w:cstheme="minorHAnsi"/>
          <w:bCs/>
          <w:sz w:val="16"/>
          <w:szCs w:val="16"/>
        </w:rPr>
        <w:t>clavulanic acid, azithromycin, cefaclor, cefalexin, ciprofloxacin, clarithromycin, doxycycline, erythromycin, phenoxymethylpenicillin</w:t>
      </w:r>
      <w:r w:rsidR="0003377C">
        <w:rPr>
          <w:rFonts w:cstheme="minorHAnsi"/>
          <w:bCs/>
          <w:sz w:val="16"/>
          <w:szCs w:val="16"/>
        </w:rPr>
        <w:t xml:space="preserve"> and </w:t>
      </w:r>
      <w:r w:rsidR="0003377C" w:rsidRPr="0003377C">
        <w:rPr>
          <w:rFonts w:cstheme="minorHAnsi"/>
          <w:bCs/>
          <w:sz w:val="16"/>
          <w:szCs w:val="16"/>
        </w:rPr>
        <w:t>roxithromycin</w:t>
      </w:r>
    </w:p>
    <w:p w14:paraId="226B162E" w14:textId="6E258ADE" w:rsidR="0047405C" w:rsidRPr="00F46944" w:rsidRDefault="00D77422" w:rsidP="00C81800">
      <w:r>
        <w:rPr>
          <w:rFonts w:ascii="ZWAdobeF" w:hAnsi="ZWAdobeF" w:cs="ZWAdobeF"/>
          <w:sz w:val="2"/>
          <w:szCs w:val="2"/>
        </w:rPr>
        <w:t>647B</w:t>
      </w:r>
      <w:r w:rsidR="00E818CD" w:rsidRPr="00F46944">
        <w:rPr>
          <w:rFonts w:cstheme="minorHAnsi"/>
          <w:sz w:val="16"/>
          <w:szCs w:val="16"/>
        </w:rPr>
        <w:t>Source: Gadzhanova, Roughead</w:t>
      </w:r>
      <w:r w:rsidR="00E818CD" w:rsidRPr="00F46944">
        <w:rPr>
          <w:rFonts w:cstheme="minorHAnsi"/>
          <w:sz w:val="16"/>
          <w:szCs w:val="16"/>
        </w:rPr>
        <w:fldChar w:fldCharType="begin"/>
      </w:r>
      <w:r w:rsidR="00DB0DCB">
        <w:rPr>
          <w:rFonts w:cstheme="minorHAnsi"/>
          <w:sz w:val="16"/>
          <w:szCs w:val="16"/>
        </w:rPr>
        <w:instrText xml:space="preserve"> ADDIN EN.CITE &lt;EndNote&gt;&lt;Cite&gt;&lt;Author&gt;Gadzhanova&lt;/Author&gt;&lt;RecNum&gt;5&lt;/RecNum&gt;&lt;DisplayText&gt;&lt;style face="superscript"&gt;5&lt;/style&gt;&lt;/DisplayText&gt;&lt;record&gt;&lt;rec-number&gt;5&lt;/rec-number&gt;&lt;foreign-keys&gt;&lt;key app="EN" db-id="es9dr99ws90stoe5x2rp505nazvswdzppxa5" timestamp="1670810539"&gt;5&lt;/key&gt;&lt;/foreign-keys&gt;&lt;ref-type name="Unpublished Work"&gt;34&lt;/ref-type&gt;&lt;contributors&gt;&lt;authors&gt;&lt;author&gt;Gadzhanova, S.&lt;/author&gt;&lt;author&gt;Roughead, E.&lt;/author&gt;&lt;/authors&gt;&lt;/contributors&gt;&lt;titles&gt;&lt;title&gt;Analysis of 2015–2021 PBS data for the National Report on Antimicrobial Use and Resistance (unpublished)&lt;/title&gt;&lt;/titles&gt;&lt;dates&gt;&lt;/dates&gt;&lt;pub-location&gt;Sydney &lt;/pub-location&gt;&lt;publisher&gt;ACSQHC &lt;/publisher&gt;&lt;urls&gt;&lt;/urls&gt;&lt;/record&gt;&lt;/Cite&gt;&lt;/EndNote&gt;</w:instrText>
      </w:r>
      <w:r w:rsidR="00E818CD" w:rsidRPr="00F46944">
        <w:rPr>
          <w:rFonts w:cstheme="minorHAnsi"/>
          <w:sz w:val="16"/>
          <w:szCs w:val="16"/>
        </w:rPr>
        <w:fldChar w:fldCharType="separate"/>
      </w:r>
      <w:r w:rsidR="00E818CD" w:rsidRPr="001C0A42">
        <w:rPr>
          <w:rFonts w:cstheme="minorHAnsi"/>
          <w:noProof/>
          <w:sz w:val="16"/>
          <w:szCs w:val="16"/>
          <w:vertAlign w:val="superscript"/>
        </w:rPr>
        <w:t>5</w:t>
      </w:r>
      <w:r w:rsidR="00E818CD" w:rsidRPr="00F46944">
        <w:rPr>
          <w:rFonts w:cstheme="minorHAnsi"/>
          <w:sz w:val="16"/>
          <w:szCs w:val="16"/>
        </w:rPr>
        <w:fldChar w:fldCharType="end"/>
      </w:r>
    </w:p>
    <w:p w14:paraId="09F5A9DC" w14:textId="77777777" w:rsidR="0047405C" w:rsidRPr="00F46944" w:rsidRDefault="0047405C">
      <w:pPr>
        <w:spacing w:after="80"/>
      </w:pPr>
      <w:r w:rsidRPr="00F46944">
        <w:br w:type="page"/>
      </w:r>
    </w:p>
    <w:p w14:paraId="01EBA41E" w14:textId="4F2C3622" w:rsidR="00D518EA" w:rsidRPr="00D34887" w:rsidRDefault="00D77422" w:rsidP="004919A3">
      <w:r>
        <w:rPr>
          <w:rFonts w:ascii="ZWAdobeF" w:hAnsi="ZWAdobeF" w:cs="ZWAdobeF"/>
          <w:sz w:val="2"/>
          <w:szCs w:val="2"/>
        </w:rPr>
        <w:lastRenderedPageBreak/>
        <w:t>648B</w:t>
      </w:r>
      <w:r w:rsidR="00D518EA" w:rsidRPr="004919A3">
        <w:t>The Australian Capital Territory’s second major lockdown commenced in August 2021 and lasted for 63 days to October 2021 (Figure 30).</w:t>
      </w:r>
    </w:p>
    <w:p w14:paraId="4F66C530" w14:textId="4925983C" w:rsidR="00EC6BFE" w:rsidRPr="006F7A86" w:rsidRDefault="00D77422" w:rsidP="00FA4F3B">
      <w:pPr>
        <w:pStyle w:val="Captions"/>
        <w:spacing w:after="0"/>
        <w:rPr>
          <w:b w:val="0"/>
          <w:bCs w:val="0"/>
        </w:rPr>
      </w:pPr>
      <w:bookmarkStart w:id="170" w:name="_Toc121491342"/>
      <w:bookmarkStart w:id="171" w:name="_Toc121840914"/>
      <w:r>
        <w:rPr>
          <w:rFonts w:ascii="ZWAdobeF" w:hAnsi="ZWAdobeF" w:cs="ZWAdobeF"/>
          <w:b w:val="0"/>
          <w:sz w:val="2"/>
          <w:szCs w:val="2"/>
        </w:rPr>
        <w:t>43B</w:t>
      </w:r>
      <w:r w:rsidR="00514506">
        <w:t>Figure</w:t>
      </w:r>
      <w:r w:rsidR="00514506" w:rsidRPr="00F46944">
        <w:t> </w:t>
      </w:r>
      <w:fldSimple w:instr=" SEQ Figure \* ARABIC ">
        <w:r w:rsidR="00F34DDD">
          <w:rPr>
            <w:noProof/>
          </w:rPr>
          <w:t>30</w:t>
        </w:r>
      </w:fldSimple>
      <w:r w:rsidR="00EC6BFE" w:rsidRPr="00F46944">
        <w:t>:</w:t>
      </w:r>
      <w:r w:rsidR="00CC09FB" w:rsidRPr="006F7A86">
        <w:rPr>
          <w:b w:val="0"/>
          <w:bCs w:val="0"/>
        </w:rPr>
        <w:t> </w:t>
      </w:r>
      <w:r w:rsidR="00EC6BFE" w:rsidRPr="006F7A86">
        <w:rPr>
          <w:b w:val="0"/>
          <w:bCs w:val="0"/>
        </w:rPr>
        <w:t xml:space="preserve">Number of </w:t>
      </w:r>
      <w:r w:rsidR="00C81800" w:rsidRPr="006F7A86">
        <w:rPr>
          <w:b w:val="0"/>
          <w:bCs w:val="0"/>
        </w:rPr>
        <w:t xml:space="preserve">PBS/RPBS </w:t>
      </w:r>
      <w:r w:rsidR="004A4591" w:rsidRPr="006F7A86">
        <w:rPr>
          <w:b w:val="0"/>
          <w:bCs w:val="0"/>
        </w:rPr>
        <w:t xml:space="preserve">antimicrobial </w:t>
      </w:r>
      <w:r w:rsidR="00EC6BFE" w:rsidRPr="006F7A86">
        <w:rPr>
          <w:b w:val="0"/>
          <w:bCs w:val="0"/>
        </w:rPr>
        <w:t xml:space="preserve">prescriptions </w:t>
      </w:r>
      <w:r w:rsidR="00C81800" w:rsidRPr="006F7A86">
        <w:rPr>
          <w:b w:val="0"/>
          <w:bCs w:val="0"/>
        </w:rPr>
        <w:t xml:space="preserve">for </w:t>
      </w:r>
      <w:r w:rsidR="00F74E80" w:rsidRPr="006F7A86">
        <w:rPr>
          <w:b w:val="0"/>
          <w:bCs w:val="0"/>
        </w:rPr>
        <w:t>URTIs</w:t>
      </w:r>
      <w:r w:rsidR="00E818CD">
        <w:rPr>
          <w:b w:val="0"/>
          <w:bCs w:val="0"/>
        </w:rPr>
        <w:t>*</w:t>
      </w:r>
      <w:r w:rsidR="00C81800" w:rsidRPr="006F7A86">
        <w:rPr>
          <w:b w:val="0"/>
          <w:bCs w:val="0"/>
        </w:rPr>
        <w:t xml:space="preserve"> </w:t>
      </w:r>
      <w:r w:rsidR="00EC6BFE" w:rsidRPr="006F7A86">
        <w:rPr>
          <w:b w:val="0"/>
          <w:bCs w:val="0"/>
        </w:rPr>
        <w:t>per 1</w:t>
      </w:r>
      <w:r w:rsidR="00CC09FB" w:rsidRPr="006F7A86">
        <w:rPr>
          <w:b w:val="0"/>
          <w:bCs w:val="0"/>
        </w:rPr>
        <w:t>,</w:t>
      </w:r>
      <w:r w:rsidR="00EC6BFE" w:rsidRPr="006F7A86">
        <w:rPr>
          <w:b w:val="0"/>
          <w:bCs w:val="0"/>
        </w:rPr>
        <w:t>000</w:t>
      </w:r>
      <w:r w:rsidR="00CC09FB" w:rsidRPr="006F7A86">
        <w:rPr>
          <w:b w:val="0"/>
          <w:bCs w:val="0"/>
        </w:rPr>
        <w:t> </w:t>
      </w:r>
      <w:r w:rsidR="00E21902" w:rsidRPr="006F7A86">
        <w:rPr>
          <w:b w:val="0"/>
          <w:bCs w:val="0"/>
        </w:rPr>
        <w:t>people</w:t>
      </w:r>
      <w:r w:rsidR="00EC6BFE" w:rsidRPr="006F7A86">
        <w:rPr>
          <w:b w:val="0"/>
          <w:bCs w:val="0"/>
        </w:rPr>
        <w:t>, 2019</w:t>
      </w:r>
      <w:r w:rsidR="00CB2C7D" w:rsidRPr="006F7A86">
        <w:rPr>
          <w:b w:val="0"/>
          <w:bCs w:val="0"/>
        </w:rPr>
        <w:t>–</w:t>
      </w:r>
      <w:r w:rsidR="00EC6BFE" w:rsidRPr="006F7A86">
        <w:rPr>
          <w:b w:val="0"/>
          <w:bCs w:val="0"/>
        </w:rPr>
        <w:t>2021</w:t>
      </w:r>
      <w:bookmarkEnd w:id="170"/>
      <w:bookmarkEnd w:id="171"/>
    </w:p>
    <w:p w14:paraId="14B5DC57" w14:textId="5DF68F58" w:rsidR="0047405C" w:rsidRPr="00F46944" w:rsidRDefault="00D77422" w:rsidP="00E21902">
      <w:pPr>
        <w:spacing w:after="0"/>
        <w:rPr>
          <w:b/>
        </w:rPr>
      </w:pPr>
      <w:r>
        <w:rPr>
          <w:rFonts w:ascii="ZWAdobeF" w:hAnsi="ZWAdobeF" w:cs="ZWAdobeF"/>
          <w:sz w:val="2"/>
          <w:szCs w:val="2"/>
        </w:rPr>
        <w:t>649B</w:t>
      </w:r>
      <w:r w:rsidR="00EC26B7">
        <w:rPr>
          <w:rFonts w:ascii="ZWAdobeF" w:hAnsi="ZWAdobeF" w:cs="ZWAdobeF"/>
          <w:noProof/>
          <w:sz w:val="2"/>
          <w:szCs w:val="2"/>
        </w:rPr>
        <w:drawing>
          <wp:inline distT="0" distB="0" distL="0" distR="0" wp14:anchorId="5D45898A" wp14:editId="0C40FD71">
            <wp:extent cx="5761355" cy="3237230"/>
            <wp:effectExtent l="0" t="0" r="0" b="1270"/>
            <wp:docPr id="113" name="Picture 113" descr="Figure 30: Number of PBS/RPBS antimicrobial prescriptions for URTIs per 1,000 people, 2019–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Figure 30: Number of PBS/RPBS antimicrobial prescriptions for URTIs per 1,000 people, 2019–20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1355" cy="3237230"/>
                    </a:xfrm>
                    <a:prstGeom prst="rect">
                      <a:avLst/>
                    </a:prstGeom>
                    <a:noFill/>
                  </pic:spPr>
                </pic:pic>
              </a:graphicData>
            </a:graphic>
          </wp:inline>
        </w:drawing>
      </w:r>
    </w:p>
    <w:p w14:paraId="16386BC5" w14:textId="265BC661" w:rsidR="00E818CD" w:rsidRDefault="00D77422" w:rsidP="00E818CD">
      <w:pPr>
        <w:spacing w:after="0"/>
        <w:rPr>
          <w:rFonts w:cstheme="minorHAnsi"/>
          <w:sz w:val="16"/>
          <w:szCs w:val="16"/>
        </w:rPr>
      </w:pPr>
      <w:r>
        <w:rPr>
          <w:rFonts w:ascii="ZWAdobeF" w:hAnsi="ZWAdobeF" w:cs="ZWAdobeF"/>
          <w:sz w:val="2"/>
          <w:szCs w:val="2"/>
        </w:rPr>
        <w:t>650B</w:t>
      </w:r>
      <w:r w:rsidR="00E818CD" w:rsidRPr="00F46944">
        <w:rPr>
          <w:rFonts w:cstheme="minorHAnsi"/>
          <w:sz w:val="16"/>
          <w:szCs w:val="16"/>
        </w:rPr>
        <w:t>PBS = Pharmaceutical Benefits Scheme; RPBS = Repatriation Pharmaceutical Benefits Scheme; URTI = upper respiratory tract infection</w:t>
      </w:r>
    </w:p>
    <w:p w14:paraId="0D8B1F77" w14:textId="3E142853" w:rsidR="00E818CD" w:rsidRDefault="00D77422" w:rsidP="00E818CD">
      <w:pPr>
        <w:tabs>
          <w:tab w:val="left" w:pos="142"/>
        </w:tabs>
        <w:spacing w:after="0"/>
        <w:ind w:left="135" w:hanging="135"/>
        <w:rPr>
          <w:rFonts w:cstheme="minorHAnsi"/>
          <w:sz w:val="16"/>
          <w:szCs w:val="16"/>
        </w:rPr>
      </w:pPr>
      <w:r>
        <w:rPr>
          <w:rFonts w:ascii="ZWAdobeF" w:hAnsi="ZWAdobeF" w:cs="ZWAdobeF"/>
          <w:sz w:val="2"/>
          <w:szCs w:val="2"/>
        </w:rPr>
        <w:t>651B</w:t>
      </w:r>
      <w:r w:rsidR="00E818CD" w:rsidRPr="00F46944">
        <w:rPr>
          <w:rFonts w:cstheme="minorHAnsi"/>
          <w:sz w:val="16"/>
          <w:szCs w:val="16"/>
        </w:rPr>
        <w:t>*</w:t>
      </w:r>
      <w:r w:rsidR="00E818CD">
        <w:rPr>
          <w:rFonts w:cstheme="minorHAnsi"/>
          <w:sz w:val="16"/>
          <w:szCs w:val="16"/>
        </w:rPr>
        <w:tab/>
      </w:r>
      <w:r w:rsidR="0003377C">
        <w:rPr>
          <w:rFonts w:cstheme="minorHAnsi"/>
          <w:sz w:val="16"/>
          <w:szCs w:val="16"/>
        </w:rPr>
        <w:t>A</w:t>
      </w:r>
      <w:r w:rsidR="0003377C" w:rsidRPr="0003377C">
        <w:rPr>
          <w:rFonts w:cstheme="minorHAnsi"/>
          <w:bCs/>
          <w:sz w:val="16"/>
          <w:szCs w:val="16"/>
        </w:rPr>
        <w:t>moxicillin, amoxicillin</w:t>
      </w:r>
      <w:r w:rsidR="0003377C" w:rsidRPr="0003377C">
        <w:rPr>
          <w:rFonts w:cstheme="minorHAnsi"/>
          <w:sz w:val="16"/>
          <w:szCs w:val="16"/>
        </w:rPr>
        <w:t>–</w:t>
      </w:r>
      <w:r w:rsidR="0003377C" w:rsidRPr="0003377C">
        <w:rPr>
          <w:rFonts w:cstheme="minorHAnsi"/>
          <w:bCs/>
          <w:sz w:val="16"/>
          <w:szCs w:val="16"/>
        </w:rPr>
        <w:t>clavulanic acid, azithromycin, cefaclor, cefalexin, ciprofloxacin, clarithromycin, doxycycline, erythromycin, phenoxymethylpenicillin</w:t>
      </w:r>
      <w:r w:rsidR="0003377C">
        <w:rPr>
          <w:rFonts w:cstheme="minorHAnsi"/>
          <w:bCs/>
          <w:sz w:val="16"/>
          <w:szCs w:val="16"/>
        </w:rPr>
        <w:t xml:space="preserve"> and </w:t>
      </w:r>
      <w:r w:rsidR="0003377C" w:rsidRPr="0003377C">
        <w:rPr>
          <w:rFonts w:cstheme="minorHAnsi"/>
          <w:bCs/>
          <w:sz w:val="16"/>
          <w:szCs w:val="16"/>
        </w:rPr>
        <w:t>roxithromycin</w:t>
      </w:r>
    </w:p>
    <w:p w14:paraId="5613391F" w14:textId="3231DDBB" w:rsidR="00BF6F43" w:rsidRPr="00F46944" w:rsidRDefault="00D77422" w:rsidP="00E818CD">
      <w:r>
        <w:rPr>
          <w:rFonts w:ascii="ZWAdobeF" w:hAnsi="ZWAdobeF" w:cs="ZWAdobeF"/>
          <w:sz w:val="2"/>
          <w:szCs w:val="2"/>
        </w:rPr>
        <w:t>652B</w:t>
      </w:r>
      <w:r w:rsidR="00E818CD" w:rsidRPr="00F46944">
        <w:rPr>
          <w:rFonts w:cstheme="minorHAnsi"/>
          <w:sz w:val="16"/>
          <w:szCs w:val="16"/>
        </w:rPr>
        <w:t>Source: Gadzhanova, Roughead</w:t>
      </w:r>
      <w:r w:rsidR="00E818CD" w:rsidRPr="00F46944">
        <w:rPr>
          <w:rFonts w:cstheme="minorHAnsi"/>
          <w:sz w:val="16"/>
          <w:szCs w:val="16"/>
        </w:rPr>
        <w:fldChar w:fldCharType="begin"/>
      </w:r>
      <w:r w:rsidR="00DB0DCB">
        <w:rPr>
          <w:rFonts w:cstheme="minorHAnsi"/>
          <w:sz w:val="16"/>
          <w:szCs w:val="16"/>
        </w:rPr>
        <w:instrText xml:space="preserve"> ADDIN EN.CITE &lt;EndNote&gt;&lt;Cite&gt;&lt;Author&gt;Gadzhanova&lt;/Author&gt;&lt;RecNum&gt;5&lt;/RecNum&gt;&lt;DisplayText&gt;&lt;style face="superscript"&gt;5&lt;/style&gt;&lt;/DisplayText&gt;&lt;record&gt;&lt;rec-number&gt;5&lt;/rec-number&gt;&lt;foreign-keys&gt;&lt;key app="EN" db-id="es9dr99ws90stoe5x2rp505nazvswdzppxa5" timestamp="1670810539"&gt;5&lt;/key&gt;&lt;/foreign-keys&gt;&lt;ref-type name="Unpublished Work"&gt;34&lt;/ref-type&gt;&lt;contributors&gt;&lt;authors&gt;&lt;author&gt;Gadzhanova, S.&lt;/author&gt;&lt;author&gt;Roughead, E.&lt;/author&gt;&lt;/authors&gt;&lt;/contributors&gt;&lt;titles&gt;&lt;title&gt;Analysis of 2015–2021 PBS data for the National Report on Antimicrobial Use and Resistance (unpublished)&lt;/title&gt;&lt;/titles&gt;&lt;dates&gt;&lt;/dates&gt;&lt;pub-location&gt;Sydney &lt;/pub-location&gt;&lt;publisher&gt;ACSQHC &lt;/publisher&gt;&lt;urls&gt;&lt;/urls&gt;&lt;/record&gt;&lt;/Cite&gt;&lt;/EndNote&gt;</w:instrText>
      </w:r>
      <w:r w:rsidR="00E818CD" w:rsidRPr="00F46944">
        <w:rPr>
          <w:rFonts w:cstheme="minorHAnsi"/>
          <w:sz w:val="16"/>
          <w:szCs w:val="16"/>
        </w:rPr>
        <w:fldChar w:fldCharType="separate"/>
      </w:r>
      <w:r w:rsidR="00E818CD" w:rsidRPr="001C0A42">
        <w:rPr>
          <w:rFonts w:cstheme="minorHAnsi"/>
          <w:noProof/>
          <w:sz w:val="16"/>
          <w:szCs w:val="16"/>
          <w:vertAlign w:val="superscript"/>
        </w:rPr>
        <w:t>5</w:t>
      </w:r>
      <w:r w:rsidR="00E818CD" w:rsidRPr="00F46944">
        <w:rPr>
          <w:rFonts w:cstheme="minorHAnsi"/>
          <w:sz w:val="16"/>
          <w:szCs w:val="16"/>
        </w:rPr>
        <w:fldChar w:fldCharType="end"/>
      </w:r>
    </w:p>
    <w:p w14:paraId="1C41205E" w14:textId="77777777" w:rsidR="00E308F7" w:rsidRPr="00F46944" w:rsidRDefault="00E308F7" w:rsidP="0093641B">
      <w:pPr>
        <w:spacing w:after="80"/>
        <w:rPr>
          <w:rFonts w:asciiTheme="majorHAnsi" w:hAnsiTheme="majorHAnsi" w:cstheme="majorHAnsi"/>
          <w:bCs/>
        </w:rPr>
      </w:pPr>
    </w:p>
    <w:p w14:paraId="2C8F33BA" w14:textId="51F1CEA1" w:rsidR="0093641B" w:rsidRPr="00F46944" w:rsidRDefault="0093641B" w:rsidP="0093641B">
      <w:pPr>
        <w:spacing w:after="80"/>
        <w:rPr>
          <w:rFonts w:asciiTheme="majorHAnsi" w:hAnsiTheme="majorHAnsi" w:cstheme="majorHAnsi"/>
          <w:b/>
          <w:bCs/>
          <w:color w:val="1178A2"/>
          <w:kern w:val="28"/>
          <w:sz w:val="40"/>
          <w:szCs w:val="32"/>
        </w:rPr>
      </w:pPr>
      <w:r w:rsidRPr="00F46944">
        <w:rPr>
          <w:rFonts w:asciiTheme="majorHAnsi" w:hAnsiTheme="majorHAnsi" w:cstheme="majorHAnsi"/>
        </w:rPr>
        <w:br w:type="page"/>
      </w:r>
    </w:p>
    <w:p w14:paraId="454ED11B" w14:textId="067EC4AC" w:rsidR="00270389" w:rsidRPr="00F46944" w:rsidRDefault="003253A6" w:rsidP="00270389">
      <w:pPr>
        <w:keepNext/>
        <w:spacing w:before="240" w:after="240"/>
        <w:outlineLvl w:val="0"/>
        <w:rPr>
          <w:rFonts w:asciiTheme="majorHAnsi" w:hAnsiTheme="majorHAnsi" w:cstheme="majorHAnsi"/>
          <w:b/>
          <w:bCs/>
          <w:color w:val="595959" w:themeColor="text1" w:themeTint="A6"/>
          <w:kern w:val="28"/>
          <w:sz w:val="40"/>
          <w:szCs w:val="32"/>
        </w:rPr>
      </w:pPr>
      <w:bookmarkStart w:id="172" w:name="_Toc100753206"/>
      <w:bookmarkStart w:id="173" w:name="_Toc103953974"/>
      <w:bookmarkStart w:id="174" w:name="_Toc121826733"/>
      <w:r>
        <w:rPr>
          <w:rFonts w:asciiTheme="majorHAnsi" w:hAnsiTheme="majorHAnsi" w:cstheme="majorHAnsi"/>
          <w:b/>
          <w:bCs/>
          <w:color w:val="595959" w:themeColor="text1" w:themeTint="A6"/>
          <w:kern w:val="28"/>
          <w:sz w:val="40"/>
          <w:szCs w:val="32"/>
        </w:rPr>
        <w:lastRenderedPageBreak/>
        <w:t>Disc</w:t>
      </w:r>
      <w:r w:rsidR="00270389" w:rsidRPr="00F46944">
        <w:rPr>
          <w:rFonts w:asciiTheme="majorHAnsi" w:hAnsiTheme="majorHAnsi" w:cstheme="majorHAnsi"/>
          <w:b/>
          <w:bCs/>
          <w:color w:val="595959" w:themeColor="text1" w:themeTint="A6"/>
          <w:kern w:val="28"/>
          <w:sz w:val="40"/>
          <w:szCs w:val="32"/>
        </w:rPr>
        <w:t>ussion</w:t>
      </w:r>
      <w:bookmarkEnd w:id="172"/>
      <w:bookmarkEnd w:id="173"/>
      <w:bookmarkEnd w:id="174"/>
    </w:p>
    <w:p w14:paraId="4393EEED" w14:textId="170A9F33" w:rsidR="0093641B" w:rsidRPr="00710F6F" w:rsidRDefault="00CB2C7D" w:rsidP="00710F6F">
      <w:pPr>
        <w:pStyle w:val="Heading3"/>
      </w:pPr>
      <w:bookmarkStart w:id="175" w:name="_Toc121826734"/>
      <w:r w:rsidRPr="00710F6F">
        <w:t xml:space="preserve">Overall antimicrobial use </w:t>
      </w:r>
      <w:r w:rsidR="009A5F90" w:rsidRPr="00710F6F">
        <w:t xml:space="preserve">and appropriateness </w:t>
      </w:r>
      <w:r w:rsidRPr="00710F6F">
        <w:t>in the community</w:t>
      </w:r>
      <w:bookmarkEnd w:id="175"/>
    </w:p>
    <w:p w14:paraId="0892B1D0" w14:textId="53D47154" w:rsidR="00732A8F" w:rsidRPr="00F46944" w:rsidRDefault="00D77422" w:rsidP="001D3169">
      <w:r>
        <w:rPr>
          <w:rFonts w:ascii="ZWAdobeF" w:hAnsi="ZWAdobeF" w:cs="ZWAdobeF"/>
          <w:sz w:val="2"/>
          <w:szCs w:val="2"/>
        </w:rPr>
        <w:t>654B</w:t>
      </w:r>
      <w:r w:rsidR="001D3169">
        <w:t xml:space="preserve">Antimicrobial use </w:t>
      </w:r>
      <w:r w:rsidR="00732A8F" w:rsidRPr="00F46944">
        <w:t xml:space="preserve">in the community declined </w:t>
      </w:r>
      <w:r w:rsidR="00B215B8" w:rsidRPr="00F46944">
        <w:t xml:space="preserve">from </w:t>
      </w:r>
      <w:r w:rsidR="00732A8F" w:rsidRPr="00F46944">
        <w:t>2015 to 2021. Decreas</w:t>
      </w:r>
      <w:r w:rsidR="00B215B8" w:rsidRPr="00F46944">
        <w:t>ed</w:t>
      </w:r>
      <w:r w:rsidR="00732A8F" w:rsidRPr="00F46944">
        <w:t xml:space="preserve"> antimicrobial use was observed in </w:t>
      </w:r>
      <w:r w:rsidR="001D7E23" w:rsidRPr="00F46944">
        <w:t xml:space="preserve">PBS/RPBS dispensing data </w:t>
      </w:r>
      <w:r w:rsidR="001D7E23">
        <w:t xml:space="preserve">and </w:t>
      </w:r>
      <w:r w:rsidR="00732A8F" w:rsidRPr="00F46944">
        <w:t xml:space="preserve">NPS MedicineWise </w:t>
      </w:r>
      <w:proofErr w:type="spellStart"/>
      <w:r w:rsidR="00B215B8" w:rsidRPr="00F46944">
        <w:t>MedicineInsight</w:t>
      </w:r>
      <w:proofErr w:type="spellEnd"/>
      <w:r w:rsidR="00B215B8" w:rsidRPr="00F46944">
        <w:t xml:space="preserve"> prescribing data</w:t>
      </w:r>
      <w:r w:rsidR="00732A8F" w:rsidRPr="00F46944">
        <w:t xml:space="preserve">. </w:t>
      </w:r>
      <w:r w:rsidR="00B215B8" w:rsidRPr="00F46944">
        <w:t xml:space="preserve">The </w:t>
      </w:r>
      <w:r w:rsidR="00732A8F" w:rsidRPr="00F46944">
        <w:t>decline</w:t>
      </w:r>
      <w:r w:rsidR="00B215B8" w:rsidRPr="00F46944">
        <w:t xml:space="preserve"> </w:t>
      </w:r>
      <w:r w:rsidR="00732A8F" w:rsidRPr="00F46944">
        <w:t xml:space="preserve">was observed across all states and territories and most age groups, with a relatively minor variation between states and territories and </w:t>
      </w:r>
      <w:r w:rsidR="001A7EF7" w:rsidRPr="00F46944">
        <w:t>patient demographics</w:t>
      </w:r>
      <w:r w:rsidR="00732A8F" w:rsidRPr="00F46944">
        <w:t xml:space="preserve">. </w:t>
      </w:r>
    </w:p>
    <w:p w14:paraId="714351C8" w14:textId="49837962" w:rsidR="001D3169" w:rsidRDefault="00D77422" w:rsidP="00A52DE6">
      <w:r>
        <w:rPr>
          <w:rFonts w:ascii="ZWAdobeF" w:hAnsi="ZWAdobeF" w:cs="ZWAdobeF"/>
          <w:sz w:val="2"/>
          <w:szCs w:val="2"/>
        </w:rPr>
        <w:t>655B</w:t>
      </w:r>
      <w:r w:rsidR="001D3169">
        <w:t>A steady downward trend was observed until 2019</w:t>
      </w:r>
      <w:r w:rsidR="006F390E">
        <w:fldChar w:fldCharType="begin"/>
      </w:r>
      <w:r w:rsidR="00412507">
        <w:instrText xml:space="preserve"> ADDIN EN.CITE &lt;EndNote&gt;&lt;Cite&gt;&lt;Author&gt;Care&lt;/Author&gt;&lt;Year&gt;2021&lt;/Year&gt;&lt;RecNum&gt;1&lt;/RecNum&gt;&lt;DisplayText&gt;&lt;style face="superscript"&gt;1&lt;/style&gt;&lt;/DisplayText&gt;&lt;record&gt;&lt;rec-number&gt;1&lt;/rec-number&gt;&lt;foreign-keys&gt;&lt;key app="EN" db-id="es9dr99ws90stoe5x2rp505nazvswdzppxa5" timestamp="1670810538"&gt;1&lt;/key&gt;&lt;/foreign-keys&gt;&lt;ref-type name="Report"&gt;27&lt;/ref-type&gt;&lt;contributors&gt;&lt;authors&gt;&lt;author&gt;Australian Commission on Safety and Quality in Health Care&lt;/author&gt;&lt;/authors&gt;&lt;/contributors&gt;&lt;titles&gt;&lt;title&gt;AURA 2021: fourth Australian report on antimicrobial use and resistance in human health&lt;/title&gt;&lt;/titles&gt;&lt;dates&gt;&lt;year&gt;2021&lt;/year&gt;&lt;/dates&gt;&lt;pub-location&gt;Sydney&lt;/pub-location&gt;&lt;publisher&gt;ACSQHC&lt;/publisher&gt;&lt;urls&gt;&lt;/urls&gt;&lt;/record&gt;&lt;/Cite&gt;&lt;/EndNote&gt;</w:instrText>
      </w:r>
      <w:r w:rsidR="006F390E">
        <w:fldChar w:fldCharType="separate"/>
      </w:r>
      <w:r w:rsidR="00DB0DCB" w:rsidRPr="00DB0DCB">
        <w:rPr>
          <w:noProof/>
          <w:vertAlign w:val="superscript"/>
        </w:rPr>
        <w:t>1</w:t>
      </w:r>
      <w:r w:rsidR="006F390E">
        <w:fldChar w:fldCharType="end"/>
      </w:r>
      <w:r w:rsidR="001D3169">
        <w:t>, then d</w:t>
      </w:r>
      <w:r w:rsidR="00732A8F" w:rsidRPr="00F46944">
        <w:t xml:space="preserve">ata from both </w:t>
      </w:r>
      <w:proofErr w:type="spellStart"/>
      <w:r w:rsidR="00206D62">
        <w:t>MedicineInsight</w:t>
      </w:r>
      <w:proofErr w:type="spellEnd"/>
      <w:r w:rsidR="00732A8F" w:rsidRPr="00F46944">
        <w:t xml:space="preserve"> and the PBS/RPBS demonstrated a dramatic reduction in the volume of antimicrobials prescribed and </w:t>
      </w:r>
      <w:r w:rsidR="001D3169">
        <w:t xml:space="preserve">dispensed in </w:t>
      </w:r>
      <w:r w:rsidR="00732A8F" w:rsidRPr="00F46944">
        <w:t>2020 and 2021</w:t>
      </w:r>
      <w:r w:rsidR="001D3169">
        <w:t xml:space="preserve"> – coinciding with the COVID-19 pandemic. This </w:t>
      </w:r>
      <w:r w:rsidR="001D3169" w:rsidRPr="00F46944">
        <w:t xml:space="preserve">demonstrates the impact of strong, system-wide public health messaging and actions in encouraging effective infection prevention and control, reducing infection rates, and supporting appropriate antimicrobial prescribing. These public health actions included messaging for working and learning from home, wearing a mask </w:t>
      </w:r>
      <w:r w:rsidR="001D3169">
        <w:t xml:space="preserve">and staying home </w:t>
      </w:r>
      <w:r w:rsidR="001D3169" w:rsidRPr="00F46944">
        <w:t>when experiencing symptoms of respiratory illness and encouraging hand hygiene and physical distancing</w:t>
      </w:r>
      <w:r w:rsidR="00AB6FC5">
        <w:t>.</w:t>
      </w:r>
    </w:p>
    <w:p w14:paraId="119807F4" w14:textId="189C916B" w:rsidR="00A52DE6" w:rsidRPr="00F46944" w:rsidRDefault="00D77422" w:rsidP="00A52DE6">
      <w:r>
        <w:rPr>
          <w:rFonts w:ascii="ZWAdobeF" w:hAnsi="ZWAdobeF" w:cs="ZWAdobeF"/>
          <w:sz w:val="2"/>
          <w:szCs w:val="2"/>
        </w:rPr>
        <w:t>656B</w:t>
      </w:r>
      <w:r w:rsidR="001D3169">
        <w:t xml:space="preserve">However, </w:t>
      </w:r>
      <w:r w:rsidR="00A52DE6" w:rsidRPr="00F46944">
        <w:t xml:space="preserve">increases </w:t>
      </w:r>
      <w:r w:rsidR="002530A6" w:rsidRPr="00F46944">
        <w:t xml:space="preserve">were observed </w:t>
      </w:r>
      <w:r w:rsidR="00A52DE6" w:rsidRPr="00F46944">
        <w:t>towards the end of 2021, highlighting the need for continued intervention</w:t>
      </w:r>
      <w:r w:rsidR="002530A6" w:rsidRPr="00F46944">
        <w:t xml:space="preserve"> to sustain ongoing reductions in antimicrobial use</w:t>
      </w:r>
      <w:r w:rsidR="00A52DE6" w:rsidRPr="00F46944">
        <w:t xml:space="preserve">. </w:t>
      </w:r>
    </w:p>
    <w:p w14:paraId="39E389CB" w14:textId="77F8A345" w:rsidR="00A52DE6" w:rsidRPr="00F46944" w:rsidRDefault="00D77422" w:rsidP="00A52DE6">
      <w:r>
        <w:rPr>
          <w:rFonts w:ascii="ZWAdobeF" w:hAnsi="ZWAdobeF" w:cs="ZWAdobeF"/>
          <w:sz w:val="2"/>
          <w:szCs w:val="2"/>
        </w:rPr>
        <w:t>657B</w:t>
      </w:r>
      <w:r w:rsidR="008D4BE0" w:rsidRPr="00F46944">
        <w:t xml:space="preserve">Cefalexin, </w:t>
      </w:r>
      <w:r w:rsidR="00E95503" w:rsidRPr="00F46944">
        <w:t>a</w:t>
      </w:r>
      <w:r w:rsidR="008D4BE0" w:rsidRPr="00F46944">
        <w:t>moxicillin and amoxicillin–clavulanic acid remain the most commonly</w:t>
      </w:r>
      <w:r w:rsidR="00FE59AE" w:rsidRPr="00F46944">
        <w:t xml:space="preserve"> prescribed antimicrobials in </w:t>
      </w:r>
      <w:proofErr w:type="spellStart"/>
      <w:r w:rsidR="00FE59AE" w:rsidRPr="00F46944">
        <w:t>MedicineInsight</w:t>
      </w:r>
      <w:proofErr w:type="spellEnd"/>
      <w:r w:rsidR="00FE59AE" w:rsidRPr="00F46944">
        <w:t xml:space="preserve"> practices and</w:t>
      </w:r>
      <w:r w:rsidR="008D4BE0" w:rsidRPr="00F46944">
        <w:t xml:space="preserve"> </w:t>
      </w:r>
      <w:r w:rsidR="002530A6" w:rsidRPr="00F46944">
        <w:t xml:space="preserve">the </w:t>
      </w:r>
      <w:r w:rsidR="00FE59AE" w:rsidRPr="00F46944">
        <w:t xml:space="preserve">most commonly </w:t>
      </w:r>
      <w:r w:rsidR="008D4BE0" w:rsidRPr="00F46944">
        <w:t xml:space="preserve">dispensed </w:t>
      </w:r>
      <w:r w:rsidR="002530A6" w:rsidRPr="00F46944">
        <w:t xml:space="preserve">antimicrobials </w:t>
      </w:r>
      <w:r w:rsidR="00FE59AE" w:rsidRPr="00F46944">
        <w:t xml:space="preserve">under the </w:t>
      </w:r>
      <w:r w:rsidR="008D4BE0" w:rsidRPr="00F46944">
        <w:t>PBS/RPBS</w:t>
      </w:r>
      <w:r w:rsidR="00000115" w:rsidRPr="00F46944">
        <w:t xml:space="preserve">. </w:t>
      </w:r>
      <w:r w:rsidR="00A52DE6" w:rsidRPr="00F46944">
        <w:t xml:space="preserve">Cefalexin is </w:t>
      </w:r>
      <w:r w:rsidR="00D13F57" w:rsidRPr="00F46944">
        <w:t xml:space="preserve">often </w:t>
      </w:r>
      <w:r w:rsidR="00A52DE6" w:rsidRPr="00F46944">
        <w:t>prescribed for skin and soft tissue infections</w:t>
      </w:r>
      <w:r w:rsidR="009E4253">
        <w:t>,</w:t>
      </w:r>
      <w:r w:rsidR="00A52DE6" w:rsidRPr="00F46944">
        <w:t xml:space="preserve"> and UTI</w:t>
      </w:r>
      <w:r w:rsidR="00000115" w:rsidRPr="00F46944">
        <w:t>s</w:t>
      </w:r>
      <w:r w:rsidR="00A52DE6" w:rsidRPr="00F46944">
        <w:t xml:space="preserve">, </w:t>
      </w:r>
      <w:r w:rsidR="002530A6" w:rsidRPr="00F46944">
        <w:t xml:space="preserve">whereas </w:t>
      </w:r>
      <w:r w:rsidR="00A52DE6" w:rsidRPr="00F46944">
        <w:t xml:space="preserve">amoxicillin is </w:t>
      </w:r>
      <w:r w:rsidR="00D13F57" w:rsidRPr="00F46944">
        <w:t xml:space="preserve">commonly </w:t>
      </w:r>
      <w:r w:rsidR="00000115" w:rsidRPr="00F46944">
        <w:t>indicated</w:t>
      </w:r>
      <w:r w:rsidR="00D13F57" w:rsidRPr="00F46944">
        <w:t xml:space="preserve"> </w:t>
      </w:r>
      <w:r w:rsidR="00A52DE6" w:rsidRPr="00F46944">
        <w:t xml:space="preserve">for respiratory tract infections. </w:t>
      </w:r>
    </w:p>
    <w:p w14:paraId="0B3D3A13" w14:textId="3FD8B731" w:rsidR="00B86DB6" w:rsidRPr="00F46944" w:rsidRDefault="00D77422" w:rsidP="0011388D">
      <w:r>
        <w:rPr>
          <w:rFonts w:ascii="ZWAdobeF" w:hAnsi="ZWAdobeF" w:cs="ZWAdobeF"/>
          <w:sz w:val="2"/>
          <w:szCs w:val="2"/>
        </w:rPr>
        <w:t>658B</w:t>
      </w:r>
      <w:r w:rsidR="0045067E" w:rsidRPr="00F46944">
        <w:t xml:space="preserve">The decline in antimicrobial use </w:t>
      </w:r>
      <w:r w:rsidR="00332BE2" w:rsidRPr="00F46944">
        <w:t xml:space="preserve">was observed </w:t>
      </w:r>
      <w:r w:rsidR="0045067E" w:rsidRPr="00F46944">
        <w:t>across all age</w:t>
      </w:r>
      <w:r w:rsidR="00332BE2" w:rsidRPr="00F46944">
        <w:t>-groups</w:t>
      </w:r>
      <w:r w:rsidR="0045067E" w:rsidRPr="00F46944">
        <w:t xml:space="preserve"> </w:t>
      </w:r>
      <w:r w:rsidR="002105C9" w:rsidRPr="00F46944">
        <w:t>from 2015 to 2020.</w:t>
      </w:r>
      <w:r w:rsidR="0011388D" w:rsidRPr="00F46944">
        <w:t xml:space="preserve"> </w:t>
      </w:r>
      <w:r w:rsidR="00000115" w:rsidRPr="00F46944">
        <w:t>The n</w:t>
      </w:r>
      <w:r w:rsidR="0011388D" w:rsidRPr="00F46944">
        <w:t xml:space="preserve">umber of antimicrobial prescriptions in the adult population continued to decline </w:t>
      </w:r>
      <w:r w:rsidR="002105C9" w:rsidRPr="00F46944">
        <w:t>but increased in children in</w:t>
      </w:r>
      <w:r w:rsidR="00000115" w:rsidRPr="00F46944">
        <w:t>to</w:t>
      </w:r>
      <w:r w:rsidR="002105C9" w:rsidRPr="00F46944">
        <w:t xml:space="preserve"> 2021.</w:t>
      </w:r>
      <w:r w:rsidR="00E95503" w:rsidRPr="00F46944">
        <w:t xml:space="preserve"> A</w:t>
      </w:r>
      <w:r w:rsidR="008D4BE0" w:rsidRPr="00F46944">
        <w:t xml:space="preserve">ntimicrobial use </w:t>
      </w:r>
      <w:r w:rsidR="00332BE2" w:rsidRPr="00F46944">
        <w:t xml:space="preserve">was </w:t>
      </w:r>
      <w:r w:rsidR="008D4BE0" w:rsidRPr="00F46944">
        <w:t xml:space="preserve">highest </w:t>
      </w:r>
      <w:r w:rsidR="0011388D" w:rsidRPr="00F46944">
        <w:t xml:space="preserve">by number of prescriptions dispensed </w:t>
      </w:r>
      <w:r w:rsidR="0064286A" w:rsidRPr="00F46944">
        <w:rPr>
          <w:rFonts w:asciiTheme="majorHAnsi" w:hAnsiTheme="majorHAnsi" w:cstheme="majorHAnsi"/>
        </w:rPr>
        <w:t xml:space="preserve">per 1,000 people </w:t>
      </w:r>
      <w:r w:rsidR="008D4BE0" w:rsidRPr="00F46944">
        <w:t xml:space="preserve">in the elderly. </w:t>
      </w:r>
    </w:p>
    <w:p w14:paraId="79D97D7C" w14:textId="3CAC7A32" w:rsidR="00EA56F4" w:rsidRPr="00F46944" w:rsidRDefault="00D77422" w:rsidP="00D374F5">
      <w:r>
        <w:rPr>
          <w:rFonts w:ascii="ZWAdobeF" w:hAnsi="ZWAdobeF" w:cs="ZWAdobeF"/>
          <w:sz w:val="2"/>
          <w:szCs w:val="2"/>
        </w:rPr>
        <w:t>659B</w:t>
      </w:r>
      <w:r w:rsidR="000452BD" w:rsidRPr="00F46944">
        <w:t>C</w:t>
      </w:r>
      <w:r w:rsidR="00EA56F4" w:rsidRPr="00F46944">
        <w:t xml:space="preserve">hanges in the </w:t>
      </w:r>
      <w:r w:rsidR="00D13F57" w:rsidRPr="00F46944">
        <w:t>restrictions for</w:t>
      </w:r>
      <w:r w:rsidR="00EA56F4" w:rsidRPr="00F46944">
        <w:t xml:space="preserve"> PBS</w:t>
      </w:r>
      <w:r w:rsidR="000452BD" w:rsidRPr="00F46944">
        <w:t>/RPBS</w:t>
      </w:r>
      <w:r w:rsidR="00EA56F4" w:rsidRPr="00F46944">
        <w:t xml:space="preserve">-subsidised repeat prescriptions for </w:t>
      </w:r>
      <w:r w:rsidR="00D13F57" w:rsidRPr="00F46944">
        <w:t xml:space="preserve">five of </w:t>
      </w:r>
      <w:r w:rsidR="00EA56F4" w:rsidRPr="00F46944">
        <w:t xml:space="preserve">Australia’s most commonly dispensed </w:t>
      </w:r>
      <w:r w:rsidR="004D2FDA" w:rsidRPr="00F46944">
        <w:t>antimicrobial</w:t>
      </w:r>
      <w:r w:rsidR="00EA56F4" w:rsidRPr="00F46944">
        <w:t>s (amoxicillin, amoxicillin</w:t>
      </w:r>
      <w:r w:rsidR="008B0845" w:rsidRPr="00F46944">
        <w:rPr>
          <w:rFonts w:asciiTheme="majorHAnsi" w:hAnsiTheme="majorHAnsi" w:cstheme="majorHAnsi"/>
        </w:rPr>
        <w:t>–</w:t>
      </w:r>
      <w:r w:rsidR="00EA56F4" w:rsidRPr="00F46944">
        <w:t>clavulanic acid, cefalexin, doxycycline and roxithromycin) are likely to account for some of the reduction</w:t>
      </w:r>
      <w:r w:rsidR="002530A6" w:rsidRPr="00F46944">
        <w:t>s</w:t>
      </w:r>
      <w:r w:rsidR="00EA56F4" w:rsidRPr="00F46944">
        <w:t xml:space="preserve"> in antimicrobial use</w:t>
      </w:r>
      <w:r w:rsidR="00E655F5" w:rsidRPr="00F46944">
        <w:t xml:space="preserve"> observed from April 2020</w:t>
      </w:r>
      <w:r w:rsidR="00EA56F4" w:rsidRPr="00F46944">
        <w:t>.</w:t>
      </w:r>
      <w:r w:rsidR="000452BD" w:rsidRPr="00F46944">
        <w:t xml:space="preserve"> </w:t>
      </w:r>
    </w:p>
    <w:p w14:paraId="25FDBF24" w14:textId="6EB54F34" w:rsidR="005D46A0" w:rsidRPr="00F46944" w:rsidRDefault="00D77422" w:rsidP="00DD63D9">
      <w:r>
        <w:rPr>
          <w:rFonts w:ascii="ZWAdobeF" w:hAnsi="ZWAdobeF" w:cs="ZWAdobeF"/>
          <w:sz w:val="2"/>
          <w:szCs w:val="2"/>
        </w:rPr>
        <w:t>660B</w:t>
      </w:r>
      <w:r w:rsidR="002530A6" w:rsidRPr="00F46944">
        <w:t>The findings highlight a number of k</w:t>
      </w:r>
      <w:r w:rsidR="00DD63D9" w:rsidRPr="00F46944">
        <w:t xml:space="preserve">ey areas </w:t>
      </w:r>
      <w:r w:rsidR="002530A6" w:rsidRPr="00F46944">
        <w:t>that warrant further attention and action, including</w:t>
      </w:r>
      <w:r w:rsidR="00DD63D9" w:rsidRPr="00F46944">
        <w:t xml:space="preserve"> </w:t>
      </w:r>
      <w:r w:rsidR="005162C3" w:rsidRPr="00F46944">
        <w:t>the</w:t>
      </w:r>
      <w:r w:rsidR="002B39E8" w:rsidRPr="00F46944">
        <w:t xml:space="preserve"> </w:t>
      </w:r>
      <w:r w:rsidR="00DD63D9" w:rsidRPr="00F46944">
        <w:t>overall increase in</w:t>
      </w:r>
      <w:r w:rsidR="00590E98" w:rsidRPr="00F46944">
        <w:t xml:space="preserve"> antimicrobial</w:t>
      </w:r>
      <w:r w:rsidR="00DD63D9" w:rsidRPr="00F46944">
        <w:t xml:space="preserve"> prescribing </w:t>
      </w:r>
      <w:r w:rsidR="00590E98" w:rsidRPr="00F46944">
        <w:t xml:space="preserve">among </w:t>
      </w:r>
      <w:r w:rsidR="00DD63D9" w:rsidRPr="00F46944">
        <w:t xml:space="preserve">children </w:t>
      </w:r>
      <w:r w:rsidR="00590E98" w:rsidRPr="00F46944">
        <w:t xml:space="preserve">compared </w:t>
      </w:r>
      <w:r w:rsidR="00DD63D9" w:rsidRPr="00F46944">
        <w:t>to adults</w:t>
      </w:r>
      <w:r w:rsidR="00590E98" w:rsidRPr="00F46944">
        <w:t xml:space="preserve"> (particularly</w:t>
      </w:r>
      <w:r w:rsidR="00DD63D9" w:rsidRPr="00F46944">
        <w:t xml:space="preserve"> in </w:t>
      </w:r>
      <w:r w:rsidR="00D13F57" w:rsidRPr="00F46944">
        <w:t>the</w:t>
      </w:r>
      <w:r w:rsidR="00DD63D9" w:rsidRPr="00F46944">
        <w:t xml:space="preserve"> 0</w:t>
      </w:r>
      <w:r w:rsidR="000D4188" w:rsidRPr="00F46944">
        <w:t>–</w:t>
      </w:r>
      <w:r w:rsidR="00DD63D9" w:rsidRPr="00F46944">
        <w:t>9</w:t>
      </w:r>
      <w:r w:rsidR="00600FE2" w:rsidRPr="00F46944">
        <w:t> </w:t>
      </w:r>
      <w:r w:rsidR="000D4188" w:rsidRPr="00F46944">
        <w:t xml:space="preserve">year </w:t>
      </w:r>
      <w:r w:rsidR="00D13F57" w:rsidRPr="00F46944">
        <w:t>age group</w:t>
      </w:r>
      <w:r w:rsidR="00590E98" w:rsidRPr="00F46944">
        <w:t>)</w:t>
      </w:r>
      <w:r w:rsidR="00D13F57" w:rsidRPr="00F46944">
        <w:t xml:space="preserve"> </w:t>
      </w:r>
      <w:r w:rsidR="00DD63D9" w:rsidRPr="00F46944">
        <w:t>and</w:t>
      </w:r>
      <w:r w:rsidR="00590E98" w:rsidRPr="00F46944">
        <w:t xml:space="preserve"> the</w:t>
      </w:r>
      <w:r w:rsidR="00DD63D9" w:rsidRPr="00F46944">
        <w:t xml:space="preserve"> increasing </w:t>
      </w:r>
      <w:r w:rsidR="00590E98" w:rsidRPr="00F46944">
        <w:t xml:space="preserve">rates of </w:t>
      </w:r>
      <w:r w:rsidR="005162C3" w:rsidRPr="00F46944">
        <w:t>private</w:t>
      </w:r>
      <w:r w:rsidR="00C513BE" w:rsidRPr="00F46944">
        <w:t xml:space="preserve">, or </w:t>
      </w:r>
      <w:r w:rsidR="00172E00" w:rsidRPr="00F46944">
        <w:t>non-PBS/RPBS</w:t>
      </w:r>
      <w:r w:rsidR="00C513BE" w:rsidRPr="00F46944">
        <w:t>,</w:t>
      </w:r>
      <w:r w:rsidR="001D49C2" w:rsidRPr="00F46944">
        <w:t xml:space="preserve"> </w:t>
      </w:r>
      <w:r w:rsidR="00E95503" w:rsidRPr="00F46944">
        <w:t>antimicrobial</w:t>
      </w:r>
      <w:r w:rsidR="00590E98" w:rsidRPr="00F46944">
        <w:t xml:space="preserve"> </w:t>
      </w:r>
      <w:r w:rsidR="00C513BE" w:rsidRPr="00F46944">
        <w:t>prescriptions</w:t>
      </w:r>
      <w:r w:rsidR="00DD63D9" w:rsidRPr="00F46944">
        <w:t xml:space="preserve">. Although </w:t>
      </w:r>
      <w:r w:rsidR="00590E98" w:rsidRPr="00F46944">
        <w:t xml:space="preserve">the number of private prescriptions is </w:t>
      </w:r>
      <w:r w:rsidR="00DD63D9" w:rsidRPr="00F46944">
        <w:t>relatively small</w:t>
      </w:r>
      <w:r w:rsidR="00590E98" w:rsidRPr="00F46944">
        <w:t xml:space="preserve"> compared to those supplied under the PBS/RPBS</w:t>
      </w:r>
      <w:r w:rsidR="00DD63D9" w:rsidRPr="00F46944">
        <w:t xml:space="preserve">, </w:t>
      </w:r>
      <w:r w:rsidR="00590E98" w:rsidRPr="00F46944">
        <w:t xml:space="preserve">it is difficult to quantify </w:t>
      </w:r>
      <w:r w:rsidR="00B24F8C" w:rsidRPr="00F46944">
        <w:t>non-PBS</w:t>
      </w:r>
      <w:r w:rsidR="00600FE2" w:rsidRPr="00F46944">
        <w:t>/RPBS</w:t>
      </w:r>
      <w:r w:rsidR="00B24F8C" w:rsidRPr="00F46944">
        <w:t xml:space="preserve"> </w:t>
      </w:r>
      <w:r w:rsidR="00DD63D9" w:rsidRPr="00F46944">
        <w:t xml:space="preserve">prescribing </w:t>
      </w:r>
      <w:r w:rsidR="00590E98" w:rsidRPr="00F46944">
        <w:t>rates</w:t>
      </w:r>
      <w:r w:rsidR="00B24F8C" w:rsidRPr="00F46944">
        <w:t xml:space="preserve"> and </w:t>
      </w:r>
      <w:r w:rsidR="00DD63D9" w:rsidRPr="00F46944">
        <w:t>to monitor</w:t>
      </w:r>
      <w:r w:rsidR="00590E98" w:rsidRPr="00F46944">
        <w:t xml:space="preserve"> trends over time</w:t>
      </w:r>
      <w:r w:rsidR="00DD63D9" w:rsidRPr="00F46944">
        <w:t xml:space="preserve">. </w:t>
      </w:r>
      <w:r w:rsidR="00732A8F" w:rsidRPr="00F46944">
        <w:t xml:space="preserve">Given </w:t>
      </w:r>
      <w:r w:rsidR="00DD63D9" w:rsidRPr="00F46944">
        <w:t xml:space="preserve">that the </w:t>
      </w:r>
      <w:r w:rsidR="006B3AA7" w:rsidRPr="00F46944">
        <w:t>most common</w:t>
      </w:r>
      <w:r w:rsidR="00DD63D9" w:rsidRPr="00F46944">
        <w:t xml:space="preserve"> privately prescribed antimicrobials </w:t>
      </w:r>
      <w:r w:rsidR="005162C3" w:rsidRPr="00F46944">
        <w:t>(</w:t>
      </w:r>
      <w:r w:rsidR="00DD63D9" w:rsidRPr="00F46944">
        <w:t>azithromycin and ciprofloxacin</w:t>
      </w:r>
      <w:r w:rsidR="005162C3" w:rsidRPr="00F46944">
        <w:t>)</w:t>
      </w:r>
      <w:r w:rsidR="00DD63D9" w:rsidRPr="00F46944">
        <w:t xml:space="preserve"> are </w:t>
      </w:r>
      <w:r w:rsidR="00D13F57" w:rsidRPr="00F46944">
        <w:t xml:space="preserve">broad-spectrum agents </w:t>
      </w:r>
      <w:r w:rsidR="00DD63D9" w:rsidRPr="00F46944">
        <w:t xml:space="preserve">reserved for </w:t>
      </w:r>
      <w:r w:rsidR="00732A8F" w:rsidRPr="00F46944">
        <w:t xml:space="preserve">critical </w:t>
      </w:r>
      <w:r w:rsidR="00DD63D9" w:rsidRPr="00F46944">
        <w:t>infections</w:t>
      </w:r>
      <w:r w:rsidR="00732A8F" w:rsidRPr="00F46944">
        <w:t>,</w:t>
      </w:r>
      <w:r w:rsidR="00DD63D9" w:rsidRPr="00F46944">
        <w:t xml:space="preserve"> </w:t>
      </w:r>
      <w:r w:rsidR="00732A8F" w:rsidRPr="00F46944">
        <w:t>s</w:t>
      </w:r>
      <w:r w:rsidR="00DD63D9" w:rsidRPr="00F46944">
        <w:t xml:space="preserve">ustained efforts </w:t>
      </w:r>
      <w:r w:rsidR="005162C3" w:rsidRPr="00F46944">
        <w:t xml:space="preserve">to </w:t>
      </w:r>
      <w:r w:rsidR="00590E98" w:rsidRPr="00F46944">
        <w:t>support appropriate prescribing</w:t>
      </w:r>
      <w:r w:rsidR="00F46944">
        <w:t xml:space="preserve"> </w:t>
      </w:r>
      <w:r w:rsidR="00DD63D9" w:rsidRPr="00F46944">
        <w:t xml:space="preserve">are </w:t>
      </w:r>
      <w:r w:rsidR="00732A8F" w:rsidRPr="00F46944">
        <w:t>required</w:t>
      </w:r>
      <w:r w:rsidR="00DD63D9" w:rsidRPr="00F46944">
        <w:t xml:space="preserve">. The lack of </w:t>
      </w:r>
      <w:r w:rsidR="00590E98" w:rsidRPr="00F46944">
        <w:t xml:space="preserve">mechanisms to </w:t>
      </w:r>
      <w:r w:rsidR="00DD63D9" w:rsidRPr="00F46944">
        <w:t>record</w:t>
      </w:r>
      <w:r w:rsidR="00590E98" w:rsidRPr="00F46944">
        <w:t xml:space="preserve"> and monitor rates </w:t>
      </w:r>
      <w:r w:rsidR="00DD63D9" w:rsidRPr="00F46944">
        <w:t xml:space="preserve">of </w:t>
      </w:r>
      <w:r w:rsidR="00172E00" w:rsidRPr="00F46944">
        <w:t>non-PBS/RPBS</w:t>
      </w:r>
      <w:r w:rsidR="001D49C2" w:rsidRPr="00F46944">
        <w:t xml:space="preserve"> </w:t>
      </w:r>
      <w:r w:rsidR="00590E98" w:rsidRPr="00F46944">
        <w:t xml:space="preserve">antimicrobial </w:t>
      </w:r>
      <w:r w:rsidR="006B3AA7" w:rsidRPr="00F46944">
        <w:t xml:space="preserve">prescribing </w:t>
      </w:r>
      <w:r w:rsidR="00DD63D9" w:rsidRPr="00F46944">
        <w:t xml:space="preserve">at the time of dispensing </w:t>
      </w:r>
      <w:r w:rsidR="005162C3" w:rsidRPr="00F46944">
        <w:t xml:space="preserve">is </w:t>
      </w:r>
      <w:r w:rsidR="00DD63D9" w:rsidRPr="00F46944">
        <w:t xml:space="preserve">a </w:t>
      </w:r>
      <w:r w:rsidR="00590E98" w:rsidRPr="00F46944">
        <w:t xml:space="preserve">noteworthy </w:t>
      </w:r>
      <w:r w:rsidR="00732A8F" w:rsidRPr="00F46944">
        <w:t xml:space="preserve">gap </w:t>
      </w:r>
      <w:r w:rsidR="006B3AA7" w:rsidRPr="00F46944">
        <w:t xml:space="preserve">in </w:t>
      </w:r>
      <w:r w:rsidR="00590E98" w:rsidRPr="00F46944">
        <w:t>current surveillance efforts</w:t>
      </w:r>
      <w:r w:rsidR="006B3AA7" w:rsidRPr="00F46944">
        <w:t xml:space="preserve"> </w:t>
      </w:r>
      <w:r w:rsidR="00DD63D9" w:rsidRPr="00F46944">
        <w:t xml:space="preserve">that </w:t>
      </w:r>
      <w:r w:rsidR="00732A8F" w:rsidRPr="00F46944">
        <w:t>requires attention.</w:t>
      </w:r>
    </w:p>
    <w:p w14:paraId="7517850F" w14:textId="77777777" w:rsidR="005D46A0" w:rsidRPr="00F46944" w:rsidRDefault="005D46A0">
      <w:pPr>
        <w:spacing w:after="80"/>
      </w:pPr>
      <w:r w:rsidRPr="00F46944">
        <w:br w:type="page"/>
      </w:r>
    </w:p>
    <w:p w14:paraId="55FD8B56" w14:textId="0A0B9B8C" w:rsidR="0029442D" w:rsidRPr="00710F6F" w:rsidRDefault="0029442D" w:rsidP="00710F6F">
      <w:pPr>
        <w:pStyle w:val="Heading3"/>
        <w:ind w:right="-306"/>
      </w:pPr>
      <w:bookmarkStart w:id="176" w:name="_Toc103701254"/>
      <w:bookmarkStart w:id="177" w:name="_Toc121826735"/>
      <w:r w:rsidRPr="00710F6F">
        <w:lastRenderedPageBreak/>
        <w:t>Impact of</w:t>
      </w:r>
      <w:r w:rsidR="00ED6F47" w:rsidRPr="00710F6F">
        <w:t xml:space="preserve"> the</w:t>
      </w:r>
      <w:r w:rsidRPr="00710F6F">
        <w:t xml:space="preserve"> COVID-19 </w:t>
      </w:r>
      <w:r w:rsidR="00ED6F47" w:rsidRPr="00710F6F">
        <w:t xml:space="preserve">pandemic </w:t>
      </w:r>
      <w:r w:rsidR="00CB2C7D" w:rsidRPr="00710F6F">
        <w:t>on</w:t>
      </w:r>
      <w:r w:rsidRPr="00710F6F">
        <w:t xml:space="preserve"> antimicrobial use in the community</w:t>
      </w:r>
      <w:bookmarkStart w:id="178" w:name="_Hlk103673855"/>
      <w:bookmarkEnd w:id="176"/>
      <w:bookmarkEnd w:id="177"/>
      <w:r w:rsidR="008303F4" w:rsidRPr="00710F6F">
        <w:t xml:space="preserve"> </w:t>
      </w:r>
    </w:p>
    <w:p w14:paraId="09D08A67" w14:textId="737F1E2B" w:rsidR="00421AFF" w:rsidRPr="00F46944" w:rsidRDefault="00D77422" w:rsidP="0045067E">
      <w:r>
        <w:rPr>
          <w:rFonts w:ascii="ZWAdobeF" w:hAnsi="ZWAdobeF" w:cs="ZWAdobeF"/>
          <w:sz w:val="2"/>
          <w:szCs w:val="2"/>
        </w:rPr>
        <w:t>661B</w:t>
      </w:r>
      <w:r w:rsidR="001A7EC4" w:rsidRPr="001A7EC4">
        <w:t>The COVID-19 pandemic had a profound impact on antimicrobial use</w:t>
      </w:r>
      <w:r w:rsidR="001A7EC4">
        <w:t xml:space="preserve"> in Australia, and t</w:t>
      </w:r>
      <w:r w:rsidR="0029442D" w:rsidRPr="00F46944">
        <w:t>here has been a notable global impact on antimicrobial use and appropriateness during the pandemic.</w:t>
      </w:r>
      <w:r w:rsidR="0042674B" w:rsidRPr="00F46944">
        <w:fldChar w:fldCharType="begin"/>
      </w:r>
      <w:r w:rsidR="00C16B8F">
        <w:instrText xml:space="preserve"> ADDIN EN.CITE &lt;EndNote&gt;&lt;Cite&gt;&lt;Author&gt;Khouja&lt;/Author&gt;&lt;Year&gt;2022&lt;/Year&gt;&lt;RecNum&gt;23&lt;/RecNum&gt;&lt;DisplayText&gt;&lt;style face="superscript"&gt;24&lt;/style&gt;&lt;/DisplayText&gt;&lt;record&gt;&lt;rec-number&gt;23&lt;/rec-number&gt;&lt;foreign-keys&gt;&lt;key app="EN" db-id="es9dr99ws90stoe5x2rp505nazvswdzppxa5" timestamp="1670810550"&gt;23&lt;/key&gt;&lt;/foreign-keys&gt;&lt;ref-type name="Journal Article"&gt;17&lt;/ref-type&gt;&lt;contributors&gt;&lt;authors&gt;&lt;author&gt;Khouja, T.&lt;/author&gt;&lt;author&gt;Mitsantisuk, K.&lt;/author&gt;&lt;author&gt;Tadrous, M.&lt;/author&gt;&lt;author&gt;Suda, K. J.&lt;/author&gt;&lt;/authors&gt;&lt;/contributors&gt;&lt;auth-address&gt;Department of Medicine, University of Pittsburgh School of Medicine, Pittsburgh, PA, USA.&amp;#xD;Leslie Dan Faculty of Pharmacy, University of Toronto, Toronto, ON, Canada.&amp;#xD;Center for Health Equity Research and Promotion, VA Pittsburgh Healthcare System, Pittsburgh, PA, USA.&lt;/auth-address&gt;&lt;titles&gt;&lt;title&gt;Global consumption of antimicrobials: impact of the WHO Global Action Plan on Antimicrobial Resistance and 2019 coronavirus pandemic (COVID-19)&lt;/title&gt;&lt;secondary-title&gt;J Antimicrob Chemother&lt;/secondary-title&gt;&lt;/titles&gt;&lt;periodical&gt;&lt;full-title&gt;J Antimicrob Chemother&lt;/full-title&gt;&lt;/periodical&gt;&lt;pages&gt;1491-1499&lt;/pages&gt;&lt;volume&gt;77&lt;/volume&gt;&lt;number&gt;5&lt;/number&gt;&lt;edition&gt;2022/02/19&lt;/edition&gt;&lt;keywords&gt;&lt;keyword&gt;Anti-Bacterial Agents/pharmacology/therapeutic use&lt;/keyword&gt;&lt;keyword&gt;*Anti-Infective Agents&lt;/keyword&gt;&lt;keyword&gt;Antiviral Agents/therapeutic use&lt;/keyword&gt;&lt;keyword&gt;*COVID-19/drug therapy&lt;/keyword&gt;&lt;keyword&gt;Cross-Sectional Studies&lt;/keyword&gt;&lt;keyword&gt;Drug Resistance, Bacterial&lt;/keyword&gt;&lt;keyword&gt;Humans&lt;/keyword&gt;&lt;keyword&gt;Pandemics&lt;/keyword&gt;&lt;keyword&gt;World Health Organization&lt;/keyword&gt;&lt;/keywords&gt;&lt;dates&gt;&lt;year&gt;2022&lt;/year&gt;&lt;pub-dates&gt;&lt;date&gt;Apr 27&lt;/date&gt;&lt;/pub-dates&gt;&lt;/dates&gt;&lt;isbn&gt;1460-2091 (Electronic)&amp;#xD;0305-7453 (Linking)&lt;/isbn&gt;&lt;accession-num&gt;35178565&lt;/accession-num&gt;&lt;urls&gt;&lt;related-urls&gt;&lt;url&gt;https://www.ncbi.nlm.nih.gov/pubmed/35178565&lt;/url&gt;&lt;/related-urls&gt;&lt;/urls&gt;&lt;electronic-resource-num&gt;10.1093/jac/dkac028&lt;/electronic-resource-num&gt;&lt;/record&gt;&lt;/Cite&gt;&lt;/EndNote&gt;</w:instrText>
      </w:r>
      <w:r w:rsidR="0042674B" w:rsidRPr="00F46944">
        <w:fldChar w:fldCharType="separate"/>
      </w:r>
      <w:r w:rsidR="00C16B8F" w:rsidRPr="00C16B8F">
        <w:rPr>
          <w:noProof/>
          <w:vertAlign w:val="superscript"/>
        </w:rPr>
        <w:t>24</w:t>
      </w:r>
      <w:r w:rsidR="0042674B" w:rsidRPr="00F46944">
        <w:fldChar w:fldCharType="end"/>
      </w:r>
      <w:r w:rsidR="0029442D" w:rsidRPr="00F46944">
        <w:t xml:space="preserve"> Several potential </w:t>
      </w:r>
      <w:r w:rsidR="00F3510A" w:rsidRPr="00F46944">
        <w:t>fact</w:t>
      </w:r>
      <w:r w:rsidR="00421AFF" w:rsidRPr="00F46944">
        <w:t>o</w:t>
      </w:r>
      <w:r w:rsidR="00F3510A" w:rsidRPr="00F46944">
        <w:t xml:space="preserve">rs </w:t>
      </w:r>
      <w:r w:rsidR="005162C3" w:rsidRPr="00F46944">
        <w:t xml:space="preserve">are likely to </w:t>
      </w:r>
      <w:r w:rsidR="00421AFF" w:rsidRPr="00F46944">
        <w:t xml:space="preserve">have </w:t>
      </w:r>
      <w:r w:rsidR="00F3510A" w:rsidRPr="00F46944">
        <w:t>influence</w:t>
      </w:r>
      <w:r w:rsidR="00421AFF" w:rsidRPr="00F46944">
        <w:t xml:space="preserve">d the </w:t>
      </w:r>
      <w:r w:rsidR="0029442D" w:rsidRPr="00F46944">
        <w:t>decrease in antimicrobial prescribing in Australia</w:t>
      </w:r>
      <w:r w:rsidR="00421AFF" w:rsidRPr="00F46944">
        <w:t xml:space="preserve">, </w:t>
      </w:r>
      <w:r w:rsidR="006B3AA7" w:rsidRPr="00F46944">
        <w:t>including</w:t>
      </w:r>
      <w:r w:rsidR="00421AFF" w:rsidRPr="00F46944">
        <w:t>:</w:t>
      </w:r>
      <w:r w:rsidR="0051042E" w:rsidRPr="00F46944">
        <w:t xml:space="preserve"> </w:t>
      </w:r>
    </w:p>
    <w:p w14:paraId="491BC751" w14:textId="151220C0" w:rsidR="00421AFF" w:rsidRPr="00F46944" w:rsidRDefault="00D77422" w:rsidP="003140B6">
      <w:pPr>
        <w:pStyle w:val="ListParagraph"/>
        <w:numPr>
          <w:ilvl w:val="0"/>
          <w:numId w:val="26"/>
        </w:numPr>
      </w:pPr>
      <w:r>
        <w:rPr>
          <w:rFonts w:ascii="ZWAdobeF" w:hAnsi="ZWAdobeF" w:cs="ZWAdobeF"/>
          <w:sz w:val="2"/>
          <w:szCs w:val="2"/>
        </w:rPr>
        <w:t>200B</w:t>
      </w:r>
      <w:r w:rsidR="00A75FBF" w:rsidRPr="00F46944">
        <w:t>T</w:t>
      </w:r>
      <w:r w:rsidR="00F3510A" w:rsidRPr="00F46944">
        <w:t xml:space="preserve">he prevalence of infections </w:t>
      </w:r>
      <w:r w:rsidR="00421AFF" w:rsidRPr="00F46944">
        <w:t>requiring antimicrobials</w:t>
      </w:r>
    </w:p>
    <w:p w14:paraId="0B592008" w14:textId="64C5D891" w:rsidR="00421AFF" w:rsidRPr="00F46944" w:rsidRDefault="00D77422" w:rsidP="003140B6">
      <w:pPr>
        <w:pStyle w:val="ListParagraph"/>
        <w:numPr>
          <w:ilvl w:val="0"/>
          <w:numId w:val="26"/>
        </w:numPr>
      </w:pPr>
      <w:r>
        <w:rPr>
          <w:rFonts w:ascii="ZWAdobeF" w:hAnsi="ZWAdobeF" w:cs="ZWAdobeF"/>
          <w:sz w:val="2"/>
          <w:szCs w:val="2"/>
        </w:rPr>
        <w:t>201B</w:t>
      </w:r>
      <w:r w:rsidR="00A75FBF" w:rsidRPr="00F46944">
        <w:t>C</w:t>
      </w:r>
      <w:r w:rsidR="0029442D" w:rsidRPr="00F46944">
        <w:t xml:space="preserve">hanges in the availability of </w:t>
      </w:r>
      <w:r w:rsidR="006E3CFC" w:rsidRPr="00F46944">
        <w:t>PBS/RPBS</w:t>
      </w:r>
      <w:r w:rsidR="0029442D" w:rsidRPr="00F46944">
        <w:t xml:space="preserve">-subsidised repeat prescriptions for five </w:t>
      </w:r>
      <w:r w:rsidR="00421AFF" w:rsidRPr="00F46944">
        <w:t xml:space="preserve">of the </w:t>
      </w:r>
      <w:r w:rsidR="0029442D" w:rsidRPr="00F46944">
        <w:t xml:space="preserve">most </w:t>
      </w:r>
      <w:r w:rsidR="00C22B0D" w:rsidRPr="00F46944">
        <w:t xml:space="preserve">commonly </w:t>
      </w:r>
      <w:r w:rsidR="0029442D" w:rsidRPr="00F46944">
        <w:t xml:space="preserve">dispensed </w:t>
      </w:r>
      <w:r w:rsidR="004D2FDA" w:rsidRPr="00F46944">
        <w:t>antimicrobial</w:t>
      </w:r>
      <w:r w:rsidR="0029442D" w:rsidRPr="00F46944">
        <w:t xml:space="preserve">s </w:t>
      </w:r>
      <w:r w:rsidR="003642FD" w:rsidRPr="00F46944">
        <w:t xml:space="preserve">– </w:t>
      </w:r>
      <w:r w:rsidR="0029442D" w:rsidRPr="00F46944">
        <w:t>amoxicillin, amoxicillin</w:t>
      </w:r>
      <w:r w:rsidR="000D4188" w:rsidRPr="00F46944">
        <w:t>–</w:t>
      </w:r>
      <w:r w:rsidR="0029442D" w:rsidRPr="00F46944">
        <w:t>clavulanic acid, cefalexin, doxycycline and roxithromycin</w:t>
      </w:r>
    </w:p>
    <w:p w14:paraId="172AD527" w14:textId="00840BD0" w:rsidR="00421AFF" w:rsidRPr="00F46944" w:rsidRDefault="00D77422" w:rsidP="003140B6">
      <w:pPr>
        <w:pStyle w:val="ListParagraph"/>
        <w:numPr>
          <w:ilvl w:val="0"/>
          <w:numId w:val="26"/>
        </w:numPr>
      </w:pPr>
      <w:r>
        <w:rPr>
          <w:rFonts w:ascii="ZWAdobeF" w:hAnsi="ZWAdobeF" w:cs="ZWAdobeF"/>
          <w:sz w:val="2"/>
          <w:szCs w:val="2"/>
        </w:rPr>
        <w:t>202B</w:t>
      </w:r>
      <w:r w:rsidR="00A75FBF" w:rsidRPr="00F46944">
        <w:t>I</w:t>
      </w:r>
      <w:r w:rsidR="00421AFF" w:rsidRPr="00F46944">
        <w:t xml:space="preserve">mproved infection prevention and control in the community </w:t>
      </w:r>
    </w:p>
    <w:p w14:paraId="22A20550" w14:textId="4613CBF3" w:rsidR="00421AFF" w:rsidRPr="00F46944" w:rsidRDefault="00D77422" w:rsidP="003140B6">
      <w:pPr>
        <w:pStyle w:val="ListParagraph"/>
        <w:numPr>
          <w:ilvl w:val="0"/>
          <w:numId w:val="26"/>
        </w:numPr>
      </w:pPr>
      <w:r>
        <w:rPr>
          <w:rFonts w:ascii="ZWAdobeF" w:hAnsi="ZWAdobeF" w:cs="ZWAdobeF"/>
          <w:sz w:val="2"/>
          <w:szCs w:val="2"/>
        </w:rPr>
        <w:t>203B</w:t>
      </w:r>
      <w:r w:rsidR="00A75FBF" w:rsidRPr="00F46944">
        <w:t>P</w:t>
      </w:r>
      <w:r w:rsidR="00421AFF" w:rsidRPr="00F46944">
        <w:t>eriods of lockdown</w:t>
      </w:r>
    </w:p>
    <w:p w14:paraId="17EDC3E0" w14:textId="7320A2D5" w:rsidR="00E961A5" w:rsidRDefault="00D77422" w:rsidP="003140B6">
      <w:pPr>
        <w:pStyle w:val="ListParagraph"/>
        <w:numPr>
          <w:ilvl w:val="0"/>
          <w:numId w:val="26"/>
        </w:numPr>
      </w:pPr>
      <w:r>
        <w:rPr>
          <w:rFonts w:ascii="ZWAdobeF" w:hAnsi="ZWAdobeF" w:cs="ZWAdobeF"/>
          <w:sz w:val="2"/>
          <w:szCs w:val="2"/>
        </w:rPr>
        <w:t>204B</w:t>
      </w:r>
      <w:r w:rsidR="00421AFF" w:rsidRPr="00F46944">
        <w:t>GP factors</w:t>
      </w:r>
      <w:r w:rsidR="00714036">
        <w:t xml:space="preserve">, such as </w:t>
      </w:r>
      <w:r w:rsidR="00410530">
        <w:t>i</w:t>
      </w:r>
      <w:r w:rsidR="00000115" w:rsidRPr="00F46944">
        <w:t>ndividual prescriber preferences</w:t>
      </w:r>
      <w:r w:rsidR="00714036">
        <w:t>, access, mode of consultation (face</w:t>
      </w:r>
      <w:r w:rsidR="00B378B7">
        <w:t>-</w:t>
      </w:r>
      <w:r w:rsidR="00714036">
        <w:t>to</w:t>
      </w:r>
      <w:r w:rsidR="00B378B7">
        <w:t>-</w:t>
      </w:r>
      <w:r w:rsidR="00714036">
        <w:t>face or telehealth</w:t>
      </w:r>
      <w:r w:rsidR="00370CA5">
        <w:t>)</w:t>
      </w:r>
      <w:r w:rsidR="00714036">
        <w:t xml:space="preserve"> </w:t>
      </w:r>
    </w:p>
    <w:p w14:paraId="2C02C48D" w14:textId="5A5B1425" w:rsidR="00421AFF" w:rsidRPr="00F46944" w:rsidRDefault="00D77422" w:rsidP="003140B6">
      <w:pPr>
        <w:pStyle w:val="ListParagraph"/>
        <w:numPr>
          <w:ilvl w:val="0"/>
          <w:numId w:val="26"/>
        </w:numPr>
      </w:pPr>
      <w:r>
        <w:rPr>
          <w:rFonts w:ascii="ZWAdobeF" w:hAnsi="ZWAdobeF" w:cs="ZWAdobeF"/>
          <w:sz w:val="2"/>
          <w:szCs w:val="2"/>
        </w:rPr>
        <w:t>205B</w:t>
      </w:r>
      <w:r w:rsidR="00410530">
        <w:t>Potential i</w:t>
      </w:r>
      <w:r w:rsidR="00410530" w:rsidRPr="00F46944">
        <w:t xml:space="preserve">mproved </w:t>
      </w:r>
      <w:r w:rsidR="00E961A5" w:rsidRPr="00F46944">
        <w:t>community awareness</w:t>
      </w:r>
      <w:r w:rsidR="00714036">
        <w:t xml:space="preserve"> of the role of antimicrobials in treating infections</w:t>
      </w:r>
      <w:r w:rsidR="00891E58" w:rsidRPr="00F46944">
        <w:t>.</w:t>
      </w:r>
    </w:p>
    <w:p w14:paraId="7AD75434" w14:textId="4F85C81E" w:rsidR="0029442D" w:rsidRPr="00F46944" w:rsidRDefault="00D77422" w:rsidP="00421AFF">
      <w:r>
        <w:rPr>
          <w:rFonts w:ascii="ZWAdobeF" w:hAnsi="ZWAdobeF" w:cs="ZWAdobeF"/>
          <w:sz w:val="2"/>
          <w:szCs w:val="2"/>
        </w:rPr>
        <w:t>662B</w:t>
      </w:r>
      <w:r w:rsidR="00421AFF" w:rsidRPr="00F46944">
        <w:t xml:space="preserve">It is </w:t>
      </w:r>
      <w:r w:rsidR="005162C3" w:rsidRPr="00F46944">
        <w:t xml:space="preserve">notable </w:t>
      </w:r>
      <w:r w:rsidR="00421AFF" w:rsidRPr="00F46944">
        <w:t xml:space="preserve">that the </w:t>
      </w:r>
      <w:r w:rsidR="0029442D" w:rsidRPr="00F46944">
        <w:t xml:space="preserve">use of </w:t>
      </w:r>
      <w:r w:rsidR="004D2FDA" w:rsidRPr="00F46944">
        <w:t>antimicrobial</w:t>
      </w:r>
      <w:r w:rsidR="0029442D" w:rsidRPr="00F46944">
        <w:t xml:space="preserve">s not subject to </w:t>
      </w:r>
      <w:r w:rsidR="00403293" w:rsidRPr="00F46944">
        <w:t xml:space="preserve">PBS/RPBS policy </w:t>
      </w:r>
      <w:r w:rsidR="0029442D" w:rsidRPr="00F46944">
        <w:t>change</w:t>
      </w:r>
      <w:r w:rsidR="00403293" w:rsidRPr="00F46944">
        <w:t>s</w:t>
      </w:r>
      <w:r w:rsidR="0029442D" w:rsidRPr="00F46944">
        <w:t xml:space="preserve"> </w:t>
      </w:r>
      <w:r w:rsidR="00403293" w:rsidRPr="00F46944">
        <w:t xml:space="preserve">for </w:t>
      </w:r>
      <w:r w:rsidR="00421AFF" w:rsidRPr="00F46944">
        <w:t xml:space="preserve">repeats </w:t>
      </w:r>
      <w:r w:rsidR="0029442D" w:rsidRPr="00F46944">
        <w:t xml:space="preserve">also </w:t>
      </w:r>
      <w:r w:rsidR="005162C3" w:rsidRPr="00F46944">
        <w:t>declined</w:t>
      </w:r>
      <w:r w:rsidR="00595692" w:rsidRPr="00F46944">
        <w:t xml:space="preserve">. This </w:t>
      </w:r>
      <w:r w:rsidR="005162C3" w:rsidRPr="00F46944">
        <w:t>suggest</w:t>
      </w:r>
      <w:r w:rsidR="00595692" w:rsidRPr="00F46944">
        <w:t>s</w:t>
      </w:r>
      <w:r w:rsidR="005162C3" w:rsidRPr="00F46944">
        <w:t xml:space="preserve"> </w:t>
      </w:r>
      <w:r w:rsidR="00421AFF" w:rsidRPr="00F46944">
        <w:t xml:space="preserve">factors relating to </w:t>
      </w:r>
      <w:r w:rsidR="0029442D" w:rsidRPr="00F46944">
        <w:t>circulating respiratory illnesses and changes in health</w:t>
      </w:r>
      <w:r w:rsidR="00A25FFB" w:rsidRPr="00F46944">
        <w:t xml:space="preserve"> service</w:t>
      </w:r>
      <w:r w:rsidR="0029442D" w:rsidRPr="00F46944">
        <w:t>-seeking behaviour</w:t>
      </w:r>
      <w:r w:rsidR="006B3AA7" w:rsidRPr="00F46944">
        <w:t xml:space="preserve"> </w:t>
      </w:r>
      <w:r w:rsidR="005162C3" w:rsidRPr="00F46944">
        <w:t xml:space="preserve">may have contributed </w:t>
      </w:r>
      <w:r w:rsidR="006B3AA7" w:rsidRPr="00F46944">
        <w:t>to reduced antimicrobial use</w:t>
      </w:r>
      <w:r w:rsidR="0029442D" w:rsidRPr="00F46944">
        <w:t xml:space="preserve">. </w:t>
      </w:r>
    </w:p>
    <w:p w14:paraId="216A6B28" w14:textId="1B20AC7C" w:rsidR="0029442D" w:rsidRPr="00F46944" w:rsidRDefault="00D77422" w:rsidP="0045067E">
      <w:r>
        <w:rPr>
          <w:rFonts w:ascii="ZWAdobeF" w:hAnsi="ZWAdobeF" w:cs="ZWAdobeF"/>
          <w:sz w:val="2"/>
          <w:szCs w:val="2"/>
        </w:rPr>
        <w:t>663B</w:t>
      </w:r>
      <w:r w:rsidR="0029442D" w:rsidRPr="00F46944">
        <w:t>In addition to national campaigns for hand hygiene and physical distancing</w:t>
      </w:r>
      <w:r w:rsidR="003642FD" w:rsidRPr="00F46944">
        <w:t xml:space="preserve"> during the </w:t>
      </w:r>
      <w:r w:rsidR="009547B8" w:rsidRPr="00F46944">
        <w:t xml:space="preserve">COVID-19 </w:t>
      </w:r>
      <w:r w:rsidR="003642FD" w:rsidRPr="00F46944">
        <w:t>pandemic</w:t>
      </w:r>
      <w:r w:rsidR="0029442D" w:rsidRPr="00F46944">
        <w:t>, Australian workplaces</w:t>
      </w:r>
      <w:r w:rsidR="001D7E23">
        <w:t xml:space="preserve">, </w:t>
      </w:r>
      <w:r w:rsidR="001D7E23" w:rsidRPr="00F46944">
        <w:t xml:space="preserve">schools and childcare centres </w:t>
      </w:r>
      <w:r w:rsidR="0029442D" w:rsidRPr="00F46944">
        <w:t>issued ‘stay home if sick’ orders, and most workplaces</w:t>
      </w:r>
      <w:r w:rsidR="00403293" w:rsidRPr="00F46944">
        <w:t xml:space="preserve"> and educational institutions</w:t>
      </w:r>
      <w:r w:rsidR="0029442D" w:rsidRPr="00F46944">
        <w:t xml:space="preserve"> enabled ‘work </w:t>
      </w:r>
      <w:r w:rsidR="00403293" w:rsidRPr="00F46944">
        <w:t xml:space="preserve">or learn </w:t>
      </w:r>
      <w:r w:rsidR="0029442D" w:rsidRPr="00F46944">
        <w:t xml:space="preserve">from home’ practices on a scale that had not previously been experienced. These actions meant that parents and carers could work from home with greater flexibility when </w:t>
      </w:r>
      <w:r w:rsidR="00403293" w:rsidRPr="00F46944">
        <w:t xml:space="preserve">they or their </w:t>
      </w:r>
      <w:r w:rsidR="0029442D" w:rsidRPr="00F46944">
        <w:t xml:space="preserve">children were </w:t>
      </w:r>
      <w:r w:rsidR="009547B8" w:rsidRPr="00F46944">
        <w:t>unwell</w:t>
      </w:r>
      <w:r w:rsidR="0064286A" w:rsidRPr="00F46944">
        <w:t xml:space="preserve"> or required to isolate to reduce transmission of disease</w:t>
      </w:r>
      <w:r w:rsidR="0029442D" w:rsidRPr="00F46944">
        <w:t xml:space="preserve">. </w:t>
      </w:r>
      <w:r w:rsidR="009547B8" w:rsidRPr="00F46944">
        <w:t>It is likely that these measures reduced the demand for antimicrobials</w:t>
      </w:r>
      <w:r w:rsidR="0029442D" w:rsidRPr="00F46944">
        <w:t xml:space="preserve"> –</w:t>
      </w:r>
      <w:r w:rsidR="00E818CD">
        <w:t xml:space="preserve"> </w:t>
      </w:r>
      <w:r w:rsidR="0029442D" w:rsidRPr="00F46944">
        <w:t xml:space="preserve">antimicrobials may have previously been issued in response to perceptions that use of an </w:t>
      </w:r>
      <w:r w:rsidR="004D2FDA" w:rsidRPr="00F46944">
        <w:t>antimicrobial</w:t>
      </w:r>
      <w:r w:rsidR="0029442D" w:rsidRPr="00F46944">
        <w:t xml:space="preserve"> may enable continued attendance at work, </w:t>
      </w:r>
      <w:r w:rsidR="00956C22" w:rsidRPr="00F46944">
        <w:t>school,</w:t>
      </w:r>
      <w:r w:rsidR="0029442D" w:rsidRPr="00F46944">
        <w:t xml:space="preserve"> or childcare. This information suggests that a systematic approach to support workplaces, schools and childcare is necessary for ongoing improvements to </w:t>
      </w:r>
      <w:r w:rsidR="00AC7768" w:rsidRPr="00F46944">
        <w:t>AMS</w:t>
      </w:r>
      <w:r w:rsidR="0029442D" w:rsidRPr="00F46944">
        <w:t xml:space="preserve"> in the community. </w:t>
      </w:r>
    </w:p>
    <w:p w14:paraId="62A42851" w14:textId="6B82FC94" w:rsidR="0029442D" w:rsidRPr="00F46944" w:rsidRDefault="00D77422" w:rsidP="00E83406">
      <w:r>
        <w:rPr>
          <w:rFonts w:ascii="ZWAdobeF" w:hAnsi="ZWAdobeF" w:cs="ZWAdobeF"/>
          <w:sz w:val="2"/>
          <w:szCs w:val="2"/>
        </w:rPr>
        <w:t>664B</w:t>
      </w:r>
      <w:r w:rsidR="006E3CFC" w:rsidRPr="00F46944">
        <w:t>PBS/RPBS</w:t>
      </w:r>
      <w:r w:rsidR="0029442D" w:rsidRPr="00F46944">
        <w:t xml:space="preserve"> data </w:t>
      </w:r>
      <w:r w:rsidR="00BF6527" w:rsidRPr="00F46944">
        <w:t xml:space="preserve">have </w:t>
      </w:r>
      <w:r w:rsidR="0029442D" w:rsidRPr="00F46944">
        <w:t xml:space="preserve">shown that </w:t>
      </w:r>
      <w:r w:rsidR="003642FD" w:rsidRPr="00F46944">
        <w:t xml:space="preserve">reduced antimicrobial dispensing </w:t>
      </w:r>
      <w:r w:rsidR="0029442D" w:rsidRPr="00F46944">
        <w:t xml:space="preserve">was sustained over 2020 and 2021. Overall, the community data </w:t>
      </w:r>
      <w:r w:rsidR="00E2716B" w:rsidRPr="00F46944">
        <w:t xml:space="preserve">presented </w:t>
      </w:r>
      <w:r w:rsidR="0029442D" w:rsidRPr="00F46944">
        <w:t xml:space="preserve">in this report </w:t>
      </w:r>
      <w:r w:rsidR="00E2716B" w:rsidRPr="00F46944">
        <w:t xml:space="preserve">have affirmed </w:t>
      </w:r>
      <w:r w:rsidR="0029442D" w:rsidRPr="00F46944">
        <w:t>that policy measures, restrictive practices</w:t>
      </w:r>
      <w:r w:rsidR="0004057F" w:rsidRPr="00F46944">
        <w:t>,</w:t>
      </w:r>
      <w:r w:rsidR="0029442D" w:rsidRPr="00F46944">
        <w:t xml:space="preserve"> and </w:t>
      </w:r>
      <w:r w:rsidR="00E2716B" w:rsidRPr="00F46944">
        <w:t xml:space="preserve">effective </w:t>
      </w:r>
      <w:r w:rsidR="0029442D" w:rsidRPr="00F46944">
        <w:t xml:space="preserve">infection </w:t>
      </w:r>
      <w:r w:rsidR="0004057F" w:rsidRPr="00F46944">
        <w:t xml:space="preserve">prevention and </w:t>
      </w:r>
      <w:r w:rsidR="0029442D" w:rsidRPr="00F46944">
        <w:t xml:space="preserve">control </w:t>
      </w:r>
      <w:r w:rsidR="00E2716B" w:rsidRPr="00F46944">
        <w:t xml:space="preserve">efforts can help improve </w:t>
      </w:r>
      <w:r w:rsidR="0029442D" w:rsidRPr="00F46944">
        <w:t>overall antimicrobial use and appropriateness.</w:t>
      </w:r>
      <w:r w:rsidR="0064286A" w:rsidRPr="00F46944">
        <w:t xml:space="preserve"> </w:t>
      </w:r>
      <w:r w:rsidR="001865ED" w:rsidRPr="00F46944">
        <w:t>Continued m</w:t>
      </w:r>
      <w:r w:rsidR="002F4E40" w:rsidRPr="00F46944">
        <w:t>onitoring of</w:t>
      </w:r>
      <w:r w:rsidR="001865ED" w:rsidRPr="00F46944">
        <w:t xml:space="preserve"> antimicrobial prescribing rates </w:t>
      </w:r>
      <w:r w:rsidR="002F4E40" w:rsidRPr="00F46944">
        <w:t xml:space="preserve">and appropriateness is required to determine if </w:t>
      </w:r>
      <w:r w:rsidR="001865ED" w:rsidRPr="00F46944">
        <w:t>these increases are sustained</w:t>
      </w:r>
      <w:r w:rsidR="002F4E40" w:rsidRPr="00F46944">
        <w:t xml:space="preserve">. </w:t>
      </w:r>
    </w:p>
    <w:p w14:paraId="0AE4BE3B" w14:textId="5F69738E" w:rsidR="00A52DE6" w:rsidRPr="00F46944" w:rsidRDefault="00D77422" w:rsidP="00A52DE6">
      <w:r>
        <w:rPr>
          <w:rFonts w:ascii="ZWAdobeF" w:hAnsi="ZWAdobeF" w:cs="ZWAdobeF"/>
          <w:sz w:val="2"/>
          <w:szCs w:val="2"/>
        </w:rPr>
        <w:t>665B</w:t>
      </w:r>
      <w:r w:rsidR="00A52DE6" w:rsidRPr="00F46944">
        <w:t xml:space="preserve">Access to telehealth services </w:t>
      </w:r>
      <w:r w:rsidR="001865ED" w:rsidRPr="00F46944">
        <w:t xml:space="preserve">was </w:t>
      </w:r>
      <w:r w:rsidR="00A52DE6" w:rsidRPr="00F46944">
        <w:t xml:space="preserve">expanded during the COVID-19 pandemic. Analyses for this report show a lower rate of antimicrobial prescribing for telehealth services compared to face-to-face </w:t>
      </w:r>
      <w:r w:rsidR="006B3AA7" w:rsidRPr="00F46944">
        <w:t xml:space="preserve">services </w:t>
      </w:r>
      <w:r w:rsidR="00A52DE6" w:rsidRPr="00F46944">
        <w:t xml:space="preserve">in </w:t>
      </w:r>
      <w:proofErr w:type="spellStart"/>
      <w:r w:rsidR="00A52DE6" w:rsidRPr="00F46944">
        <w:t>MedicineInsight</w:t>
      </w:r>
      <w:proofErr w:type="spellEnd"/>
      <w:r w:rsidR="00A52DE6" w:rsidRPr="00F46944">
        <w:t xml:space="preserve"> practices, commencing at the start of the pandemic, and being sustained throughout 2020 and 2021</w:t>
      </w:r>
      <w:r w:rsidR="00C12F01" w:rsidRPr="00F46944">
        <w:t xml:space="preserve">. </w:t>
      </w:r>
      <w:r w:rsidR="008052DC" w:rsidRPr="00F46944">
        <w:t>Ongoing use of these services also pose</w:t>
      </w:r>
      <w:r w:rsidR="00786D09">
        <w:t>s</w:t>
      </w:r>
      <w:r w:rsidR="008052DC" w:rsidRPr="00F46944">
        <w:t xml:space="preserve"> challenges for ongoing patient care and AMS given limited physical examination.</w:t>
      </w:r>
      <w:r w:rsidR="00E40AE2" w:rsidRPr="00F46944">
        <w:fldChar w:fldCharType="begin"/>
      </w:r>
      <w:r w:rsidR="00C16B8F">
        <w:instrText xml:space="preserve"> ADDIN EN.CITE &lt;EndNote&gt;&lt;Cite&gt;&lt;Author&gt;Sine&lt;/Author&gt;&lt;Year&gt;2022&lt;/Year&gt;&lt;RecNum&gt;24&lt;/RecNum&gt;&lt;DisplayText&gt;&lt;style face="superscript"&gt;25&lt;/style&gt;&lt;/DisplayText&gt;&lt;record&gt;&lt;rec-number&gt;24&lt;/rec-number&gt;&lt;foreign-keys&gt;&lt;key app="EN" db-id="es9dr99ws90stoe5x2rp505nazvswdzppxa5" timestamp="1670810550"&gt;24&lt;/key&gt;&lt;/foreign-keys&gt;&lt;ref-type name="Journal Article"&gt;17&lt;/ref-type&gt;&lt;contributors&gt;&lt;authors&gt;&lt;author&gt;Sine, K.&lt;/author&gt;&lt;author&gt;Appaneal, H.&lt;/author&gt;&lt;author&gt;Dosa, D.&lt;/author&gt;&lt;author&gt;LaPlante, K. L.&lt;/author&gt;&lt;/authors&gt;&lt;/contributors&gt;&lt;auth-address&gt;Providence Veterans Affairs Medical Center, Providence, RI, United States.&amp;#xD;Warren Alpert Medical School of Brown University, Division of Infectious Diseases, Providence, RI, United States.&amp;#xD;College of Pharmacy, University of Rhode Island, Kingston, RI, United States.&amp;#xD;Center of Innovation in Long-Term Support Services, Providence Veterans Affairs Medical Center, Providence, RI, United States.&amp;#xD;Brown University School of Public Health, Providence, RI, United States.&lt;/auth-address&gt;&lt;titles&gt;&lt;title&gt;Antimicrobial Prescribing in the Telehealth Setting: Framework for stewardship during a period of rapid acceleration within primary care&lt;/title&gt;&lt;secondary-title&gt;Clin Infect Dis&lt;/secondary-title&gt;&lt;/titles&gt;&lt;periodical&gt;&lt;full-title&gt;Clin Infect Dis&lt;/full-title&gt;&lt;/periodical&gt;&lt;edition&gt;2022/07/31&lt;/edition&gt;&lt;keywords&gt;&lt;keyword&gt;Antimicrobial Stewardship&lt;/keyword&gt;&lt;keyword&gt;Telehealth&lt;/keyword&gt;&lt;/keywords&gt;&lt;dates&gt;&lt;year&gt;2022&lt;/year&gt;&lt;pub-dates&gt;&lt;date&gt;Jul 30&lt;/date&gt;&lt;/pub-dates&gt;&lt;/dates&gt;&lt;isbn&gt;1537-6591 (Electronic)&amp;#xD;1058-4838 (Linking)&lt;/isbn&gt;&lt;accession-num&gt;35906829&lt;/accession-num&gt;&lt;urls&gt;&lt;related-urls&gt;&lt;url&gt;https://www.ncbi.nlm.nih.gov/pubmed/35906829&lt;/url&gt;&lt;/related-urls&gt;&lt;/urls&gt;&lt;custom2&gt;PMC9384578&lt;/custom2&gt;&lt;electronic-resource-num&gt;10.1093/cid/ciac598&lt;/electronic-resource-num&gt;&lt;/record&gt;&lt;/Cite&gt;&lt;/EndNote&gt;</w:instrText>
      </w:r>
      <w:r w:rsidR="00E40AE2" w:rsidRPr="00F46944">
        <w:fldChar w:fldCharType="separate"/>
      </w:r>
      <w:r w:rsidR="00C16B8F" w:rsidRPr="00C16B8F">
        <w:rPr>
          <w:noProof/>
          <w:vertAlign w:val="superscript"/>
        </w:rPr>
        <w:t>25</w:t>
      </w:r>
      <w:r w:rsidR="00E40AE2" w:rsidRPr="00F46944">
        <w:fldChar w:fldCharType="end"/>
      </w:r>
      <w:r w:rsidR="008052DC" w:rsidRPr="00F46944">
        <w:t xml:space="preserve"> </w:t>
      </w:r>
    </w:p>
    <w:p w14:paraId="73131098" w14:textId="3816D801" w:rsidR="004C3A3C" w:rsidRPr="00F46944" w:rsidRDefault="00D77422" w:rsidP="0093641B">
      <w:r>
        <w:rPr>
          <w:rFonts w:ascii="ZWAdobeF" w:hAnsi="ZWAdobeF" w:cs="ZWAdobeF"/>
          <w:sz w:val="2"/>
          <w:szCs w:val="2"/>
        </w:rPr>
        <w:t>666B</w:t>
      </w:r>
      <w:r w:rsidR="008052DC" w:rsidRPr="00F46944">
        <w:t>Analyses of</w:t>
      </w:r>
      <w:r w:rsidR="0029442D" w:rsidRPr="00F46944">
        <w:t xml:space="preserve"> </w:t>
      </w:r>
      <w:r w:rsidR="004C3A3C" w:rsidRPr="00F46944">
        <w:t xml:space="preserve">PBS/RPBS and </w:t>
      </w:r>
      <w:proofErr w:type="spellStart"/>
      <w:r w:rsidR="004C3A3C" w:rsidRPr="00F46944">
        <w:t>MedicineInsight</w:t>
      </w:r>
      <w:proofErr w:type="spellEnd"/>
      <w:r w:rsidR="004C3A3C" w:rsidRPr="00F46944">
        <w:t xml:space="preserve"> data for </w:t>
      </w:r>
      <w:r w:rsidR="0029442D" w:rsidRPr="00F46944">
        <w:t>2020</w:t>
      </w:r>
      <w:r w:rsidR="004C3A3C" w:rsidRPr="00F46944">
        <w:t xml:space="preserve"> and </w:t>
      </w:r>
      <w:r w:rsidR="0029442D" w:rsidRPr="00F46944">
        <w:t xml:space="preserve">2021 </w:t>
      </w:r>
      <w:r w:rsidR="004C3A3C" w:rsidRPr="00F46944">
        <w:t xml:space="preserve">indicate </w:t>
      </w:r>
      <w:r w:rsidR="0029442D" w:rsidRPr="00F46944">
        <w:t xml:space="preserve">that lower levels of </w:t>
      </w:r>
      <w:r w:rsidR="00F11FF2" w:rsidRPr="00F46944">
        <w:t xml:space="preserve">antimicrobial use </w:t>
      </w:r>
      <w:r w:rsidR="0029442D" w:rsidRPr="00F46944">
        <w:t xml:space="preserve">in Australia are achievable long term and </w:t>
      </w:r>
      <w:r w:rsidR="004C3A3C" w:rsidRPr="00F46944">
        <w:rPr>
          <w:rFonts w:cstheme="minorHAnsi"/>
        </w:rPr>
        <w:t xml:space="preserve">that promotion of these results to inform </w:t>
      </w:r>
      <w:r w:rsidR="00AC7768" w:rsidRPr="00F46944">
        <w:rPr>
          <w:rFonts w:cstheme="minorHAnsi"/>
        </w:rPr>
        <w:t>AMS</w:t>
      </w:r>
      <w:r w:rsidR="004C3A3C" w:rsidRPr="00F46944">
        <w:rPr>
          <w:rFonts w:cstheme="minorHAnsi"/>
        </w:rPr>
        <w:t xml:space="preserve"> in the community; </w:t>
      </w:r>
      <w:r w:rsidR="006B3AA7" w:rsidRPr="00F46944">
        <w:rPr>
          <w:rFonts w:cstheme="minorHAnsi"/>
        </w:rPr>
        <w:t xml:space="preserve">raise </w:t>
      </w:r>
      <w:r w:rsidR="004C3A3C" w:rsidRPr="00F46944">
        <w:rPr>
          <w:rFonts w:cstheme="minorHAnsi"/>
        </w:rPr>
        <w:t xml:space="preserve">community awareness of the benefits of appropriate </w:t>
      </w:r>
      <w:r w:rsidR="00EC21AC" w:rsidRPr="00F46944">
        <w:rPr>
          <w:rFonts w:cstheme="minorHAnsi"/>
        </w:rPr>
        <w:t>antimicrobial use</w:t>
      </w:r>
      <w:r w:rsidR="004C3A3C" w:rsidRPr="00F46944">
        <w:rPr>
          <w:rFonts w:cstheme="minorHAnsi"/>
        </w:rPr>
        <w:t xml:space="preserve">; and sustain infection prevention and control actions to maintain these lower levels of </w:t>
      </w:r>
      <w:r w:rsidR="00EC21AC" w:rsidRPr="00F46944">
        <w:rPr>
          <w:rFonts w:cstheme="minorHAnsi"/>
        </w:rPr>
        <w:t>antimicrobial use</w:t>
      </w:r>
      <w:r w:rsidR="001865ED" w:rsidRPr="00F46944">
        <w:rPr>
          <w:rFonts w:cstheme="minorHAnsi"/>
        </w:rPr>
        <w:t>,</w:t>
      </w:r>
      <w:r w:rsidR="00EC21AC" w:rsidRPr="00F46944">
        <w:rPr>
          <w:rFonts w:cstheme="minorHAnsi"/>
        </w:rPr>
        <w:t xml:space="preserve"> </w:t>
      </w:r>
      <w:r w:rsidR="001865ED" w:rsidRPr="00F46944">
        <w:rPr>
          <w:rFonts w:cstheme="minorHAnsi"/>
        </w:rPr>
        <w:t xml:space="preserve">is </w:t>
      </w:r>
      <w:r w:rsidR="006B3AA7" w:rsidRPr="00F46944">
        <w:rPr>
          <w:rFonts w:cstheme="minorHAnsi"/>
        </w:rPr>
        <w:t>required.</w:t>
      </w:r>
    </w:p>
    <w:p w14:paraId="34BCFEBF" w14:textId="0201027A" w:rsidR="002F6F83" w:rsidRPr="00710F6F" w:rsidRDefault="002F6F83" w:rsidP="00710F6F">
      <w:pPr>
        <w:pStyle w:val="Heading3"/>
      </w:pPr>
      <w:bookmarkStart w:id="179" w:name="_Toc121826736"/>
      <w:bookmarkEnd w:id="178"/>
      <w:r w:rsidRPr="00710F6F">
        <w:lastRenderedPageBreak/>
        <w:t xml:space="preserve">International comparisons of </w:t>
      </w:r>
      <w:r w:rsidR="008217A1" w:rsidRPr="00710F6F">
        <w:t xml:space="preserve">community </w:t>
      </w:r>
      <w:r w:rsidRPr="00710F6F">
        <w:t>antimicrobial use</w:t>
      </w:r>
      <w:bookmarkEnd w:id="179"/>
      <w:r w:rsidRPr="00710F6F">
        <w:t xml:space="preserve"> </w:t>
      </w:r>
    </w:p>
    <w:p w14:paraId="58402E3D" w14:textId="6097BC12" w:rsidR="00FE6797" w:rsidRDefault="00D77422" w:rsidP="00FE6797">
      <w:bookmarkStart w:id="180" w:name="_Hlk104286456"/>
      <w:r>
        <w:rPr>
          <w:rFonts w:ascii="ZWAdobeF" w:hAnsi="ZWAdobeF" w:cs="ZWAdobeF"/>
          <w:sz w:val="2"/>
          <w:szCs w:val="2"/>
        </w:rPr>
        <w:t>667B</w:t>
      </w:r>
      <w:r w:rsidR="00FE6797" w:rsidRPr="00F46944">
        <w:t>For more than a decade Australia has had consistently high antimicrobial prescribing rates relative to most other countries in the Organisation for Economic Co-operation and Development (OECD).</w:t>
      </w:r>
      <w:r w:rsidR="00FE6797" w:rsidRPr="00F46944">
        <w:fldChar w:fldCharType="begin"/>
      </w:r>
      <w:r w:rsidR="00C16B8F">
        <w:instrText xml:space="preserve"> ADDIN EN.CITE &lt;EndNote&gt;&lt;Cite&gt;&lt;Author&gt;Organisation for Economic Co-operation and Development&lt;/Author&gt;&lt;Year&gt;2021&lt;/Year&gt;&lt;RecNum&gt;25&lt;/RecNum&gt;&lt;DisplayText&gt;&lt;style face="superscript"&gt;26,27&lt;/style&gt;&lt;/DisplayText&gt;&lt;record&gt;&lt;rec-number&gt;25&lt;/rec-number&gt;&lt;foreign-keys&gt;&lt;key app="EN" db-id="es9dr99ws90stoe5x2rp505nazvswdzppxa5" timestamp="1670810550"&gt;25&lt;/key&gt;&lt;/foreign-keys&gt;&lt;ref-type name="Dataset"&gt;59&lt;/ref-type&gt;&lt;contributors&gt;&lt;authors&gt;&lt;author&gt;Organisation for Economic Co-operation and Development,&lt;/author&gt;&lt;/authors&gt;&lt;/contributors&gt;&lt;titles&gt;&lt;title&gt;OECD Health Statistics 2020&lt;/title&gt;&lt;/titles&gt;&lt;dates&gt;&lt;year&gt;2021&lt;/year&gt;&lt;/dates&gt;&lt;pub-location&gt;Paris&lt;/pub-location&gt;&lt;urls&gt;&lt;/urls&gt;&lt;/record&gt;&lt;/Cite&gt;&lt;Cite&gt;&lt;Author&gt;(OECD)&lt;/Author&gt;&lt;Year&gt;2022&lt;/Year&gt;&lt;RecNum&gt;26&lt;/RecNum&gt;&lt;record&gt;&lt;rec-number&gt;26&lt;/rec-number&gt;&lt;foreign-keys&gt;&lt;key app="EN" db-id="es9dr99ws90stoe5x2rp505nazvswdzppxa5" timestamp="1670810550"&gt;26&lt;/key&gt;&lt;/foreign-keys&gt;&lt;ref-type name="Web Page"&gt;12&lt;/ref-type&gt;&lt;contributors&gt;&lt;authors&gt;&lt;author&gt;Organisation for Economic Co-operation and Development (OECD)&lt;/author&gt;&lt;/authors&gt;&lt;/contributors&gt;&lt;titles&gt;&lt;title&gt;Antimicrobial Resistance in the EU/EEA: A One Health Response&lt;/title&gt;&lt;/titles&gt;&lt;volume&gt;2022&lt;/volume&gt;&lt;number&gt;5 December 2022&lt;/number&gt;&lt;dates&gt;&lt;year&gt;2022&lt;/year&gt;&lt;/dates&gt;&lt;urls&gt;&lt;related-urls&gt;&lt;url&gt;https://www.oecd.org/health/Antimicrobial-Resistance-in-the-EU-EEA-A-One-Health-Response-March-2022.pdf&lt;/url&gt;&lt;/related-urls&gt;&lt;/urls&gt;&lt;/record&gt;&lt;/Cite&gt;&lt;/EndNote&gt;</w:instrText>
      </w:r>
      <w:r w:rsidR="00FE6797" w:rsidRPr="00F46944">
        <w:fldChar w:fldCharType="separate"/>
      </w:r>
      <w:r w:rsidR="00C16B8F" w:rsidRPr="00C16B8F">
        <w:rPr>
          <w:noProof/>
          <w:vertAlign w:val="superscript"/>
        </w:rPr>
        <w:t>26,27</w:t>
      </w:r>
      <w:r w:rsidR="00FE6797" w:rsidRPr="00F46944">
        <w:fldChar w:fldCharType="end"/>
      </w:r>
      <w:r w:rsidR="00FE6797" w:rsidRPr="00F46944">
        <w:t xml:space="preserve"> This is despite significant national efforts for more than 20 years to reduce antimicrobial use, including national campaigns, antimicrobial guidelines, the National Safety and Quality Health Service (NSQHS) Standards, and audit and feedback mechanisms for prescribers.</w:t>
      </w:r>
      <w:r w:rsidR="00FE6797" w:rsidRPr="00F46944">
        <w:fldChar w:fldCharType="begin"/>
      </w:r>
      <w:r w:rsidR="00412507">
        <w:instrText xml:space="preserve"> ADDIN EN.CITE &lt;EndNote&gt;&lt;Cite&gt;&lt;Author&gt;Care&lt;/Author&gt;&lt;Year&gt;2021&lt;/Year&gt;&lt;RecNum&gt;1&lt;/RecNum&gt;&lt;DisplayText&gt;&lt;style face="superscript"&gt;1&lt;/style&gt;&lt;/DisplayText&gt;&lt;record&gt;&lt;rec-number&gt;1&lt;/rec-number&gt;&lt;foreign-keys&gt;&lt;key app="EN" db-id="es9dr99ws90stoe5x2rp505nazvswdzppxa5" timestamp="1670810538"&gt;1&lt;/key&gt;&lt;/foreign-keys&gt;&lt;ref-type name="Report"&gt;27&lt;/ref-type&gt;&lt;contributors&gt;&lt;authors&gt;&lt;author&gt;Australian Commission on Safety and Quality in Health Care&lt;/author&gt;&lt;/authors&gt;&lt;/contributors&gt;&lt;titles&gt;&lt;title&gt;AURA 2021: fourth Australian report on antimicrobial use and resistance in human health&lt;/title&gt;&lt;/titles&gt;&lt;dates&gt;&lt;year&gt;2021&lt;/year&gt;&lt;/dates&gt;&lt;pub-location&gt;Sydney&lt;/pub-location&gt;&lt;publisher&gt;ACSQHC&lt;/publisher&gt;&lt;urls&gt;&lt;/urls&gt;&lt;/record&gt;&lt;/Cite&gt;&lt;/EndNote&gt;</w:instrText>
      </w:r>
      <w:r w:rsidR="00FE6797" w:rsidRPr="00F46944">
        <w:fldChar w:fldCharType="separate"/>
      </w:r>
      <w:r w:rsidR="00DB0DCB" w:rsidRPr="00DB0DCB">
        <w:rPr>
          <w:noProof/>
          <w:vertAlign w:val="superscript"/>
        </w:rPr>
        <w:t>1</w:t>
      </w:r>
      <w:r w:rsidR="00FE6797" w:rsidRPr="00F46944">
        <w:fldChar w:fldCharType="end"/>
      </w:r>
      <w:r w:rsidR="00FE6797" w:rsidRPr="00F46944">
        <w:t xml:space="preserve"> Many of these interventions have focused on improving prescribing practices. </w:t>
      </w:r>
    </w:p>
    <w:p w14:paraId="41BCCA6F" w14:textId="331C528D" w:rsidR="004544FE" w:rsidRPr="00F46944" w:rsidRDefault="00D77422" w:rsidP="00FE6797">
      <w:r>
        <w:rPr>
          <w:rFonts w:ascii="ZWAdobeF" w:hAnsi="ZWAdobeF" w:cs="ZWAdobeF"/>
          <w:sz w:val="2"/>
          <w:szCs w:val="2"/>
        </w:rPr>
        <w:t>668B</w:t>
      </w:r>
      <w:r w:rsidR="004544FE">
        <w:t xml:space="preserve">Figure 31 shows community use of antimicrobials in Australia remained high in 2020 compared to most European countries. </w:t>
      </w:r>
    </w:p>
    <w:bookmarkEnd w:id="180"/>
    <w:p w14:paraId="0D484215" w14:textId="792C49E8" w:rsidR="00FE6797" w:rsidRDefault="00D77422" w:rsidP="004544FE">
      <w:r>
        <w:rPr>
          <w:rFonts w:ascii="ZWAdobeF" w:hAnsi="ZWAdobeF" w:cs="ZWAdobeF"/>
          <w:sz w:val="2"/>
          <w:szCs w:val="2"/>
        </w:rPr>
        <w:t>669B</w:t>
      </w:r>
      <w:r w:rsidR="00F14565" w:rsidRPr="00F46944">
        <w:t>Many countries, including Australia, Canada, the United States, New Zealand and European countries reported decreases in use of antimicrobials during the COVID-19 pandemic.</w:t>
      </w:r>
      <w:r w:rsidR="00757147">
        <w:fldChar w:fldCharType="begin">
          <w:fldData xml:space="preserve">PEVuZE5vdGU+PENpdGU+PEF1dGhvcj5OUFMgTWVkaWNpbmVXaXNlPC9BdXRob3I+PFllYXI+MjAy
MTwvWWVhcj48UmVjTnVtPjIxPC9SZWNOdW0+PERpc3BsYXlUZXh0PjxzdHlsZSBmYWNlPSJzdXBl
cnNjcmlwdCI+MSwyMiwyOC0zMTwvc3R5bGU+PC9EaXNwbGF5VGV4dD48cmVjb3JkPjxyZWMtbnVt
YmVyPjIxPC9yZWMtbnVtYmVyPjxmb3JlaWduLWtleXM+PGtleSBhcHA9IkVOIiBkYi1pZD0iZXM5
ZHI5OXdzOTBzdG9lNXgycnA1MDVuYXp2c3dkenBweGE1IiB0aW1lc3RhbXA9IjE2NzA4MTA1NDci
PjIxPC9rZXk+PC9mb3JlaWduLWtleXM+PHJlZi10eXBlIG5hbWU9IlJlcG9ydCI+Mjc8L3JlZi10
eXBlPjxjb250cmlidXRvcnM+PGF1dGhvcnM+PGF1dGhvcj5OUFMgTWVkaWNpbmVXaXNlLDwvYXV0
aG9yPjwvYXV0aG9ycz48L2NvbnRyaWJ1dG9ycz48dGl0bGVzPjx0aXRsZT5HZW5lcmFsIFByYWN0
aWNlIEluc2lnaHRzIFJlcG9ydCBKdWx5IDIwMTnigJNKdW5lIDIwMjAgaW5jbHVkaW5nIGFuYWx5
c2VzIHJlbGF0ZWQgdG8gdGhlIGltcGFjdCBvZiBDT1ZJRC0xOTwvdGl0bGU+PC90aXRsZXM+PGRh
dGVzPjx5ZWFyPjIwMjE8L3llYXI+PC9kYXRlcz48cHViLWxvY2F0aW9uPlN5ZG5leTwvcHViLWxv
Y2F0aW9uPjxwdWJsaXNoZXI+TlBTIE1lZGljaW5lV2lzZTwvcHVibGlzaGVyPjx1cmxzPjwvdXJs
cz48L3JlY29yZD48L0NpdGU+PENpdGU+PEF1dGhvcj5DYXJlPC9BdXRob3I+PFllYXI+MjAyMTwv
WWVhcj48UmVjTnVtPjE8L1JlY051bT48cmVjb3JkPjxyZWMtbnVtYmVyPjE8L3JlYy1udW1iZXI+
PGZvcmVpZ24ta2V5cz48a2V5IGFwcD0iRU4iIGRiLWlkPSJlczlkcjk5d3M5MHN0b2U1eDJycDUw
NW5henZzd2R6cHB4YTUiIHRpbWVzdGFtcD0iMTY3MDgxMDUzOCI+MTwva2V5PjwvZm9yZWlnbi1r
ZXlzPjxyZWYtdHlwZSBuYW1lPSJSZXBvcnQiPjI3PC9yZWYtdHlwZT48Y29udHJpYnV0b3JzPjxh
dXRob3JzPjxhdXRob3I+QXVzdHJhbGlhbiBDb21taXNzaW9uIG9uIFNhZmV0eSBhbmQgUXVhbGl0
eSBpbiBIZWFsdGggQ2FyZTwvYXV0aG9yPjwvYXV0aG9ycz48L2NvbnRyaWJ1dG9ycz48dGl0bGVz
Pjx0aXRsZT5BVVJBIDIwMjE6IGZvdXJ0aCBBdXN0cmFsaWFuIHJlcG9ydCBvbiBhbnRpbWljcm9i
aWFsIHVzZSBhbmQgcmVzaXN0YW5jZSBpbiBodW1hbiBoZWFsdGg8L3RpdGxlPjwvdGl0bGVzPjxk
YXRlcz48eWVhcj4yMDIxPC95ZWFyPjwvZGF0ZXM+PHB1Yi1sb2NhdGlvbj5TeWRuZXk8L3B1Yi1s
b2NhdGlvbj48cHVibGlzaGVyPkFDU1FIQzwvcHVibGlzaGVyPjx1cmxzPjwvdXJscz48L3JlY29y
ZD48L0NpdGU+PENpdGU+PEF1dGhvcj5CdWVocmxlPC9BdXRob3I+PFllYXI+MjAyMDwvWWVhcj48
UmVjTnVtPjI3PC9SZWNOdW0+PHJlY29yZD48cmVjLW51bWJlcj4yNzwvcmVjLW51bWJlcj48Zm9y
ZWlnbi1rZXlzPjxrZXkgYXBwPSJFTiIgZGItaWQ9ImVzOWRyOTl3czkwc3RvZTV4MnJwNTA1bmF6
dnN3ZHpwcHhhNSIgdGltZXN0YW1wPSIxNjcwODEwNTUxIj4yNzwva2V5PjwvZm9yZWlnbi1rZXlz
PjxyZWYtdHlwZSBuYW1lPSJKb3VybmFsIEFydGljbGUiPjE3PC9yZWYtdHlwZT48Y29udHJpYnV0
b3JzPjxhdXRob3JzPjxhdXRob3I+QnVlaHJsZSwgRC4gSi48L2F1dGhvcj48YXV0aG9yPk5ndXll
biwgTS4gSC48L2F1dGhvcj48YXV0aG9yPldhZ2VuZXIsIE0uIE0uPC9hdXRob3I+PGF1dGhvcj5D
bGFuY3ksIEMuIEouPC9hdXRob3I+PC9hdXRob3JzPjwvY29udHJpYnV0b3JzPjxhdXRoLWFkZHJl
c3M+VkEgUGl0dHNidXJnaCBIZWFsdGhjYXJlIFN5c3RlbSwgUGl0dHNidXJnaCwgUGVubnN5bHZh
bmlhLCBVU0EuJiN4RDtEZXBhcnRtZW50IG9mIE1lZGljaW5lLCBVbml2ZXJzaXR5IG9mIFBpdHRz
YnVyZ2gsIFBpdHRzYnVyZ2gsIFBlbm5zeWx2YW5pYSwgVVNBLjwvYXV0aC1hZGRyZXNzPjx0aXRs
ZXM+PHRpdGxlPkltcGFjdCBvZiB0aGUgQ29yb25hdmlydXMgRGlzZWFzZSAyMDE5IFBhbmRlbWlj
IG9uIE91dHBhdGllbnQgQW50aWJpb3RpYyBQcmVzY3JpcHRpb25zIGluIHRoZSBVbml0ZWQgU3Rh
dGVzPC90aXRsZT48c2Vjb25kYXJ5LXRpdGxlPk9wZW4gRm9ydW0gSW5mZWN0IERpczwvc2Vjb25k
YXJ5LXRpdGxlPjwvdGl0bGVzPjxwZXJpb2RpY2FsPjxmdWxsLXRpdGxlPk9wZW4gRm9ydW0gSW5m
ZWN0IERpczwvZnVsbC10aXRsZT48L3BlcmlvZGljYWw+PHBhZ2VzPm9mYWE1NzU8L3BhZ2VzPjx2
b2x1bWU+Nzwvdm9sdW1lPjxudW1iZXI+MTI8L251bWJlcj48ZWRpdGlvbj4yMDIxLzAxLzA4PC9l
ZGl0aW9uPjxrZXl3b3Jkcz48a2V5d29yZD5Db3ZpZC0xOTwva2V5d29yZD48a2V5d29yZD5Vbml0
ZWQgU3RhdGVzPC9rZXl3b3JkPjxrZXl3b3JkPmFudGliaW90aWNzPC9rZXl3b3JkPjxrZXl3b3Jk
PmNvcm9uYXZpcnVzIGRpc2Vhc2UgMjAxOTwva2V5d29yZD48a2V5d29yZD5vdXRwYXRpZW50PC9r
ZXl3b3JkPjxrZXl3b3JkPnByZXNjcmlwdGlvbnM8L2tleXdvcmQ+PC9rZXl3b3Jkcz48ZGF0ZXM+
PHllYXI+MjAyMDwveWVhcj48cHViLWRhdGVzPjxkYXRlPkRlYzwvZGF0ZT48L3B1Yi1kYXRlcz48
L2RhdGVzPjxpc2JuPjIzMjgtODk1NyAoUHJpbnQpJiN4RDsyMzI4LTg5NTcgKExpbmtpbmcpPC9p
c2JuPjxhY2Nlc3Npb24tbnVtPjMzNDA5MzM0PC9hY2Nlc3Npb24tbnVtPjx1cmxzPjxyZWxhdGVk
LXVybHM+PHVybD5odHRwczovL3d3dy5uY2JpLm5sbS5uaWguZ292L3B1Ym1lZC8zMzQwOTMzNDwv
dXJsPjwvcmVsYXRlZC11cmxzPjwvdXJscz48Y3VzdG9tMj5QTUM3NzY1NDM3PC9jdXN0b20yPjxl
bGVjdHJvbmljLXJlc291cmNlLW51bT4xMC4xMDkzL29maWQvb2ZhYTU3NTwvZWxlY3Ryb25pYy1y
ZXNvdXJjZS1udW0+PC9yZWNvcmQ+PC9DaXRlPjxDaXRlPjxBdXRob3I+QnVlaHJsZTwvQXV0aG9y
PjxZZWFyPjIwMjE8L1llYXI+PFJlY051bT4yODwvUmVjTnVtPjxyZWNvcmQ+PHJlYy1udW1iZXI+
Mjg8L3JlYy1udW1iZXI+PGZvcmVpZ24ta2V5cz48a2V5IGFwcD0iRU4iIGRiLWlkPSJlczlkcjk5
d3M5MHN0b2U1eDJycDUwNW5henZzd2R6cHB4YTUiIHRpbWVzdGFtcD0iMTY3MDgxMDU1MSI+Mjg8
L2tleT48L2ZvcmVpZ24ta2V5cz48cmVmLXR5cGUgbmFtZT0iSm91cm5hbCBBcnRpY2xlIj4xNzwv
cmVmLXR5cGU+PGNvbnRyaWJ1dG9ycz48YXV0aG9ycz48YXV0aG9yPkJ1ZWhybGUsIERlYW5uYSBK
PC9hdXRob3I+PGF1dGhvcj5XYWdlbmVyLCBNYXJpbHluIE08L2F1dGhvcj48YXV0aG9yPk5ndXll
biwgTSBIb25nPC9hdXRob3I+PGF1dGhvcj5DbGFuY3ksIENvcm5lbGl1cyBKPC9hdXRob3I+PC9h
dXRob3JzPjwvY29udHJpYnV0b3JzPjx0aXRsZXM+PHRpdGxlPlRyZW5kcyBpbiBPdXRwYXRpZW50
IEFudGliaW90aWMgUHJlc2NyaXB0aW9ucyBpbiB0aGUgVW5pdGVkIFN0YXRlcyBEdXJpbmcgdGhl
IENPVklELTE5IFBhbmRlbWljIGluIDIwMjA8L3RpdGxlPjxzZWNvbmRhcnktdGl0bGU+SkFNQSBO
ZXR3b3JrIE9wZW48L3NlY29uZGFyeS10aXRsZT48L3RpdGxlcz48cGVyaW9kaWNhbD48ZnVsbC10
aXRsZT5KQU1BIE5ldHdvcmsgT3BlbjwvZnVsbC10aXRsZT48L3BlcmlvZGljYWw+PHBhZ2VzPmUy
MTI2MTE0LWUyMTI2MTE0PC9wYWdlcz48dm9sdW1lPjQ8L3ZvbHVtZT48bnVtYmVyPjk8L251bWJl
cj48ZGF0ZXM+PHllYXI+MjAyMTwveWVhcj48L2RhdGVzPjx1cmxzPjwvdXJscz48L3JlY29yZD48
L0NpdGU+PENpdGU+PEF1dGhvcj5EdWZmeTwvQXV0aG9yPjxZZWFyPjIwMjE8L1llYXI+PFJlY051
bT4yOTwvUmVjTnVtPjxyZWNvcmQ+PHJlYy1udW1iZXI+Mjk8L3JlYy1udW1iZXI+PGZvcmVpZ24t
a2V5cz48a2V5IGFwcD0iRU4iIGRiLWlkPSJlczlkcjk5d3M5MHN0b2U1eDJycDUwNW5henZzd2R6
cHB4YTUiIHRpbWVzdGFtcD0iMTY3MDgxMDU1MSI+Mjk8L2tleT48L2ZvcmVpZ24ta2V5cz48cmVm
LXR5cGUgbmFtZT0iSm91cm5hbCBBcnRpY2xlIj4xNzwvcmVmLXR5cGU+PGNvbnRyaWJ1dG9ycz48
YXV0aG9ycz48YXV0aG9yPkR1ZmZ5LCBFLjwvYXV0aG9yPjxhdXRob3I+VGhvbWFzLCBNLjwvYXV0
aG9yPjxhdXRob3I+SGlsbHMsIFQuPC9hdXRob3I+PGF1dGhvcj5SaXRjaGllLCBTLjwvYXV0aG9y
PjwvYXV0aG9ycz48L2NvbnRyaWJ1dG9ycz48YXV0aC1hZGRyZXNzPkluZmVjdGlvdXMgRGlzZWFz
ZSBVbml0LCBBdWNrbGFuZCBDaXR5IEhvc3BpdGFsLCBBdWNrbGFuZCwgTmV3IFplYWxhbmQuJiN4
RDtEZXBhcnRtZW50IG9mIE1vbGVjdWxhciBNZWRpY2luZSBhbmQgUGF0aG9sb2d5LCBVbml2ZXJz
aXR5IG9mIEF1Y2tsYW5kLCBBdWNrbGFuZCwgTmV3IFplYWxhbmQuJiN4RDtNZWRpY2FsIFJlc2Vh
cmNoIEluc3RpdHV0ZSBvZiBOZXcgWmVhbGFuZC48L2F1dGgtYWRkcmVzcz48dGl0bGVzPjx0aXRs
ZT5UaGUgaW1wYWN0cyBvZiBOZXcgWmVhbGFuZCZhcG9zO3MgQ09WSUQtMTkgZXBpZGVtaWMgcmVz
cG9uc2Ugb24gY29tbXVuaXR5IGFudGliaW90aWMgdXNlIGFuZCBob3NwaXRhbGlzYXRpb24gZm9y
IHBuZXVtb25pYSwgcGVyaXRvbnNpbGxhciBhYnNjZXNzIGFuZCByaGV1bWF0aWMgZmV2ZXI8L3Rp
dGxlPjxzZWNvbmRhcnktdGl0bGU+TGFuY2V0IFJlZyBIZWFsdGggV2VzdCBQYWM8L3NlY29uZGFy
eS10aXRsZT48L3RpdGxlcz48cGVyaW9kaWNhbD48ZnVsbC10aXRsZT5MYW5jZXQgUmVnIEhlYWx0
aCBXZXN0IFBhYzwvZnVsbC10aXRsZT48L3BlcmlvZGljYWw+PHBhZ2VzPjEwMDE2MjwvcGFnZXM+
PHZvbHVtZT4xMjwvdm9sdW1lPjxlZGl0aW9uPjIwMjEvMDYvMTU8L2VkaXRpb24+PGtleXdvcmRz
PjxrZXl3b3JkPkFudGliaW90aWM8L2tleXdvcmQ+PGtleXdvcmQ+QW50aW1pY3JvYmlhbCByZXNp
c3RhbmNlPC9rZXl3b3JkPjxrZXl3b3JkPkFudGltaWNyb2JpYWwgc3Rld2FyZHNoaXA8L2tleXdv
cmQ+PGtleXdvcmQ+Q292aWQtMTk8L2tleXdvcmQ+PGtleXdvcmQ+UHJpbWFyeSBjYXJlPC9rZXl3
b3JkPjwva2V5d29yZHM+PGRhdGVzPjx5ZWFyPjIwMjE8L3llYXI+PHB1Yi1kYXRlcz48ZGF0ZT5K
dWw8L2RhdGU+PC9wdWItZGF0ZXM+PC9kYXRlcz48aXNibj4yNjY2LTYwNjU8L2lzYm4+PGFjY2Vz
c2lvbi1udW0+MzQxMjQ3MDQ8L2FjY2Vzc2lvbi1udW0+PHVybHM+PC91cmxzPjxjdXN0b20yPlBN
QzgxODgzMDU8L2N1c3RvbTI+PGVsZWN0cm9uaWMtcmVzb3VyY2UtbnVtPjEwLjEwMTYvai5sYW53
cGMuMjAyMS4xMDAxNjI8L2VsZWN0cm9uaWMtcmVzb3VyY2UtbnVtPjxyZW1vdGUtZGF0YWJhc2Ut
cHJvdmlkZXI+TkxNPC9yZW1vdGUtZGF0YWJhc2UtcHJvdmlkZXI+PGxhbmd1YWdlPmVuZzwvbGFu
Z3VhZ2U+PC9yZWNvcmQ+PC9DaXRlPjxDaXRlPjxBdXRob3I+SMO2Z2Jlcmc8L0F1dGhvcj48WWVh
cj4yMDIxPC9ZZWFyPjxSZWNOdW0+MzA8L1JlY051bT48cmVjb3JkPjxyZWMtbnVtYmVyPjMwPC9y
ZWMtbnVtYmVyPjxmb3JlaWduLWtleXM+PGtleSBhcHA9IkVOIiBkYi1pZD0iZXM5ZHI5OXdzOTBz
dG9lNXgycnA1MDVuYXp2c3dkenBweGE1IiB0aW1lc3RhbXA9IjE2NzA4MTA1NTEiPjMwPC9rZXk+
PC9mb3JlaWduLWtleXM+PHJlZi10eXBlIG5hbWU9IkpvdXJuYWwgQXJ0aWNsZSI+MTc8L3JlZi10
eXBlPjxjb250cmlidXRvcnM+PGF1dGhvcnM+PGF1dGhvcj5Iw7ZnYmVyZywgTC4gRC48L2F1dGhv
cj48YXV0aG9yPlZsYWhvdmnEhy1QYWzEjWV2c2tpLCBWLjwvYXV0aG9yPjxhdXRob3I+UGVyZWly
YSwgQy48L2F1dGhvcj48YXV0aG9yPldlaXN0LCBLLjwvYXV0aG9yPjxhdXRob3I+TW9ubmV0LCBE
LiBMLjwvYXV0aG9yPjwvYXV0aG9ycz48L2NvbnRyaWJ1dG9ycz48YXV0aC1hZGRyZXNzPkV1cm9w
ZWFuIENlbnRyZSBmb3IgRGlzZWFzZSBQcmV2ZW50aW9uIGFuZCBDb250cm9sLCBTb2xuYSwgU3dl
ZGVuLiYjeEQ7RGVwYXJ0bWVudCBvZiBDbGluaWNhbCBQaGFybWFjb2xvZ3ksIFVuaXZlcnNpdHkg
SG9zcGl0YWwgUmlqZWthLCBSaWpla2EvVW5pdmVyc2l0eSBvZiBSaWpla2EgTWVkaWNhbCBGYWN1
bHR5IGFuZCBGYWN1bHR5IG9mIEhlYWx0aCBTdHVkaWVzLCBSaWpla2EsIENyb2F0aWEuJiN4RDtU
aGUgbWVtYmVycyBvZiB0aGUgRVNBQy1OZXQgc3R1ZHkgZ3JvdXAgYXJlIGxpc3RlZCBpbiB0aGUg
SW52ZXN0aWdhdG9ycyB0YWIuPC9hdXRoLWFkZHJlc3M+PHRpdGxlcz48dGl0bGU+RGVjcmVhc2Ug
aW4gY29tbXVuaXR5IGFudGliaW90aWMgY29uc3VtcHRpb24gZHVyaW5nIHRoZSBDT1ZJRC0xOSBw
YW5kZW1pYywgRVUvRUVBLCAyMDIwPC90aXRsZT48c2Vjb25kYXJ5LXRpdGxlPkV1cm8gU3VydmVp
bGw8L3NlY29uZGFyeS10aXRsZT48L3RpdGxlcz48cGVyaW9kaWNhbD48ZnVsbC10aXRsZT5FdXJv
IFN1cnZlaWxsPC9mdWxsLXRpdGxlPjwvcGVyaW9kaWNhbD48dm9sdW1lPjI2PC92b2x1bWU+PG51
bWJlcj40NjwvbnVtYmVyPjxlZGl0aW9uPjIwMjEvMTEvMjA8L2VkaXRpb24+PGtleXdvcmRzPjxr
ZXl3b3JkPipBbnRpLUJhY3RlcmlhbCBBZ2VudHMvdGhlcmFwZXV0aWMgdXNlPC9rZXl3b3JkPjxr
ZXl3b3JkPipjb3ZpZC0xOTwva2V5d29yZD48a2V5d29yZD5EcnVnIFV0aWxpemF0aW9uPC9rZXl3
b3JkPjxrZXl3b3JkPkV1cm9wZS9lcGlkZW1pb2xvZ3k8L2tleXdvcmQ+PGtleXdvcmQ+RXVyb3Bl
YW4gVW5pb248L2tleXdvcmQ+PGtleXdvcmQ+SHVtYW5zPC9rZXl3b3JkPjxrZXl3b3JkPlBhbmRl
bWljcy9wcmV2ZW50aW9uICZhbXA7IGNvbnRyb2w8L2tleXdvcmQ+PGtleXdvcmQ+U0FSUy1Db1Yt
Mjwva2V5d29yZD48a2V5d29yZD5Db3ZpZC0xOTwva2V5d29yZD48a2V5d29yZD5hbnRpYmlvdGlj
IGNvbnN1bXB0aW9uPC9rZXl3b3JkPjxrZXl3b3JkPnN1cnZlaWxsYW5jZTwva2V5d29yZD48L2tl
eXdvcmRzPjxkYXRlcz48eWVhcj4yMDIxPC95ZWFyPjxwdWItZGF0ZXM+PGRhdGU+Tm92PC9kYXRl
PjwvcHViLWRhdGVzPjwvZGF0ZXM+PGlzYm4+MTAyNS00OTZYIChQcmludCkmI3hEOzEwMjUtNDk2
eDwvaXNibj48YWNjZXNzaW9uLW51bT4zNDc5NDUzNDwvYWNjZXNzaW9uLW51bT48dXJscz48L3Vy
bHM+PGN1c3RvbTI+UE1DODYwMzQwMzwvY3VzdG9tMj48ZWxlY3Ryb25pYy1yZXNvdXJjZS1udW0+
MTAuMjgwNy8xNTYwLTc5MTcuRXMuMjAyMS4yNi40Ni4yMTAxMDIwPC9lbGVjdHJvbmljLXJlc291
cmNlLW51bT48cmVtb3RlLWRhdGFiYXNlLXByb3ZpZGVyPk5MTTwvcmVtb3RlLWRhdGFiYXNlLXBy
b3ZpZGVyPjxsYW5ndWFnZT5lbmc8L2xhbmd1YWdlPjwvcmVjb3JkPjwvQ2l0ZT48L0VuZE5vdGU+
AG==
</w:fldData>
        </w:fldChar>
      </w:r>
      <w:r w:rsidR="00412507">
        <w:instrText xml:space="preserve"> ADDIN EN.CITE </w:instrText>
      </w:r>
      <w:r w:rsidR="00412507">
        <w:fldChar w:fldCharType="begin">
          <w:fldData xml:space="preserve">PEVuZE5vdGU+PENpdGU+PEF1dGhvcj5OUFMgTWVkaWNpbmVXaXNlPC9BdXRob3I+PFllYXI+MjAy
MTwvWWVhcj48UmVjTnVtPjIxPC9SZWNOdW0+PERpc3BsYXlUZXh0PjxzdHlsZSBmYWNlPSJzdXBl
cnNjcmlwdCI+MSwyMiwyOC0zMTwvc3R5bGU+PC9EaXNwbGF5VGV4dD48cmVjb3JkPjxyZWMtbnVt
YmVyPjIxPC9yZWMtbnVtYmVyPjxmb3JlaWduLWtleXM+PGtleSBhcHA9IkVOIiBkYi1pZD0iZXM5
ZHI5OXdzOTBzdG9lNXgycnA1MDVuYXp2c3dkenBweGE1IiB0aW1lc3RhbXA9IjE2NzA4MTA1NDci
PjIxPC9rZXk+PC9mb3JlaWduLWtleXM+PHJlZi10eXBlIG5hbWU9IlJlcG9ydCI+Mjc8L3JlZi10
eXBlPjxjb250cmlidXRvcnM+PGF1dGhvcnM+PGF1dGhvcj5OUFMgTWVkaWNpbmVXaXNlLDwvYXV0
aG9yPjwvYXV0aG9ycz48L2NvbnRyaWJ1dG9ycz48dGl0bGVzPjx0aXRsZT5HZW5lcmFsIFByYWN0
aWNlIEluc2lnaHRzIFJlcG9ydCBKdWx5IDIwMTnigJNKdW5lIDIwMjAgaW5jbHVkaW5nIGFuYWx5
c2VzIHJlbGF0ZWQgdG8gdGhlIGltcGFjdCBvZiBDT1ZJRC0xOTwvdGl0bGU+PC90aXRsZXM+PGRh
dGVzPjx5ZWFyPjIwMjE8L3llYXI+PC9kYXRlcz48cHViLWxvY2F0aW9uPlN5ZG5leTwvcHViLWxv
Y2F0aW9uPjxwdWJsaXNoZXI+TlBTIE1lZGljaW5lV2lzZTwvcHVibGlzaGVyPjx1cmxzPjwvdXJs
cz48L3JlY29yZD48L0NpdGU+PENpdGU+PEF1dGhvcj5DYXJlPC9BdXRob3I+PFllYXI+MjAyMTwv
WWVhcj48UmVjTnVtPjE8L1JlY051bT48cmVjb3JkPjxyZWMtbnVtYmVyPjE8L3JlYy1udW1iZXI+
PGZvcmVpZ24ta2V5cz48a2V5IGFwcD0iRU4iIGRiLWlkPSJlczlkcjk5d3M5MHN0b2U1eDJycDUw
NW5henZzd2R6cHB4YTUiIHRpbWVzdGFtcD0iMTY3MDgxMDUzOCI+MTwva2V5PjwvZm9yZWlnbi1r
ZXlzPjxyZWYtdHlwZSBuYW1lPSJSZXBvcnQiPjI3PC9yZWYtdHlwZT48Y29udHJpYnV0b3JzPjxh
dXRob3JzPjxhdXRob3I+QXVzdHJhbGlhbiBDb21taXNzaW9uIG9uIFNhZmV0eSBhbmQgUXVhbGl0
eSBpbiBIZWFsdGggQ2FyZTwvYXV0aG9yPjwvYXV0aG9ycz48L2NvbnRyaWJ1dG9ycz48dGl0bGVz
Pjx0aXRsZT5BVVJBIDIwMjE6IGZvdXJ0aCBBdXN0cmFsaWFuIHJlcG9ydCBvbiBhbnRpbWljcm9i
aWFsIHVzZSBhbmQgcmVzaXN0YW5jZSBpbiBodW1hbiBoZWFsdGg8L3RpdGxlPjwvdGl0bGVzPjxk
YXRlcz48eWVhcj4yMDIxPC95ZWFyPjwvZGF0ZXM+PHB1Yi1sb2NhdGlvbj5TeWRuZXk8L3B1Yi1s
b2NhdGlvbj48cHVibGlzaGVyPkFDU1FIQzwvcHVibGlzaGVyPjx1cmxzPjwvdXJscz48L3JlY29y
ZD48L0NpdGU+PENpdGU+PEF1dGhvcj5CdWVocmxlPC9BdXRob3I+PFllYXI+MjAyMDwvWWVhcj48
UmVjTnVtPjI3PC9SZWNOdW0+PHJlY29yZD48cmVjLW51bWJlcj4yNzwvcmVjLW51bWJlcj48Zm9y
ZWlnbi1rZXlzPjxrZXkgYXBwPSJFTiIgZGItaWQ9ImVzOWRyOTl3czkwc3RvZTV4MnJwNTA1bmF6
dnN3ZHpwcHhhNSIgdGltZXN0YW1wPSIxNjcwODEwNTUxIj4yNzwva2V5PjwvZm9yZWlnbi1rZXlz
PjxyZWYtdHlwZSBuYW1lPSJKb3VybmFsIEFydGljbGUiPjE3PC9yZWYtdHlwZT48Y29udHJpYnV0
b3JzPjxhdXRob3JzPjxhdXRob3I+QnVlaHJsZSwgRC4gSi48L2F1dGhvcj48YXV0aG9yPk5ndXll
biwgTS4gSC48L2F1dGhvcj48YXV0aG9yPldhZ2VuZXIsIE0uIE0uPC9hdXRob3I+PGF1dGhvcj5D
bGFuY3ksIEMuIEouPC9hdXRob3I+PC9hdXRob3JzPjwvY29udHJpYnV0b3JzPjxhdXRoLWFkZHJl
c3M+VkEgUGl0dHNidXJnaCBIZWFsdGhjYXJlIFN5c3RlbSwgUGl0dHNidXJnaCwgUGVubnN5bHZh
bmlhLCBVU0EuJiN4RDtEZXBhcnRtZW50IG9mIE1lZGljaW5lLCBVbml2ZXJzaXR5IG9mIFBpdHRz
YnVyZ2gsIFBpdHRzYnVyZ2gsIFBlbm5zeWx2YW5pYSwgVVNBLjwvYXV0aC1hZGRyZXNzPjx0aXRs
ZXM+PHRpdGxlPkltcGFjdCBvZiB0aGUgQ29yb25hdmlydXMgRGlzZWFzZSAyMDE5IFBhbmRlbWlj
IG9uIE91dHBhdGllbnQgQW50aWJpb3RpYyBQcmVzY3JpcHRpb25zIGluIHRoZSBVbml0ZWQgU3Rh
dGVzPC90aXRsZT48c2Vjb25kYXJ5LXRpdGxlPk9wZW4gRm9ydW0gSW5mZWN0IERpczwvc2Vjb25k
YXJ5LXRpdGxlPjwvdGl0bGVzPjxwZXJpb2RpY2FsPjxmdWxsLXRpdGxlPk9wZW4gRm9ydW0gSW5m
ZWN0IERpczwvZnVsbC10aXRsZT48L3BlcmlvZGljYWw+PHBhZ2VzPm9mYWE1NzU8L3BhZ2VzPjx2
b2x1bWU+Nzwvdm9sdW1lPjxudW1iZXI+MTI8L251bWJlcj48ZWRpdGlvbj4yMDIxLzAxLzA4PC9l
ZGl0aW9uPjxrZXl3b3Jkcz48a2V5d29yZD5Db3ZpZC0xOTwva2V5d29yZD48a2V5d29yZD5Vbml0
ZWQgU3RhdGVzPC9rZXl3b3JkPjxrZXl3b3JkPmFudGliaW90aWNzPC9rZXl3b3JkPjxrZXl3b3Jk
PmNvcm9uYXZpcnVzIGRpc2Vhc2UgMjAxOTwva2V5d29yZD48a2V5d29yZD5vdXRwYXRpZW50PC9r
ZXl3b3JkPjxrZXl3b3JkPnByZXNjcmlwdGlvbnM8L2tleXdvcmQ+PC9rZXl3b3Jkcz48ZGF0ZXM+
PHllYXI+MjAyMDwveWVhcj48cHViLWRhdGVzPjxkYXRlPkRlYzwvZGF0ZT48L3B1Yi1kYXRlcz48
L2RhdGVzPjxpc2JuPjIzMjgtODk1NyAoUHJpbnQpJiN4RDsyMzI4LTg5NTcgKExpbmtpbmcpPC9p
c2JuPjxhY2Nlc3Npb24tbnVtPjMzNDA5MzM0PC9hY2Nlc3Npb24tbnVtPjx1cmxzPjxyZWxhdGVk
LXVybHM+PHVybD5odHRwczovL3d3dy5uY2JpLm5sbS5uaWguZ292L3B1Ym1lZC8zMzQwOTMzNDwv
dXJsPjwvcmVsYXRlZC11cmxzPjwvdXJscz48Y3VzdG9tMj5QTUM3NzY1NDM3PC9jdXN0b20yPjxl
bGVjdHJvbmljLXJlc291cmNlLW51bT4xMC4xMDkzL29maWQvb2ZhYTU3NTwvZWxlY3Ryb25pYy1y
ZXNvdXJjZS1udW0+PC9yZWNvcmQ+PC9DaXRlPjxDaXRlPjxBdXRob3I+QnVlaHJsZTwvQXV0aG9y
PjxZZWFyPjIwMjE8L1llYXI+PFJlY051bT4yODwvUmVjTnVtPjxyZWNvcmQ+PHJlYy1udW1iZXI+
Mjg8L3JlYy1udW1iZXI+PGZvcmVpZ24ta2V5cz48a2V5IGFwcD0iRU4iIGRiLWlkPSJlczlkcjk5
d3M5MHN0b2U1eDJycDUwNW5henZzd2R6cHB4YTUiIHRpbWVzdGFtcD0iMTY3MDgxMDU1MSI+Mjg8
L2tleT48L2ZvcmVpZ24ta2V5cz48cmVmLXR5cGUgbmFtZT0iSm91cm5hbCBBcnRpY2xlIj4xNzwv
cmVmLXR5cGU+PGNvbnRyaWJ1dG9ycz48YXV0aG9ycz48YXV0aG9yPkJ1ZWhybGUsIERlYW5uYSBK
PC9hdXRob3I+PGF1dGhvcj5XYWdlbmVyLCBNYXJpbHluIE08L2F1dGhvcj48YXV0aG9yPk5ndXll
biwgTSBIb25nPC9hdXRob3I+PGF1dGhvcj5DbGFuY3ksIENvcm5lbGl1cyBKPC9hdXRob3I+PC9h
dXRob3JzPjwvY29udHJpYnV0b3JzPjx0aXRsZXM+PHRpdGxlPlRyZW5kcyBpbiBPdXRwYXRpZW50
IEFudGliaW90aWMgUHJlc2NyaXB0aW9ucyBpbiB0aGUgVW5pdGVkIFN0YXRlcyBEdXJpbmcgdGhl
IENPVklELTE5IFBhbmRlbWljIGluIDIwMjA8L3RpdGxlPjxzZWNvbmRhcnktdGl0bGU+SkFNQSBO
ZXR3b3JrIE9wZW48L3NlY29uZGFyeS10aXRsZT48L3RpdGxlcz48cGVyaW9kaWNhbD48ZnVsbC10
aXRsZT5KQU1BIE5ldHdvcmsgT3BlbjwvZnVsbC10aXRsZT48L3BlcmlvZGljYWw+PHBhZ2VzPmUy
MTI2MTE0LWUyMTI2MTE0PC9wYWdlcz48dm9sdW1lPjQ8L3ZvbHVtZT48bnVtYmVyPjk8L251bWJl
cj48ZGF0ZXM+PHllYXI+MjAyMTwveWVhcj48L2RhdGVzPjx1cmxzPjwvdXJscz48L3JlY29yZD48
L0NpdGU+PENpdGU+PEF1dGhvcj5EdWZmeTwvQXV0aG9yPjxZZWFyPjIwMjE8L1llYXI+PFJlY051
bT4yOTwvUmVjTnVtPjxyZWNvcmQ+PHJlYy1udW1iZXI+Mjk8L3JlYy1udW1iZXI+PGZvcmVpZ24t
a2V5cz48a2V5IGFwcD0iRU4iIGRiLWlkPSJlczlkcjk5d3M5MHN0b2U1eDJycDUwNW5henZzd2R6
cHB4YTUiIHRpbWVzdGFtcD0iMTY3MDgxMDU1MSI+Mjk8L2tleT48L2ZvcmVpZ24ta2V5cz48cmVm
LXR5cGUgbmFtZT0iSm91cm5hbCBBcnRpY2xlIj4xNzwvcmVmLXR5cGU+PGNvbnRyaWJ1dG9ycz48
YXV0aG9ycz48YXV0aG9yPkR1ZmZ5LCBFLjwvYXV0aG9yPjxhdXRob3I+VGhvbWFzLCBNLjwvYXV0
aG9yPjxhdXRob3I+SGlsbHMsIFQuPC9hdXRob3I+PGF1dGhvcj5SaXRjaGllLCBTLjwvYXV0aG9y
PjwvYXV0aG9ycz48L2NvbnRyaWJ1dG9ycz48YXV0aC1hZGRyZXNzPkluZmVjdGlvdXMgRGlzZWFz
ZSBVbml0LCBBdWNrbGFuZCBDaXR5IEhvc3BpdGFsLCBBdWNrbGFuZCwgTmV3IFplYWxhbmQuJiN4
RDtEZXBhcnRtZW50IG9mIE1vbGVjdWxhciBNZWRpY2luZSBhbmQgUGF0aG9sb2d5LCBVbml2ZXJz
aXR5IG9mIEF1Y2tsYW5kLCBBdWNrbGFuZCwgTmV3IFplYWxhbmQuJiN4RDtNZWRpY2FsIFJlc2Vh
cmNoIEluc3RpdHV0ZSBvZiBOZXcgWmVhbGFuZC48L2F1dGgtYWRkcmVzcz48dGl0bGVzPjx0aXRs
ZT5UaGUgaW1wYWN0cyBvZiBOZXcgWmVhbGFuZCZhcG9zO3MgQ09WSUQtMTkgZXBpZGVtaWMgcmVz
cG9uc2Ugb24gY29tbXVuaXR5IGFudGliaW90aWMgdXNlIGFuZCBob3NwaXRhbGlzYXRpb24gZm9y
IHBuZXVtb25pYSwgcGVyaXRvbnNpbGxhciBhYnNjZXNzIGFuZCByaGV1bWF0aWMgZmV2ZXI8L3Rp
dGxlPjxzZWNvbmRhcnktdGl0bGU+TGFuY2V0IFJlZyBIZWFsdGggV2VzdCBQYWM8L3NlY29uZGFy
eS10aXRsZT48L3RpdGxlcz48cGVyaW9kaWNhbD48ZnVsbC10aXRsZT5MYW5jZXQgUmVnIEhlYWx0
aCBXZXN0IFBhYzwvZnVsbC10aXRsZT48L3BlcmlvZGljYWw+PHBhZ2VzPjEwMDE2MjwvcGFnZXM+
PHZvbHVtZT4xMjwvdm9sdW1lPjxlZGl0aW9uPjIwMjEvMDYvMTU8L2VkaXRpb24+PGtleXdvcmRz
PjxrZXl3b3JkPkFudGliaW90aWM8L2tleXdvcmQ+PGtleXdvcmQ+QW50aW1pY3JvYmlhbCByZXNp
c3RhbmNlPC9rZXl3b3JkPjxrZXl3b3JkPkFudGltaWNyb2JpYWwgc3Rld2FyZHNoaXA8L2tleXdv
cmQ+PGtleXdvcmQ+Q292aWQtMTk8L2tleXdvcmQ+PGtleXdvcmQ+UHJpbWFyeSBjYXJlPC9rZXl3
b3JkPjwva2V5d29yZHM+PGRhdGVzPjx5ZWFyPjIwMjE8L3llYXI+PHB1Yi1kYXRlcz48ZGF0ZT5K
dWw8L2RhdGU+PC9wdWItZGF0ZXM+PC9kYXRlcz48aXNibj4yNjY2LTYwNjU8L2lzYm4+PGFjY2Vz
c2lvbi1udW0+MzQxMjQ3MDQ8L2FjY2Vzc2lvbi1udW0+PHVybHM+PC91cmxzPjxjdXN0b20yPlBN
QzgxODgzMDU8L2N1c3RvbTI+PGVsZWN0cm9uaWMtcmVzb3VyY2UtbnVtPjEwLjEwMTYvai5sYW53
cGMuMjAyMS4xMDAxNjI8L2VsZWN0cm9uaWMtcmVzb3VyY2UtbnVtPjxyZW1vdGUtZGF0YWJhc2Ut
cHJvdmlkZXI+TkxNPC9yZW1vdGUtZGF0YWJhc2UtcHJvdmlkZXI+PGxhbmd1YWdlPmVuZzwvbGFu
Z3VhZ2U+PC9yZWNvcmQ+PC9DaXRlPjxDaXRlPjxBdXRob3I+SMO2Z2Jlcmc8L0F1dGhvcj48WWVh
cj4yMDIxPC9ZZWFyPjxSZWNOdW0+MzA8L1JlY051bT48cmVjb3JkPjxyZWMtbnVtYmVyPjMwPC9y
ZWMtbnVtYmVyPjxmb3JlaWduLWtleXM+PGtleSBhcHA9IkVOIiBkYi1pZD0iZXM5ZHI5OXdzOTBz
dG9lNXgycnA1MDVuYXp2c3dkenBweGE1IiB0aW1lc3RhbXA9IjE2NzA4MTA1NTEiPjMwPC9rZXk+
PC9mb3JlaWduLWtleXM+PHJlZi10eXBlIG5hbWU9IkpvdXJuYWwgQXJ0aWNsZSI+MTc8L3JlZi10
eXBlPjxjb250cmlidXRvcnM+PGF1dGhvcnM+PGF1dGhvcj5Iw7ZnYmVyZywgTC4gRC48L2F1dGhv
cj48YXV0aG9yPlZsYWhvdmnEhy1QYWzEjWV2c2tpLCBWLjwvYXV0aG9yPjxhdXRob3I+UGVyZWly
YSwgQy48L2F1dGhvcj48YXV0aG9yPldlaXN0LCBLLjwvYXV0aG9yPjxhdXRob3I+TW9ubmV0LCBE
LiBMLjwvYXV0aG9yPjwvYXV0aG9ycz48L2NvbnRyaWJ1dG9ycz48YXV0aC1hZGRyZXNzPkV1cm9w
ZWFuIENlbnRyZSBmb3IgRGlzZWFzZSBQcmV2ZW50aW9uIGFuZCBDb250cm9sLCBTb2xuYSwgU3dl
ZGVuLiYjeEQ7RGVwYXJ0bWVudCBvZiBDbGluaWNhbCBQaGFybWFjb2xvZ3ksIFVuaXZlcnNpdHkg
SG9zcGl0YWwgUmlqZWthLCBSaWpla2EvVW5pdmVyc2l0eSBvZiBSaWpla2EgTWVkaWNhbCBGYWN1
bHR5IGFuZCBGYWN1bHR5IG9mIEhlYWx0aCBTdHVkaWVzLCBSaWpla2EsIENyb2F0aWEuJiN4RDtU
aGUgbWVtYmVycyBvZiB0aGUgRVNBQy1OZXQgc3R1ZHkgZ3JvdXAgYXJlIGxpc3RlZCBpbiB0aGUg
SW52ZXN0aWdhdG9ycyB0YWIuPC9hdXRoLWFkZHJlc3M+PHRpdGxlcz48dGl0bGU+RGVjcmVhc2Ug
aW4gY29tbXVuaXR5IGFudGliaW90aWMgY29uc3VtcHRpb24gZHVyaW5nIHRoZSBDT1ZJRC0xOSBw
YW5kZW1pYywgRVUvRUVBLCAyMDIwPC90aXRsZT48c2Vjb25kYXJ5LXRpdGxlPkV1cm8gU3VydmVp
bGw8L3NlY29uZGFyeS10aXRsZT48L3RpdGxlcz48cGVyaW9kaWNhbD48ZnVsbC10aXRsZT5FdXJv
IFN1cnZlaWxsPC9mdWxsLXRpdGxlPjwvcGVyaW9kaWNhbD48dm9sdW1lPjI2PC92b2x1bWU+PG51
bWJlcj40NjwvbnVtYmVyPjxlZGl0aW9uPjIwMjEvMTEvMjA8L2VkaXRpb24+PGtleXdvcmRzPjxr
ZXl3b3JkPipBbnRpLUJhY3RlcmlhbCBBZ2VudHMvdGhlcmFwZXV0aWMgdXNlPC9rZXl3b3JkPjxr
ZXl3b3JkPipjb3ZpZC0xOTwva2V5d29yZD48a2V5d29yZD5EcnVnIFV0aWxpemF0aW9uPC9rZXl3
b3JkPjxrZXl3b3JkPkV1cm9wZS9lcGlkZW1pb2xvZ3k8L2tleXdvcmQ+PGtleXdvcmQ+RXVyb3Bl
YW4gVW5pb248L2tleXdvcmQ+PGtleXdvcmQ+SHVtYW5zPC9rZXl3b3JkPjxrZXl3b3JkPlBhbmRl
bWljcy9wcmV2ZW50aW9uICZhbXA7IGNvbnRyb2w8L2tleXdvcmQ+PGtleXdvcmQ+U0FSUy1Db1Yt
Mjwva2V5d29yZD48a2V5d29yZD5Db3ZpZC0xOTwva2V5d29yZD48a2V5d29yZD5hbnRpYmlvdGlj
IGNvbnN1bXB0aW9uPC9rZXl3b3JkPjxrZXl3b3JkPnN1cnZlaWxsYW5jZTwva2V5d29yZD48L2tl
eXdvcmRzPjxkYXRlcz48eWVhcj4yMDIxPC95ZWFyPjxwdWItZGF0ZXM+PGRhdGU+Tm92PC9kYXRl
PjwvcHViLWRhdGVzPjwvZGF0ZXM+PGlzYm4+MTAyNS00OTZYIChQcmludCkmI3hEOzEwMjUtNDk2
eDwvaXNibj48YWNjZXNzaW9uLW51bT4zNDc5NDUzNDwvYWNjZXNzaW9uLW51bT48dXJscz48L3Vy
bHM+PGN1c3RvbTI+UE1DODYwMzQwMzwvY3VzdG9tMj48ZWxlY3Ryb25pYy1yZXNvdXJjZS1udW0+
MTAuMjgwNy8xNTYwLTc5MTcuRXMuMjAyMS4yNi40Ni4yMTAxMDIwPC9lbGVjdHJvbmljLXJlc291
cmNlLW51bT48cmVtb3RlLWRhdGFiYXNlLXByb3ZpZGVyPk5MTTwvcmVtb3RlLWRhdGFiYXNlLXBy
b3ZpZGVyPjxsYW5ndWFnZT5lbmc8L2xhbmd1YWdlPjwvcmVjb3JkPjwvQ2l0ZT48L0VuZE5vdGU+
AG==
</w:fldData>
        </w:fldChar>
      </w:r>
      <w:r w:rsidR="00412507">
        <w:instrText xml:space="preserve"> ADDIN EN.CITE.DATA </w:instrText>
      </w:r>
      <w:r w:rsidR="00412507">
        <w:fldChar w:fldCharType="end"/>
      </w:r>
      <w:r w:rsidR="00757147">
        <w:fldChar w:fldCharType="separate"/>
      </w:r>
      <w:r w:rsidR="00C16B8F" w:rsidRPr="00C16B8F">
        <w:rPr>
          <w:noProof/>
          <w:vertAlign w:val="superscript"/>
        </w:rPr>
        <w:t>1,22,28-31</w:t>
      </w:r>
      <w:r w:rsidR="00757147">
        <w:fldChar w:fldCharType="end"/>
      </w:r>
      <w:r w:rsidR="00EA1B73">
        <w:t xml:space="preserve"> </w:t>
      </w:r>
      <w:r w:rsidR="00F14565" w:rsidRPr="00F46944">
        <w:t xml:space="preserve">Although the United Kingdom did not submit full data to the </w:t>
      </w:r>
      <w:r w:rsidR="00F14565" w:rsidRPr="00F46944">
        <w:rPr>
          <w:i/>
          <w:iCs/>
        </w:rPr>
        <w:t>Annual Epidemiological Report on Communicable Diseases in Europe</w:t>
      </w:r>
      <w:r w:rsidR="00F14565" w:rsidRPr="00F46944">
        <w:t>, a population-based cohort study reported that overall rates of antimicrobial prescribing in the UK were lower between April and August 2020, compared to rates prior to the pandemic.</w:t>
      </w:r>
      <w:r w:rsidR="00F14565" w:rsidRPr="00F46944">
        <w:fldChar w:fldCharType="begin"/>
      </w:r>
      <w:r w:rsidR="00C16B8F">
        <w:instrText xml:space="preserve"> ADDIN EN.CITE &lt;EndNote&gt;&lt;Cite&gt;&lt;Author&gt;European Centre for Disease Prevention and Control&lt;/Author&gt;&lt;Year&gt;2021&lt;/Year&gt;&lt;RecNum&gt;31&lt;/RecNum&gt;&lt;DisplayText&gt;&lt;style face="superscript"&gt;32,33&lt;/style&gt;&lt;/DisplayText&gt;&lt;record&gt;&lt;rec-number&gt;31&lt;/rec-number&gt;&lt;foreign-keys&gt;&lt;key app="EN" db-id="es9dr99ws90stoe5x2rp505nazvswdzppxa5" timestamp="1670810552"&gt;31&lt;/key&gt;&lt;/foreign-keys&gt;&lt;ref-type name="Report"&gt;27&lt;/ref-type&gt;&lt;contributors&gt;&lt;authors&gt;&lt;author&gt;European Centre for Disease Prevention and Control,&lt;/author&gt;&lt;/authors&gt;&lt;/contributors&gt;&lt;titles&gt;&lt;title&gt;Antimicrobial consumption in the EU/EEA (ESAC-Net) - Annual Epidemiological Report 2020&lt;/title&gt;&lt;/titles&gt;&lt;dates&gt;&lt;year&gt;2021&lt;/year&gt;&lt;/dates&gt;&lt;pub-location&gt;Stockholm&lt;/pub-location&gt;&lt;publisher&gt;ECDC&lt;/publisher&gt;&lt;urls&gt;&lt;/urls&gt;&lt;/record&gt;&lt;/Cite&gt;&lt;Cite&gt;&lt;Author&gt;Rezel-Potts&lt;/Author&gt;&lt;Year&gt;2021&lt;/Year&gt;&lt;RecNum&gt;32&lt;/RecNum&gt;&lt;record&gt;&lt;rec-number&gt;32&lt;/rec-number&gt;&lt;foreign-keys&gt;&lt;key app="EN" db-id="es9dr99ws90stoe5x2rp505nazvswdzppxa5" timestamp="1670810552"&gt;32&lt;/key&gt;&lt;/foreign-keys&gt;&lt;ref-type name="Journal Article"&gt;17&lt;/ref-type&gt;&lt;contributors&gt;&lt;authors&gt;&lt;author&gt;Rezel-Potts, Emma&lt;/author&gt;&lt;author&gt;L’Esperance, Veline&lt;/author&gt;&lt;author&gt;Gulliford, Martin C&lt;/author&gt;&lt;/authors&gt;&lt;/contributors&gt;&lt;titles&gt;&lt;title&gt;Antimicrobial stewardship in the UK during the COVID-19 pandemic: a population-based cohort study and interrupted time-series analysis&lt;/title&gt;&lt;secondary-title&gt;British Journal of General Practice&lt;/secondary-title&gt;&lt;/titles&gt;&lt;periodical&gt;&lt;full-title&gt;British Journal of General Practice&lt;/full-title&gt;&lt;/periodical&gt;&lt;pages&gt;e331-e338&lt;/pages&gt;&lt;volume&gt;71&lt;/volume&gt;&lt;number&gt;706&lt;/number&gt;&lt;dates&gt;&lt;year&gt;2021&lt;/year&gt;&lt;/dates&gt;&lt;isbn&gt;0960-1643&lt;/isbn&gt;&lt;urls&gt;&lt;/urls&gt;&lt;/record&gt;&lt;/Cite&gt;&lt;/EndNote&gt;</w:instrText>
      </w:r>
      <w:r w:rsidR="00F14565" w:rsidRPr="00F46944">
        <w:fldChar w:fldCharType="separate"/>
      </w:r>
      <w:r w:rsidR="00C16B8F" w:rsidRPr="00C16B8F">
        <w:rPr>
          <w:noProof/>
          <w:vertAlign w:val="superscript"/>
        </w:rPr>
        <w:t>32,33</w:t>
      </w:r>
      <w:r w:rsidR="00F14565" w:rsidRPr="00F46944">
        <w:fldChar w:fldCharType="end"/>
      </w:r>
      <w:r w:rsidR="004544FE">
        <w:t xml:space="preserve"> The rate of decline in community antimicrobial use observed in Australia since 2015 and </w:t>
      </w:r>
      <w:r w:rsidR="00FE6797">
        <w:t>into 2020 is similar to rates internationally.</w:t>
      </w:r>
      <w:r w:rsidR="00FE6797" w:rsidRPr="00FE6797">
        <w:rPr>
          <w:rFonts w:asciiTheme="majorHAnsi" w:hAnsiTheme="majorHAnsi" w:cstheme="majorHAnsi"/>
        </w:rPr>
        <w:t xml:space="preserve"> </w:t>
      </w:r>
    </w:p>
    <w:p w14:paraId="6FA67F60" w14:textId="70EF8248" w:rsidR="007E72F5" w:rsidRPr="006F7A86" w:rsidRDefault="00D77422" w:rsidP="00E04EBF">
      <w:pPr>
        <w:pStyle w:val="Captions"/>
        <w:spacing w:after="0"/>
        <w:rPr>
          <w:b w:val="0"/>
          <w:bCs w:val="0"/>
        </w:rPr>
      </w:pPr>
      <w:bookmarkStart w:id="181" w:name="_Toc121491343"/>
      <w:bookmarkStart w:id="182" w:name="_Toc121840915"/>
      <w:r>
        <w:rPr>
          <w:rFonts w:ascii="ZWAdobeF" w:hAnsi="ZWAdobeF" w:cs="ZWAdobeF"/>
          <w:b w:val="0"/>
          <w:sz w:val="2"/>
          <w:szCs w:val="2"/>
        </w:rPr>
        <w:t>44B</w:t>
      </w:r>
      <w:r w:rsidR="006F7A86">
        <w:t>Figure</w:t>
      </w:r>
      <w:r w:rsidR="006F7A86" w:rsidRPr="00F46944">
        <w:t> </w:t>
      </w:r>
      <w:fldSimple w:instr=" SEQ Figure \* ARABIC ">
        <w:r w:rsidR="00F34DDD">
          <w:rPr>
            <w:noProof/>
          </w:rPr>
          <w:t>31</w:t>
        </w:r>
      </w:fldSimple>
      <w:r w:rsidR="007E72F5" w:rsidRPr="00F46944">
        <w:t>:</w:t>
      </w:r>
      <w:r w:rsidR="00CC09FB" w:rsidRPr="006F7A86">
        <w:rPr>
          <w:b w:val="0"/>
          <w:bCs w:val="0"/>
        </w:rPr>
        <w:t> </w:t>
      </w:r>
      <w:r w:rsidR="007E72F5" w:rsidRPr="006F7A86">
        <w:rPr>
          <w:b w:val="0"/>
          <w:bCs w:val="0"/>
        </w:rPr>
        <w:t>Community antimicrobial use in Australia</w:t>
      </w:r>
      <w:r w:rsidR="008C3A9D">
        <w:rPr>
          <w:b w:val="0"/>
          <w:bCs w:val="0"/>
        </w:rPr>
        <w:t xml:space="preserve"> (2020)</w:t>
      </w:r>
      <w:r w:rsidR="00E04EBF">
        <w:rPr>
          <w:b w:val="0"/>
          <w:bCs w:val="0"/>
        </w:rPr>
        <w:t xml:space="preserve">, </w:t>
      </w:r>
      <w:r w:rsidR="007E72F5" w:rsidRPr="006F7A86">
        <w:rPr>
          <w:b w:val="0"/>
          <w:bCs w:val="0"/>
        </w:rPr>
        <w:t>European countries</w:t>
      </w:r>
      <w:bookmarkEnd w:id="181"/>
      <w:r w:rsidR="00E04EBF">
        <w:rPr>
          <w:b w:val="0"/>
          <w:bCs w:val="0"/>
        </w:rPr>
        <w:t xml:space="preserve"> (2020) and Canada (2019)</w:t>
      </w:r>
      <w:r w:rsidR="00D77009">
        <w:rPr>
          <w:b w:val="0"/>
          <w:bCs w:val="0"/>
        </w:rPr>
        <w:t xml:space="preserve">, by </w:t>
      </w:r>
      <w:r w:rsidR="00D77009" w:rsidRPr="006F7A86">
        <w:rPr>
          <w:b w:val="0"/>
          <w:bCs w:val="0"/>
        </w:rPr>
        <w:t>DDD/1,000 people/day</w:t>
      </w:r>
      <w:bookmarkEnd w:id="182"/>
    </w:p>
    <w:p w14:paraId="313F3D4C" w14:textId="5E899171" w:rsidR="006D5053" w:rsidRPr="00F46944" w:rsidRDefault="00D77422" w:rsidP="008C3A9D">
      <w:pPr>
        <w:spacing w:after="0"/>
      </w:pPr>
      <w:r>
        <w:rPr>
          <w:rFonts w:ascii="ZWAdobeF" w:hAnsi="ZWAdobeF" w:cs="ZWAdobeF"/>
          <w:sz w:val="2"/>
          <w:szCs w:val="2"/>
        </w:rPr>
        <w:t>670B</w:t>
      </w:r>
      <w:r w:rsidR="00EC26B7">
        <w:rPr>
          <w:rFonts w:ascii="ZWAdobeF" w:hAnsi="ZWAdobeF" w:cs="ZWAdobeF"/>
          <w:noProof/>
          <w:sz w:val="2"/>
          <w:szCs w:val="2"/>
        </w:rPr>
        <w:drawing>
          <wp:inline distT="0" distB="0" distL="0" distR="0" wp14:anchorId="530F0E0A" wp14:editId="25459DC6">
            <wp:extent cx="5923592" cy="5040000"/>
            <wp:effectExtent l="0" t="0" r="1270" b="8255"/>
            <wp:docPr id="115" name="Picture 115" descr="Figure 31: Community antimicrobial use in Australia (2020), European countries (2020) and Canada (2019), by DDD/1,000 people/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Figure 31: Community antimicrobial use in Australia (2020), European countries (2020) and Canada (2019), by DDD/1,000 people/da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23592" cy="5040000"/>
                    </a:xfrm>
                    <a:prstGeom prst="rect">
                      <a:avLst/>
                    </a:prstGeom>
                    <a:noFill/>
                  </pic:spPr>
                </pic:pic>
              </a:graphicData>
            </a:graphic>
          </wp:inline>
        </w:drawing>
      </w:r>
    </w:p>
    <w:p w14:paraId="6122D16A" w14:textId="3B4C1512" w:rsidR="007E72F5" w:rsidRPr="00F46944" w:rsidRDefault="00D77422" w:rsidP="008C3A9D">
      <w:pPr>
        <w:rPr>
          <w:rFonts w:cstheme="minorHAnsi"/>
          <w:sz w:val="14"/>
          <w:szCs w:val="14"/>
        </w:rPr>
      </w:pPr>
      <w:r>
        <w:rPr>
          <w:rFonts w:ascii="ZWAdobeF" w:hAnsi="ZWAdobeF" w:cs="ZWAdobeF"/>
          <w:sz w:val="2"/>
          <w:szCs w:val="2"/>
        </w:rPr>
        <w:t>671B</w:t>
      </w:r>
      <w:r w:rsidR="0089371C" w:rsidRPr="00F46944">
        <w:rPr>
          <w:sz w:val="14"/>
          <w:szCs w:val="14"/>
        </w:rPr>
        <w:t>DDD = defined daily dose</w:t>
      </w:r>
      <w:r w:rsidR="0089371C" w:rsidRPr="00F46944">
        <w:rPr>
          <w:sz w:val="14"/>
          <w:szCs w:val="14"/>
        </w:rPr>
        <w:br/>
      </w:r>
      <w:r w:rsidR="007E72F5" w:rsidRPr="00F46944">
        <w:rPr>
          <w:sz w:val="14"/>
          <w:szCs w:val="14"/>
        </w:rPr>
        <w:t xml:space="preserve">Note: </w:t>
      </w:r>
      <w:r w:rsidR="00256902">
        <w:rPr>
          <w:sz w:val="14"/>
          <w:szCs w:val="14"/>
        </w:rPr>
        <w:t>2020</w:t>
      </w:r>
      <w:r w:rsidR="00D56E4D">
        <w:rPr>
          <w:sz w:val="14"/>
          <w:szCs w:val="14"/>
        </w:rPr>
        <w:t xml:space="preserve"> data for </w:t>
      </w:r>
      <w:r w:rsidR="00256902">
        <w:rPr>
          <w:sz w:val="14"/>
          <w:szCs w:val="14"/>
        </w:rPr>
        <w:t xml:space="preserve">Canada </w:t>
      </w:r>
      <w:r w:rsidR="00D56E4D">
        <w:rPr>
          <w:sz w:val="14"/>
          <w:szCs w:val="14"/>
        </w:rPr>
        <w:t>were not available at the time of reporting</w:t>
      </w:r>
      <w:r w:rsidR="007E72F5" w:rsidRPr="00F46944">
        <w:rPr>
          <w:sz w:val="14"/>
          <w:szCs w:val="14"/>
        </w:rPr>
        <w:t xml:space="preserve">, therefore 2019 data </w:t>
      </w:r>
      <w:r w:rsidR="005162C3" w:rsidRPr="00F46944">
        <w:rPr>
          <w:sz w:val="14"/>
          <w:szCs w:val="14"/>
        </w:rPr>
        <w:t xml:space="preserve">have </w:t>
      </w:r>
      <w:r w:rsidR="007E72F5" w:rsidRPr="00F46944">
        <w:rPr>
          <w:sz w:val="14"/>
          <w:szCs w:val="14"/>
        </w:rPr>
        <w:t xml:space="preserve">been </w:t>
      </w:r>
      <w:r w:rsidR="00256902">
        <w:rPr>
          <w:sz w:val="14"/>
          <w:szCs w:val="14"/>
        </w:rPr>
        <w:t>included</w:t>
      </w:r>
      <w:r w:rsidR="004F32C1" w:rsidRPr="00F46944">
        <w:rPr>
          <w:sz w:val="14"/>
          <w:szCs w:val="14"/>
        </w:rPr>
        <w:t>.</w:t>
      </w:r>
      <w:r w:rsidR="0052113A" w:rsidRPr="00F46944">
        <w:rPr>
          <w:sz w:val="14"/>
          <w:szCs w:val="14"/>
        </w:rPr>
        <w:br/>
      </w:r>
      <w:r w:rsidR="007E72F5" w:rsidRPr="00F46944">
        <w:rPr>
          <w:rFonts w:cstheme="minorHAnsi"/>
          <w:sz w:val="14"/>
          <w:szCs w:val="14"/>
        </w:rPr>
        <w:t>Source: Gadzhanova, Roughead</w:t>
      </w:r>
      <w:r w:rsidR="007E72F5" w:rsidRPr="00F46944">
        <w:rPr>
          <w:rFonts w:cstheme="minorHAnsi"/>
          <w:sz w:val="14"/>
          <w:szCs w:val="14"/>
        </w:rPr>
        <w:fldChar w:fldCharType="begin"/>
      </w:r>
      <w:r w:rsidR="00DB0DCB">
        <w:rPr>
          <w:rFonts w:cstheme="minorHAnsi"/>
          <w:sz w:val="14"/>
          <w:szCs w:val="14"/>
        </w:rPr>
        <w:instrText xml:space="preserve"> ADDIN EN.CITE &lt;EndNote&gt;&lt;Cite&gt;&lt;Author&gt;Gadzhanova&lt;/Author&gt;&lt;RecNum&gt;5&lt;/RecNum&gt;&lt;DisplayText&gt;&lt;style face="superscript"&gt;5&lt;/style&gt;&lt;/DisplayText&gt;&lt;record&gt;&lt;rec-number&gt;5&lt;/rec-number&gt;&lt;foreign-keys&gt;&lt;key app="EN" db-id="es9dr99ws90stoe5x2rp505nazvswdzppxa5" timestamp="1670810539"&gt;5&lt;/key&gt;&lt;/foreign-keys&gt;&lt;ref-type name="Unpublished Work"&gt;34&lt;/ref-type&gt;&lt;contributors&gt;&lt;authors&gt;&lt;author&gt;Gadzhanova, S.&lt;/author&gt;&lt;author&gt;Roughead, E.&lt;/author&gt;&lt;/authors&gt;&lt;/contributors&gt;&lt;titles&gt;&lt;title&gt;Analysis of 2015–2021 PBS data for the National Report on Antimicrobial Use and Resistance (unpublished)&lt;/title&gt;&lt;/titles&gt;&lt;dates&gt;&lt;/dates&gt;&lt;pub-location&gt;Sydney &lt;/pub-location&gt;&lt;publisher&gt;ACSQHC &lt;/publisher&gt;&lt;urls&gt;&lt;/urls&gt;&lt;/record&gt;&lt;/Cite&gt;&lt;/EndNote&gt;</w:instrText>
      </w:r>
      <w:r w:rsidR="007E72F5" w:rsidRPr="00F46944">
        <w:rPr>
          <w:rFonts w:cstheme="minorHAnsi"/>
          <w:sz w:val="14"/>
          <w:szCs w:val="14"/>
        </w:rPr>
        <w:fldChar w:fldCharType="separate"/>
      </w:r>
      <w:r w:rsidR="001C0A42" w:rsidRPr="001C0A42">
        <w:rPr>
          <w:rFonts w:cstheme="minorHAnsi"/>
          <w:noProof/>
          <w:sz w:val="14"/>
          <w:szCs w:val="14"/>
          <w:vertAlign w:val="superscript"/>
        </w:rPr>
        <w:t>5</w:t>
      </w:r>
      <w:r w:rsidR="007E72F5" w:rsidRPr="00F46944">
        <w:rPr>
          <w:rFonts w:cstheme="minorHAnsi"/>
          <w:sz w:val="14"/>
          <w:szCs w:val="14"/>
        </w:rPr>
        <w:fldChar w:fldCharType="end"/>
      </w:r>
      <w:r w:rsidR="007E72F5" w:rsidRPr="00F46944">
        <w:rPr>
          <w:rFonts w:cstheme="minorHAnsi"/>
          <w:sz w:val="14"/>
          <w:szCs w:val="14"/>
        </w:rPr>
        <w:t>, European Centre for Disease Prevention and Control</w:t>
      </w:r>
      <w:r w:rsidR="007E72F5" w:rsidRPr="00F46944">
        <w:rPr>
          <w:rFonts w:cstheme="minorHAnsi"/>
          <w:sz w:val="14"/>
          <w:szCs w:val="14"/>
        </w:rPr>
        <w:fldChar w:fldCharType="begin"/>
      </w:r>
      <w:r w:rsidR="00C16B8F">
        <w:rPr>
          <w:rFonts w:cstheme="minorHAnsi"/>
          <w:sz w:val="14"/>
          <w:szCs w:val="14"/>
        </w:rPr>
        <w:instrText xml:space="preserve"> ADDIN EN.CITE &lt;EndNote&gt;&lt;Cite&gt;&lt;Author&gt;European Centre for Disease Prevention and Control&lt;/Author&gt;&lt;Year&gt;2021&lt;/Year&gt;&lt;RecNum&gt;31&lt;/RecNum&gt;&lt;DisplayText&gt;&lt;style face="superscript"&gt;32&lt;/style&gt;&lt;/DisplayText&gt;&lt;record&gt;&lt;rec-number&gt;31&lt;/rec-number&gt;&lt;foreign-keys&gt;&lt;key app="EN" db-id="es9dr99ws90stoe5x2rp505nazvswdzppxa5" timestamp="1670810552"&gt;31&lt;/key&gt;&lt;/foreign-keys&gt;&lt;ref-type name="Report"&gt;27&lt;/ref-type&gt;&lt;contributors&gt;&lt;authors&gt;&lt;author&gt;European Centre for Disease Prevention and Control,&lt;/author&gt;&lt;/authors&gt;&lt;/contributors&gt;&lt;titles&gt;&lt;title&gt;Antimicrobial consumption in the EU/EEA (ESAC-Net) - Annual Epidemiological Report 2020&lt;/title&gt;&lt;/titles&gt;&lt;dates&gt;&lt;year&gt;2021&lt;/year&gt;&lt;/dates&gt;&lt;pub-location&gt;Stockholm&lt;/pub-location&gt;&lt;publisher&gt;ECDC&lt;/publisher&gt;&lt;urls&gt;&lt;/urls&gt;&lt;/record&gt;&lt;/Cite&gt;&lt;/EndNote&gt;</w:instrText>
      </w:r>
      <w:r w:rsidR="007E72F5" w:rsidRPr="00F46944">
        <w:rPr>
          <w:rFonts w:cstheme="minorHAnsi"/>
          <w:sz w:val="14"/>
          <w:szCs w:val="14"/>
        </w:rPr>
        <w:fldChar w:fldCharType="separate"/>
      </w:r>
      <w:r w:rsidR="00C16B8F" w:rsidRPr="00C16B8F">
        <w:rPr>
          <w:rFonts w:cstheme="minorHAnsi"/>
          <w:noProof/>
          <w:sz w:val="14"/>
          <w:szCs w:val="14"/>
          <w:vertAlign w:val="superscript"/>
        </w:rPr>
        <w:t>32</w:t>
      </w:r>
      <w:r w:rsidR="007E72F5" w:rsidRPr="00F46944">
        <w:rPr>
          <w:rFonts w:cstheme="minorHAnsi"/>
          <w:sz w:val="14"/>
          <w:szCs w:val="14"/>
        </w:rPr>
        <w:fldChar w:fldCharType="end"/>
      </w:r>
      <w:r w:rsidR="003C4988">
        <w:rPr>
          <w:rFonts w:cstheme="minorHAnsi"/>
          <w:sz w:val="14"/>
          <w:szCs w:val="14"/>
        </w:rPr>
        <w:t>,</w:t>
      </w:r>
      <w:r w:rsidR="003C4988" w:rsidRPr="003C4988">
        <w:rPr>
          <w:rFonts w:cstheme="minorHAnsi"/>
          <w:sz w:val="14"/>
          <w:szCs w:val="14"/>
        </w:rPr>
        <w:t xml:space="preserve"> </w:t>
      </w:r>
      <w:r w:rsidR="003C4988" w:rsidRPr="00F46944">
        <w:rPr>
          <w:rFonts w:cstheme="minorHAnsi"/>
          <w:sz w:val="14"/>
          <w:szCs w:val="14"/>
        </w:rPr>
        <w:t>Public Health Agency Canada</w:t>
      </w:r>
      <w:r w:rsidR="003C4988" w:rsidRPr="00F46944">
        <w:rPr>
          <w:rFonts w:cstheme="minorHAnsi"/>
          <w:sz w:val="14"/>
          <w:szCs w:val="14"/>
        </w:rPr>
        <w:fldChar w:fldCharType="begin"/>
      </w:r>
      <w:r w:rsidR="003C4988">
        <w:rPr>
          <w:rFonts w:cstheme="minorHAnsi"/>
          <w:sz w:val="14"/>
          <w:szCs w:val="14"/>
        </w:rPr>
        <w:instrText xml:space="preserve"> ADDIN EN.CITE &lt;EndNote&gt;&lt;Cite&gt;&lt;Author&gt;Public Health Agenecy of Canada&lt;/Author&gt;&lt;Year&gt;2020&lt;/Year&gt;&lt;RecNum&gt;33&lt;/RecNum&gt;&lt;DisplayText&gt;&lt;style face="superscript"&gt;34&lt;/style&gt;&lt;/DisplayText&gt;&lt;record&gt;&lt;rec-number&gt;33&lt;/rec-number&gt;&lt;foreign-keys&gt;&lt;key app="EN" db-id="es9dr99ws90stoe5x2rp505nazvswdzppxa5" timestamp="1670810552"&gt;33&lt;/key&gt;&lt;/foreign-keys&gt;&lt;ref-type name="Report"&gt;27&lt;/ref-type&gt;&lt;contributors&gt;&lt;authors&gt;&lt;author&gt;Public Health Agenecy of Canada,&lt;/author&gt;&lt;/authors&gt;&lt;/contributors&gt;&lt;titles&gt;&lt;title&gt;Canadian Antimicrobial Resistance Surveillance System Report - Update 2020&lt;/title&gt;&lt;/titles&gt;&lt;dates&gt;&lt;year&gt;2020&lt;/year&gt;&lt;/dates&gt;&lt;pub-location&gt;Ottawa&lt;/pub-location&gt;&lt;publisher&gt;PHAC&lt;/publisher&gt;&lt;urls&gt;&lt;/urls&gt;&lt;/record&gt;&lt;/Cite&gt;&lt;/EndNote&gt;</w:instrText>
      </w:r>
      <w:r w:rsidR="003C4988" w:rsidRPr="00F46944">
        <w:rPr>
          <w:rFonts w:cstheme="minorHAnsi"/>
          <w:sz w:val="14"/>
          <w:szCs w:val="14"/>
        </w:rPr>
        <w:fldChar w:fldCharType="separate"/>
      </w:r>
      <w:r w:rsidR="003C4988" w:rsidRPr="00C16B8F">
        <w:rPr>
          <w:rFonts w:cstheme="minorHAnsi"/>
          <w:noProof/>
          <w:sz w:val="14"/>
          <w:szCs w:val="14"/>
          <w:vertAlign w:val="superscript"/>
        </w:rPr>
        <w:t>34</w:t>
      </w:r>
      <w:r w:rsidR="003C4988" w:rsidRPr="00F46944">
        <w:rPr>
          <w:rFonts w:cstheme="minorHAnsi"/>
          <w:sz w:val="14"/>
          <w:szCs w:val="14"/>
        </w:rPr>
        <w:fldChar w:fldCharType="end"/>
      </w:r>
      <w:r w:rsidR="007E72F5" w:rsidRPr="00F46944">
        <w:br w:type="page"/>
      </w:r>
    </w:p>
    <w:p w14:paraId="7881C70E" w14:textId="3E4F8F7E" w:rsidR="00F90903" w:rsidRPr="00F46944" w:rsidRDefault="00F90903" w:rsidP="00F90903">
      <w:pPr>
        <w:pStyle w:val="Heading3"/>
      </w:pPr>
      <w:bookmarkStart w:id="183" w:name="_Toc121826737"/>
      <w:r w:rsidRPr="00F46944">
        <w:lastRenderedPageBreak/>
        <w:t>What will be done to improve appropriateness of antimicrobial prescribing and patient safety in the community?</w:t>
      </w:r>
      <w:bookmarkEnd w:id="183"/>
      <w:r w:rsidRPr="00F46944">
        <w:t xml:space="preserve"> </w:t>
      </w:r>
    </w:p>
    <w:p w14:paraId="7F3A36F4" w14:textId="332205FA" w:rsidR="00213841" w:rsidRPr="00F46944" w:rsidRDefault="00D77422" w:rsidP="00901AB0">
      <w:pPr>
        <w:rPr>
          <w:b/>
          <w:bCs/>
        </w:rPr>
      </w:pPr>
      <w:r>
        <w:rPr>
          <w:rFonts w:ascii="ZWAdobeF" w:hAnsi="ZWAdobeF" w:cs="ZWAdobeF"/>
          <w:sz w:val="2"/>
          <w:szCs w:val="2"/>
        </w:rPr>
        <w:t>672B</w:t>
      </w:r>
      <w:r w:rsidR="00F90903" w:rsidRPr="00F46944">
        <w:t xml:space="preserve">There are opportunities to build on the encouraging decrease in the volume of antimicrobial prescribing in primary care by focusing on strategies to improve the appropriateness of prescribing and enhance </w:t>
      </w:r>
      <w:r w:rsidR="001865ED" w:rsidRPr="00F46944">
        <w:t xml:space="preserve">antimicrobial </w:t>
      </w:r>
      <w:r w:rsidR="00080D56" w:rsidRPr="00F46944">
        <w:t xml:space="preserve">prescribing and dispensing </w:t>
      </w:r>
      <w:r w:rsidR="00F90903" w:rsidRPr="00F46944">
        <w:t xml:space="preserve">data </w:t>
      </w:r>
      <w:r w:rsidR="00080D56" w:rsidRPr="00F46944">
        <w:t>collection</w:t>
      </w:r>
      <w:r w:rsidR="001865ED" w:rsidRPr="00F46944">
        <w:t xml:space="preserve"> and surveillance </w:t>
      </w:r>
      <w:r w:rsidR="00085EA3" w:rsidRPr="00F46944">
        <w:t>efforts</w:t>
      </w:r>
      <w:r w:rsidR="00F90903" w:rsidRPr="00F46944">
        <w:t xml:space="preserve">. </w:t>
      </w:r>
    </w:p>
    <w:p w14:paraId="3F6A9F72" w14:textId="5C75ED6B" w:rsidR="007E72F5" w:rsidRPr="00F46944" w:rsidRDefault="00D77422" w:rsidP="00F41E9B">
      <w:pPr>
        <w:spacing w:after="0"/>
        <w:rPr>
          <w:rFonts w:ascii="Times New Roman" w:hAnsi="Times New Roman"/>
          <w:sz w:val="24"/>
          <w:szCs w:val="24"/>
        </w:rPr>
      </w:pPr>
      <w:r>
        <w:rPr>
          <w:rFonts w:ascii="ZWAdobeF" w:hAnsi="ZWAdobeF" w:cs="ZWAdobeF"/>
          <w:sz w:val="2"/>
          <w:szCs w:val="2"/>
        </w:rPr>
        <w:t>673B</w:t>
      </w:r>
      <w:r w:rsidR="007E72F5" w:rsidRPr="00F46944">
        <w:rPr>
          <w:rFonts w:ascii="Arial" w:hAnsi="Arial"/>
        </w:rPr>
        <w:t>The Commission’s National Safety and Quality Primary and Community Healthcare Standards</w:t>
      </w:r>
      <w:r w:rsidR="00B41761" w:rsidRPr="00F46944">
        <w:rPr>
          <w:rFonts w:ascii="Arial" w:hAnsi="Arial"/>
        </w:rPr>
        <w:t xml:space="preserve"> </w:t>
      </w:r>
      <w:r w:rsidR="00B41761" w:rsidRPr="00F46944">
        <w:rPr>
          <w:rFonts w:ascii="Arial" w:hAnsi="Arial" w:cs="Arial"/>
        </w:rPr>
        <w:t>(Primary and Community Healthcare Standards)</w:t>
      </w:r>
      <w:r w:rsidR="00CB73D8" w:rsidRPr="00F46944">
        <w:rPr>
          <w:rFonts w:ascii="Arial" w:hAnsi="Arial"/>
        </w:rPr>
        <w:fldChar w:fldCharType="begin"/>
      </w:r>
      <w:r w:rsidR="00412507">
        <w:rPr>
          <w:rFonts w:ascii="Arial" w:hAnsi="Arial"/>
        </w:rPr>
        <w:instrText xml:space="preserve"> ADDIN EN.CITE &lt;EndNote&gt;&lt;Cite&gt;&lt;Author&gt;Care&lt;/Author&gt;&lt;Year&gt;2021&lt;/Year&gt;&lt;RecNum&gt;34&lt;/RecNum&gt;&lt;DisplayText&gt;&lt;style face="superscript"&gt;35&lt;/style&gt;&lt;/DisplayText&gt;&lt;record&gt;&lt;rec-number&gt;34&lt;/rec-number&gt;&lt;foreign-keys&gt;&lt;key app="EN" db-id="es9dr99ws90stoe5x2rp505nazvswdzppxa5" timestamp="1670810552"&gt;34&lt;/key&gt;&lt;/foreign-keys&gt;&lt;ref-type name="Government Document"&gt;46&lt;/ref-type&gt;&lt;contributors&gt;&lt;authors&gt;&lt;author&gt;Australian Commission on Safety and Quality in Health Care&lt;/author&gt;&lt;/authors&gt;&lt;/contributors&gt;&lt;titles&gt;&lt;title&gt;National Safety and Quality Primary and Community Healthcare Standards&lt;/title&gt;&lt;/titles&gt;&lt;dates&gt;&lt;year&gt;2021&lt;/year&gt;&lt;/dates&gt;&lt;pub-location&gt;Sydney&lt;/pub-location&gt;&lt;publisher&gt;ACSQHC&lt;/publisher&gt;&lt;urls&gt;&lt;related-urls&gt;&lt;url&gt;https://www.safetyandquality.gov.au/sites/default/files/2021-10/national_safety_and_quality_primary_and_community_healthcare_standards.pdf&lt;/url&gt;&lt;/related-urls&gt;&lt;/urls&gt;&lt;/record&gt;&lt;/Cite&gt;&lt;/EndNote&gt;</w:instrText>
      </w:r>
      <w:r w:rsidR="00CB73D8" w:rsidRPr="00F46944">
        <w:rPr>
          <w:rFonts w:ascii="Arial" w:hAnsi="Arial"/>
        </w:rPr>
        <w:fldChar w:fldCharType="separate"/>
      </w:r>
      <w:r w:rsidR="00C16B8F" w:rsidRPr="00C16B8F">
        <w:rPr>
          <w:rFonts w:ascii="Arial" w:hAnsi="Arial"/>
          <w:noProof/>
          <w:vertAlign w:val="superscript"/>
        </w:rPr>
        <w:t>35</w:t>
      </w:r>
      <w:r w:rsidR="00CB73D8" w:rsidRPr="00F46944">
        <w:rPr>
          <w:rFonts w:ascii="Arial" w:hAnsi="Arial"/>
        </w:rPr>
        <w:fldChar w:fldCharType="end"/>
      </w:r>
      <w:r w:rsidR="007E72F5" w:rsidRPr="00F46944">
        <w:rPr>
          <w:rFonts w:ascii="Arial" w:hAnsi="Arial"/>
        </w:rPr>
        <w:t xml:space="preserve"> describe the processes and structures that are needed to deliver safe and high-quality health care in relation to antimicrobial use and prescribing. These Standards</w:t>
      </w:r>
      <w:r w:rsidR="00421AFF" w:rsidRPr="00F46944">
        <w:rPr>
          <w:rFonts w:ascii="Arial" w:hAnsi="Arial"/>
        </w:rPr>
        <w:t xml:space="preserve"> </w:t>
      </w:r>
      <w:r w:rsidR="007E72F5" w:rsidRPr="00F46944">
        <w:rPr>
          <w:rFonts w:ascii="Arial" w:hAnsi="Arial"/>
        </w:rPr>
        <w:t>require h</w:t>
      </w:r>
      <w:r w:rsidR="007E72F5" w:rsidRPr="00F46944">
        <w:t xml:space="preserve">ealthcare services that prescribe, </w:t>
      </w:r>
      <w:r w:rsidR="006A6A75" w:rsidRPr="00F46944">
        <w:t>supply,</w:t>
      </w:r>
      <w:r w:rsidR="007E72F5" w:rsidRPr="00F46944">
        <w:t xml:space="preserve"> and administer </w:t>
      </w:r>
      <w:r w:rsidR="00F41E9B" w:rsidRPr="00F46944">
        <w:t xml:space="preserve">antimicrobials </w:t>
      </w:r>
      <w:r w:rsidR="007E72F5" w:rsidRPr="00F46944">
        <w:t xml:space="preserve">to: </w:t>
      </w:r>
    </w:p>
    <w:p w14:paraId="34BE2E03" w14:textId="4AD80649" w:rsidR="007E72F5" w:rsidRPr="00F46944" w:rsidRDefault="00D77422" w:rsidP="003140B6">
      <w:pPr>
        <w:pStyle w:val="ListParagraph"/>
        <w:numPr>
          <w:ilvl w:val="0"/>
          <w:numId w:val="24"/>
        </w:numPr>
        <w:spacing w:after="80"/>
        <w:rPr>
          <w:rFonts w:ascii="Arial" w:hAnsi="Arial"/>
        </w:rPr>
      </w:pPr>
      <w:r>
        <w:rPr>
          <w:rFonts w:ascii="ZWAdobeF" w:hAnsi="ZWAdobeF" w:cs="ZWAdobeF"/>
          <w:sz w:val="2"/>
          <w:szCs w:val="2"/>
        </w:rPr>
        <w:t>206B</w:t>
      </w:r>
      <w:r w:rsidR="007E72F5" w:rsidRPr="00F46944">
        <w:t xml:space="preserve">Provide healthcare providers with access to, and promote the use of, current evidence-based Australian therapeutic </w:t>
      </w:r>
      <w:r w:rsidR="007B5347" w:rsidRPr="00F46944">
        <w:t>g</w:t>
      </w:r>
      <w:r w:rsidR="007E72F5" w:rsidRPr="00F46944">
        <w:t>uidelines and resources on antimicrobial prescribing</w:t>
      </w:r>
    </w:p>
    <w:p w14:paraId="63265183" w14:textId="70C82FA0" w:rsidR="007E72F5" w:rsidRPr="00F46944" w:rsidRDefault="00D77422" w:rsidP="003140B6">
      <w:pPr>
        <w:pStyle w:val="ListParagraph"/>
        <w:numPr>
          <w:ilvl w:val="0"/>
          <w:numId w:val="24"/>
        </w:numPr>
        <w:spacing w:after="80"/>
        <w:rPr>
          <w:rFonts w:ascii="Arial" w:hAnsi="Arial"/>
        </w:rPr>
      </w:pPr>
      <w:r>
        <w:rPr>
          <w:rFonts w:ascii="ZWAdobeF" w:hAnsi="ZWAdobeF" w:cs="ZWAdobeF"/>
          <w:sz w:val="2"/>
          <w:szCs w:val="2"/>
        </w:rPr>
        <w:t>207B</w:t>
      </w:r>
      <w:r w:rsidR="007E72F5" w:rsidRPr="00F46944">
        <w:t xml:space="preserve">Incorporate core elements, </w:t>
      </w:r>
      <w:r w:rsidR="00956C22" w:rsidRPr="00F46944">
        <w:t>recommendations,</w:t>
      </w:r>
      <w:r w:rsidR="007E72F5" w:rsidRPr="00F46944">
        <w:t xml:space="preserve"> and principles from the current </w:t>
      </w:r>
      <w:r w:rsidR="00AC7768" w:rsidRPr="00F46944">
        <w:t>AMS</w:t>
      </w:r>
      <w:r w:rsidR="007E72F5" w:rsidRPr="00F46944">
        <w:t xml:space="preserve"> Clinical Care Standard</w:t>
      </w:r>
      <w:r w:rsidR="00C16B8F">
        <w:fldChar w:fldCharType="begin"/>
      </w:r>
      <w:r w:rsidR="00C16B8F">
        <w:instrText xml:space="preserve"> ADDIN EN.CITE &lt;EndNote&gt;&lt;Cite&gt;&lt;Author&gt;Australian Commission on Safety and Quality in Health Care&lt;/Author&gt;&lt;Year&gt;2020&lt;/Year&gt;&lt;RecNum&gt;36&lt;/RecNum&gt;&lt;DisplayText&gt;&lt;style face="superscript"&gt;36&lt;/style&gt;&lt;/DisplayText&gt;&lt;record&gt;&lt;rec-number&gt;36&lt;/rec-number&gt;&lt;foreign-keys&gt;&lt;key app="EN" db-id="es9dr99ws90stoe5x2rp505nazvswdzppxa5" timestamp="1670811681"&gt;36&lt;/key&gt;&lt;/foreign-keys&gt;&lt;ref-type name="Standard"&gt;58&lt;/ref-type&gt;&lt;contributors&gt;&lt;authors&gt;&lt;author&gt;Australian Commission on Safety and Quality in Health Care,&lt;/author&gt;&lt;/authors&gt;&lt;/contributors&gt;&lt;titles&gt;&lt;title&gt;Antimicrobial Stewardship Clinical Care Standard&lt;/title&gt;&lt;/titles&gt;&lt;dates&gt;&lt;year&gt;2020&lt;/year&gt;&lt;/dates&gt;&lt;pub-location&gt;Sydney&lt;/pub-location&gt;&lt;publisher&gt;ACSQHC&lt;/publisher&gt;&lt;urls&gt;&lt;related-urls&gt;&lt;url&gt;https://www.safetyandquality.gov.au/publications-and-resources/resource-library/antimicrobial-stewardship-clinical-care-standard-2020-publication&lt;/url&gt;&lt;/related-urls&gt;&lt;/urls&gt;&lt;access-date&gt;24 May 2021&lt;/access-date&gt;&lt;/record&gt;&lt;/Cite&gt;&lt;/EndNote&gt;</w:instrText>
      </w:r>
      <w:r w:rsidR="00C16B8F">
        <w:fldChar w:fldCharType="separate"/>
      </w:r>
      <w:r w:rsidR="00C16B8F" w:rsidRPr="00C16B8F">
        <w:rPr>
          <w:noProof/>
          <w:vertAlign w:val="superscript"/>
        </w:rPr>
        <w:t>36</w:t>
      </w:r>
      <w:r w:rsidR="00C16B8F">
        <w:fldChar w:fldCharType="end"/>
      </w:r>
      <w:r w:rsidR="007E72F5" w:rsidRPr="00F46944">
        <w:t xml:space="preserve"> into service delivery</w:t>
      </w:r>
    </w:p>
    <w:p w14:paraId="683F0744" w14:textId="39579A53" w:rsidR="007E72F5" w:rsidRPr="00F46944" w:rsidRDefault="00D77422" w:rsidP="003140B6">
      <w:pPr>
        <w:pStyle w:val="ListParagraph"/>
        <w:numPr>
          <w:ilvl w:val="0"/>
          <w:numId w:val="24"/>
        </w:numPr>
        <w:spacing w:after="80"/>
        <w:rPr>
          <w:rFonts w:ascii="Arial" w:hAnsi="Arial"/>
        </w:rPr>
      </w:pPr>
      <w:r>
        <w:rPr>
          <w:rFonts w:ascii="ZWAdobeF" w:hAnsi="ZWAdobeF" w:cs="ZWAdobeF"/>
          <w:sz w:val="2"/>
          <w:szCs w:val="2"/>
        </w:rPr>
        <w:t>208B</w:t>
      </w:r>
      <w:r w:rsidR="007E72F5" w:rsidRPr="00F46944">
        <w:t xml:space="preserve">Support healthcare providers who prescribe antimicrobials to review compliance of antimicrobial prescribing against current local or Australian </w:t>
      </w:r>
      <w:r w:rsidR="001C41FD">
        <w:t>t</w:t>
      </w:r>
      <w:r w:rsidR="007E72F5" w:rsidRPr="001C41FD">
        <w:t xml:space="preserve">herapeutic </w:t>
      </w:r>
      <w:r w:rsidR="001C41FD">
        <w:t>g</w:t>
      </w:r>
      <w:r w:rsidR="007E72F5" w:rsidRPr="001C41FD">
        <w:t>uidelines</w:t>
      </w:r>
      <w:r w:rsidR="007E72F5" w:rsidRPr="00F46944">
        <w:t xml:space="preserve"> </w:t>
      </w:r>
    </w:p>
    <w:p w14:paraId="14345C69" w14:textId="35848E65" w:rsidR="007E72F5" w:rsidRPr="00F46944" w:rsidRDefault="00D77422" w:rsidP="003140B6">
      <w:pPr>
        <w:pStyle w:val="ListParagraph"/>
        <w:numPr>
          <w:ilvl w:val="0"/>
          <w:numId w:val="24"/>
        </w:numPr>
        <w:spacing w:after="80"/>
        <w:rPr>
          <w:rFonts w:ascii="Arial" w:hAnsi="Arial"/>
        </w:rPr>
      </w:pPr>
      <w:r>
        <w:rPr>
          <w:rFonts w:ascii="ZWAdobeF" w:hAnsi="ZWAdobeF" w:cs="ZWAdobeF"/>
          <w:sz w:val="2"/>
          <w:szCs w:val="2"/>
        </w:rPr>
        <w:t>209B</w:t>
      </w:r>
      <w:r w:rsidR="007E72F5" w:rsidRPr="00F46944">
        <w:t xml:space="preserve">Support healthcare providers to identify the areas of improvement and take action to increase the appropriateness of antimicrobial usage </w:t>
      </w:r>
    </w:p>
    <w:p w14:paraId="73946BC4" w14:textId="2821D8BD" w:rsidR="007E72F5" w:rsidRPr="00F46944" w:rsidRDefault="00D77422" w:rsidP="003140B6">
      <w:pPr>
        <w:pStyle w:val="ListParagraph"/>
        <w:numPr>
          <w:ilvl w:val="0"/>
          <w:numId w:val="24"/>
        </w:numPr>
        <w:spacing w:after="80"/>
        <w:rPr>
          <w:rFonts w:ascii="Arial" w:hAnsi="Arial"/>
        </w:rPr>
      </w:pPr>
      <w:r>
        <w:rPr>
          <w:rFonts w:ascii="ZWAdobeF" w:hAnsi="ZWAdobeF" w:cs="ZWAdobeF"/>
          <w:sz w:val="2"/>
          <w:szCs w:val="2"/>
        </w:rPr>
        <w:t>210B</w:t>
      </w:r>
      <w:r w:rsidR="007E72F5" w:rsidRPr="00F46944">
        <w:t xml:space="preserve">Have mechanisms to educate consumers about the risks, </w:t>
      </w:r>
      <w:r w:rsidR="00956C22" w:rsidRPr="00F46944">
        <w:t>benefits,</w:t>
      </w:r>
      <w:r w:rsidR="007E72F5" w:rsidRPr="00F46944">
        <w:t xml:space="preserve"> and alternatives to antimicrobials for their condition.</w:t>
      </w:r>
    </w:p>
    <w:p w14:paraId="407A2F97" w14:textId="32D1727C" w:rsidR="006822FD" w:rsidRPr="00780069" w:rsidRDefault="00D77422" w:rsidP="006822FD">
      <w:r>
        <w:rPr>
          <w:rFonts w:ascii="ZWAdobeF" w:hAnsi="ZWAdobeF" w:cs="ZWAdobeF"/>
          <w:sz w:val="2"/>
          <w:szCs w:val="2"/>
        </w:rPr>
        <w:t>674B</w:t>
      </w:r>
      <w:r w:rsidR="006822FD" w:rsidRPr="00780069">
        <w:t>To promote ongoing reductions in antimicrobial use and increased appropriateness of antimicrobial use in the community, the Commission will:</w:t>
      </w:r>
    </w:p>
    <w:p w14:paraId="2A808A06" w14:textId="51793ACC" w:rsidR="006822FD" w:rsidRPr="00780069" w:rsidRDefault="00D77422" w:rsidP="003140B6">
      <w:pPr>
        <w:pStyle w:val="Normal-beforebullets"/>
        <w:numPr>
          <w:ilvl w:val="0"/>
          <w:numId w:val="36"/>
        </w:numPr>
        <w:ind w:left="360"/>
      </w:pPr>
      <w:r>
        <w:rPr>
          <w:rFonts w:ascii="ZWAdobeF" w:hAnsi="ZWAdobeF" w:cs="ZWAdobeF"/>
          <w:sz w:val="2"/>
          <w:szCs w:val="2"/>
        </w:rPr>
        <w:t>706B</w:t>
      </w:r>
      <w:r w:rsidR="006822FD" w:rsidRPr="00780069">
        <w:t>Continue to report the results of antimicrobial prescribing and use the data to inform quality improvement strategies</w:t>
      </w:r>
    </w:p>
    <w:p w14:paraId="51367960" w14:textId="408BE266" w:rsidR="006822FD" w:rsidRDefault="00D77422" w:rsidP="003140B6">
      <w:pPr>
        <w:pStyle w:val="Normal-beforebullets"/>
        <w:numPr>
          <w:ilvl w:val="0"/>
          <w:numId w:val="36"/>
        </w:numPr>
        <w:ind w:left="360"/>
      </w:pPr>
      <w:r>
        <w:rPr>
          <w:rFonts w:ascii="ZWAdobeF" w:hAnsi="ZWAdobeF" w:cs="ZWAdobeF"/>
          <w:sz w:val="2"/>
          <w:szCs w:val="2"/>
        </w:rPr>
        <w:t>707B</w:t>
      </w:r>
      <w:r w:rsidR="006822FD">
        <w:t>In liaison</w:t>
      </w:r>
      <w:r w:rsidR="006822FD" w:rsidRPr="00780069">
        <w:t xml:space="preserve"> with the Department</w:t>
      </w:r>
      <w:r w:rsidR="006822FD">
        <w:t>, explore opportunities to increase capacity to monitor non-PBS/RPBS antimicrobial use, repeat prescriptions for antimicrobials, and the indications for which antimicrobials are prescribed</w:t>
      </w:r>
      <w:r w:rsidR="006822FD" w:rsidRPr="00780069">
        <w:t xml:space="preserve"> </w:t>
      </w:r>
    </w:p>
    <w:p w14:paraId="197DB625" w14:textId="0FEADF79" w:rsidR="006822FD" w:rsidRDefault="00D77422" w:rsidP="003140B6">
      <w:pPr>
        <w:pStyle w:val="Normal-beforebullets"/>
        <w:numPr>
          <w:ilvl w:val="0"/>
          <w:numId w:val="36"/>
        </w:numPr>
        <w:ind w:left="360"/>
      </w:pPr>
      <w:r>
        <w:rPr>
          <w:rFonts w:ascii="ZWAdobeF" w:hAnsi="ZWAdobeF" w:cs="ZWAdobeF"/>
          <w:sz w:val="2"/>
          <w:szCs w:val="2"/>
        </w:rPr>
        <w:t>708B</w:t>
      </w:r>
      <w:r w:rsidR="006822FD" w:rsidRPr="00780069">
        <w:t>Continue to work with clinicians, the Royal Australian College of General Practitioners, Primary Health Networks and other primary care organisations, the Department and state</w:t>
      </w:r>
      <w:r w:rsidR="006822FD">
        <w:t>s</w:t>
      </w:r>
      <w:r w:rsidR="006822FD" w:rsidRPr="00780069">
        <w:t xml:space="preserve"> and territor</w:t>
      </w:r>
      <w:r w:rsidR="006822FD">
        <w:t>ies</w:t>
      </w:r>
      <w:r w:rsidR="006822FD" w:rsidRPr="00780069">
        <w:t xml:space="preserve"> to develop targeted strategies to improve appropriateness of antimicrobial prescribing</w:t>
      </w:r>
    </w:p>
    <w:p w14:paraId="6E10B292" w14:textId="667E21FD" w:rsidR="006822FD" w:rsidRDefault="00D77422" w:rsidP="003140B6">
      <w:pPr>
        <w:pStyle w:val="Normal-beforebullets"/>
        <w:numPr>
          <w:ilvl w:val="0"/>
          <w:numId w:val="36"/>
        </w:numPr>
        <w:ind w:left="360"/>
      </w:pPr>
      <w:r>
        <w:rPr>
          <w:rFonts w:ascii="ZWAdobeF" w:hAnsi="ZWAdobeF" w:cs="ZWAdobeF"/>
          <w:sz w:val="2"/>
          <w:szCs w:val="2"/>
        </w:rPr>
        <w:t>709B</w:t>
      </w:r>
      <w:r w:rsidR="006822FD" w:rsidRPr="00780069">
        <w:t>Support implementation of the Primary and Community Healthcare Standards</w:t>
      </w:r>
    </w:p>
    <w:p w14:paraId="55C6BE14" w14:textId="04204EDD" w:rsidR="00AF2D2B" w:rsidRDefault="00D77422" w:rsidP="003140B6">
      <w:pPr>
        <w:pStyle w:val="Normal-beforebullets"/>
        <w:numPr>
          <w:ilvl w:val="0"/>
          <w:numId w:val="36"/>
        </w:numPr>
        <w:ind w:left="360"/>
      </w:pPr>
      <w:r>
        <w:rPr>
          <w:rFonts w:ascii="ZWAdobeF" w:hAnsi="ZWAdobeF" w:cs="ZWAdobeF"/>
          <w:sz w:val="2"/>
          <w:szCs w:val="2"/>
        </w:rPr>
        <w:t>710B</w:t>
      </w:r>
      <w:r w:rsidR="00AF2D2B">
        <w:t>Work with states and territories to d</w:t>
      </w:r>
      <w:r w:rsidR="00AF2D2B" w:rsidRPr="00780069">
        <w:t xml:space="preserve">evelop </w:t>
      </w:r>
      <w:r w:rsidR="00AF2D2B">
        <w:t xml:space="preserve">and promote </w:t>
      </w:r>
      <w:r w:rsidR="00AF2D2B" w:rsidRPr="00780069">
        <w:t xml:space="preserve">strategies </w:t>
      </w:r>
      <w:r w:rsidR="00AF2D2B">
        <w:t>to reduce inappropriate antimicrobial prescribing to improve the care of patients, particularly in the treatment of conditions associated with high inappropriate use</w:t>
      </w:r>
    </w:p>
    <w:p w14:paraId="06C161F1" w14:textId="39476CA9" w:rsidR="006822FD" w:rsidRPr="00780069" w:rsidRDefault="00D77422" w:rsidP="003140B6">
      <w:pPr>
        <w:pStyle w:val="Normal-beforebullets"/>
        <w:numPr>
          <w:ilvl w:val="0"/>
          <w:numId w:val="36"/>
        </w:numPr>
        <w:ind w:left="360"/>
      </w:pPr>
      <w:r>
        <w:rPr>
          <w:rFonts w:ascii="ZWAdobeF" w:hAnsi="ZWAdobeF" w:cs="ZWAdobeF"/>
          <w:sz w:val="2"/>
          <w:szCs w:val="2"/>
        </w:rPr>
        <w:t>711B</w:t>
      </w:r>
      <w:r w:rsidR="006822FD" w:rsidRPr="00780069">
        <w:t>Promote maintenance of public health actions</w:t>
      </w:r>
      <w:r w:rsidR="006822FD">
        <w:t>, and infection prevention and control strategies</w:t>
      </w:r>
      <w:r w:rsidR="006822FD" w:rsidRPr="00780069">
        <w:t xml:space="preserve"> such as wearing a mask and staying home when experiencing symptoms of respiratory illness and encouraging hand hygiene and physical distancing to reduce the risk of transmission of infection in the community</w:t>
      </w:r>
      <w:r w:rsidR="006822FD">
        <w:t>, and their potential impact on reducing antimicrobial use</w:t>
      </w:r>
    </w:p>
    <w:p w14:paraId="2C02B710" w14:textId="3E901A22" w:rsidR="006822FD" w:rsidRPr="00780069" w:rsidRDefault="00D77422" w:rsidP="003140B6">
      <w:pPr>
        <w:pStyle w:val="Normal-beforebullets"/>
        <w:numPr>
          <w:ilvl w:val="0"/>
          <w:numId w:val="36"/>
        </w:numPr>
        <w:ind w:left="360"/>
      </w:pPr>
      <w:r>
        <w:rPr>
          <w:rFonts w:ascii="ZWAdobeF" w:hAnsi="ZWAdobeF" w:cs="ZWAdobeF"/>
          <w:sz w:val="2"/>
          <w:szCs w:val="2"/>
        </w:rPr>
        <w:t>712B</w:t>
      </w:r>
      <w:r w:rsidR="006822FD">
        <w:t>Review resources for consumers to improve their understanding of the importance of antimicrobial use</w:t>
      </w:r>
      <w:r w:rsidR="006822FD" w:rsidRPr="00780069">
        <w:t>.</w:t>
      </w:r>
    </w:p>
    <w:p w14:paraId="4A56AECF" w14:textId="06B1EFC9" w:rsidR="006C3E70" w:rsidRPr="00F46944" w:rsidRDefault="007E72F5" w:rsidP="00901AB0">
      <w:pPr>
        <w:spacing w:after="80"/>
        <w:rPr>
          <w:rFonts w:ascii="Arial" w:hAnsi="Arial"/>
          <w:b/>
          <w:bCs/>
        </w:rPr>
      </w:pPr>
      <w:r w:rsidRPr="00F46944">
        <w:rPr>
          <w:rFonts w:ascii="Arial" w:hAnsi="Arial"/>
          <w:b/>
          <w:bCs/>
          <w:iCs/>
          <w:lang w:eastAsia="en-US"/>
        </w:rPr>
        <w:br w:type="page"/>
      </w:r>
    </w:p>
    <w:p w14:paraId="2EEAE15D" w14:textId="69C8D656" w:rsidR="00DA0C5D" w:rsidRPr="00F46944" w:rsidRDefault="00DA0C5D" w:rsidP="00DA0C5D">
      <w:pPr>
        <w:pStyle w:val="Heading1"/>
        <w:rPr>
          <w:rFonts w:asciiTheme="majorHAnsi" w:hAnsiTheme="majorHAnsi" w:cstheme="majorHAnsi"/>
          <w:color w:val="595959" w:themeColor="text1" w:themeTint="A6"/>
        </w:rPr>
      </w:pPr>
      <w:bookmarkStart w:id="184" w:name="_Toc121826738"/>
      <w:r w:rsidRPr="00F46944">
        <w:rPr>
          <w:rFonts w:asciiTheme="majorHAnsi" w:hAnsiTheme="majorHAnsi" w:cstheme="majorHAnsi"/>
          <w:color w:val="595959" w:themeColor="text1" w:themeTint="A6"/>
        </w:rPr>
        <w:lastRenderedPageBreak/>
        <w:t>References</w:t>
      </w:r>
      <w:bookmarkEnd w:id="184"/>
    </w:p>
    <w:p w14:paraId="7BE733C6" w14:textId="1C673605" w:rsidR="00C1249F" w:rsidRPr="00C1249F" w:rsidRDefault="00FD260F" w:rsidP="002043EB">
      <w:pPr>
        <w:pStyle w:val="EndNoteBibliography"/>
        <w:spacing w:after="0"/>
        <w:ind w:left="720" w:hanging="720"/>
      </w:pPr>
      <w:r w:rsidRPr="00F46944">
        <w:fldChar w:fldCharType="begin"/>
      </w:r>
      <w:r w:rsidRPr="00F46944">
        <w:instrText xml:space="preserve"> ADDIN EN.REFLIST </w:instrText>
      </w:r>
      <w:r w:rsidRPr="00F46944">
        <w:fldChar w:fldCharType="separate"/>
      </w:r>
      <w:r w:rsidR="00D77422">
        <w:rPr>
          <w:rFonts w:ascii="ZWAdobeF" w:hAnsi="ZWAdobeF" w:cs="ZWAdobeF"/>
          <w:color w:val="auto"/>
          <w:sz w:val="2"/>
          <w:szCs w:val="2"/>
        </w:rPr>
        <w:t>45B</w:t>
      </w:r>
      <w:r w:rsidR="00C1249F" w:rsidRPr="00C1249F">
        <w:t>1.</w:t>
      </w:r>
      <w:r w:rsidR="00C1249F" w:rsidRPr="00C1249F">
        <w:tab/>
      </w:r>
      <w:r w:rsidR="00782D39">
        <w:t xml:space="preserve">Australian Commission on Safety and Quality in Health Care. </w:t>
      </w:r>
      <w:r w:rsidR="00C1249F" w:rsidRPr="00C1249F">
        <w:t>AURA 2021: fourth Australian report on antimicrobial use and resistance in human health. Sydney: ACSQHC, 2021.</w:t>
      </w:r>
    </w:p>
    <w:p w14:paraId="50985C32" w14:textId="72A0C309" w:rsidR="00C1249F" w:rsidRPr="00C1249F" w:rsidRDefault="00D77422" w:rsidP="002043EB">
      <w:pPr>
        <w:pStyle w:val="EndNoteBibliography"/>
        <w:spacing w:after="0"/>
        <w:ind w:left="720" w:hanging="720"/>
      </w:pPr>
      <w:r>
        <w:rPr>
          <w:rFonts w:ascii="ZWAdobeF" w:hAnsi="ZWAdobeF" w:cs="ZWAdobeF"/>
          <w:color w:val="auto"/>
          <w:sz w:val="2"/>
          <w:szCs w:val="2"/>
        </w:rPr>
        <w:t>46B</w:t>
      </w:r>
      <w:r w:rsidR="00C1249F" w:rsidRPr="00C1249F">
        <w:t>2.</w:t>
      </w:r>
      <w:r w:rsidR="00C1249F" w:rsidRPr="00C1249F">
        <w:tab/>
      </w:r>
      <w:r w:rsidR="00782D39">
        <w:t>Australian Commission on Safety and Quality in Health Care.</w:t>
      </w:r>
      <w:r w:rsidR="00C1249F" w:rsidRPr="00C1249F">
        <w:t xml:space="preserve"> AURA 2016: first Australian report on antimicrobial use and resistance in human health. Sydney: ACSQHC, 2016.</w:t>
      </w:r>
    </w:p>
    <w:p w14:paraId="5C38A11D" w14:textId="7F837EB4" w:rsidR="00C1249F" w:rsidRPr="00C1249F" w:rsidRDefault="00D77422" w:rsidP="002043EB">
      <w:pPr>
        <w:pStyle w:val="EndNoteBibliography"/>
        <w:spacing w:after="0"/>
        <w:ind w:left="720" w:hanging="720"/>
      </w:pPr>
      <w:r>
        <w:rPr>
          <w:rFonts w:ascii="ZWAdobeF" w:hAnsi="ZWAdobeF" w:cs="ZWAdobeF"/>
          <w:color w:val="auto"/>
          <w:sz w:val="2"/>
          <w:szCs w:val="2"/>
        </w:rPr>
        <w:t>47B</w:t>
      </w:r>
      <w:r w:rsidR="00C1249F" w:rsidRPr="00C1249F">
        <w:t>3.</w:t>
      </w:r>
      <w:r w:rsidR="00C1249F" w:rsidRPr="00C1249F">
        <w:tab/>
      </w:r>
      <w:r w:rsidR="00782D39">
        <w:t>Australian Commission on Safety and Quality in Health Care</w:t>
      </w:r>
      <w:r w:rsidR="00C1249F" w:rsidRPr="00C1249F">
        <w:t>. AURA 2017: second Australian report on antimicrobial use and resistance in human health. Sydney: ACSQHC, 2017.</w:t>
      </w:r>
    </w:p>
    <w:p w14:paraId="5637C1D4" w14:textId="3D624F28" w:rsidR="00C1249F" w:rsidRPr="00C1249F" w:rsidRDefault="00D77422" w:rsidP="002043EB">
      <w:pPr>
        <w:pStyle w:val="EndNoteBibliography"/>
        <w:spacing w:after="0"/>
        <w:ind w:left="720" w:hanging="720"/>
      </w:pPr>
      <w:r>
        <w:rPr>
          <w:rFonts w:ascii="ZWAdobeF" w:hAnsi="ZWAdobeF" w:cs="ZWAdobeF"/>
          <w:color w:val="auto"/>
          <w:sz w:val="2"/>
          <w:szCs w:val="2"/>
        </w:rPr>
        <w:t>48B</w:t>
      </w:r>
      <w:r w:rsidR="00C1249F" w:rsidRPr="00C1249F">
        <w:t>4.</w:t>
      </w:r>
      <w:r w:rsidR="00C1249F" w:rsidRPr="00C1249F">
        <w:tab/>
      </w:r>
      <w:r w:rsidR="00782D39">
        <w:t>Australian Commission on Safety and Quality in Health Care</w:t>
      </w:r>
      <w:r w:rsidR="00C1249F" w:rsidRPr="00C1249F">
        <w:t>. AURA 2019: third Australian report on antimicrobial use and resistance in human health. Sydney: ACSQHC, 2019.</w:t>
      </w:r>
    </w:p>
    <w:p w14:paraId="77C3A811" w14:textId="436CBB82" w:rsidR="00C1249F" w:rsidRPr="00C1249F" w:rsidRDefault="00D77422" w:rsidP="002043EB">
      <w:pPr>
        <w:pStyle w:val="EndNoteBibliography"/>
        <w:spacing w:after="0"/>
        <w:ind w:left="720" w:hanging="720"/>
      </w:pPr>
      <w:r>
        <w:rPr>
          <w:rFonts w:ascii="ZWAdobeF" w:hAnsi="ZWAdobeF" w:cs="ZWAdobeF"/>
          <w:color w:val="auto"/>
          <w:sz w:val="2"/>
          <w:szCs w:val="2"/>
        </w:rPr>
        <w:t>49B</w:t>
      </w:r>
      <w:r w:rsidR="00C1249F" w:rsidRPr="00C1249F">
        <w:t>5.</w:t>
      </w:r>
      <w:r w:rsidR="00C1249F" w:rsidRPr="00C1249F">
        <w:tab/>
        <w:t>Gadzhanova S, Roughead E. Analysis of 2015–2021 PBS data for the National Report on Antimicrobial Use and Resistance (unpublished).</w:t>
      </w:r>
    </w:p>
    <w:p w14:paraId="1202210F" w14:textId="7EF97790" w:rsidR="00C1249F" w:rsidRPr="00C1249F" w:rsidRDefault="00D77422" w:rsidP="002043EB">
      <w:pPr>
        <w:pStyle w:val="EndNoteBibliography"/>
        <w:spacing w:after="0"/>
        <w:ind w:left="720" w:hanging="720"/>
      </w:pPr>
      <w:r>
        <w:rPr>
          <w:rFonts w:ascii="ZWAdobeF" w:hAnsi="ZWAdobeF" w:cs="ZWAdobeF"/>
          <w:color w:val="auto"/>
          <w:sz w:val="2"/>
          <w:szCs w:val="2"/>
        </w:rPr>
        <w:t>50B</w:t>
      </w:r>
      <w:r w:rsidR="00C1249F" w:rsidRPr="00C1249F">
        <w:t>6.</w:t>
      </w:r>
      <w:r w:rsidR="00C1249F" w:rsidRPr="00C1249F">
        <w:tab/>
        <w:t>NPS MedicineWise. MedicineInsight data analyses for AURA Community report, May 2022 (unpublished).</w:t>
      </w:r>
    </w:p>
    <w:p w14:paraId="26E25344" w14:textId="2033D184" w:rsidR="00C1249F" w:rsidRPr="00C1249F" w:rsidRDefault="00D77422" w:rsidP="002043EB">
      <w:pPr>
        <w:pStyle w:val="EndNoteBibliography"/>
        <w:spacing w:after="0"/>
        <w:ind w:left="720" w:hanging="720"/>
      </w:pPr>
      <w:r>
        <w:rPr>
          <w:rFonts w:ascii="ZWAdobeF" w:hAnsi="ZWAdobeF" w:cs="ZWAdobeF"/>
          <w:color w:val="auto"/>
          <w:sz w:val="2"/>
          <w:szCs w:val="2"/>
        </w:rPr>
        <w:t>51B</w:t>
      </w:r>
      <w:r w:rsidR="00C1249F" w:rsidRPr="00C1249F">
        <w:t>7.</w:t>
      </w:r>
      <w:r w:rsidR="00C1249F" w:rsidRPr="00C1249F">
        <w:tab/>
      </w:r>
      <w:r w:rsidR="007C0EB7">
        <w:t>World Health Organization</w:t>
      </w:r>
      <w:r w:rsidR="00C1249F" w:rsidRPr="00C1249F">
        <w:t xml:space="preserve">. Antimicrobial resistance. [Internet] 2021. Available from: </w:t>
      </w:r>
      <w:hyperlink r:id="rId46" w:history="1">
        <w:r w:rsidR="00C1249F" w:rsidRPr="00C1249F">
          <w:rPr>
            <w:rStyle w:val="Hyperlink"/>
          </w:rPr>
          <w:t>https://www.who.int/news-room/fact-sheets/detail/antimicrobial-resistance</w:t>
        </w:r>
      </w:hyperlink>
    </w:p>
    <w:p w14:paraId="2381F3D8" w14:textId="3C3A35EE" w:rsidR="00C1249F" w:rsidRPr="00C1249F" w:rsidRDefault="00D77422" w:rsidP="002043EB">
      <w:pPr>
        <w:pStyle w:val="EndNoteBibliography"/>
        <w:spacing w:after="0"/>
        <w:ind w:left="720" w:hanging="720"/>
      </w:pPr>
      <w:r>
        <w:rPr>
          <w:rFonts w:ascii="ZWAdobeF" w:hAnsi="ZWAdobeF" w:cs="ZWAdobeF"/>
          <w:color w:val="auto"/>
          <w:sz w:val="2"/>
          <w:szCs w:val="2"/>
        </w:rPr>
        <w:t>52B</w:t>
      </w:r>
      <w:r w:rsidR="00C1249F" w:rsidRPr="00C1249F">
        <w:t>8.</w:t>
      </w:r>
      <w:r w:rsidR="00C1249F" w:rsidRPr="00C1249F">
        <w:tab/>
        <w:t>G Hunt (Minister for Health), B Murphy (Chief Medical Officer). First confirmed case of novel coronavirus in Australia. 2020.</w:t>
      </w:r>
    </w:p>
    <w:p w14:paraId="473C790F" w14:textId="2AAFFAEE" w:rsidR="00C1249F" w:rsidRPr="00C1249F" w:rsidRDefault="00D77422" w:rsidP="002043EB">
      <w:pPr>
        <w:pStyle w:val="EndNoteBibliography"/>
        <w:spacing w:after="0"/>
        <w:ind w:left="720" w:hanging="720"/>
      </w:pPr>
      <w:r>
        <w:rPr>
          <w:rFonts w:ascii="ZWAdobeF" w:hAnsi="ZWAdobeF" w:cs="ZWAdobeF"/>
          <w:color w:val="auto"/>
          <w:sz w:val="2"/>
          <w:szCs w:val="2"/>
        </w:rPr>
        <w:t>53B</w:t>
      </w:r>
      <w:r w:rsidR="00C1249F" w:rsidRPr="00C1249F">
        <w:t>9.</w:t>
      </w:r>
      <w:r w:rsidR="00C1249F" w:rsidRPr="00C1249F">
        <w:tab/>
        <w:t xml:space="preserve">World Health Organization. WHO Director-General's opening remarks at the media briefing on COVID-19 - 11 March 2020. [Internet] 2020. Available from: </w:t>
      </w:r>
      <w:hyperlink r:id="rId47" w:history="1">
        <w:r w:rsidR="00C1249F" w:rsidRPr="00C1249F">
          <w:rPr>
            <w:rStyle w:val="Hyperlink"/>
          </w:rPr>
          <w:t>https://www.who.int/director-general/speeches/detail/who-director-general-s-opening-remarks-at-the-media-briefing-on-covid-19---11-march-2020</w:t>
        </w:r>
      </w:hyperlink>
    </w:p>
    <w:p w14:paraId="09C36B6B" w14:textId="76FB887C" w:rsidR="00C1249F" w:rsidRPr="00C1249F" w:rsidRDefault="00D77422" w:rsidP="002043EB">
      <w:pPr>
        <w:pStyle w:val="EndNoteBibliography"/>
        <w:spacing w:after="0"/>
        <w:ind w:left="720" w:hanging="720"/>
      </w:pPr>
      <w:r>
        <w:rPr>
          <w:rFonts w:ascii="ZWAdobeF" w:hAnsi="ZWAdobeF" w:cs="ZWAdobeF"/>
          <w:color w:val="auto"/>
          <w:sz w:val="2"/>
          <w:szCs w:val="2"/>
        </w:rPr>
        <w:t>54B</w:t>
      </w:r>
      <w:r w:rsidR="00C1249F" w:rsidRPr="00C1249F">
        <w:t>10.</w:t>
      </w:r>
      <w:r w:rsidR="00C1249F" w:rsidRPr="00C1249F">
        <w:tab/>
        <w:t>Prime Minister, Minister for Health, Minister for Aged Care and Senior Australians, Minister for Youth and Sport. $2.4 Billion health plan to fight COVID-19. 2020.</w:t>
      </w:r>
    </w:p>
    <w:p w14:paraId="54761581" w14:textId="10DFDBAF" w:rsidR="00C1249F" w:rsidRPr="00C1249F" w:rsidRDefault="00D77422" w:rsidP="002043EB">
      <w:pPr>
        <w:pStyle w:val="EndNoteBibliography"/>
        <w:spacing w:after="0"/>
        <w:ind w:left="720" w:hanging="720"/>
      </w:pPr>
      <w:r>
        <w:rPr>
          <w:rFonts w:ascii="ZWAdobeF" w:hAnsi="ZWAdobeF" w:cs="ZWAdobeF"/>
          <w:color w:val="auto"/>
          <w:sz w:val="2"/>
          <w:szCs w:val="2"/>
        </w:rPr>
        <w:t>55B</w:t>
      </w:r>
      <w:r w:rsidR="00C1249F" w:rsidRPr="00C1249F">
        <w:t>11.</w:t>
      </w:r>
      <w:r w:rsidR="00C1249F" w:rsidRPr="00C1249F">
        <w:tab/>
      </w:r>
      <w:r w:rsidR="005F7872">
        <w:t>Australian Government Department of Health</w:t>
      </w:r>
      <w:r w:rsidR="00C1249F" w:rsidRPr="00C1249F">
        <w:t xml:space="preserve">. $1.1 billion to support more mental health, Medicare and domestic violence services [Internet]  2020. Available from: </w:t>
      </w:r>
      <w:hyperlink r:id="rId48" w:history="1">
        <w:r w:rsidR="00C1249F" w:rsidRPr="00C1249F">
          <w:rPr>
            <w:rStyle w:val="Hyperlink"/>
          </w:rPr>
          <w:t>https://www.health.gov.au/news/11-billion-to-support-more-mental-health-medicare-and-domestic-violence-services</w:t>
        </w:r>
      </w:hyperlink>
    </w:p>
    <w:p w14:paraId="023E17CE" w14:textId="048C2E7B" w:rsidR="00C1249F" w:rsidRPr="00C1249F" w:rsidRDefault="00D77422" w:rsidP="002043EB">
      <w:pPr>
        <w:pStyle w:val="EndNoteBibliography"/>
        <w:spacing w:after="0"/>
        <w:ind w:left="720" w:hanging="720"/>
      </w:pPr>
      <w:r>
        <w:rPr>
          <w:rFonts w:ascii="ZWAdobeF" w:hAnsi="ZWAdobeF" w:cs="ZWAdobeF"/>
          <w:color w:val="auto"/>
          <w:sz w:val="2"/>
          <w:szCs w:val="2"/>
        </w:rPr>
        <w:t>56B</w:t>
      </w:r>
      <w:r w:rsidR="00C1249F" w:rsidRPr="00C1249F">
        <w:t>12.</w:t>
      </w:r>
      <w:r w:rsidR="00C1249F" w:rsidRPr="00C1249F">
        <w:tab/>
      </w:r>
      <w:r w:rsidR="005F7872">
        <w:t>Australian Government Department of Health</w:t>
      </w:r>
      <w:r w:rsidR="00C1249F" w:rsidRPr="00C1249F">
        <w:t>. National 2020 Influenza Season Summary 2020.</w:t>
      </w:r>
    </w:p>
    <w:p w14:paraId="31AAA663" w14:textId="0CBE88A1" w:rsidR="00C1249F" w:rsidRPr="00C1249F" w:rsidRDefault="00D77422" w:rsidP="002043EB">
      <w:pPr>
        <w:pStyle w:val="EndNoteBibliography"/>
        <w:spacing w:after="0"/>
        <w:ind w:left="720" w:hanging="720"/>
      </w:pPr>
      <w:r>
        <w:rPr>
          <w:rFonts w:ascii="ZWAdobeF" w:hAnsi="ZWAdobeF" w:cs="ZWAdobeF"/>
          <w:color w:val="auto"/>
          <w:sz w:val="2"/>
          <w:szCs w:val="2"/>
        </w:rPr>
        <w:t>57B</w:t>
      </w:r>
      <w:r w:rsidR="00C1249F" w:rsidRPr="00C1249F">
        <w:t>13.</w:t>
      </w:r>
      <w:r w:rsidR="00C1249F" w:rsidRPr="00C1249F">
        <w:tab/>
        <w:t>Australian Institute of Health and Welfare. Impacts of COVID-19 on Medicare Benefits Scheme and Pharmaceutical Benefits Scheme service use. Canberra: AIHW, 2020.</w:t>
      </w:r>
    </w:p>
    <w:p w14:paraId="32ADD725" w14:textId="3BF6F916" w:rsidR="00C1249F" w:rsidRPr="00C1249F" w:rsidRDefault="00D77422" w:rsidP="002043EB">
      <w:pPr>
        <w:pStyle w:val="EndNoteBibliography"/>
        <w:spacing w:after="0"/>
        <w:ind w:left="720" w:hanging="720"/>
      </w:pPr>
      <w:r>
        <w:rPr>
          <w:rFonts w:ascii="ZWAdobeF" w:hAnsi="ZWAdobeF" w:cs="ZWAdobeF"/>
          <w:color w:val="auto"/>
          <w:sz w:val="2"/>
          <w:szCs w:val="2"/>
        </w:rPr>
        <w:t>58B</w:t>
      </w:r>
      <w:r w:rsidR="00C1249F" w:rsidRPr="00C1249F">
        <w:t>14.</w:t>
      </w:r>
      <w:r w:rsidR="00C1249F" w:rsidRPr="00C1249F">
        <w:tab/>
      </w:r>
      <w:r w:rsidR="005F7872">
        <w:t>Australian Government Department of Health</w:t>
      </w:r>
      <w:r w:rsidR="00C1249F" w:rsidRPr="00C1249F">
        <w:t xml:space="preserve">. Revised PBS listings for Antibiotic use  [Internet]  2020. Available from: </w:t>
      </w:r>
      <w:hyperlink r:id="rId49" w:history="1">
        <w:r w:rsidR="00C1249F" w:rsidRPr="00C1249F">
          <w:rPr>
            <w:rStyle w:val="Hyperlink"/>
          </w:rPr>
          <w:t>https://www.pbs.gov.au/news/2020/03/files/Antibiotics-factsheet-2020.pdf</w:t>
        </w:r>
      </w:hyperlink>
    </w:p>
    <w:p w14:paraId="32EF6A84" w14:textId="18742D35" w:rsidR="00C1249F" w:rsidRPr="00C1249F" w:rsidRDefault="00D77422" w:rsidP="002043EB">
      <w:pPr>
        <w:pStyle w:val="EndNoteBibliography"/>
        <w:spacing w:after="0"/>
        <w:ind w:left="720" w:hanging="720"/>
      </w:pPr>
      <w:r>
        <w:rPr>
          <w:rFonts w:ascii="ZWAdobeF" w:hAnsi="ZWAdobeF" w:cs="ZWAdobeF"/>
          <w:color w:val="auto"/>
          <w:sz w:val="2"/>
          <w:szCs w:val="2"/>
        </w:rPr>
        <w:t>59B</w:t>
      </w:r>
      <w:r w:rsidR="00C1249F" w:rsidRPr="00C1249F">
        <w:t>15.</w:t>
      </w:r>
      <w:r w:rsidR="00C1249F" w:rsidRPr="00C1249F">
        <w:tab/>
      </w:r>
      <w:r w:rsidR="005F7872">
        <w:t>Australian Commission on Safety and Quality in Health Care and Australian Institute of Health and Welfare</w:t>
      </w:r>
      <w:r w:rsidR="00C1249F" w:rsidRPr="00C1249F">
        <w:t>. The Fourth Australian Atlas of Healthcare Variation. Sydney: ACSQHC, 2021.</w:t>
      </w:r>
    </w:p>
    <w:p w14:paraId="0C1D4D46" w14:textId="174A4CE2" w:rsidR="00C1249F" w:rsidRPr="00C1249F" w:rsidRDefault="00D77422" w:rsidP="002043EB">
      <w:pPr>
        <w:pStyle w:val="EndNoteBibliography"/>
        <w:spacing w:after="0"/>
        <w:ind w:left="720" w:hanging="720"/>
      </w:pPr>
      <w:r>
        <w:rPr>
          <w:rFonts w:ascii="ZWAdobeF" w:hAnsi="ZWAdobeF" w:cs="ZWAdobeF"/>
          <w:color w:val="auto"/>
          <w:sz w:val="2"/>
          <w:szCs w:val="2"/>
        </w:rPr>
        <w:t>60B</w:t>
      </w:r>
      <w:r w:rsidR="00C1249F" w:rsidRPr="00C1249F">
        <w:t>16.</w:t>
      </w:r>
      <w:r w:rsidR="00C1249F" w:rsidRPr="00C1249F">
        <w:tab/>
        <w:t>Antibiotic Expert Groups. Therapeutic guidelines: antibiotic. Melbourne: Therapeutic Guidelines Limited; 2019.</w:t>
      </w:r>
    </w:p>
    <w:p w14:paraId="5E551212" w14:textId="15F29BA9" w:rsidR="00C1249F" w:rsidRPr="00C1249F" w:rsidRDefault="00D77422" w:rsidP="002043EB">
      <w:pPr>
        <w:pStyle w:val="EndNoteBibliography"/>
        <w:spacing w:after="0"/>
        <w:ind w:left="720" w:hanging="720"/>
      </w:pPr>
      <w:r>
        <w:rPr>
          <w:rFonts w:ascii="ZWAdobeF" w:hAnsi="ZWAdobeF" w:cs="ZWAdobeF"/>
          <w:color w:val="auto"/>
          <w:sz w:val="2"/>
          <w:szCs w:val="2"/>
        </w:rPr>
        <w:t>61B</w:t>
      </w:r>
      <w:r w:rsidR="00C1249F" w:rsidRPr="00C1249F">
        <w:t>17.</w:t>
      </w:r>
      <w:r w:rsidR="00C1249F" w:rsidRPr="00C1249F">
        <w:tab/>
      </w:r>
      <w:r w:rsidR="005F7872">
        <w:t>Australian Government Department of Health</w:t>
      </w:r>
      <w:r w:rsidR="00C1249F" w:rsidRPr="00C1249F">
        <w:t xml:space="preserve">. MBS changes factsheet. [Internet]  2022. Available from: </w:t>
      </w:r>
      <w:hyperlink r:id="rId50" w:history="1">
        <w:r w:rsidR="00C1249F" w:rsidRPr="00C1249F">
          <w:rPr>
            <w:rStyle w:val="Hyperlink"/>
          </w:rPr>
          <w:t>http://www.mbsonline.gov.au/internet/mbsonline/publishing.nsf/Content/2211355D5611CA3DCA2587A70006FF09/$File/Factsheet-telehealth-GPs-OMP.v.13.04.22.pdf</w:t>
        </w:r>
      </w:hyperlink>
    </w:p>
    <w:p w14:paraId="0995270C" w14:textId="6BED9ED1" w:rsidR="00C1249F" w:rsidRPr="00C1249F" w:rsidRDefault="00D77422" w:rsidP="002043EB">
      <w:pPr>
        <w:pStyle w:val="EndNoteBibliography"/>
        <w:spacing w:after="0"/>
        <w:ind w:left="720" w:hanging="720"/>
      </w:pPr>
      <w:r>
        <w:rPr>
          <w:rFonts w:ascii="ZWAdobeF" w:hAnsi="ZWAdobeF" w:cs="ZWAdobeF"/>
          <w:color w:val="auto"/>
          <w:sz w:val="2"/>
          <w:szCs w:val="2"/>
        </w:rPr>
        <w:t>62B</w:t>
      </w:r>
      <w:r w:rsidR="00C1249F" w:rsidRPr="00C1249F">
        <w:t>18.</w:t>
      </w:r>
      <w:r w:rsidR="00C1249F" w:rsidRPr="00C1249F">
        <w:tab/>
        <w:t xml:space="preserve">Australian Bureau of Statistics. Estimates of Aboriginal and Torres Strait Islander Australians. [Internet] Canberra: ABS; 2020. Available from: </w:t>
      </w:r>
      <w:hyperlink r:id="rId51" w:history="1">
        <w:r w:rsidR="00C1249F" w:rsidRPr="00C1249F">
          <w:rPr>
            <w:rStyle w:val="Hyperlink"/>
          </w:rPr>
          <w:t>https://www.abs.gov.au/statistics/people/aboriginal-and-torres-strait-islander-peoples/estimates-aboriginal-and-torres-strait-islander-australians/latest-release</w:t>
        </w:r>
      </w:hyperlink>
    </w:p>
    <w:p w14:paraId="52755DE2" w14:textId="730A445D" w:rsidR="00C1249F" w:rsidRPr="00C1249F" w:rsidRDefault="00D77422" w:rsidP="002043EB">
      <w:pPr>
        <w:pStyle w:val="EndNoteBibliography"/>
        <w:spacing w:after="0"/>
        <w:ind w:left="720" w:hanging="720"/>
      </w:pPr>
      <w:r>
        <w:rPr>
          <w:rFonts w:ascii="ZWAdobeF" w:hAnsi="ZWAdobeF" w:cs="ZWAdobeF"/>
          <w:color w:val="auto"/>
          <w:sz w:val="2"/>
          <w:szCs w:val="2"/>
        </w:rPr>
        <w:t>63B</w:t>
      </w:r>
      <w:r w:rsidR="00C1249F" w:rsidRPr="00C1249F">
        <w:t>19.</w:t>
      </w:r>
      <w:r w:rsidR="00C1249F" w:rsidRPr="00C1249F">
        <w:tab/>
      </w:r>
      <w:r w:rsidR="005F7872">
        <w:t>Australian Government Department of Health</w:t>
      </w:r>
      <w:r w:rsidR="00C1249F" w:rsidRPr="00C1249F">
        <w:t xml:space="preserve">. Pharmaceutical Benefits Scheme (PBS). [Internet] 2022. Available from: </w:t>
      </w:r>
      <w:hyperlink r:id="rId52" w:history="1">
        <w:r w:rsidR="00C1249F" w:rsidRPr="00C1249F">
          <w:rPr>
            <w:rStyle w:val="Hyperlink"/>
          </w:rPr>
          <w:t>https://www.pbs.gov.au/pbs/home</w:t>
        </w:r>
      </w:hyperlink>
    </w:p>
    <w:p w14:paraId="710EFBC2" w14:textId="5EB2238A" w:rsidR="00C1249F" w:rsidRPr="00C1249F" w:rsidRDefault="00D77422" w:rsidP="002043EB">
      <w:pPr>
        <w:pStyle w:val="EndNoteBibliography"/>
        <w:spacing w:after="0"/>
        <w:ind w:left="720" w:hanging="720"/>
        <w:rPr>
          <w:u w:val="single"/>
        </w:rPr>
      </w:pPr>
      <w:r>
        <w:rPr>
          <w:rFonts w:ascii="ZWAdobeF" w:hAnsi="ZWAdobeF" w:cs="ZWAdobeF"/>
          <w:color w:val="auto"/>
          <w:sz w:val="2"/>
          <w:szCs w:val="2"/>
        </w:rPr>
        <w:lastRenderedPageBreak/>
        <w:t>64B</w:t>
      </w:r>
      <w:r w:rsidR="00C1249F" w:rsidRPr="00C1249F">
        <w:t>20.</w:t>
      </w:r>
      <w:r w:rsidR="00C1249F" w:rsidRPr="00C1249F">
        <w:tab/>
        <w:t xml:space="preserve">NPS MedicineWise. MedicineInsight. [Internet] Sydney: NPS MedicineWise; 2018. Available from: </w:t>
      </w:r>
      <w:hyperlink r:id="rId53" w:history="1">
        <w:r w:rsidR="00C1249F" w:rsidRPr="00C1249F">
          <w:rPr>
            <w:rStyle w:val="Hyperlink"/>
          </w:rPr>
          <w:t>https://www.nps.org.au/medicine-insight</w:t>
        </w:r>
      </w:hyperlink>
    </w:p>
    <w:p w14:paraId="5E4BADE5" w14:textId="19C96847" w:rsidR="00C1249F" w:rsidRPr="00C1249F" w:rsidRDefault="00D77422" w:rsidP="002043EB">
      <w:pPr>
        <w:pStyle w:val="EndNoteBibliography"/>
        <w:spacing w:after="0"/>
        <w:ind w:left="720" w:hanging="720"/>
      </w:pPr>
      <w:r>
        <w:rPr>
          <w:rFonts w:ascii="ZWAdobeF" w:hAnsi="ZWAdobeF" w:cs="ZWAdobeF"/>
          <w:color w:val="auto"/>
          <w:sz w:val="2"/>
          <w:szCs w:val="2"/>
        </w:rPr>
        <w:t>65B</w:t>
      </w:r>
      <w:r w:rsidR="00C1249F" w:rsidRPr="00C1249F">
        <w:t>21.</w:t>
      </w:r>
      <w:r w:rsidR="00C1249F" w:rsidRPr="00C1249F">
        <w:tab/>
        <w:t>McCullough AR, Pollack AJ, Plejdrup Hansen M, Glasziou PP, Looke DF, Britt HC, et al. Antibiotics for acute respiratory infections in general practice: comparison of prescribing rates with guideline recommendations. Med J Aust 2017;207:65–9.</w:t>
      </w:r>
    </w:p>
    <w:p w14:paraId="76C7B7CD" w14:textId="0B2B5E32" w:rsidR="00C1249F" w:rsidRPr="00C1249F" w:rsidRDefault="00D77422" w:rsidP="002043EB">
      <w:pPr>
        <w:pStyle w:val="EndNoteBibliography"/>
        <w:spacing w:after="0"/>
        <w:ind w:left="720" w:hanging="720"/>
      </w:pPr>
      <w:r>
        <w:rPr>
          <w:rFonts w:ascii="ZWAdobeF" w:hAnsi="ZWAdobeF" w:cs="ZWAdobeF"/>
          <w:color w:val="auto"/>
          <w:sz w:val="2"/>
          <w:szCs w:val="2"/>
        </w:rPr>
        <w:t>66B</w:t>
      </w:r>
      <w:r w:rsidR="00C1249F" w:rsidRPr="00C1249F">
        <w:t>22.</w:t>
      </w:r>
      <w:r w:rsidR="00C1249F" w:rsidRPr="00C1249F">
        <w:tab/>
        <w:t>NPS MedicineWise. General Practice Insights Report July 2019–June 2020 including analyses related to the impact of COVID-19. Sydney: NPS MedicineWise, 2021.</w:t>
      </w:r>
    </w:p>
    <w:p w14:paraId="0E09BD51" w14:textId="7AA0F030" w:rsidR="00C1249F" w:rsidRPr="00C1249F" w:rsidRDefault="00D77422" w:rsidP="002043EB">
      <w:pPr>
        <w:pStyle w:val="EndNoteBibliography"/>
        <w:spacing w:after="0"/>
        <w:ind w:left="720" w:hanging="720"/>
      </w:pPr>
      <w:r>
        <w:rPr>
          <w:rFonts w:ascii="ZWAdobeF" w:hAnsi="ZWAdobeF" w:cs="ZWAdobeF"/>
          <w:color w:val="auto"/>
          <w:sz w:val="2"/>
          <w:szCs w:val="2"/>
        </w:rPr>
        <w:t>67B</w:t>
      </w:r>
      <w:r w:rsidR="00C1249F" w:rsidRPr="00C1249F">
        <w:t>23.</w:t>
      </w:r>
      <w:r w:rsidR="00C1249F" w:rsidRPr="00C1249F">
        <w:tab/>
        <w:t>Therapeutic Goods Administration. TGA cautions against over-buying medicines. 2020.</w:t>
      </w:r>
    </w:p>
    <w:p w14:paraId="04A4DEF9" w14:textId="4A7160F2" w:rsidR="00C1249F" w:rsidRPr="00C1249F" w:rsidRDefault="00D77422" w:rsidP="002043EB">
      <w:pPr>
        <w:pStyle w:val="EndNoteBibliography"/>
        <w:spacing w:after="0"/>
        <w:ind w:left="720" w:hanging="720"/>
      </w:pPr>
      <w:r>
        <w:rPr>
          <w:rFonts w:ascii="ZWAdobeF" w:hAnsi="ZWAdobeF" w:cs="ZWAdobeF"/>
          <w:color w:val="auto"/>
          <w:sz w:val="2"/>
          <w:szCs w:val="2"/>
        </w:rPr>
        <w:t>68B</w:t>
      </w:r>
      <w:r w:rsidR="00C1249F" w:rsidRPr="00C1249F">
        <w:t>24.</w:t>
      </w:r>
      <w:r w:rsidR="00C1249F" w:rsidRPr="00C1249F">
        <w:tab/>
        <w:t>Khouja T, Mitsantisuk K, Tadrous M, Suda KJ. Global consumption of antimicrobials: impact of the WHO Global Action Plan on Antimicrobial Resistance and 2019 coronavirus pandemic (COVID-19). J Antimicrob Chemother 2022;77:1491-9.</w:t>
      </w:r>
    </w:p>
    <w:p w14:paraId="11CF4D15" w14:textId="3FC6D8A1" w:rsidR="00C1249F" w:rsidRPr="00C1249F" w:rsidRDefault="00D77422" w:rsidP="002043EB">
      <w:pPr>
        <w:pStyle w:val="EndNoteBibliography"/>
        <w:spacing w:after="0"/>
        <w:ind w:left="720" w:hanging="720"/>
      </w:pPr>
      <w:r>
        <w:rPr>
          <w:rFonts w:ascii="ZWAdobeF" w:hAnsi="ZWAdobeF" w:cs="ZWAdobeF"/>
          <w:color w:val="auto"/>
          <w:sz w:val="2"/>
          <w:szCs w:val="2"/>
        </w:rPr>
        <w:t>69B</w:t>
      </w:r>
      <w:r w:rsidR="00C1249F" w:rsidRPr="00C1249F">
        <w:t>25.</w:t>
      </w:r>
      <w:r w:rsidR="00C1249F" w:rsidRPr="00C1249F">
        <w:tab/>
        <w:t>Sine K, Appaneal H, Dosa D, LaPlante KL. Antimicrobial Prescribing in the Telehealth Setting: Framework for stewardship during a period of rapid acceleration within primary care. Clin Infect Dis 2022.</w:t>
      </w:r>
    </w:p>
    <w:p w14:paraId="440FAE35" w14:textId="790494A1" w:rsidR="00C1249F" w:rsidRPr="00C1249F" w:rsidRDefault="00D77422" w:rsidP="002043EB">
      <w:pPr>
        <w:pStyle w:val="EndNoteBibliography"/>
        <w:spacing w:after="0"/>
        <w:ind w:left="720" w:hanging="720"/>
      </w:pPr>
      <w:r>
        <w:rPr>
          <w:rFonts w:ascii="ZWAdobeF" w:hAnsi="ZWAdobeF" w:cs="ZWAdobeF"/>
          <w:color w:val="auto"/>
          <w:sz w:val="2"/>
          <w:szCs w:val="2"/>
        </w:rPr>
        <w:t>70B</w:t>
      </w:r>
      <w:r w:rsidR="00C1249F" w:rsidRPr="00C1249F">
        <w:t>26.</w:t>
      </w:r>
      <w:r w:rsidR="00C1249F" w:rsidRPr="00C1249F">
        <w:tab/>
        <w:t>Organisation for Economic Co-operation and Development. OECD Health Statistics 2020</w:t>
      </w:r>
      <w:r w:rsidR="00FB504B">
        <w:t xml:space="preserve"> [Internet]</w:t>
      </w:r>
      <w:r w:rsidR="00C1249F" w:rsidRPr="00C1249F">
        <w:t xml:space="preserve">. </w:t>
      </w:r>
      <w:r w:rsidR="00FB504B">
        <w:t xml:space="preserve">OECD: Paris; </w:t>
      </w:r>
      <w:r w:rsidR="00C1249F" w:rsidRPr="00C1249F">
        <w:t>2021.</w:t>
      </w:r>
    </w:p>
    <w:p w14:paraId="0848F48F" w14:textId="233D12BD" w:rsidR="00C1249F" w:rsidRPr="00C1249F" w:rsidRDefault="00D77422" w:rsidP="002043EB">
      <w:pPr>
        <w:pStyle w:val="EndNoteBibliography"/>
        <w:spacing w:after="0"/>
        <w:ind w:left="720" w:hanging="720"/>
      </w:pPr>
      <w:r>
        <w:rPr>
          <w:rFonts w:ascii="ZWAdobeF" w:hAnsi="ZWAdobeF" w:cs="ZWAdobeF"/>
          <w:color w:val="auto"/>
          <w:sz w:val="2"/>
          <w:szCs w:val="2"/>
        </w:rPr>
        <w:t>71B</w:t>
      </w:r>
      <w:r w:rsidR="00C1249F" w:rsidRPr="00C1249F">
        <w:t>27.</w:t>
      </w:r>
      <w:r w:rsidR="00C1249F" w:rsidRPr="00C1249F">
        <w:tab/>
      </w:r>
      <w:r w:rsidR="00880983">
        <w:t xml:space="preserve">Organisation for Economic Co-operation and Decelopment. </w:t>
      </w:r>
      <w:r w:rsidR="00C1249F" w:rsidRPr="00C1249F">
        <w:t>Antimicrobial Resistance in the EU/EEA: A One Health Response. [Internet]</w:t>
      </w:r>
      <w:r w:rsidR="00880983">
        <w:t xml:space="preserve">. OECD: Paris; </w:t>
      </w:r>
      <w:r w:rsidR="00C1249F" w:rsidRPr="00C1249F">
        <w:t xml:space="preserve">2022. </w:t>
      </w:r>
    </w:p>
    <w:p w14:paraId="78E49EB1" w14:textId="6E3931EC" w:rsidR="00C1249F" w:rsidRPr="00C1249F" w:rsidRDefault="00D77422" w:rsidP="002043EB">
      <w:pPr>
        <w:pStyle w:val="EndNoteBibliography"/>
        <w:spacing w:after="0"/>
        <w:ind w:left="720" w:hanging="720"/>
      </w:pPr>
      <w:r>
        <w:rPr>
          <w:rFonts w:ascii="ZWAdobeF" w:hAnsi="ZWAdobeF" w:cs="ZWAdobeF"/>
          <w:color w:val="auto"/>
          <w:sz w:val="2"/>
          <w:szCs w:val="2"/>
        </w:rPr>
        <w:t>72B</w:t>
      </w:r>
      <w:r w:rsidR="00C1249F" w:rsidRPr="00C1249F">
        <w:t>28.</w:t>
      </w:r>
      <w:r w:rsidR="00C1249F" w:rsidRPr="00C1249F">
        <w:tab/>
        <w:t>Buehrle DJ, Nguyen MH, Wagener MM, Clancy CJ. Impact of the Coronavirus Disease 2019 Pandemic on Outpatient Antibiotic Prescriptions in the United States. Open Forum Infect Dis</w:t>
      </w:r>
      <w:r w:rsidR="005B23B4">
        <w:t>;</w:t>
      </w:r>
      <w:r w:rsidR="00C1249F" w:rsidRPr="00C1249F">
        <w:t xml:space="preserve"> 2020.</w:t>
      </w:r>
    </w:p>
    <w:p w14:paraId="6AEDB4F9" w14:textId="09C1E34A" w:rsidR="00C1249F" w:rsidRPr="00C1249F" w:rsidRDefault="00D77422" w:rsidP="002043EB">
      <w:pPr>
        <w:pStyle w:val="EndNoteBibliography"/>
        <w:spacing w:after="0"/>
        <w:ind w:left="720" w:hanging="720"/>
      </w:pPr>
      <w:r>
        <w:rPr>
          <w:rFonts w:ascii="ZWAdobeF" w:hAnsi="ZWAdobeF" w:cs="ZWAdobeF"/>
          <w:color w:val="auto"/>
          <w:sz w:val="2"/>
          <w:szCs w:val="2"/>
        </w:rPr>
        <w:t>73B</w:t>
      </w:r>
      <w:r w:rsidR="00C1249F" w:rsidRPr="00C1249F">
        <w:t>29.</w:t>
      </w:r>
      <w:r w:rsidR="00C1249F" w:rsidRPr="00C1249F">
        <w:tab/>
        <w:t>Buehrle DJ, Wagener MM, Nguyen MH, Clancy CJ. Trends in Outpatient Antibiotic Prescriptions in the United States During the COVID-19 Pandemic in 2020. JAMA Network Open</w:t>
      </w:r>
      <w:r w:rsidR="005B23B4">
        <w:t xml:space="preserve">; </w:t>
      </w:r>
      <w:r w:rsidR="00C1249F" w:rsidRPr="00C1249F">
        <w:t>2021</w:t>
      </w:r>
      <w:r w:rsidR="005B23B4">
        <w:t>.</w:t>
      </w:r>
      <w:r w:rsidR="00F53695" w:rsidRPr="00F53695">
        <w:t xml:space="preserve"> </w:t>
      </w:r>
    </w:p>
    <w:p w14:paraId="53636E95" w14:textId="2CB7298D" w:rsidR="00C1249F" w:rsidRPr="00C1249F" w:rsidRDefault="00D77422" w:rsidP="002043EB">
      <w:pPr>
        <w:pStyle w:val="EndNoteBibliography"/>
        <w:spacing w:after="0"/>
        <w:ind w:left="720" w:hanging="720"/>
      </w:pPr>
      <w:r>
        <w:rPr>
          <w:rFonts w:ascii="ZWAdobeF" w:hAnsi="ZWAdobeF" w:cs="ZWAdobeF"/>
          <w:color w:val="auto"/>
          <w:sz w:val="2"/>
          <w:szCs w:val="2"/>
        </w:rPr>
        <w:t>74B</w:t>
      </w:r>
      <w:r w:rsidR="00C1249F" w:rsidRPr="00C1249F">
        <w:t>30.</w:t>
      </w:r>
      <w:r w:rsidR="00C1249F" w:rsidRPr="00C1249F">
        <w:tab/>
        <w:t>Duffy E, Thomas M, Hills T, Ritchie S. The impacts of New Zealand's COVID-19 epidemic response on community antibiotic use and hospitalisation for pneumonia, peritonsillar abscess and rheumatic fever. Lancet Reg Health West Pac 2021;12:100162.</w:t>
      </w:r>
    </w:p>
    <w:p w14:paraId="32B15257" w14:textId="60AB7512" w:rsidR="00C1249F" w:rsidRPr="00C1249F" w:rsidRDefault="00D77422" w:rsidP="002043EB">
      <w:pPr>
        <w:pStyle w:val="EndNoteBibliography"/>
        <w:spacing w:after="0"/>
        <w:ind w:left="720" w:hanging="720"/>
      </w:pPr>
      <w:r>
        <w:rPr>
          <w:rFonts w:ascii="ZWAdobeF" w:hAnsi="ZWAdobeF" w:cs="ZWAdobeF"/>
          <w:color w:val="auto"/>
          <w:sz w:val="2"/>
          <w:szCs w:val="2"/>
        </w:rPr>
        <w:t>75B</w:t>
      </w:r>
      <w:r w:rsidR="00C1249F" w:rsidRPr="00C1249F">
        <w:t>31.</w:t>
      </w:r>
      <w:r w:rsidR="00C1249F" w:rsidRPr="00C1249F">
        <w:tab/>
        <w:t>Högberg LD, Vlahović-Palčevski V, Pereira C, Weist K, Monnet DL. Decrease in community antibiotic consumption during the COVID-19 pandemic, EU/EEA, 2020. Euro Surveill</w:t>
      </w:r>
      <w:r w:rsidR="005B23B4">
        <w:t>;</w:t>
      </w:r>
      <w:r w:rsidR="00C1249F" w:rsidRPr="00C1249F">
        <w:t xml:space="preserve"> 2021.</w:t>
      </w:r>
    </w:p>
    <w:p w14:paraId="63CFBF12" w14:textId="74C91159" w:rsidR="00C1249F" w:rsidRPr="00C1249F" w:rsidRDefault="00D77422" w:rsidP="002043EB">
      <w:pPr>
        <w:pStyle w:val="EndNoteBibliography"/>
        <w:spacing w:after="0"/>
        <w:ind w:left="720" w:hanging="720"/>
      </w:pPr>
      <w:r>
        <w:rPr>
          <w:rFonts w:ascii="ZWAdobeF" w:hAnsi="ZWAdobeF" w:cs="ZWAdobeF"/>
          <w:color w:val="auto"/>
          <w:sz w:val="2"/>
          <w:szCs w:val="2"/>
        </w:rPr>
        <w:t>76B</w:t>
      </w:r>
      <w:r w:rsidR="00C1249F" w:rsidRPr="00C1249F">
        <w:t>32.</w:t>
      </w:r>
      <w:r w:rsidR="00C1249F" w:rsidRPr="00C1249F">
        <w:tab/>
        <w:t>European Centre for Disease Prevention and Control. Antimicrobial consumption in the EU/EEA (ESAC-Net) - Annual Epidemiological Report 2020. Stockholm: ECDC, 2021.</w:t>
      </w:r>
    </w:p>
    <w:p w14:paraId="77C76081" w14:textId="166D28F6" w:rsidR="00C1249F" w:rsidRPr="00C1249F" w:rsidRDefault="00D77422" w:rsidP="002043EB">
      <w:pPr>
        <w:pStyle w:val="EndNoteBibliography"/>
        <w:spacing w:after="0"/>
        <w:ind w:left="720" w:hanging="720"/>
      </w:pPr>
      <w:r>
        <w:rPr>
          <w:rFonts w:ascii="ZWAdobeF" w:hAnsi="ZWAdobeF" w:cs="ZWAdobeF"/>
          <w:color w:val="auto"/>
          <w:sz w:val="2"/>
          <w:szCs w:val="2"/>
        </w:rPr>
        <w:t>77B</w:t>
      </w:r>
      <w:r w:rsidR="00C1249F" w:rsidRPr="00C1249F">
        <w:t>33.</w:t>
      </w:r>
      <w:r w:rsidR="00C1249F" w:rsidRPr="00C1249F">
        <w:tab/>
        <w:t>Rezel-Potts E, L’Esperance V, Gulliford MC. Antimicrobial stewardship in the UK during the COVID-19 pandemic: a population-based cohort study and interrupted time-series analysis. British Journal of General Practice</w:t>
      </w:r>
      <w:r w:rsidR="005B23B4">
        <w:t>;</w:t>
      </w:r>
      <w:r w:rsidR="00C1249F" w:rsidRPr="00C1249F">
        <w:t xml:space="preserve"> 2021</w:t>
      </w:r>
      <w:r w:rsidR="00F53695" w:rsidRPr="004B141C">
        <w:t>.</w:t>
      </w:r>
    </w:p>
    <w:p w14:paraId="1CBD429E" w14:textId="3750161D" w:rsidR="00C1249F" w:rsidRPr="00C1249F" w:rsidRDefault="00D77422" w:rsidP="002043EB">
      <w:pPr>
        <w:pStyle w:val="EndNoteBibliography"/>
        <w:spacing w:after="0"/>
        <w:ind w:left="720" w:hanging="720"/>
      </w:pPr>
      <w:r>
        <w:rPr>
          <w:rFonts w:ascii="ZWAdobeF" w:hAnsi="ZWAdobeF" w:cs="ZWAdobeF"/>
          <w:color w:val="auto"/>
          <w:sz w:val="2"/>
          <w:szCs w:val="2"/>
        </w:rPr>
        <w:t>78B</w:t>
      </w:r>
      <w:r w:rsidR="00C1249F" w:rsidRPr="00C1249F">
        <w:t>34.</w:t>
      </w:r>
      <w:r w:rsidR="00C1249F" w:rsidRPr="00C1249F">
        <w:tab/>
        <w:t>Public Health Age</w:t>
      </w:r>
      <w:r w:rsidR="00D56E4D">
        <w:t>n</w:t>
      </w:r>
      <w:r w:rsidR="00C1249F" w:rsidRPr="00C1249F">
        <w:t xml:space="preserve">cy of Canada. Canadian Antimicrobial Resistance Surveillance System Report </w:t>
      </w:r>
      <w:r w:rsidR="008C3A9D">
        <w:t>2021</w:t>
      </w:r>
      <w:r w:rsidR="00C1249F" w:rsidRPr="00C1249F">
        <w:t>. Ottawa: PHAC, 2020.</w:t>
      </w:r>
    </w:p>
    <w:p w14:paraId="768B96EF" w14:textId="228A8654" w:rsidR="00C1249F" w:rsidRPr="00C1249F" w:rsidRDefault="00D77422" w:rsidP="002043EB">
      <w:pPr>
        <w:pStyle w:val="EndNoteBibliography"/>
        <w:spacing w:after="0"/>
        <w:ind w:left="720" w:hanging="720"/>
      </w:pPr>
      <w:r>
        <w:rPr>
          <w:rFonts w:ascii="ZWAdobeF" w:hAnsi="ZWAdobeF" w:cs="ZWAdobeF"/>
          <w:color w:val="auto"/>
          <w:sz w:val="2"/>
          <w:szCs w:val="2"/>
        </w:rPr>
        <w:t>79B</w:t>
      </w:r>
      <w:r w:rsidR="00C1249F" w:rsidRPr="00C1249F">
        <w:t>35.</w:t>
      </w:r>
      <w:r w:rsidR="00C1249F" w:rsidRPr="00C1249F">
        <w:tab/>
      </w:r>
      <w:r w:rsidR="005B23B4">
        <w:t>Australian Commission on Safety and Quality in Health Care</w:t>
      </w:r>
      <w:r w:rsidR="00C1249F" w:rsidRPr="00C1249F">
        <w:t>. National Safety and Quality Primary and Community Healthcare Standards. Sydney: ACSQHC; 2021.</w:t>
      </w:r>
    </w:p>
    <w:p w14:paraId="44F01F42" w14:textId="26E10BB2" w:rsidR="00C1249F" w:rsidRPr="00C1249F" w:rsidRDefault="00D77422" w:rsidP="002043EB">
      <w:pPr>
        <w:pStyle w:val="EndNoteBibliography"/>
        <w:spacing w:after="0"/>
        <w:ind w:left="720" w:hanging="720"/>
      </w:pPr>
      <w:r>
        <w:rPr>
          <w:rFonts w:ascii="ZWAdobeF" w:hAnsi="ZWAdobeF" w:cs="ZWAdobeF"/>
          <w:color w:val="auto"/>
          <w:sz w:val="2"/>
          <w:szCs w:val="2"/>
        </w:rPr>
        <w:t>80B</w:t>
      </w:r>
      <w:r w:rsidR="00C1249F" w:rsidRPr="00C1249F">
        <w:t>36.</w:t>
      </w:r>
      <w:r w:rsidR="00C1249F" w:rsidRPr="00C1249F">
        <w:tab/>
        <w:t>Australian Commission on Safety and Quality in Health Care. Antimicrobial Stewardship Clinical Care Standard. Sydney: ACSQHC; 2020.</w:t>
      </w:r>
    </w:p>
    <w:p w14:paraId="307C18C4" w14:textId="4F41B59C" w:rsidR="00C1249F" w:rsidRPr="00C1249F" w:rsidRDefault="00D77422" w:rsidP="002043EB">
      <w:pPr>
        <w:pStyle w:val="EndNoteBibliography"/>
        <w:spacing w:after="0"/>
        <w:ind w:left="720" w:hanging="720"/>
      </w:pPr>
      <w:r>
        <w:rPr>
          <w:rFonts w:ascii="ZWAdobeF" w:hAnsi="ZWAdobeF" w:cs="ZWAdobeF"/>
          <w:color w:val="auto"/>
          <w:sz w:val="2"/>
          <w:szCs w:val="2"/>
        </w:rPr>
        <w:t>81B</w:t>
      </w:r>
      <w:r w:rsidR="00C1249F" w:rsidRPr="00C1249F">
        <w:t>37.</w:t>
      </w:r>
      <w:r w:rsidR="00C1249F" w:rsidRPr="00C1249F">
        <w:tab/>
      </w:r>
      <w:r w:rsidR="005B23B4">
        <w:t>Australian Government Department of Health</w:t>
      </w:r>
      <w:r w:rsidR="00C1249F" w:rsidRPr="00C1249F">
        <w:t xml:space="preserve">. About the PBS. [Internet] 2022. Available from: </w:t>
      </w:r>
      <w:hyperlink r:id="rId54" w:history="1">
        <w:r w:rsidR="00C1249F" w:rsidRPr="00C1249F">
          <w:rPr>
            <w:rStyle w:val="Hyperlink"/>
          </w:rPr>
          <w:t>https://www.pbs.gov.au/info/about-the-pbs</w:t>
        </w:r>
      </w:hyperlink>
    </w:p>
    <w:p w14:paraId="5272A227" w14:textId="43B343ED" w:rsidR="00C1249F" w:rsidRPr="00C1249F" w:rsidRDefault="00D77422" w:rsidP="002043EB">
      <w:pPr>
        <w:pStyle w:val="EndNoteBibliography"/>
        <w:ind w:left="720" w:hanging="720"/>
      </w:pPr>
      <w:r>
        <w:rPr>
          <w:rFonts w:ascii="ZWAdobeF" w:hAnsi="ZWAdobeF" w:cs="ZWAdobeF"/>
          <w:color w:val="auto"/>
          <w:sz w:val="2"/>
          <w:szCs w:val="2"/>
        </w:rPr>
        <w:t>82B</w:t>
      </w:r>
      <w:r w:rsidR="00C1249F" w:rsidRPr="00C1249F">
        <w:t>38.</w:t>
      </w:r>
      <w:r w:rsidR="00C1249F" w:rsidRPr="00C1249F">
        <w:tab/>
      </w:r>
      <w:r w:rsidR="005B23B4">
        <w:t>Australian Government Department of Veterans' Affairs</w:t>
      </w:r>
      <w:r w:rsidR="00C1249F" w:rsidRPr="00C1249F">
        <w:t xml:space="preserve">. Concessional medicines under RPBS. [Internet] 2022. Available from: </w:t>
      </w:r>
      <w:hyperlink r:id="rId55" w:history="1">
        <w:r w:rsidR="00C1249F" w:rsidRPr="00C1249F">
          <w:rPr>
            <w:rStyle w:val="Hyperlink"/>
          </w:rPr>
          <w:t>https://www.dva.gov.au/health-and-treatment/help-cover-healthcare-costs/manage-medicine-and-keep-costs-down/concessional</w:t>
        </w:r>
      </w:hyperlink>
    </w:p>
    <w:p w14:paraId="3531BEFE" w14:textId="109D005A" w:rsidR="00FD260F" w:rsidRPr="00F46944" w:rsidRDefault="00FD260F" w:rsidP="00C43DEF">
      <w:pPr>
        <w:rPr>
          <w:rFonts w:asciiTheme="majorHAnsi" w:hAnsiTheme="majorHAnsi" w:cstheme="majorHAnsi"/>
          <w:b/>
          <w:bCs/>
          <w:color w:val="595959" w:themeColor="text1" w:themeTint="A6"/>
          <w:kern w:val="28"/>
          <w:sz w:val="40"/>
          <w:szCs w:val="32"/>
        </w:rPr>
      </w:pPr>
      <w:r w:rsidRPr="00F46944">
        <w:fldChar w:fldCharType="end"/>
      </w:r>
      <w:r w:rsidRPr="00F46944">
        <w:rPr>
          <w:rFonts w:asciiTheme="majorHAnsi" w:hAnsiTheme="majorHAnsi" w:cstheme="majorHAnsi"/>
          <w:color w:val="595959" w:themeColor="text1" w:themeTint="A6"/>
        </w:rPr>
        <w:br w:type="page"/>
      </w:r>
    </w:p>
    <w:p w14:paraId="38B93FDF" w14:textId="1A8D6353" w:rsidR="00A84201" w:rsidRPr="00F46944" w:rsidRDefault="00BA07CC" w:rsidP="00BA07CC">
      <w:pPr>
        <w:pStyle w:val="Heading1"/>
        <w:rPr>
          <w:rFonts w:asciiTheme="majorHAnsi" w:hAnsiTheme="majorHAnsi" w:cstheme="majorHAnsi"/>
          <w:color w:val="595959" w:themeColor="text1" w:themeTint="A6"/>
        </w:rPr>
      </w:pPr>
      <w:bookmarkStart w:id="185" w:name="_Toc121826739"/>
      <w:r w:rsidRPr="00F46944">
        <w:rPr>
          <w:rFonts w:asciiTheme="majorHAnsi" w:hAnsiTheme="majorHAnsi" w:cstheme="majorHAnsi"/>
          <w:color w:val="595959" w:themeColor="text1" w:themeTint="A6"/>
        </w:rPr>
        <w:lastRenderedPageBreak/>
        <w:t>Appendix</w:t>
      </w:r>
      <w:bookmarkEnd w:id="185"/>
      <w:r w:rsidRPr="00F46944">
        <w:rPr>
          <w:rFonts w:asciiTheme="majorHAnsi" w:hAnsiTheme="majorHAnsi" w:cstheme="majorHAnsi"/>
          <w:color w:val="595959" w:themeColor="text1" w:themeTint="A6"/>
        </w:rPr>
        <w:t xml:space="preserve"> </w:t>
      </w:r>
    </w:p>
    <w:p w14:paraId="2D9250E9" w14:textId="3E666EE1" w:rsidR="00842914" w:rsidRPr="00F46944" w:rsidRDefault="00842914" w:rsidP="00710F6F">
      <w:pPr>
        <w:pStyle w:val="Heading3"/>
      </w:pPr>
      <w:bookmarkStart w:id="186" w:name="_Appendix_1:_Data"/>
      <w:bookmarkStart w:id="187" w:name="_Toc121826740"/>
      <w:bookmarkEnd w:id="186"/>
      <w:r w:rsidRPr="00F46944">
        <w:t xml:space="preserve">Appendix 1: </w:t>
      </w:r>
      <w:r w:rsidR="008C50A8" w:rsidRPr="00F46944">
        <w:t>Data source description</w:t>
      </w:r>
      <w:bookmarkEnd w:id="187"/>
    </w:p>
    <w:p w14:paraId="1D0DFD4E" w14:textId="15392050" w:rsidR="00B15DE9" w:rsidRPr="00EE05E1" w:rsidRDefault="00B15DE9" w:rsidP="00EE05E1">
      <w:pPr>
        <w:pStyle w:val="Heading4"/>
      </w:pPr>
      <w:bookmarkStart w:id="188" w:name="_Toc121826741"/>
      <w:r w:rsidRPr="00EE05E1">
        <w:t xml:space="preserve">A1.1 About </w:t>
      </w:r>
      <w:r w:rsidR="00000115" w:rsidRPr="00EE05E1">
        <w:t>the Pharmaceutical Benefits Scheme and Repatriation Pharmaceutical Benefits Scheme</w:t>
      </w:r>
      <w:bookmarkEnd w:id="188"/>
    </w:p>
    <w:p w14:paraId="48C91537" w14:textId="25839336" w:rsidR="00E818CD" w:rsidRPr="00E818CD" w:rsidRDefault="00D77422" w:rsidP="00E818CD">
      <w:pPr>
        <w:rPr>
          <w:rFonts w:asciiTheme="majorHAnsi" w:hAnsiTheme="majorHAnsi" w:cstheme="majorHAnsi"/>
        </w:rPr>
      </w:pPr>
      <w:r>
        <w:rPr>
          <w:rFonts w:ascii="ZWAdobeF" w:hAnsi="ZWAdobeF" w:cs="ZWAdobeF"/>
          <w:sz w:val="2"/>
          <w:szCs w:val="2"/>
        </w:rPr>
        <w:t>675B</w:t>
      </w:r>
      <w:r w:rsidR="00E818CD" w:rsidRPr="00E818CD">
        <w:rPr>
          <w:rFonts w:asciiTheme="majorHAnsi" w:hAnsiTheme="majorHAnsi" w:cstheme="majorHAnsi"/>
        </w:rPr>
        <w:t xml:space="preserve">The </w:t>
      </w:r>
      <w:r w:rsidR="00E818CD">
        <w:rPr>
          <w:rFonts w:asciiTheme="majorHAnsi" w:hAnsiTheme="majorHAnsi" w:cstheme="majorHAnsi"/>
        </w:rPr>
        <w:t>Pharmaceutical Benefits Scheme (</w:t>
      </w:r>
      <w:r w:rsidR="00E818CD" w:rsidRPr="00E818CD">
        <w:rPr>
          <w:rFonts w:asciiTheme="majorHAnsi" w:hAnsiTheme="majorHAnsi" w:cstheme="majorHAnsi"/>
        </w:rPr>
        <w:t>PBS</w:t>
      </w:r>
      <w:r w:rsidR="00E818CD">
        <w:rPr>
          <w:rFonts w:asciiTheme="majorHAnsi" w:hAnsiTheme="majorHAnsi" w:cstheme="majorHAnsi"/>
        </w:rPr>
        <w:t>)</w:t>
      </w:r>
      <w:r w:rsidR="00E818CD" w:rsidRPr="00E818CD">
        <w:rPr>
          <w:rFonts w:asciiTheme="majorHAnsi" w:hAnsiTheme="majorHAnsi" w:cstheme="majorHAnsi"/>
        </w:rPr>
        <w:t xml:space="preserve"> provides timely, reliable and affordable access to necessary medicines for Australians. The PBS is part of the Australian Government’s broader National Medicines Policy. The aim of the National Medicines Policy is to meet medication and related service needs, so that both optimal health outcomes and economic objectives are achieved. Under the PBS, the government subsidises the cost of medicine for most medical conditions. Most of the listed medicines are dispensed by pharmacists, and used by patients at home</w:t>
      </w:r>
      <w:r w:rsidR="00F86414">
        <w:rPr>
          <w:rFonts w:asciiTheme="majorHAnsi" w:hAnsiTheme="majorHAnsi" w:cstheme="majorHAnsi"/>
        </w:rPr>
        <w:t>.</w:t>
      </w:r>
      <w:r w:rsidR="00412507">
        <w:rPr>
          <w:rFonts w:asciiTheme="majorHAnsi" w:hAnsiTheme="majorHAnsi" w:cstheme="majorHAnsi"/>
        </w:rPr>
        <w:fldChar w:fldCharType="begin"/>
      </w:r>
      <w:r w:rsidR="00412507">
        <w:rPr>
          <w:rFonts w:asciiTheme="majorHAnsi" w:hAnsiTheme="majorHAnsi" w:cstheme="majorHAnsi"/>
        </w:rPr>
        <w:instrText xml:space="preserve"> ADDIN EN.CITE &lt;EndNote&gt;&lt;Cite&gt;&lt;Author&gt;Care&lt;/Author&gt;&lt;Year&gt;2022&lt;/Year&gt;&lt;RecNum&gt;37&lt;/RecNum&gt;&lt;DisplayText&gt;&lt;style face="superscript"&gt;37&lt;/style&gt;&lt;/DisplayText&gt;&lt;record&gt;&lt;rec-number&gt;37&lt;/rec-number&gt;&lt;foreign-keys&gt;&lt;key app="EN" db-id="es9dr99ws90stoe5x2rp505nazvswdzppxa5" timestamp="1670812493"&gt;37&lt;/key&gt;&lt;/foreign-keys&gt;&lt;ref-type name="Web Page"&gt;12&lt;/ref-type&gt;&lt;contributors&gt;&lt;authors&gt;&lt;author&gt;Australian Government Department of Health and Aged Care&lt;/author&gt;&lt;/authors&gt;&lt;/contributors&gt;&lt;titles&gt;&lt;title&gt;About the PBS&lt;/title&gt;&lt;/titles&gt;&lt;number&gt;December 2022&lt;/number&gt;&lt;dates&gt;&lt;year&gt;2022&lt;/year&gt;&lt;/dates&gt;&lt;urls&gt;&lt;related-urls&gt;&lt;url&gt;https://www.pbs.gov.au/info/about-the-pbs&lt;/url&gt;&lt;/related-urls&gt;&lt;/urls&gt;&lt;/record&gt;&lt;/Cite&gt;&lt;/EndNote&gt;</w:instrText>
      </w:r>
      <w:r w:rsidR="00412507">
        <w:rPr>
          <w:rFonts w:asciiTheme="majorHAnsi" w:hAnsiTheme="majorHAnsi" w:cstheme="majorHAnsi"/>
        </w:rPr>
        <w:fldChar w:fldCharType="separate"/>
      </w:r>
      <w:r w:rsidR="00412507" w:rsidRPr="00412507">
        <w:rPr>
          <w:rFonts w:asciiTheme="majorHAnsi" w:hAnsiTheme="majorHAnsi" w:cstheme="majorHAnsi"/>
          <w:noProof/>
          <w:vertAlign w:val="superscript"/>
        </w:rPr>
        <w:t>37</w:t>
      </w:r>
      <w:r w:rsidR="00412507">
        <w:rPr>
          <w:rFonts w:asciiTheme="majorHAnsi" w:hAnsiTheme="majorHAnsi" w:cstheme="majorHAnsi"/>
        </w:rPr>
        <w:fldChar w:fldCharType="end"/>
      </w:r>
    </w:p>
    <w:p w14:paraId="54E2344A" w14:textId="6DF32FF4" w:rsidR="00E818CD" w:rsidRDefault="00D77422" w:rsidP="00E818CD">
      <w:pPr>
        <w:rPr>
          <w:rFonts w:asciiTheme="majorHAnsi" w:hAnsiTheme="majorHAnsi" w:cstheme="majorHAnsi"/>
        </w:rPr>
      </w:pPr>
      <w:r>
        <w:rPr>
          <w:rFonts w:ascii="ZWAdobeF" w:hAnsi="ZWAdobeF" w:cs="ZWAdobeF"/>
          <w:sz w:val="2"/>
          <w:szCs w:val="2"/>
        </w:rPr>
        <w:t>676B</w:t>
      </w:r>
      <w:r w:rsidR="00E818CD" w:rsidRPr="00E818CD">
        <w:rPr>
          <w:rFonts w:asciiTheme="majorHAnsi" w:hAnsiTheme="majorHAnsi" w:cstheme="majorHAnsi"/>
        </w:rPr>
        <w:t>The Repatriation Pharmaceutical Benefits Scheme (RPBS) provides eligible people with access to a wide range of medicines and wound care items at a concession rate. People who are eligible for the RPBS are those who have a Veteran Gold Card, Veteran White Card and the script is for a condition covered by your Veteran White Card, and a Veteran Orange Card</w:t>
      </w:r>
      <w:r w:rsidR="00F86414">
        <w:rPr>
          <w:rFonts w:asciiTheme="majorHAnsi" w:hAnsiTheme="majorHAnsi" w:cstheme="majorHAnsi"/>
        </w:rPr>
        <w:t>.</w:t>
      </w:r>
      <w:r w:rsidR="00C9316F">
        <w:rPr>
          <w:rFonts w:asciiTheme="majorHAnsi" w:hAnsiTheme="majorHAnsi" w:cstheme="majorHAnsi"/>
        </w:rPr>
        <w:fldChar w:fldCharType="begin"/>
      </w:r>
      <w:r w:rsidR="00C9316F">
        <w:rPr>
          <w:rFonts w:asciiTheme="majorHAnsi" w:hAnsiTheme="majorHAnsi" w:cstheme="majorHAnsi"/>
        </w:rPr>
        <w:instrText xml:space="preserve"> ADDIN EN.CITE &lt;EndNote&gt;&lt;Cite&gt;&lt;Author&gt;Affairs&lt;/Author&gt;&lt;Year&gt;2022&lt;/Year&gt;&lt;RecNum&gt;38&lt;/RecNum&gt;&lt;DisplayText&gt;&lt;style face="superscript"&gt;38&lt;/style&gt;&lt;/DisplayText&gt;&lt;record&gt;&lt;rec-number&gt;38&lt;/rec-number&gt;&lt;foreign-keys&gt;&lt;key app="EN" db-id="es9dr99ws90stoe5x2rp505nazvswdzppxa5" timestamp="1670813667"&gt;38&lt;/key&gt;&lt;/foreign-keys&gt;&lt;ref-type name="Web Page"&gt;12&lt;/ref-type&gt;&lt;contributors&gt;&lt;authors&gt;&lt;author&gt;Australian Government Department of Veterans&amp;apos; Affairs&lt;/author&gt;&lt;/authors&gt;&lt;/contributors&gt;&lt;titles&gt;&lt;title&gt;Concessional medicines under RPBS&lt;/title&gt;&lt;/titles&gt;&lt;dates&gt;&lt;year&gt;2022&lt;/year&gt;&lt;/dates&gt;&lt;urls&gt;&lt;related-urls&gt;&lt;url&gt;https://www.dva.gov.au/health-and-treatment/help-cover-healthcare-costs/manage-medicine-and-keep-costs-down/concessional&lt;/url&gt;&lt;/related-urls&gt;&lt;/urls&gt;&lt;/record&gt;&lt;/Cite&gt;&lt;/EndNote&gt;</w:instrText>
      </w:r>
      <w:r w:rsidR="00C9316F">
        <w:rPr>
          <w:rFonts w:asciiTheme="majorHAnsi" w:hAnsiTheme="majorHAnsi" w:cstheme="majorHAnsi"/>
        </w:rPr>
        <w:fldChar w:fldCharType="separate"/>
      </w:r>
      <w:r w:rsidR="00C9316F" w:rsidRPr="00C9316F">
        <w:rPr>
          <w:rFonts w:asciiTheme="majorHAnsi" w:hAnsiTheme="majorHAnsi" w:cstheme="majorHAnsi"/>
          <w:noProof/>
          <w:vertAlign w:val="superscript"/>
        </w:rPr>
        <w:t>38</w:t>
      </w:r>
      <w:r w:rsidR="00C9316F">
        <w:rPr>
          <w:rFonts w:asciiTheme="majorHAnsi" w:hAnsiTheme="majorHAnsi" w:cstheme="majorHAnsi"/>
        </w:rPr>
        <w:fldChar w:fldCharType="end"/>
      </w:r>
    </w:p>
    <w:p w14:paraId="538D27E9" w14:textId="7079064A" w:rsidR="00FC4652" w:rsidRPr="00F46944" w:rsidRDefault="00D77422" w:rsidP="00FC4652">
      <w:pPr>
        <w:rPr>
          <w:rFonts w:asciiTheme="majorHAnsi" w:hAnsiTheme="majorHAnsi" w:cstheme="majorHAnsi"/>
        </w:rPr>
      </w:pPr>
      <w:r>
        <w:rPr>
          <w:rFonts w:ascii="ZWAdobeF" w:hAnsi="ZWAdobeF" w:cs="ZWAdobeF"/>
          <w:sz w:val="2"/>
          <w:szCs w:val="2"/>
        </w:rPr>
        <w:t>677B</w:t>
      </w:r>
      <w:r w:rsidR="00FC4652" w:rsidRPr="00F46944">
        <w:rPr>
          <w:rFonts w:asciiTheme="majorHAnsi" w:hAnsiTheme="majorHAnsi" w:cstheme="majorHAnsi"/>
        </w:rPr>
        <w:t xml:space="preserve">The proportion of prescriptions written in the community that are captured by the </w:t>
      </w:r>
      <w:r w:rsidR="00116E13">
        <w:rPr>
          <w:rFonts w:asciiTheme="majorHAnsi" w:hAnsiTheme="majorHAnsi" w:cstheme="majorHAnsi"/>
        </w:rPr>
        <w:t>PBS/RPBS</w:t>
      </w:r>
      <w:r w:rsidR="00FC4652" w:rsidRPr="00F46944">
        <w:rPr>
          <w:rFonts w:asciiTheme="majorHAnsi" w:hAnsiTheme="majorHAnsi" w:cstheme="majorHAnsi"/>
        </w:rPr>
        <w:t xml:space="preserve"> is estimated to be more than 90%</w:t>
      </w:r>
      <w:r w:rsidR="004E5645">
        <w:fldChar w:fldCharType="begin"/>
      </w:r>
      <w:r w:rsidR="00412507">
        <w:instrText xml:space="preserve"> ADDIN EN.CITE &lt;EndNote&gt;&lt;Cite&gt;&lt;Author&gt;Care&lt;/Author&gt;&lt;Year&gt;2021&lt;/Year&gt;&lt;RecNum&gt;1&lt;/RecNum&gt;&lt;DisplayText&gt;&lt;style face="superscript"&gt;1,4&lt;/style&gt;&lt;/DisplayText&gt;&lt;record&gt;&lt;rec-number&gt;1&lt;/rec-number&gt;&lt;foreign-keys&gt;&lt;key app="EN" db-id="es9dr99ws90stoe5x2rp505nazvswdzppxa5" timestamp="1670810538"&gt;1&lt;/key&gt;&lt;/foreign-keys&gt;&lt;ref-type name="Report"&gt;27&lt;/ref-type&gt;&lt;contributors&gt;&lt;authors&gt;&lt;author&gt;Australian Commission on Safety and Quality in Health Care&lt;/author&gt;&lt;/authors&gt;&lt;/contributors&gt;&lt;titles&gt;&lt;title&gt;AURA 2021: fourth Australian report on antimicrobial use and resistance in human health&lt;/title&gt;&lt;/titles&gt;&lt;dates&gt;&lt;year&gt;2021&lt;/year&gt;&lt;/dates&gt;&lt;pub-location&gt;Sydney&lt;/pub-location&gt;&lt;publisher&gt;ACSQHC&lt;/publisher&gt;&lt;urls&gt;&lt;/urls&gt;&lt;/record&gt;&lt;/Cite&gt;&lt;Cite&gt;&lt;Author&gt;Care&lt;/Author&gt;&lt;Year&gt;2019&lt;/Year&gt;&lt;RecNum&gt;4&lt;/RecNum&gt;&lt;record&gt;&lt;rec-number&gt;4&lt;/rec-number&gt;&lt;foreign-keys&gt;&lt;key app="EN" db-id="es9dr99ws90stoe5x2rp505nazvswdzppxa5" timestamp="1670810539"&gt;4&lt;/key&gt;&lt;/foreign-keys&gt;&lt;ref-type name="Report"&gt;27&lt;/ref-type&gt;&lt;contributors&gt;&lt;authors&gt;&lt;author&gt;Australian Commission on Safety and Quality in Health Care&lt;/author&gt;&lt;/authors&gt;&lt;/contributors&gt;&lt;titles&gt;&lt;title&gt;AURA 2019: third Australian report on antimicrobial use and resistance in human health&lt;/title&gt;&lt;/titles&gt;&lt;dates&gt;&lt;year&gt;2019&lt;/year&gt;&lt;/dates&gt;&lt;pub-location&gt;Sydney&lt;/pub-location&gt;&lt;publisher&gt;ACSQHC&lt;/publisher&gt;&lt;urls&gt;&lt;/urls&gt;&lt;/record&gt;&lt;/Cite&gt;&lt;/EndNote&gt;</w:instrText>
      </w:r>
      <w:r w:rsidR="004E5645">
        <w:fldChar w:fldCharType="separate"/>
      </w:r>
      <w:r w:rsidR="00C16B8F" w:rsidRPr="00C16B8F">
        <w:rPr>
          <w:noProof/>
          <w:vertAlign w:val="superscript"/>
        </w:rPr>
        <w:t>1,4</w:t>
      </w:r>
      <w:r w:rsidR="004E5645">
        <w:fldChar w:fldCharType="end"/>
      </w:r>
      <w:r w:rsidR="00DC6C57" w:rsidRPr="00F46944">
        <w:rPr>
          <w:rFonts w:asciiTheme="majorHAnsi" w:hAnsiTheme="majorHAnsi" w:cstheme="majorHAnsi"/>
        </w:rPr>
        <w:t>,</w:t>
      </w:r>
      <w:r w:rsidR="00FC4652" w:rsidRPr="00F46944">
        <w:rPr>
          <w:rFonts w:asciiTheme="majorHAnsi" w:hAnsiTheme="majorHAnsi" w:cstheme="majorHAnsi"/>
        </w:rPr>
        <w:t xml:space="preserve"> although the exact percentage is not known. The PBS</w:t>
      </w:r>
      <w:r w:rsidR="006E3CFC" w:rsidRPr="00F46944">
        <w:rPr>
          <w:rFonts w:asciiTheme="majorHAnsi" w:hAnsiTheme="majorHAnsi" w:cstheme="majorHAnsi"/>
        </w:rPr>
        <w:t>/</w:t>
      </w:r>
      <w:r w:rsidR="00FC4652" w:rsidRPr="00F46944">
        <w:rPr>
          <w:rFonts w:asciiTheme="majorHAnsi" w:hAnsiTheme="majorHAnsi" w:cstheme="majorHAnsi"/>
        </w:rPr>
        <w:t xml:space="preserve">RPBS also capture public hospital outpatient and discharge prescriptions in all states and territories except New South Wales. The </w:t>
      </w:r>
      <w:r w:rsidR="006E3CFC" w:rsidRPr="00F46944">
        <w:rPr>
          <w:rFonts w:asciiTheme="majorHAnsi" w:hAnsiTheme="majorHAnsi" w:cstheme="majorHAnsi"/>
        </w:rPr>
        <w:t>PBS/RPBS</w:t>
      </w:r>
      <w:r w:rsidR="00FC4652" w:rsidRPr="00F46944">
        <w:rPr>
          <w:rFonts w:asciiTheme="majorHAnsi" w:hAnsiTheme="majorHAnsi" w:cstheme="majorHAnsi"/>
        </w:rPr>
        <w:t xml:space="preserve"> do not capture data on </w:t>
      </w:r>
      <w:r w:rsidR="00172E00" w:rsidRPr="00F46944">
        <w:rPr>
          <w:rFonts w:asciiTheme="majorHAnsi" w:hAnsiTheme="majorHAnsi" w:cstheme="majorHAnsi"/>
        </w:rPr>
        <w:t>non-PBS/RPBS</w:t>
      </w:r>
      <w:r w:rsidR="001D49C2" w:rsidRPr="00F46944">
        <w:rPr>
          <w:rFonts w:asciiTheme="majorHAnsi" w:hAnsiTheme="majorHAnsi" w:cstheme="majorHAnsi"/>
        </w:rPr>
        <w:t xml:space="preserve"> </w:t>
      </w:r>
      <w:r w:rsidR="00FC4652" w:rsidRPr="00F46944">
        <w:rPr>
          <w:rFonts w:asciiTheme="majorHAnsi" w:hAnsiTheme="majorHAnsi" w:cstheme="majorHAnsi"/>
        </w:rPr>
        <w:t>prescriptions, or from many Aboriginal and Torres Strait Islander health services.</w:t>
      </w:r>
    </w:p>
    <w:p w14:paraId="6A93544E" w14:textId="0D82DD86" w:rsidR="00BD5443" w:rsidRPr="00F46944" w:rsidRDefault="00D77422" w:rsidP="00BD5443">
      <w:r>
        <w:rPr>
          <w:rFonts w:ascii="ZWAdobeF" w:hAnsi="ZWAdobeF" w:cs="ZWAdobeF"/>
          <w:sz w:val="2"/>
          <w:szCs w:val="2"/>
        </w:rPr>
        <w:t>678B</w:t>
      </w:r>
      <w:r w:rsidR="00BD5443" w:rsidRPr="00F46944">
        <w:t xml:space="preserve">The Australian Government Department of Health </w:t>
      </w:r>
      <w:r w:rsidR="00AF5178" w:rsidRPr="00F46944">
        <w:t>and Aged Care</w:t>
      </w:r>
      <w:r w:rsidR="00176775">
        <w:t xml:space="preserve"> (the Department)</w:t>
      </w:r>
      <w:r w:rsidR="00AF5178" w:rsidRPr="00F46944">
        <w:t xml:space="preserve"> </w:t>
      </w:r>
      <w:r w:rsidR="00BD5443" w:rsidRPr="00F46944">
        <w:t xml:space="preserve">analyses PBS/RPBS data to inform economic analyses and policy development. Comprehensive medicine usage data are required for a number of purposes, including </w:t>
      </w:r>
      <w:proofErr w:type="spellStart"/>
      <w:r w:rsidR="00BD5443" w:rsidRPr="00F46944">
        <w:t>pharmacosurveillance</w:t>
      </w:r>
      <w:proofErr w:type="spellEnd"/>
      <w:r w:rsidR="00BD5443" w:rsidRPr="00F46944">
        <w:t xml:space="preserve"> and targeting, and evaluation of initiatives for quality use of medicines. The data are also needed by regulatory and financing authorities, and the pharmaceutical industry. </w:t>
      </w:r>
    </w:p>
    <w:p w14:paraId="3CBB5102" w14:textId="30673BAE" w:rsidR="00B15DE9" w:rsidRPr="00F46944" w:rsidRDefault="00B15DE9" w:rsidP="00EE05E1">
      <w:pPr>
        <w:pStyle w:val="Heading4"/>
      </w:pPr>
      <w:bookmarkStart w:id="189" w:name="_Toc121826742"/>
      <w:r w:rsidRPr="00F46944">
        <w:t>A</w:t>
      </w:r>
      <w:r w:rsidR="00AC42E3" w:rsidRPr="00F46944">
        <w:t>1</w:t>
      </w:r>
      <w:r w:rsidRPr="00F46944">
        <w:t>.</w:t>
      </w:r>
      <w:r w:rsidR="00AC42E3" w:rsidRPr="00F46944">
        <w:t>2</w:t>
      </w:r>
      <w:r w:rsidRPr="00F46944">
        <w:t xml:space="preserve"> About NPS MedicineWise</w:t>
      </w:r>
      <w:r w:rsidR="00457DA3" w:rsidRPr="00F46944">
        <w:t xml:space="preserve"> </w:t>
      </w:r>
      <w:proofErr w:type="spellStart"/>
      <w:r w:rsidR="00457DA3" w:rsidRPr="00F46944">
        <w:t>MedicineInsight</w:t>
      </w:r>
      <w:proofErr w:type="spellEnd"/>
      <w:r w:rsidR="00457DA3" w:rsidRPr="00F46944">
        <w:t xml:space="preserve"> program</w:t>
      </w:r>
      <w:bookmarkEnd w:id="189"/>
    </w:p>
    <w:p w14:paraId="094E1EC9" w14:textId="2026D9EB" w:rsidR="00457DA3" w:rsidRPr="00F46944" w:rsidRDefault="00D77422" w:rsidP="009C3D96">
      <w:r>
        <w:rPr>
          <w:rFonts w:ascii="ZWAdobeF" w:hAnsi="ZWAdobeF" w:cs="ZWAdobeF"/>
          <w:sz w:val="2"/>
          <w:szCs w:val="2"/>
        </w:rPr>
        <w:t>679B</w:t>
      </w:r>
      <w:r w:rsidR="00457DA3" w:rsidRPr="00F46944">
        <w:t xml:space="preserve">NPS MedicineWise </w:t>
      </w:r>
      <w:proofErr w:type="spellStart"/>
      <w:r w:rsidR="00457DA3" w:rsidRPr="00F46944">
        <w:t>MedicineInsight</w:t>
      </w:r>
      <w:proofErr w:type="spellEnd"/>
      <w:r w:rsidR="00D62139">
        <w:t xml:space="preserve"> is</w:t>
      </w:r>
      <w:r w:rsidR="00457DA3" w:rsidRPr="00F46944">
        <w:t xml:space="preserve"> a national program </w:t>
      </w:r>
      <w:r w:rsidR="00D62139">
        <w:t>that</w:t>
      </w:r>
      <w:r w:rsidR="00457DA3" w:rsidRPr="00F46944">
        <w:t xml:space="preserve"> collects longitudinal, de-identified clinical data from participating general practices across Australia</w:t>
      </w:r>
      <w:r w:rsidR="0041084B" w:rsidRPr="00F46944">
        <w:t xml:space="preserve"> (</w:t>
      </w:r>
      <w:r w:rsidR="0041084B" w:rsidRPr="00A249B7">
        <w:t>Table A1</w:t>
      </w:r>
      <w:r w:rsidR="0041084B" w:rsidRPr="00F46944">
        <w:t>)</w:t>
      </w:r>
      <w:r w:rsidR="00457DA3" w:rsidRPr="00F46944">
        <w:t>.</w:t>
      </w:r>
      <w:r w:rsidR="00C835EF">
        <w:t xml:space="preserve"> </w:t>
      </w:r>
      <w:r w:rsidR="00D62139">
        <w:t>Responsibility for operation of t</w:t>
      </w:r>
      <w:r w:rsidR="00C835EF">
        <w:t xml:space="preserve">he </w:t>
      </w:r>
      <w:proofErr w:type="spellStart"/>
      <w:r w:rsidR="00C835EF">
        <w:t>MedicineInsight</w:t>
      </w:r>
      <w:proofErr w:type="spellEnd"/>
      <w:r w:rsidR="00C835EF">
        <w:t xml:space="preserve"> program </w:t>
      </w:r>
      <w:r w:rsidR="00D62139">
        <w:t xml:space="preserve">will </w:t>
      </w:r>
      <w:r w:rsidR="00C835EF">
        <w:t xml:space="preserve">transfer </w:t>
      </w:r>
      <w:r w:rsidR="00D62139">
        <w:t xml:space="preserve">from </w:t>
      </w:r>
      <w:r w:rsidR="00D62139" w:rsidRPr="00D62139">
        <w:t>NPS MedicineWise</w:t>
      </w:r>
      <w:r w:rsidR="00C835EF">
        <w:t xml:space="preserve"> to the Australian Commission on Safety and Quality in Health Care</w:t>
      </w:r>
      <w:r w:rsidR="00176775">
        <w:t xml:space="preserve"> (the Commission)</w:t>
      </w:r>
      <w:r w:rsidR="00C835EF">
        <w:t xml:space="preserve"> from 1 </w:t>
      </w:r>
      <w:r w:rsidR="00D62139">
        <w:t xml:space="preserve">January 2023 as part of the </w:t>
      </w:r>
      <w:r w:rsidR="00D62139" w:rsidRPr="00D62139">
        <w:t>2022</w:t>
      </w:r>
      <w:r w:rsidR="00786D09">
        <w:t>–</w:t>
      </w:r>
      <w:r w:rsidR="00D62139" w:rsidRPr="00D62139">
        <w:t xml:space="preserve">23 Budget </w:t>
      </w:r>
      <w:r w:rsidR="00D62139">
        <w:t xml:space="preserve">initiative, which included </w:t>
      </w:r>
      <w:r w:rsidR="00D62139" w:rsidRPr="00D62139">
        <w:t>the redesign of the Quality Use of Diagnostics, Therapeutics and Pathology Program</w:t>
      </w:r>
      <w:r w:rsidR="00C835EF">
        <w:t xml:space="preserve">. </w:t>
      </w:r>
    </w:p>
    <w:p w14:paraId="3985BDC7" w14:textId="6B61C09B" w:rsidR="00457DA3" w:rsidRPr="00F46944" w:rsidRDefault="00D77422" w:rsidP="009C3D96">
      <w:r>
        <w:rPr>
          <w:rFonts w:ascii="ZWAdobeF" w:hAnsi="ZWAdobeF" w:cs="ZWAdobeF"/>
          <w:sz w:val="2"/>
          <w:szCs w:val="2"/>
        </w:rPr>
        <w:t>680B</w:t>
      </w:r>
      <w:r w:rsidR="00A249B7">
        <w:t>T</w:t>
      </w:r>
      <w:r w:rsidR="00457DA3" w:rsidRPr="00F46944">
        <w:t>he</w:t>
      </w:r>
      <w:r w:rsidR="00176775">
        <w:t xml:space="preserve"> </w:t>
      </w:r>
      <w:proofErr w:type="spellStart"/>
      <w:r w:rsidR="00176775">
        <w:t>MedicineInsight</w:t>
      </w:r>
      <w:proofErr w:type="spellEnd"/>
      <w:r w:rsidR="00457DA3" w:rsidRPr="00F46944">
        <w:t xml:space="preserve"> program</w:t>
      </w:r>
      <w:r w:rsidR="00A249B7">
        <w:t>, which was established in 2011,</w:t>
      </w:r>
      <w:r w:rsidR="00457DA3" w:rsidRPr="00F46944">
        <w:t xml:space="preserve"> aims to support quality improvement by providing local data to general practices. The data can be benchmarked at local, regional and national levels. Participating practices are offered customised quality improvement activities that support alignment with best practice and identify key areas for improvement.</w:t>
      </w:r>
    </w:p>
    <w:p w14:paraId="26D8A9B4" w14:textId="17351B37" w:rsidR="00457DA3" w:rsidRPr="00F46944" w:rsidRDefault="00D77422" w:rsidP="009C3D96">
      <w:r>
        <w:rPr>
          <w:rFonts w:ascii="ZWAdobeF" w:hAnsi="ZWAdobeF" w:cs="ZWAdobeF"/>
          <w:sz w:val="2"/>
          <w:szCs w:val="2"/>
        </w:rPr>
        <w:t>681B</w:t>
      </w:r>
      <w:r w:rsidR="00457DA3" w:rsidRPr="00F46944">
        <w:t>MedicineInsight data include patient demographic and clinical data entered directly into the system by voluntarily participating general practitioners (GPs) and practice staff, or collected from external sources (for example, pathology test results), and system-generated data such as antimicrobial start time and date of a patient encounter. The data can be used to analyse use of medicines, switching of medicines, indications for prescribing, adherence to guidelines, and pharmacovigilance to support post-market surveillance of medicine use in primary care.</w:t>
      </w:r>
    </w:p>
    <w:p w14:paraId="3363BA25" w14:textId="707A199A" w:rsidR="00457DA3" w:rsidRPr="00F46944" w:rsidRDefault="00D77422" w:rsidP="009C3D96">
      <w:r>
        <w:rPr>
          <w:rFonts w:ascii="ZWAdobeF" w:hAnsi="ZWAdobeF" w:cs="ZWAdobeF"/>
          <w:sz w:val="2"/>
          <w:szCs w:val="2"/>
        </w:rPr>
        <w:t>682B</w:t>
      </w:r>
      <w:r w:rsidR="0041084B" w:rsidRPr="00F46944">
        <w:t>It is estimated that there were 8,147 general practices in Australia</w:t>
      </w:r>
      <w:r w:rsidR="00DB030A" w:rsidRPr="00F46944">
        <w:t xml:space="preserve"> in 2021</w:t>
      </w:r>
      <w:r w:rsidR="0041084B" w:rsidRPr="00F46944">
        <w:t xml:space="preserve">. </w:t>
      </w:r>
      <w:proofErr w:type="spellStart"/>
      <w:r w:rsidR="0041084B" w:rsidRPr="00F46944">
        <w:t>MedicineInsight</w:t>
      </w:r>
      <w:proofErr w:type="spellEnd"/>
      <w:r w:rsidR="0041084B" w:rsidRPr="00F46944">
        <w:t xml:space="preserve"> data is therefore estimated to represent </w:t>
      </w:r>
      <w:r w:rsidR="00000115" w:rsidRPr="00F46944">
        <w:t xml:space="preserve">approximately </w:t>
      </w:r>
      <w:r w:rsidR="0041084B" w:rsidRPr="00F46944">
        <w:t>6% of Australian general practices.</w:t>
      </w:r>
    </w:p>
    <w:p w14:paraId="235EDEFF" w14:textId="7216D1C3" w:rsidR="00570C2C" w:rsidRPr="00F46944" w:rsidRDefault="00D77422" w:rsidP="00570C2C">
      <w:r>
        <w:rPr>
          <w:rFonts w:ascii="ZWAdobeF" w:hAnsi="ZWAdobeF" w:cs="ZWAdobeF"/>
          <w:sz w:val="2"/>
          <w:szCs w:val="2"/>
        </w:rPr>
        <w:lastRenderedPageBreak/>
        <w:t>683B</w:t>
      </w:r>
      <w:r w:rsidR="00570C2C" w:rsidRPr="00F46944">
        <w:t>MedicineInsight data provides unique capacity to monitor community antimicrobial prescribing patterns and assess the appropriateness of antimicrobial use in the community in Australia.</w:t>
      </w:r>
    </w:p>
    <w:p w14:paraId="11C11766" w14:textId="5188399B" w:rsidR="004E625A" w:rsidRPr="00F46944" w:rsidRDefault="00D77422" w:rsidP="009C3D96">
      <w:r>
        <w:rPr>
          <w:rFonts w:ascii="ZWAdobeF" w:hAnsi="ZWAdobeF" w:cs="ZWAdobeF"/>
          <w:bCs/>
          <w:sz w:val="2"/>
          <w:szCs w:val="2"/>
        </w:rPr>
        <w:t>684B</w:t>
      </w:r>
      <w:r w:rsidR="004E625A" w:rsidRPr="00F46944">
        <w:rPr>
          <w:b/>
          <w:bCs/>
        </w:rPr>
        <w:t>Table A1:</w:t>
      </w:r>
      <w:r w:rsidR="004E625A" w:rsidRPr="00F46944">
        <w:t xml:space="preserve"> </w:t>
      </w:r>
      <w:r w:rsidR="00DB030A" w:rsidRPr="00F46944">
        <w:t xml:space="preserve">Number of general practices contributing to </w:t>
      </w:r>
      <w:proofErr w:type="spellStart"/>
      <w:r w:rsidR="00DB030A" w:rsidRPr="00F46944">
        <w:t>MedicineInsight</w:t>
      </w:r>
      <w:proofErr w:type="spellEnd"/>
      <w:r w:rsidR="00DB030A" w:rsidRPr="00F46944">
        <w:t>, by state and territory, 2020–</w:t>
      </w:r>
      <w:r w:rsidR="00A249B7">
        <w:t>20</w:t>
      </w:r>
      <w:r w:rsidR="00DB030A" w:rsidRPr="00F46944">
        <w:t>21</w:t>
      </w:r>
    </w:p>
    <w:tbl>
      <w:tblPr>
        <w:tblStyle w:val="TableGrid"/>
        <w:tblW w:w="0" w:type="auto"/>
        <w:jc w:val="center"/>
        <w:tblLook w:val="04A0" w:firstRow="1" w:lastRow="0" w:firstColumn="1" w:lastColumn="0" w:noHBand="0" w:noVBand="1"/>
      </w:tblPr>
      <w:tblGrid>
        <w:gridCol w:w="2050"/>
        <w:gridCol w:w="1889"/>
        <w:gridCol w:w="1792"/>
      </w:tblGrid>
      <w:tr w:rsidR="0041084B" w:rsidRPr="00F46944" w14:paraId="5FD4F8DD" w14:textId="77777777" w:rsidTr="003259A3">
        <w:trPr>
          <w:cnfStyle w:val="100000000000" w:firstRow="1" w:lastRow="0" w:firstColumn="0" w:lastColumn="0" w:oddVBand="0" w:evenVBand="0" w:oddHBand="0" w:evenHBand="0" w:firstRowFirstColumn="0" w:firstRowLastColumn="0" w:lastRowFirstColumn="0" w:lastRowLastColumn="0"/>
          <w:jc w:val="center"/>
        </w:trPr>
        <w:tc>
          <w:tcPr>
            <w:tcW w:w="2050" w:type="dxa"/>
            <w:shd w:val="clear" w:color="auto" w:fill="F1BBA8" w:themeFill="accent5" w:themeFillTint="66"/>
          </w:tcPr>
          <w:p w14:paraId="6381014F" w14:textId="1B8B5423" w:rsidR="0041084B" w:rsidRPr="00F46944" w:rsidRDefault="0041084B" w:rsidP="00DB030A">
            <w:pPr>
              <w:spacing w:after="0"/>
              <w:rPr>
                <w:rFonts w:ascii="Arial" w:hAnsi="Arial" w:cs="Arial"/>
                <w:sz w:val="20"/>
                <w:szCs w:val="20"/>
              </w:rPr>
            </w:pPr>
            <w:r w:rsidRPr="00F46944">
              <w:rPr>
                <w:rFonts w:ascii="Arial" w:hAnsi="Arial" w:cs="Arial"/>
                <w:sz w:val="20"/>
                <w:szCs w:val="20"/>
              </w:rPr>
              <w:t>State or Territory</w:t>
            </w:r>
          </w:p>
        </w:tc>
        <w:tc>
          <w:tcPr>
            <w:tcW w:w="1889" w:type="dxa"/>
            <w:shd w:val="clear" w:color="auto" w:fill="F1BBA8" w:themeFill="accent5" w:themeFillTint="66"/>
          </w:tcPr>
          <w:p w14:paraId="671C2883" w14:textId="11F9A7AB" w:rsidR="0041084B" w:rsidRPr="00F46944" w:rsidRDefault="0041084B" w:rsidP="00DB030A">
            <w:pPr>
              <w:spacing w:after="0"/>
              <w:rPr>
                <w:rFonts w:ascii="Arial" w:hAnsi="Arial" w:cs="Arial"/>
                <w:sz w:val="20"/>
                <w:szCs w:val="20"/>
              </w:rPr>
            </w:pPr>
            <w:r w:rsidRPr="00F46944">
              <w:rPr>
                <w:rFonts w:ascii="Arial" w:hAnsi="Arial" w:cs="Arial"/>
                <w:sz w:val="20"/>
                <w:szCs w:val="20"/>
              </w:rPr>
              <w:t>2020</w:t>
            </w:r>
          </w:p>
        </w:tc>
        <w:tc>
          <w:tcPr>
            <w:tcW w:w="1792" w:type="dxa"/>
            <w:shd w:val="clear" w:color="auto" w:fill="F1BBA8" w:themeFill="accent5" w:themeFillTint="66"/>
          </w:tcPr>
          <w:p w14:paraId="525324F0" w14:textId="2FA951A7" w:rsidR="0041084B" w:rsidRPr="00F46944" w:rsidRDefault="0041084B" w:rsidP="0041084B">
            <w:pPr>
              <w:spacing w:after="0"/>
              <w:rPr>
                <w:rFonts w:ascii="Arial" w:hAnsi="Arial" w:cs="Arial"/>
                <w:sz w:val="20"/>
                <w:szCs w:val="20"/>
              </w:rPr>
            </w:pPr>
            <w:r w:rsidRPr="00F46944">
              <w:rPr>
                <w:rFonts w:ascii="Arial" w:hAnsi="Arial" w:cs="Arial"/>
                <w:sz w:val="20"/>
                <w:szCs w:val="20"/>
              </w:rPr>
              <w:t>2021</w:t>
            </w:r>
          </w:p>
        </w:tc>
      </w:tr>
      <w:tr w:rsidR="0041084B" w:rsidRPr="00F46944" w14:paraId="1B7050DB" w14:textId="77777777" w:rsidTr="00DB030A">
        <w:trPr>
          <w:jc w:val="center"/>
        </w:trPr>
        <w:tc>
          <w:tcPr>
            <w:tcW w:w="2050" w:type="dxa"/>
          </w:tcPr>
          <w:p w14:paraId="64760C1E" w14:textId="2EF47570" w:rsidR="0041084B" w:rsidRPr="00F46944" w:rsidRDefault="0041084B" w:rsidP="00DB030A">
            <w:pPr>
              <w:spacing w:after="0"/>
              <w:rPr>
                <w:rFonts w:cs="Arial"/>
                <w:sz w:val="20"/>
                <w:szCs w:val="20"/>
              </w:rPr>
            </w:pPr>
            <w:r w:rsidRPr="00F46944">
              <w:rPr>
                <w:rFonts w:cs="Arial"/>
                <w:sz w:val="20"/>
                <w:szCs w:val="20"/>
              </w:rPr>
              <w:t>NSW</w:t>
            </w:r>
          </w:p>
        </w:tc>
        <w:tc>
          <w:tcPr>
            <w:tcW w:w="1889" w:type="dxa"/>
            <w:vAlign w:val="center"/>
          </w:tcPr>
          <w:p w14:paraId="1FBBBF4E" w14:textId="20CB29AA" w:rsidR="0041084B" w:rsidRPr="00F46944" w:rsidRDefault="0041084B" w:rsidP="00DB030A">
            <w:pPr>
              <w:spacing w:after="0"/>
              <w:jc w:val="center"/>
              <w:rPr>
                <w:rFonts w:cs="Arial"/>
                <w:sz w:val="20"/>
                <w:szCs w:val="20"/>
              </w:rPr>
            </w:pPr>
            <w:r w:rsidRPr="00F46944">
              <w:rPr>
                <w:rFonts w:cs="Arial"/>
                <w:color w:val="000000"/>
                <w:sz w:val="20"/>
                <w:szCs w:val="20"/>
              </w:rPr>
              <w:t>176</w:t>
            </w:r>
          </w:p>
        </w:tc>
        <w:tc>
          <w:tcPr>
            <w:tcW w:w="1792" w:type="dxa"/>
            <w:vAlign w:val="center"/>
          </w:tcPr>
          <w:p w14:paraId="6FEF5FBD" w14:textId="6EB8B5BF" w:rsidR="0041084B" w:rsidRPr="00F46944" w:rsidRDefault="0041084B" w:rsidP="00DB030A">
            <w:pPr>
              <w:spacing w:after="0"/>
              <w:jc w:val="center"/>
              <w:rPr>
                <w:rFonts w:cs="Arial"/>
                <w:color w:val="000000"/>
                <w:sz w:val="20"/>
                <w:szCs w:val="20"/>
              </w:rPr>
            </w:pPr>
            <w:r w:rsidRPr="00F46944">
              <w:rPr>
                <w:rFonts w:cs="Arial"/>
                <w:color w:val="000000"/>
                <w:sz w:val="20"/>
                <w:szCs w:val="20"/>
              </w:rPr>
              <w:t>176</w:t>
            </w:r>
          </w:p>
        </w:tc>
      </w:tr>
      <w:tr w:rsidR="006D692D" w:rsidRPr="00F46944" w14:paraId="26C9C566" w14:textId="77777777" w:rsidTr="00DB030A">
        <w:trPr>
          <w:jc w:val="center"/>
        </w:trPr>
        <w:tc>
          <w:tcPr>
            <w:tcW w:w="2050" w:type="dxa"/>
          </w:tcPr>
          <w:p w14:paraId="47437BE8" w14:textId="7807D252" w:rsidR="006D692D" w:rsidRPr="00F46944" w:rsidRDefault="006D692D" w:rsidP="006D692D">
            <w:pPr>
              <w:spacing w:after="0"/>
              <w:rPr>
                <w:rFonts w:cs="Arial"/>
                <w:sz w:val="20"/>
                <w:szCs w:val="20"/>
              </w:rPr>
            </w:pPr>
            <w:r w:rsidRPr="00F46944">
              <w:rPr>
                <w:rFonts w:cs="Arial"/>
                <w:sz w:val="20"/>
                <w:szCs w:val="20"/>
              </w:rPr>
              <w:t>Vic</w:t>
            </w:r>
          </w:p>
        </w:tc>
        <w:tc>
          <w:tcPr>
            <w:tcW w:w="1889" w:type="dxa"/>
            <w:vAlign w:val="center"/>
          </w:tcPr>
          <w:p w14:paraId="02F54209" w14:textId="5F1C84C8" w:rsidR="006D692D" w:rsidRPr="00F46944" w:rsidRDefault="006D692D" w:rsidP="006D692D">
            <w:pPr>
              <w:spacing w:after="0"/>
              <w:jc w:val="center"/>
              <w:rPr>
                <w:rFonts w:cs="Arial"/>
                <w:color w:val="000000"/>
                <w:sz w:val="20"/>
                <w:szCs w:val="20"/>
              </w:rPr>
            </w:pPr>
            <w:r w:rsidRPr="00F46944">
              <w:rPr>
                <w:rFonts w:cs="Arial"/>
                <w:color w:val="000000"/>
                <w:sz w:val="20"/>
                <w:szCs w:val="20"/>
              </w:rPr>
              <w:t>95</w:t>
            </w:r>
          </w:p>
        </w:tc>
        <w:tc>
          <w:tcPr>
            <w:tcW w:w="1792" w:type="dxa"/>
            <w:vAlign w:val="center"/>
          </w:tcPr>
          <w:p w14:paraId="15F30314" w14:textId="641EC332" w:rsidR="006D692D" w:rsidRPr="00F46944" w:rsidRDefault="006D692D" w:rsidP="006D692D">
            <w:pPr>
              <w:spacing w:after="0"/>
              <w:jc w:val="center"/>
              <w:rPr>
                <w:rFonts w:cs="Arial"/>
                <w:color w:val="000000"/>
                <w:sz w:val="20"/>
                <w:szCs w:val="20"/>
              </w:rPr>
            </w:pPr>
            <w:r w:rsidRPr="00F46944">
              <w:rPr>
                <w:rFonts w:cs="Arial"/>
                <w:color w:val="000000"/>
                <w:sz w:val="20"/>
                <w:szCs w:val="20"/>
              </w:rPr>
              <w:t>95</w:t>
            </w:r>
          </w:p>
        </w:tc>
      </w:tr>
      <w:tr w:rsidR="006D692D" w:rsidRPr="00F46944" w14:paraId="25865432" w14:textId="77777777" w:rsidTr="00DB030A">
        <w:trPr>
          <w:jc w:val="center"/>
        </w:trPr>
        <w:tc>
          <w:tcPr>
            <w:tcW w:w="2050" w:type="dxa"/>
          </w:tcPr>
          <w:p w14:paraId="4A944CCF" w14:textId="7209B356" w:rsidR="006D692D" w:rsidRPr="00F46944" w:rsidRDefault="006D692D" w:rsidP="006D692D">
            <w:pPr>
              <w:spacing w:after="0"/>
              <w:rPr>
                <w:rFonts w:cs="Arial"/>
                <w:sz w:val="20"/>
                <w:szCs w:val="20"/>
              </w:rPr>
            </w:pPr>
            <w:r w:rsidRPr="00F46944">
              <w:rPr>
                <w:rFonts w:cs="Arial"/>
                <w:sz w:val="20"/>
                <w:szCs w:val="20"/>
              </w:rPr>
              <w:t>Qld</w:t>
            </w:r>
          </w:p>
        </w:tc>
        <w:tc>
          <w:tcPr>
            <w:tcW w:w="1889" w:type="dxa"/>
            <w:vAlign w:val="center"/>
          </w:tcPr>
          <w:p w14:paraId="36537C17" w14:textId="7931EE0A" w:rsidR="006D692D" w:rsidRPr="00F46944" w:rsidRDefault="006D692D" w:rsidP="006D692D">
            <w:pPr>
              <w:spacing w:after="0"/>
              <w:jc w:val="center"/>
              <w:rPr>
                <w:rFonts w:cs="Arial"/>
                <w:color w:val="000000"/>
                <w:sz w:val="20"/>
                <w:szCs w:val="20"/>
              </w:rPr>
            </w:pPr>
            <w:r w:rsidRPr="00F46944">
              <w:rPr>
                <w:rFonts w:cs="Arial"/>
                <w:color w:val="000000"/>
                <w:sz w:val="20"/>
                <w:szCs w:val="20"/>
              </w:rPr>
              <w:t>107</w:t>
            </w:r>
          </w:p>
        </w:tc>
        <w:tc>
          <w:tcPr>
            <w:tcW w:w="1792" w:type="dxa"/>
            <w:vAlign w:val="center"/>
          </w:tcPr>
          <w:p w14:paraId="3BCC3E7F" w14:textId="0B85E2F5" w:rsidR="006D692D" w:rsidRPr="00F46944" w:rsidRDefault="006D692D" w:rsidP="006D692D">
            <w:pPr>
              <w:spacing w:after="0"/>
              <w:jc w:val="center"/>
              <w:rPr>
                <w:rFonts w:cs="Arial"/>
                <w:color w:val="000000"/>
                <w:sz w:val="20"/>
                <w:szCs w:val="20"/>
              </w:rPr>
            </w:pPr>
            <w:r w:rsidRPr="00F46944">
              <w:rPr>
                <w:rFonts w:cs="Arial"/>
                <w:color w:val="000000"/>
                <w:sz w:val="20"/>
                <w:szCs w:val="20"/>
              </w:rPr>
              <w:t>108</w:t>
            </w:r>
          </w:p>
        </w:tc>
      </w:tr>
      <w:tr w:rsidR="006D692D" w:rsidRPr="00F46944" w14:paraId="7C9CB6EA" w14:textId="77777777" w:rsidTr="00DB030A">
        <w:trPr>
          <w:jc w:val="center"/>
        </w:trPr>
        <w:tc>
          <w:tcPr>
            <w:tcW w:w="2050" w:type="dxa"/>
          </w:tcPr>
          <w:p w14:paraId="7B0D9D17" w14:textId="2A608515" w:rsidR="006D692D" w:rsidRPr="00F46944" w:rsidRDefault="006D692D" w:rsidP="006D692D">
            <w:pPr>
              <w:spacing w:after="0"/>
              <w:rPr>
                <w:rFonts w:cs="Arial"/>
                <w:sz w:val="20"/>
                <w:szCs w:val="20"/>
              </w:rPr>
            </w:pPr>
            <w:r w:rsidRPr="00F46944">
              <w:rPr>
                <w:rFonts w:cs="Arial"/>
                <w:sz w:val="20"/>
                <w:szCs w:val="20"/>
              </w:rPr>
              <w:t>SA</w:t>
            </w:r>
          </w:p>
        </w:tc>
        <w:tc>
          <w:tcPr>
            <w:tcW w:w="1889" w:type="dxa"/>
            <w:vAlign w:val="center"/>
          </w:tcPr>
          <w:p w14:paraId="54507FD4" w14:textId="53DE3352" w:rsidR="006D692D" w:rsidRPr="00F46944" w:rsidRDefault="006D692D" w:rsidP="006D692D">
            <w:pPr>
              <w:spacing w:after="0"/>
              <w:jc w:val="center"/>
              <w:rPr>
                <w:rFonts w:cs="Arial"/>
                <w:color w:val="000000"/>
                <w:sz w:val="20"/>
                <w:szCs w:val="20"/>
              </w:rPr>
            </w:pPr>
            <w:r w:rsidRPr="00F46944">
              <w:rPr>
                <w:rFonts w:cs="Arial"/>
                <w:color w:val="000000"/>
                <w:sz w:val="20"/>
                <w:szCs w:val="20"/>
              </w:rPr>
              <w:t>13</w:t>
            </w:r>
          </w:p>
        </w:tc>
        <w:tc>
          <w:tcPr>
            <w:tcW w:w="1792" w:type="dxa"/>
            <w:vAlign w:val="center"/>
          </w:tcPr>
          <w:p w14:paraId="2F44C740" w14:textId="0E63AF94" w:rsidR="006D692D" w:rsidRPr="00F46944" w:rsidRDefault="006D692D" w:rsidP="006D692D">
            <w:pPr>
              <w:spacing w:after="0"/>
              <w:jc w:val="center"/>
              <w:rPr>
                <w:rFonts w:cs="Arial"/>
                <w:color w:val="000000"/>
                <w:sz w:val="20"/>
                <w:szCs w:val="20"/>
              </w:rPr>
            </w:pPr>
            <w:r w:rsidRPr="00F46944">
              <w:rPr>
                <w:rFonts w:cs="Arial"/>
                <w:color w:val="000000"/>
                <w:sz w:val="20"/>
                <w:szCs w:val="20"/>
              </w:rPr>
              <w:t>13</w:t>
            </w:r>
          </w:p>
        </w:tc>
      </w:tr>
      <w:tr w:rsidR="006D692D" w:rsidRPr="00F46944" w14:paraId="60EF87B5" w14:textId="77777777" w:rsidTr="00DB030A">
        <w:trPr>
          <w:jc w:val="center"/>
        </w:trPr>
        <w:tc>
          <w:tcPr>
            <w:tcW w:w="2050" w:type="dxa"/>
          </w:tcPr>
          <w:p w14:paraId="19794C02" w14:textId="39A836CE" w:rsidR="006D692D" w:rsidRPr="00F46944" w:rsidRDefault="006D692D" w:rsidP="006D692D">
            <w:pPr>
              <w:spacing w:after="0"/>
              <w:rPr>
                <w:rFonts w:cs="Arial"/>
                <w:sz w:val="20"/>
                <w:szCs w:val="20"/>
              </w:rPr>
            </w:pPr>
            <w:r w:rsidRPr="00F46944">
              <w:rPr>
                <w:rFonts w:cs="Arial"/>
                <w:sz w:val="20"/>
                <w:szCs w:val="20"/>
              </w:rPr>
              <w:t>WA</w:t>
            </w:r>
          </w:p>
        </w:tc>
        <w:tc>
          <w:tcPr>
            <w:tcW w:w="1889" w:type="dxa"/>
            <w:vAlign w:val="center"/>
          </w:tcPr>
          <w:p w14:paraId="5D65A5CB" w14:textId="054B5A6D" w:rsidR="006D692D" w:rsidRPr="00F46944" w:rsidRDefault="006D692D" w:rsidP="006D692D">
            <w:pPr>
              <w:spacing w:after="0"/>
              <w:jc w:val="center"/>
              <w:rPr>
                <w:rFonts w:cs="Arial"/>
                <w:color w:val="000000"/>
                <w:sz w:val="20"/>
                <w:szCs w:val="20"/>
              </w:rPr>
            </w:pPr>
            <w:r w:rsidRPr="00F46944">
              <w:rPr>
                <w:rFonts w:cs="Arial"/>
                <w:color w:val="000000"/>
                <w:sz w:val="20"/>
                <w:szCs w:val="20"/>
              </w:rPr>
              <w:t>59</w:t>
            </w:r>
          </w:p>
        </w:tc>
        <w:tc>
          <w:tcPr>
            <w:tcW w:w="1792" w:type="dxa"/>
            <w:vAlign w:val="center"/>
          </w:tcPr>
          <w:p w14:paraId="1F963803" w14:textId="36D8B60E" w:rsidR="006D692D" w:rsidRPr="00F46944" w:rsidRDefault="006D692D" w:rsidP="006D692D">
            <w:pPr>
              <w:spacing w:after="0"/>
              <w:jc w:val="center"/>
              <w:rPr>
                <w:rFonts w:cs="Arial"/>
                <w:color w:val="000000"/>
                <w:sz w:val="20"/>
                <w:szCs w:val="20"/>
              </w:rPr>
            </w:pPr>
            <w:r w:rsidRPr="00F46944">
              <w:rPr>
                <w:rFonts w:cs="Arial"/>
                <w:color w:val="000000"/>
                <w:sz w:val="20"/>
                <w:szCs w:val="20"/>
              </w:rPr>
              <w:t>59</w:t>
            </w:r>
          </w:p>
        </w:tc>
      </w:tr>
      <w:tr w:rsidR="006D692D" w:rsidRPr="00F46944" w14:paraId="5342B110" w14:textId="77777777" w:rsidTr="00DB030A">
        <w:trPr>
          <w:jc w:val="center"/>
        </w:trPr>
        <w:tc>
          <w:tcPr>
            <w:tcW w:w="2050" w:type="dxa"/>
          </w:tcPr>
          <w:p w14:paraId="4D4B7B6B" w14:textId="637841CB" w:rsidR="006D692D" w:rsidRPr="00F46944" w:rsidRDefault="006D692D" w:rsidP="006D692D">
            <w:pPr>
              <w:spacing w:after="0"/>
              <w:rPr>
                <w:rFonts w:cs="Arial"/>
                <w:sz w:val="20"/>
                <w:szCs w:val="20"/>
              </w:rPr>
            </w:pPr>
            <w:r w:rsidRPr="00F46944">
              <w:rPr>
                <w:rFonts w:cs="Arial"/>
                <w:sz w:val="20"/>
                <w:szCs w:val="20"/>
              </w:rPr>
              <w:t>Tas</w:t>
            </w:r>
          </w:p>
        </w:tc>
        <w:tc>
          <w:tcPr>
            <w:tcW w:w="1889" w:type="dxa"/>
            <w:vAlign w:val="center"/>
          </w:tcPr>
          <w:p w14:paraId="63CA868B" w14:textId="1780F0AD" w:rsidR="006D692D" w:rsidRPr="00F46944" w:rsidRDefault="006D692D" w:rsidP="006D692D">
            <w:pPr>
              <w:spacing w:after="0"/>
              <w:jc w:val="center"/>
              <w:rPr>
                <w:rFonts w:cs="Arial"/>
                <w:color w:val="000000"/>
                <w:sz w:val="20"/>
                <w:szCs w:val="20"/>
              </w:rPr>
            </w:pPr>
            <w:r w:rsidRPr="00F46944">
              <w:rPr>
                <w:rFonts w:cs="Arial"/>
                <w:color w:val="000000"/>
                <w:sz w:val="20"/>
                <w:szCs w:val="20"/>
              </w:rPr>
              <w:t>36</w:t>
            </w:r>
          </w:p>
        </w:tc>
        <w:tc>
          <w:tcPr>
            <w:tcW w:w="1792" w:type="dxa"/>
            <w:vAlign w:val="center"/>
          </w:tcPr>
          <w:p w14:paraId="6B98780E" w14:textId="489DCDDA" w:rsidR="006D692D" w:rsidRPr="00F46944" w:rsidRDefault="006D692D" w:rsidP="006D692D">
            <w:pPr>
              <w:spacing w:after="0"/>
              <w:jc w:val="center"/>
              <w:rPr>
                <w:rFonts w:cs="Arial"/>
                <w:color w:val="000000"/>
                <w:sz w:val="20"/>
                <w:szCs w:val="20"/>
              </w:rPr>
            </w:pPr>
            <w:r w:rsidRPr="00F46944">
              <w:rPr>
                <w:rFonts w:cs="Arial"/>
                <w:color w:val="000000"/>
                <w:sz w:val="20"/>
                <w:szCs w:val="20"/>
              </w:rPr>
              <w:t>36</w:t>
            </w:r>
          </w:p>
        </w:tc>
      </w:tr>
      <w:tr w:rsidR="006D692D" w:rsidRPr="00F46944" w14:paraId="33D722C3" w14:textId="77777777" w:rsidTr="00DB030A">
        <w:trPr>
          <w:jc w:val="center"/>
        </w:trPr>
        <w:tc>
          <w:tcPr>
            <w:tcW w:w="2050" w:type="dxa"/>
          </w:tcPr>
          <w:p w14:paraId="3EDA97E2" w14:textId="7EFC9B4E" w:rsidR="006D692D" w:rsidRPr="00F46944" w:rsidRDefault="006D692D" w:rsidP="006D692D">
            <w:pPr>
              <w:spacing w:after="0"/>
              <w:rPr>
                <w:rFonts w:cs="Arial"/>
                <w:sz w:val="20"/>
                <w:szCs w:val="20"/>
              </w:rPr>
            </w:pPr>
            <w:r w:rsidRPr="00F46944">
              <w:rPr>
                <w:rFonts w:cs="Arial"/>
                <w:sz w:val="20"/>
                <w:szCs w:val="20"/>
              </w:rPr>
              <w:t>NT</w:t>
            </w:r>
          </w:p>
        </w:tc>
        <w:tc>
          <w:tcPr>
            <w:tcW w:w="1889" w:type="dxa"/>
            <w:vAlign w:val="center"/>
          </w:tcPr>
          <w:p w14:paraId="63019287" w14:textId="2D0A1143" w:rsidR="006D692D" w:rsidRPr="00F46944" w:rsidRDefault="006D692D" w:rsidP="006D692D">
            <w:pPr>
              <w:spacing w:after="0"/>
              <w:jc w:val="center"/>
              <w:rPr>
                <w:rFonts w:cs="Arial"/>
                <w:sz w:val="20"/>
                <w:szCs w:val="20"/>
              </w:rPr>
            </w:pPr>
            <w:r w:rsidRPr="00F46944">
              <w:rPr>
                <w:rFonts w:cs="Arial"/>
                <w:color w:val="000000"/>
                <w:sz w:val="20"/>
                <w:szCs w:val="20"/>
              </w:rPr>
              <w:t>8</w:t>
            </w:r>
          </w:p>
        </w:tc>
        <w:tc>
          <w:tcPr>
            <w:tcW w:w="1792" w:type="dxa"/>
            <w:vAlign w:val="center"/>
          </w:tcPr>
          <w:p w14:paraId="1712A0D0" w14:textId="3F215666" w:rsidR="006D692D" w:rsidRPr="00F46944" w:rsidRDefault="006D692D" w:rsidP="006D692D">
            <w:pPr>
              <w:spacing w:after="0"/>
              <w:jc w:val="center"/>
              <w:rPr>
                <w:rFonts w:cs="Arial"/>
                <w:color w:val="000000"/>
                <w:sz w:val="20"/>
                <w:szCs w:val="20"/>
              </w:rPr>
            </w:pPr>
            <w:r w:rsidRPr="00F46944">
              <w:rPr>
                <w:rFonts w:cs="Arial"/>
                <w:color w:val="000000"/>
                <w:sz w:val="20"/>
                <w:szCs w:val="20"/>
              </w:rPr>
              <w:t>8</w:t>
            </w:r>
          </w:p>
        </w:tc>
      </w:tr>
      <w:tr w:rsidR="006D692D" w:rsidRPr="00F46944" w14:paraId="386DEF7B" w14:textId="77777777" w:rsidTr="00DB030A">
        <w:trPr>
          <w:jc w:val="center"/>
        </w:trPr>
        <w:tc>
          <w:tcPr>
            <w:tcW w:w="2050" w:type="dxa"/>
          </w:tcPr>
          <w:p w14:paraId="5F5D743F" w14:textId="31738C77" w:rsidR="006D692D" w:rsidRPr="00F46944" w:rsidRDefault="006D692D" w:rsidP="006D692D">
            <w:pPr>
              <w:spacing w:after="0"/>
              <w:rPr>
                <w:rFonts w:cs="Arial"/>
                <w:sz w:val="20"/>
                <w:szCs w:val="20"/>
              </w:rPr>
            </w:pPr>
            <w:r w:rsidRPr="00F46944">
              <w:rPr>
                <w:rFonts w:cs="Arial"/>
                <w:sz w:val="20"/>
                <w:szCs w:val="20"/>
              </w:rPr>
              <w:t>ACT</w:t>
            </w:r>
          </w:p>
        </w:tc>
        <w:tc>
          <w:tcPr>
            <w:tcW w:w="1889" w:type="dxa"/>
            <w:vAlign w:val="center"/>
          </w:tcPr>
          <w:p w14:paraId="1F4173D3" w14:textId="38E06C0D" w:rsidR="006D692D" w:rsidRPr="00F46944" w:rsidRDefault="006D692D" w:rsidP="006D692D">
            <w:pPr>
              <w:spacing w:after="0"/>
              <w:jc w:val="center"/>
              <w:rPr>
                <w:rFonts w:cs="Arial"/>
                <w:sz w:val="20"/>
                <w:szCs w:val="20"/>
              </w:rPr>
            </w:pPr>
            <w:r w:rsidRPr="00F46944">
              <w:rPr>
                <w:rFonts w:cs="Arial"/>
                <w:color w:val="000000"/>
                <w:sz w:val="20"/>
                <w:szCs w:val="20"/>
              </w:rPr>
              <w:t>9</w:t>
            </w:r>
          </w:p>
        </w:tc>
        <w:tc>
          <w:tcPr>
            <w:tcW w:w="1792" w:type="dxa"/>
            <w:vAlign w:val="center"/>
          </w:tcPr>
          <w:p w14:paraId="3C6D4212" w14:textId="149DF8C1" w:rsidR="006D692D" w:rsidRPr="00F46944" w:rsidRDefault="006D692D" w:rsidP="006D692D">
            <w:pPr>
              <w:spacing w:after="0"/>
              <w:jc w:val="center"/>
              <w:rPr>
                <w:rFonts w:cs="Arial"/>
                <w:color w:val="000000"/>
                <w:sz w:val="20"/>
                <w:szCs w:val="20"/>
              </w:rPr>
            </w:pPr>
            <w:r w:rsidRPr="00F46944">
              <w:rPr>
                <w:rFonts w:cs="Arial"/>
                <w:color w:val="000000"/>
                <w:sz w:val="20"/>
                <w:szCs w:val="20"/>
              </w:rPr>
              <w:t>9</w:t>
            </w:r>
          </w:p>
        </w:tc>
      </w:tr>
      <w:tr w:rsidR="006D692D" w:rsidRPr="00F46944" w14:paraId="20447361" w14:textId="77777777" w:rsidTr="00DB030A">
        <w:trPr>
          <w:jc w:val="center"/>
        </w:trPr>
        <w:tc>
          <w:tcPr>
            <w:tcW w:w="2050" w:type="dxa"/>
          </w:tcPr>
          <w:p w14:paraId="3F21BD1D" w14:textId="749E461C" w:rsidR="006D692D" w:rsidRPr="00F46944" w:rsidRDefault="006D692D" w:rsidP="006D692D">
            <w:pPr>
              <w:spacing w:after="0"/>
              <w:rPr>
                <w:rFonts w:cs="Arial"/>
                <w:sz w:val="20"/>
                <w:szCs w:val="20"/>
              </w:rPr>
            </w:pPr>
            <w:r w:rsidRPr="00F46944">
              <w:rPr>
                <w:rFonts w:cs="Arial"/>
                <w:sz w:val="20"/>
                <w:szCs w:val="20"/>
              </w:rPr>
              <w:t>TOTAL</w:t>
            </w:r>
          </w:p>
        </w:tc>
        <w:tc>
          <w:tcPr>
            <w:tcW w:w="1889" w:type="dxa"/>
          </w:tcPr>
          <w:p w14:paraId="0C60E0C6" w14:textId="1EE730CA" w:rsidR="006D692D" w:rsidRPr="00F46944" w:rsidRDefault="006D692D" w:rsidP="006D692D">
            <w:pPr>
              <w:spacing w:after="0"/>
              <w:jc w:val="center"/>
              <w:rPr>
                <w:rFonts w:cs="Arial"/>
                <w:sz w:val="20"/>
                <w:szCs w:val="20"/>
              </w:rPr>
            </w:pPr>
            <w:r w:rsidRPr="00F46944">
              <w:rPr>
                <w:rFonts w:cs="Arial"/>
                <w:sz w:val="20"/>
                <w:szCs w:val="20"/>
              </w:rPr>
              <w:t>503</w:t>
            </w:r>
          </w:p>
        </w:tc>
        <w:tc>
          <w:tcPr>
            <w:tcW w:w="1792" w:type="dxa"/>
          </w:tcPr>
          <w:p w14:paraId="5FE4D7AE" w14:textId="51425F30" w:rsidR="006D692D" w:rsidRPr="00F46944" w:rsidRDefault="006D692D" w:rsidP="006D692D">
            <w:pPr>
              <w:spacing w:after="0"/>
              <w:jc w:val="center"/>
              <w:rPr>
                <w:rFonts w:cs="Arial"/>
                <w:sz w:val="20"/>
                <w:szCs w:val="20"/>
              </w:rPr>
            </w:pPr>
            <w:r w:rsidRPr="00F46944">
              <w:rPr>
                <w:rFonts w:cs="Arial"/>
                <w:sz w:val="20"/>
                <w:szCs w:val="20"/>
              </w:rPr>
              <w:t>504</w:t>
            </w:r>
          </w:p>
        </w:tc>
      </w:tr>
    </w:tbl>
    <w:p w14:paraId="27FEA05C" w14:textId="21B5ABB0" w:rsidR="00DB030A" w:rsidRPr="00F46944" w:rsidRDefault="00D77422" w:rsidP="00E4004C">
      <w:pPr>
        <w:ind w:left="1786"/>
        <w:rPr>
          <w:sz w:val="16"/>
          <w:szCs w:val="16"/>
        </w:rPr>
      </w:pPr>
      <w:r>
        <w:rPr>
          <w:rFonts w:ascii="ZWAdobeF" w:hAnsi="ZWAdobeF" w:cs="ZWAdobeF"/>
          <w:sz w:val="2"/>
          <w:szCs w:val="2"/>
        </w:rPr>
        <w:t>685B</w:t>
      </w:r>
      <w:r w:rsidR="00DB030A" w:rsidRPr="00F46944">
        <w:rPr>
          <w:sz w:val="16"/>
          <w:szCs w:val="16"/>
        </w:rPr>
        <w:t>Source: NPS MedicineWise</w:t>
      </w:r>
      <w:r w:rsidR="00DB030A" w:rsidRPr="00F46944">
        <w:rPr>
          <w:sz w:val="16"/>
          <w:szCs w:val="16"/>
        </w:rPr>
        <w:fldChar w:fldCharType="begin"/>
      </w:r>
      <w:r w:rsidR="00DB0DCB">
        <w:rPr>
          <w:sz w:val="16"/>
          <w:szCs w:val="16"/>
        </w:rPr>
        <w:instrText xml:space="preserve"> ADDIN EN.CITE &lt;EndNote&gt;&lt;Cite&gt;&lt;Author&gt;NPS MedicineWise&lt;/Author&gt;&lt;RecNum&gt;6&lt;/RecNum&gt;&lt;DisplayText&gt;&lt;style face="superscript"&gt;6&lt;/style&gt;&lt;/DisplayText&gt;&lt;record&gt;&lt;rec-number&gt;6&lt;/rec-number&gt;&lt;foreign-keys&gt;&lt;key app="EN" db-id="es9dr99ws90stoe5x2rp505nazvswdzppxa5" timestamp="1670810539"&gt;6&lt;/key&gt;&lt;/foreign-keys&gt;&lt;ref-type name="Unpublished Work"&gt;34&lt;/ref-type&gt;&lt;contributors&gt;&lt;authors&gt;&lt;author&gt;NPS MedicineWise,&lt;/author&gt;&lt;/authors&gt;&lt;/contributors&gt;&lt;titles&gt;&lt;title&gt;MedicineInsight data analyses for AURA Community report, May 2022 (unpublished)&lt;/title&gt;&lt;/titles&gt;&lt;dates&gt;&lt;/dates&gt;&lt;publisher&gt;NPS MedicineWise&lt;/publisher&gt;&lt;urls&gt;&lt;/urls&gt;&lt;/record&gt;&lt;/Cite&gt;&lt;/EndNote&gt;</w:instrText>
      </w:r>
      <w:r w:rsidR="00DB030A" w:rsidRPr="00F46944">
        <w:rPr>
          <w:sz w:val="16"/>
          <w:szCs w:val="16"/>
        </w:rPr>
        <w:fldChar w:fldCharType="separate"/>
      </w:r>
      <w:r w:rsidR="001C0A42" w:rsidRPr="001C0A42">
        <w:rPr>
          <w:noProof/>
          <w:sz w:val="16"/>
          <w:szCs w:val="16"/>
          <w:vertAlign w:val="superscript"/>
        </w:rPr>
        <w:t>6</w:t>
      </w:r>
      <w:r w:rsidR="00DB030A" w:rsidRPr="00F46944">
        <w:rPr>
          <w:sz w:val="16"/>
          <w:szCs w:val="16"/>
        </w:rPr>
        <w:fldChar w:fldCharType="end"/>
      </w:r>
      <w:r w:rsidR="00DB030A" w:rsidRPr="00F46944">
        <w:rPr>
          <w:sz w:val="16"/>
          <w:szCs w:val="16"/>
        </w:rPr>
        <w:t xml:space="preserve"> </w:t>
      </w:r>
    </w:p>
    <w:p w14:paraId="12D2C983" w14:textId="77777777" w:rsidR="008C50A8" w:rsidRPr="00F46944" w:rsidRDefault="008C50A8">
      <w:pPr>
        <w:spacing w:after="80"/>
      </w:pPr>
    </w:p>
    <w:p w14:paraId="322416FA" w14:textId="74E86760" w:rsidR="00842914" w:rsidRPr="00F46944" w:rsidRDefault="00842914">
      <w:pPr>
        <w:spacing w:after="80"/>
        <w:rPr>
          <w:rFonts w:cs="Arial"/>
          <w:b/>
          <w:iCs/>
          <w:color w:val="1178A2"/>
          <w:kern w:val="28"/>
          <w:sz w:val="32"/>
          <w:szCs w:val="28"/>
        </w:rPr>
      </w:pPr>
      <w:r w:rsidRPr="00F46944">
        <w:br w:type="page"/>
      </w:r>
    </w:p>
    <w:p w14:paraId="15906011" w14:textId="4326C1E2" w:rsidR="00BA07CC" w:rsidRPr="000627FE" w:rsidRDefault="00A84201" w:rsidP="00710F6F">
      <w:pPr>
        <w:pStyle w:val="Heading3"/>
      </w:pPr>
      <w:bookmarkStart w:id="190" w:name="_Toc121826743"/>
      <w:r w:rsidRPr="000627FE">
        <w:lastRenderedPageBreak/>
        <w:t xml:space="preserve">Appendix </w:t>
      </w:r>
      <w:r w:rsidR="008C50A8" w:rsidRPr="000627FE">
        <w:t>2</w:t>
      </w:r>
      <w:r w:rsidR="00BA07CC" w:rsidRPr="000627FE">
        <w:t>: Terminology</w:t>
      </w:r>
      <w:bookmarkEnd w:id="190"/>
    </w:p>
    <w:p w14:paraId="5EC216A9" w14:textId="3F1C1024" w:rsidR="00BA07CC" w:rsidRPr="00F46944" w:rsidRDefault="00BA07CC" w:rsidP="00EE05E1">
      <w:pPr>
        <w:pStyle w:val="Heading4"/>
      </w:pPr>
      <w:bookmarkStart w:id="191" w:name="_Toc121826744"/>
      <w:r w:rsidRPr="00F46944">
        <w:t>A</w:t>
      </w:r>
      <w:r w:rsidR="008C50A8" w:rsidRPr="00F46944">
        <w:t>2</w:t>
      </w:r>
      <w:r w:rsidRPr="00F46944">
        <w:t xml:space="preserve">.1 </w:t>
      </w:r>
      <w:r w:rsidR="004529FE" w:rsidRPr="00F46944">
        <w:t>Abbreviations</w:t>
      </w:r>
      <w:r w:rsidR="00BD5443" w:rsidRPr="00F46944">
        <w:t xml:space="preserve"> and acronyms</w:t>
      </w:r>
      <w:bookmarkEnd w:id="191"/>
    </w:p>
    <w:tbl>
      <w:tblPr>
        <w:tblStyle w:val="PlainTable2"/>
        <w:tblW w:w="0" w:type="auto"/>
        <w:tblLook w:val="04A0" w:firstRow="1" w:lastRow="0" w:firstColumn="1" w:lastColumn="0" w:noHBand="0" w:noVBand="1"/>
      </w:tblPr>
      <w:tblGrid>
        <w:gridCol w:w="2263"/>
        <w:gridCol w:w="6493"/>
      </w:tblGrid>
      <w:tr w:rsidR="000861DE" w:rsidRPr="00F46944" w14:paraId="22D13AE4" w14:textId="77777777" w:rsidTr="005E34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1BBA8" w:themeFill="accent5" w:themeFillTint="66"/>
          </w:tcPr>
          <w:p w14:paraId="447BBDA3" w14:textId="147D5B25" w:rsidR="000861DE" w:rsidRPr="00F46944" w:rsidRDefault="000861DE" w:rsidP="000861DE">
            <w:pPr>
              <w:spacing w:after="0"/>
              <w:rPr>
                <w:rFonts w:cstheme="minorHAnsi"/>
              </w:rPr>
            </w:pPr>
            <w:r w:rsidRPr="00F46944">
              <w:rPr>
                <w:rFonts w:cstheme="minorHAnsi"/>
              </w:rPr>
              <w:t>Term</w:t>
            </w:r>
          </w:p>
        </w:tc>
        <w:tc>
          <w:tcPr>
            <w:tcW w:w="6493" w:type="dxa"/>
            <w:shd w:val="clear" w:color="auto" w:fill="F1BBA8" w:themeFill="accent5" w:themeFillTint="66"/>
          </w:tcPr>
          <w:p w14:paraId="5A26EFFA" w14:textId="56E79821" w:rsidR="000861DE" w:rsidRPr="00F46944" w:rsidRDefault="000861DE" w:rsidP="000861DE">
            <w:pPr>
              <w:spacing w:after="0"/>
              <w:cnfStyle w:val="100000000000" w:firstRow="1" w:lastRow="0" w:firstColumn="0" w:lastColumn="0" w:oddVBand="0" w:evenVBand="0" w:oddHBand="0" w:evenHBand="0" w:firstRowFirstColumn="0" w:firstRowLastColumn="0" w:lastRowFirstColumn="0" w:lastRowLastColumn="0"/>
              <w:rPr>
                <w:rFonts w:cstheme="minorHAnsi"/>
              </w:rPr>
            </w:pPr>
            <w:r w:rsidRPr="00F46944">
              <w:rPr>
                <w:rFonts w:cstheme="minorHAnsi"/>
              </w:rPr>
              <w:t>Definition</w:t>
            </w:r>
          </w:p>
        </w:tc>
      </w:tr>
      <w:tr w:rsidR="000861DE" w:rsidRPr="00F46944" w14:paraId="36D314C2" w14:textId="77777777" w:rsidTr="005E3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FCCF3FA" w14:textId="593A61C7" w:rsidR="000861DE" w:rsidRPr="00F46944" w:rsidRDefault="000861DE" w:rsidP="000861DE">
            <w:pPr>
              <w:spacing w:after="0"/>
              <w:rPr>
                <w:rFonts w:cstheme="minorHAnsi"/>
              </w:rPr>
            </w:pPr>
            <w:r w:rsidRPr="00F46944">
              <w:rPr>
                <w:rFonts w:cstheme="minorHAnsi"/>
              </w:rPr>
              <w:t xml:space="preserve">ABS </w:t>
            </w:r>
          </w:p>
        </w:tc>
        <w:tc>
          <w:tcPr>
            <w:tcW w:w="6493" w:type="dxa"/>
          </w:tcPr>
          <w:p w14:paraId="04B88BAD" w14:textId="37495CE7" w:rsidR="000861DE" w:rsidRPr="00F46944" w:rsidRDefault="000861DE" w:rsidP="000861DE">
            <w:pPr>
              <w:spacing w:after="0"/>
              <w:cnfStyle w:val="000000100000" w:firstRow="0" w:lastRow="0" w:firstColumn="0" w:lastColumn="0" w:oddVBand="0" w:evenVBand="0" w:oddHBand="1" w:evenHBand="0" w:firstRowFirstColumn="0" w:firstRowLastColumn="0" w:lastRowFirstColumn="0" w:lastRowLastColumn="0"/>
              <w:rPr>
                <w:rFonts w:cstheme="minorHAnsi"/>
              </w:rPr>
            </w:pPr>
            <w:r w:rsidRPr="00F46944">
              <w:rPr>
                <w:rFonts w:cstheme="minorHAnsi"/>
              </w:rPr>
              <w:t xml:space="preserve">Australian Bureau of Statistics </w:t>
            </w:r>
          </w:p>
        </w:tc>
      </w:tr>
      <w:tr w:rsidR="000861DE" w:rsidRPr="00F46944" w14:paraId="3D2683A2" w14:textId="77777777" w:rsidTr="005E342B">
        <w:tc>
          <w:tcPr>
            <w:cnfStyle w:val="001000000000" w:firstRow="0" w:lastRow="0" w:firstColumn="1" w:lastColumn="0" w:oddVBand="0" w:evenVBand="0" w:oddHBand="0" w:evenHBand="0" w:firstRowFirstColumn="0" w:firstRowLastColumn="0" w:lastRowFirstColumn="0" w:lastRowLastColumn="0"/>
            <w:tcW w:w="2263" w:type="dxa"/>
          </w:tcPr>
          <w:p w14:paraId="5AD0370F" w14:textId="2FC5EFBA" w:rsidR="000861DE" w:rsidRPr="00F46944" w:rsidRDefault="000861DE" w:rsidP="000861DE">
            <w:pPr>
              <w:spacing w:after="0"/>
              <w:rPr>
                <w:rFonts w:cstheme="minorHAnsi"/>
              </w:rPr>
            </w:pPr>
            <w:r w:rsidRPr="00F46944">
              <w:rPr>
                <w:rFonts w:cstheme="minorHAnsi"/>
              </w:rPr>
              <w:t xml:space="preserve">ACT </w:t>
            </w:r>
          </w:p>
        </w:tc>
        <w:tc>
          <w:tcPr>
            <w:tcW w:w="6493" w:type="dxa"/>
          </w:tcPr>
          <w:p w14:paraId="00DD1976" w14:textId="147DE422" w:rsidR="000861DE" w:rsidRPr="00F46944" w:rsidRDefault="000861DE" w:rsidP="000861DE">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46944">
              <w:rPr>
                <w:rFonts w:cstheme="minorHAnsi"/>
              </w:rPr>
              <w:t xml:space="preserve">Australian Capital Territory </w:t>
            </w:r>
          </w:p>
        </w:tc>
      </w:tr>
      <w:tr w:rsidR="000861DE" w:rsidRPr="00F46944" w14:paraId="314D7DC9" w14:textId="77777777" w:rsidTr="005E3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994A770" w14:textId="578A83A4" w:rsidR="000861DE" w:rsidRPr="00F46944" w:rsidRDefault="000861DE" w:rsidP="000861DE">
            <w:pPr>
              <w:spacing w:after="0"/>
              <w:rPr>
                <w:rFonts w:cstheme="minorHAnsi"/>
              </w:rPr>
            </w:pPr>
            <w:r w:rsidRPr="00F46944">
              <w:rPr>
                <w:rFonts w:cstheme="minorHAnsi"/>
              </w:rPr>
              <w:t xml:space="preserve">AIHW </w:t>
            </w:r>
          </w:p>
        </w:tc>
        <w:tc>
          <w:tcPr>
            <w:tcW w:w="6493" w:type="dxa"/>
          </w:tcPr>
          <w:p w14:paraId="26E81A81" w14:textId="3CA5BA81" w:rsidR="000861DE" w:rsidRPr="00F46944" w:rsidRDefault="000861DE" w:rsidP="000861DE">
            <w:pPr>
              <w:spacing w:after="0"/>
              <w:cnfStyle w:val="000000100000" w:firstRow="0" w:lastRow="0" w:firstColumn="0" w:lastColumn="0" w:oddVBand="0" w:evenVBand="0" w:oddHBand="1" w:evenHBand="0" w:firstRowFirstColumn="0" w:firstRowLastColumn="0" w:lastRowFirstColumn="0" w:lastRowLastColumn="0"/>
              <w:rPr>
                <w:rFonts w:cstheme="minorHAnsi"/>
              </w:rPr>
            </w:pPr>
            <w:r w:rsidRPr="00F46944">
              <w:rPr>
                <w:rFonts w:cstheme="minorHAnsi"/>
              </w:rPr>
              <w:t xml:space="preserve">Australian Institute of Health and Welfare </w:t>
            </w:r>
          </w:p>
        </w:tc>
      </w:tr>
      <w:tr w:rsidR="000861DE" w:rsidRPr="00F46944" w14:paraId="55B000A0" w14:textId="77777777" w:rsidTr="005E342B">
        <w:tc>
          <w:tcPr>
            <w:cnfStyle w:val="001000000000" w:firstRow="0" w:lastRow="0" w:firstColumn="1" w:lastColumn="0" w:oddVBand="0" w:evenVBand="0" w:oddHBand="0" w:evenHBand="0" w:firstRowFirstColumn="0" w:firstRowLastColumn="0" w:lastRowFirstColumn="0" w:lastRowLastColumn="0"/>
            <w:tcW w:w="2263" w:type="dxa"/>
          </w:tcPr>
          <w:p w14:paraId="04DF6755" w14:textId="77E918F2" w:rsidR="000861DE" w:rsidRPr="00F46944" w:rsidRDefault="000861DE" w:rsidP="000861DE">
            <w:pPr>
              <w:spacing w:after="0"/>
              <w:rPr>
                <w:rFonts w:cstheme="minorHAnsi"/>
              </w:rPr>
            </w:pPr>
            <w:r w:rsidRPr="00F46944">
              <w:rPr>
                <w:rFonts w:cstheme="minorHAnsi"/>
              </w:rPr>
              <w:t xml:space="preserve">AMR </w:t>
            </w:r>
          </w:p>
        </w:tc>
        <w:tc>
          <w:tcPr>
            <w:tcW w:w="6493" w:type="dxa"/>
          </w:tcPr>
          <w:p w14:paraId="098BDD28" w14:textId="3CF0ABA6" w:rsidR="000861DE" w:rsidRPr="00F46944" w:rsidRDefault="000861DE" w:rsidP="000861DE">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46944">
              <w:rPr>
                <w:rFonts w:cstheme="minorHAnsi"/>
              </w:rPr>
              <w:t xml:space="preserve">antimicrobial resistance </w:t>
            </w:r>
          </w:p>
        </w:tc>
      </w:tr>
      <w:tr w:rsidR="000861DE" w:rsidRPr="00F46944" w14:paraId="70B831D8" w14:textId="77777777" w:rsidTr="005E3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C14E3B3" w14:textId="446EEB1C" w:rsidR="000861DE" w:rsidRPr="00F46944" w:rsidRDefault="000861DE" w:rsidP="000861DE">
            <w:pPr>
              <w:spacing w:after="0"/>
              <w:rPr>
                <w:rFonts w:cstheme="minorHAnsi"/>
              </w:rPr>
            </w:pPr>
            <w:r w:rsidRPr="00F46944">
              <w:rPr>
                <w:rFonts w:cstheme="minorHAnsi"/>
              </w:rPr>
              <w:t xml:space="preserve">AMS </w:t>
            </w:r>
          </w:p>
        </w:tc>
        <w:tc>
          <w:tcPr>
            <w:tcW w:w="6493" w:type="dxa"/>
          </w:tcPr>
          <w:p w14:paraId="2870213F" w14:textId="77F5CF66" w:rsidR="000861DE" w:rsidRPr="00F46944" w:rsidRDefault="000861DE" w:rsidP="000861DE">
            <w:pPr>
              <w:spacing w:after="0"/>
              <w:cnfStyle w:val="000000100000" w:firstRow="0" w:lastRow="0" w:firstColumn="0" w:lastColumn="0" w:oddVBand="0" w:evenVBand="0" w:oddHBand="1" w:evenHBand="0" w:firstRowFirstColumn="0" w:firstRowLastColumn="0" w:lastRowFirstColumn="0" w:lastRowLastColumn="0"/>
              <w:rPr>
                <w:rFonts w:cstheme="minorHAnsi"/>
              </w:rPr>
            </w:pPr>
            <w:r w:rsidRPr="00F46944">
              <w:rPr>
                <w:rFonts w:cstheme="minorHAnsi"/>
              </w:rPr>
              <w:t xml:space="preserve">antimicrobial stewardship </w:t>
            </w:r>
          </w:p>
        </w:tc>
      </w:tr>
      <w:tr w:rsidR="000861DE" w:rsidRPr="00F46944" w14:paraId="151836C5" w14:textId="77777777" w:rsidTr="005E342B">
        <w:tc>
          <w:tcPr>
            <w:cnfStyle w:val="001000000000" w:firstRow="0" w:lastRow="0" w:firstColumn="1" w:lastColumn="0" w:oddVBand="0" w:evenVBand="0" w:oddHBand="0" w:evenHBand="0" w:firstRowFirstColumn="0" w:firstRowLastColumn="0" w:lastRowFirstColumn="0" w:lastRowLastColumn="0"/>
            <w:tcW w:w="2263" w:type="dxa"/>
          </w:tcPr>
          <w:p w14:paraId="655D2201" w14:textId="6E3E59ED" w:rsidR="000861DE" w:rsidRPr="00F46944" w:rsidRDefault="000861DE" w:rsidP="000861DE">
            <w:pPr>
              <w:spacing w:after="0"/>
              <w:rPr>
                <w:rFonts w:cstheme="minorHAnsi"/>
              </w:rPr>
            </w:pPr>
            <w:r w:rsidRPr="00F46944">
              <w:rPr>
                <w:rFonts w:cstheme="minorHAnsi"/>
              </w:rPr>
              <w:t xml:space="preserve">ATC </w:t>
            </w:r>
          </w:p>
        </w:tc>
        <w:tc>
          <w:tcPr>
            <w:tcW w:w="6493" w:type="dxa"/>
          </w:tcPr>
          <w:p w14:paraId="40EE67FD" w14:textId="2C2282ED" w:rsidR="000861DE" w:rsidRPr="00F46944" w:rsidRDefault="000861DE" w:rsidP="000861DE">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46944">
              <w:rPr>
                <w:rFonts w:cstheme="minorHAnsi"/>
              </w:rPr>
              <w:t xml:space="preserve">Anatomical Therapeutic Chemical </w:t>
            </w:r>
          </w:p>
        </w:tc>
      </w:tr>
      <w:tr w:rsidR="000861DE" w:rsidRPr="00F46944" w14:paraId="0D51AB0D" w14:textId="77777777" w:rsidTr="005E3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CF9DF95" w14:textId="690CC13F" w:rsidR="000861DE" w:rsidRPr="00F46944" w:rsidRDefault="000861DE" w:rsidP="000861DE">
            <w:pPr>
              <w:spacing w:after="0"/>
              <w:rPr>
                <w:rFonts w:cstheme="minorHAnsi"/>
              </w:rPr>
            </w:pPr>
            <w:r w:rsidRPr="00F46944">
              <w:rPr>
                <w:rFonts w:cstheme="minorHAnsi"/>
              </w:rPr>
              <w:t xml:space="preserve">AU </w:t>
            </w:r>
          </w:p>
        </w:tc>
        <w:tc>
          <w:tcPr>
            <w:tcW w:w="6493" w:type="dxa"/>
          </w:tcPr>
          <w:p w14:paraId="790343EC" w14:textId="43059623" w:rsidR="000861DE" w:rsidRPr="00F46944" w:rsidRDefault="000861DE" w:rsidP="000861DE">
            <w:pPr>
              <w:spacing w:after="0"/>
              <w:cnfStyle w:val="000000100000" w:firstRow="0" w:lastRow="0" w:firstColumn="0" w:lastColumn="0" w:oddVBand="0" w:evenVBand="0" w:oddHBand="1" w:evenHBand="0" w:firstRowFirstColumn="0" w:firstRowLastColumn="0" w:lastRowFirstColumn="0" w:lastRowLastColumn="0"/>
              <w:rPr>
                <w:rFonts w:cstheme="minorHAnsi"/>
              </w:rPr>
            </w:pPr>
            <w:r w:rsidRPr="00F46944">
              <w:rPr>
                <w:rFonts w:cstheme="minorHAnsi"/>
              </w:rPr>
              <w:t xml:space="preserve">antimicrobial use </w:t>
            </w:r>
          </w:p>
        </w:tc>
      </w:tr>
      <w:tr w:rsidR="000861DE" w:rsidRPr="00F46944" w14:paraId="12337710" w14:textId="77777777" w:rsidTr="005E342B">
        <w:tc>
          <w:tcPr>
            <w:cnfStyle w:val="001000000000" w:firstRow="0" w:lastRow="0" w:firstColumn="1" w:lastColumn="0" w:oddVBand="0" w:evenVBand="0" w:oddHBand="0" w:evenHBand="0" w:firstRowFirstColumn="0" w:firstRowLastColumn="0" w:lastRowFirstColumn="0" w:lastRowLastColumn="0"/>
            <w:tcW w:w="2263" w:type="dxa"/>
          </w:tcPr>
          <w:p w14:paraId="5D84E4CC" w14:textId="5B6B64FF" w:rsidR="000861DE" w:rsidRPr="00F46944" w:rsidRDefault="000861DE" w:rsidP="000861DE">
            <w:pPr>
              <w:spacing w:after="0"/>
              <w:rPr>
                <w:rFonts w:cstheme="minorHAnsi"/>
              </w:rPr>
            </w:pPr>
            <w:r w:rsidRPr="00F46944">
              <w:rPr>
                <w:rFonts w:cstheme="minorHAnsi"/>
              </w:rPr>
              <w:t xml:space="preserve">AURA </w:t>
            </w:r>
          </w:p>
        </w:tc>
        <w:tc>
          <w:tcPr>
            <w:tcW w:w="6493" w:type="dxa"/>
          </w:tcPr>
          <w:p w14:paraId="4E4A4485" w14:textId="485DA6F7" w:rsidR="000861DE" w:rsidRPr="00F46944" w:rsidRDefault="000861DE" w:rsidP="000861DE">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46944">
              <w:rPr>
                <w:rFonts w:cstheme="minorHAnsi"/>
              </w:rPr>
              <w:t xml:space="preserve">Antimicrobial Use and Resistance in Australia </w:t>
            </w:r>
          </w:p>
        </w:tc>
      </w:tr>
      <w:tr w:rsidR="000861DE" w:rsidRPr="00F46944" w14:paraId="76FF9DA5" w14:textId="77777777" w:rsidTr="005E3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9978E43" w14:textId="474FC5EA" w:rsidR="000861DE" w:rsidRPr="00F46944" w:rsidRDefault="000861DE" w:rsidP="000861DE">
            <w:pPr>
              <w:spacing w:after="0"/>
              <w:rPr>
                <w:rFonts w:cstheme="minorHAnsi"/>
              </w:rPr>
            </w:pPr>
            <w:r w:rsidRPr="00F46944">
              <w:rPr>
                <w:rFonts w:cstheme="minorHAnsi"/>
              </w:rPr>
              <w:t>β-lactamase inhibitors</w:t>
            </w:r>
          </w:p>
        </w:tc>
        <w:tc>
          <w:tcPr>
            <w:tcW w:w="6493" w:type="dxa"/>
          </w:tcPr>
          <w:p w14:paraId="56398066" w14:textId="4BDB1AEF" w:rsidR="000861DE" w:rsidRPr="00F46944" w:rsidRDefault="000861DE" w:rsidP="000861DE">
            <w:pPr>
              <w:spacing w:after="0"/>
              <w:cnfStyle w:val="000000100000" w:firstRow="0" w:lastRow="0" w:firstColumn="0" w:lastColumn="0" w:oddVBand="0" w:evenVBand="0" w:oddHBand="1" w:evenHBand="0" w:firstRowFirstColumn="0" w:firstRowLastColumn="0" w:lastRowFirstColumn="0" w:lastRowLastColumn="0"/>
              <w:rPr>
                <w:rFonts w:cstheme="minorHAnsi"/>
              </w:rPr>
            </w:pPr>
            <w:r w:rsidRPr="00F46944">
              <w:rPr>
                <w:rFonts w:cstheme="minorHAnsi"/>
              </w:rPr>
              <w:t xml:space="preserve">beta-lactamase inhibitors </w:t>
            </w:r>
          </w:p>
        </w:tc>
      </w:tr>
      <w:tr w:rsidR="000861DE" w:rsidRPr="00F46944" w14:paraId="747355AA" w14:textId="77777777" w:rsidTr="005E342B">
        <w:tc>
          <w:tcPr>
            <w:cnfStyle w:val="001000000000" w:firstRow="0" w:lastRow="0" w:firstColumn="1" w:lastColumn="0" w:oddVBand="0" w:evenVBand="0" w:oddHBand="0" w:evenHBand="0" w:firstRowFirstColumn="0" w:firstRowLastColumn="0" w:lastRowFirstColumn="0" w:lastRowLastColumn="0"/>
            <w:tcW w:w="2263" w:type="dxa"/>
          </w:tcPr>
          <w:p w14:paraId="18B78AD4" w14:textId="07AA5678" w:rsidR="000861DE" w:rsidRPr="00F46944" w:rsidRDefault="000861DE" w:rsidP="000861DE">
            <w:pPr>
              <w:spacing w:after="0"/>
              <w:rPr>
                <w:rFonts w:cstheme="minorHAnsi"/>
              </w:rPr>
            </w:pPr>
            <w:r w:rsidRPr="00F46944">
              <w:rPr>
                <w:rFonts w:cstheme="minorHAnsi"/>
              </w:rPr>
              <w:t xml:space="preserve">CAP </w:t>
            </w:r>
          </w:p>
        </w:tc>
        <w:tc>
          <w:tcPr>
            <w:tcW w:w="6493" w:type="dxa"/>
          </w:tcPr>
          <w:p w14:paraId="5455A3A2" w14:textId="2FA52E6C" w:rsidR="000861DE" w:rsidRPr="00F46944" w:rsidRDefault="000861DE" w:rsidP="000861DE">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46944">
              <w:rPr>
                <w:rFonts w:cstheme="minorHAnsi"/>
              </w:rPr>
              <w:t xml:space="preserve">community-acquired pneumonia </w:t>
            </w:r>
          </w:p>
        </w:tc>
      </w:tr>
      <w:tr w:rsidR="000861DE" w:rsidRPr="00F46944" w14:paraId="68BEDB99" w14:textId="77777777" w:rsidTr="005E3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CB6D021" w14:textId="7CFB6DCC" w:rsidR="000861DE" w:rsidRPr="00F46944" w:rsidRDefault="000861DE" w:rsidP="000861DE">
            <w:pPr>
              <w:spacing w:after="0"/>
              <w:rPr>
                <w:rFonts w:cstheme="minorHAnsi"/>
              </w:rPr>
            </w:pPr>
            <w:r w:rsidRPr="00F46944">
              <w:rPr>
                <w:rFonts w:cstheme="minorHAnsi"/>
              </w:rPr>
              <w:t xml:space="preserve">CI </w:t>
            </w:r>
          </w:p>
        </w:tc>
        <w:tc>
          <w:tcPr>
            <w:tcW w:w="6493" w:type="dxa"/>
          </w:tcPr>
          <w:p w14:paraId="4C5B61AC" w14:textId="6EF2B8C7" w:rsidR="000861DE" w:rsidRPr="00F46944" w:rsidRDefault="000861DE" w:rsidP="000861DE">
            <w:pPr>
              <w:spacing w:after="0"/>
              <w:cnfStyle w:val="000000100000" w:firstRow="0" w:lastRow="0" w:firstColumn="0" w:lastColumn="0" w:oddVBand="0" w:evenVBand="0" w:oddHBand="1" w:evenHBand="0" w:firstRowFirstColumn="0" w:firstRowLastColumn="0" w:lastRowFirstColumn="0" w:lastRowLastColumn="0"/>
              <w:rPr>
                <w:rFonts w:cstheme="minorHAnsi"/>
              </w:rPr>
            </w:pPr>
            <w:r w:rsidRPr="00F46944">
              <w:rPr>
                <w:rFonts w:cstheme="minorHAnsi"/>
              </w:rPr>
              <w:t xml:space="preserve">confidence interval </w:t>
            </w:r>
          </w:p>
        </w:tc>
      </w:tr>
      <w:tr w:rsidR="004F4495" w:rsidRPr="00F46944" w14:paraId="42EC3B8F" w14:textId="77777777" w:rsidTr="005E342B">
        <w:tc>
          <w:tcPr>
            <w:cnfStyle w:val="001000000000" w:firstRow="0" w:lastRow="0" w:firstColumn="1" w:lastColumn="0" w:oddVBand="0" w:evenVBand="0" w:oddHBand="0" w:evenHBand="0" w:firstRowFirstColumn="0" w:firstRowLastColumn="0" w:lastRowFirstColumn="0" w:lastRowLastColumn="0"/>
            <w:tcW w:w="2263" w:type="dxa"/>
          </w:tcPr>
          <w:p w14:paraId="4BC78475" w14:textId="47FD89A9" w:rsidR="004F4495" w:rsidRPr="00F46944" w:rsidRDefault="004F4495" w:rsidP="000861DE">
            <w:pPr>
              <w:spacing w:after="0"/>
              <w:rPr>
                <w:rFonts w:cstheme="minorHAnsi"/>
              </w:rPr>
            </w:pPr>
            <w:r>
              <w:t>CIS</w:t>
            </w:r>
          </w:p>
        </w:tc>
        <w:tc>
          <w:tcPr>
            <w:tcW w:w="6493" w:type="dxa"/>
          </w:tcPr>
          <w:p w14:paraId="40316B40" w14:textId="6A40353E" w:rsidR="004F4495" w:rsidRPr="00F46944" w:rsidRDefault="004E5645" w:rsidP="000861DE">
            <w:pPr>
              <w:spacing w:after="0"/>
              <w:cnfStyle w:val="000000000000" w:firstRow="0" w:lastRow="0" w:firstColumn="0" w:lastColumn="0" w:oddVBand="0" w:evenVBand="0" w:oddHBand="0" w:evenHBand="0" w:firstRowFirstColumn="0" w:firstRowLastColumn="0" w:lastRowFirstColumn="0" w:lastRowLastColumn="0"/>
              <w:rPr>
                <w:rFonts w:cstheme="minorHAnsi"/>
              </w:rPr>
            </w:pPr>
            <w:r>
              <w:t>c</w:t>
            </w:r>
            <w:r w:rsidR="004F4495">
              <w:t>linical information system</w:t>
            </w:r>
          </w:p>
        </w:tc>
      </w:tr>
      <w:tr w:rsidR="000861DE" w:rsidRPr="00F46944" w14:paraId="12248936" w14:textId="77777777" w:rsidTr="005E3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2A5CAB6" w14:textId="1EB09005" w:rsidR="000861DE" w:rsidRPr="00F46944" w:rsidRDefault="000861DE" w:rsidP="000861DE">
            <w:pPr>
              <w:spacing w:after="0"/>
              <w:rPr>
                <w:rFonts w:cstheme="minorHAnsi"/>
              </w:rPr>
            </w:pPr>
            <w:r w:rsidRPr="00F46944">
              <w:rPr>
                <w:rFonts w:cstheme="minorHAnsi"/>
              </w:rPr>
              <w:t>Commission</w:t>
            </w:r>
          </w:p>
        </w:tc>
        <w:tc>
          <w:tcPr>
            <w:tcW w:w="6493" w:type="dxa"/>
          </w:tcPr>
          <w:p w14:paraId="5D5E9FC7" w14:textId="70A7986F" w:rsidR="000861DE" w:rsidRPr="00F46944" w:rsidRDefault="000861DE" w:rsidP="000861DE">
            <w:pPr>
              <w:spacing w:after="0"/>
              <w:cnfStyle w:val="000000100000" w:firstRow="0" w:lastRow="0" w:firstColumn="0" w:lastColumn="0" w:oddVBand="0" w:evenVBand="0" w:oddHBand="1" w:evenHBand="0" w:firstRowFirstColumn="0" w:firstRowLastColumn="0" w:lastRowFirstColumn="0" w:lastRowLastColumn="0"/>
              <w:rPr>
                <w:rFonts w:cstheme="minorHAnsi"/>
              </w:rPr>
            </w:pPr>
            <w:r w:rsidRPr="00F46944">
              <w:rPr>
                <w:rFonts w:cstheme="minorHAnsi"/>
              </w:rPr>
              <w:t>Australian Commission on Safety and Quality in Health Care</w:t>
            </w:r>
          </w:p>
        </w:tc>
      </w:tr>
      <w:tr w:rsidR="000861DE" w:rsidRPr="00F46944" w14:paraId="308CB851" w14:textId="77777777" w:rsidTr="005E342B">
        <w:tc>
          <w:tcPr>
            <w:cnfStyle w:val="001000000000" w:firstRow="0" w:lastRow="0" w:firstColumn="1" w:lastColumn="0" w:oddVBand="0" w:evenVBand="0" w:oddHBand="0" w:evenHBand="0" w:firstRowFirstColumn="0" w:firstRowLastColumn="0" w:lastRowFirstColumn="0" w:lastRowLastColumn="0"/>
            <w:tcW w:w="2263" w:type="dxa"/>
          </w:tcPr>
          <w:p w14:paraId="40AE7BDE" w14:textId="2187DA70" w:rsidR="000861DE" w:rsidRPr="00F46944" w:rsidRDefault="000861DE" w:rsidP="000861DE">
            <w:pPr>
              <w:spacing w:after="0"/>
              <w:rPr>
                <w:rFonts w:cstheme="minorHAnsi"/>
              </w:rPr>
            </w:pPr>
            <w:r w:rsidRPr="00F46944">
              <w:rPr>
                <w:rFonts w:cstheme="minorHAnsi"/>
              </w:rPr>
              <w:t xml:space="preserve">COPD </w:t>
            </w:r>
          </w:p>
        </w:tc>
        <w:tc>
          <w:tcPr>
            <w:tcW w:w="6493" w:type="dxa"/>
          </w:tcPr>
          <w:p w14:paraId="00D2C2ED" w14:textId="688FDB20" w:rsidR="000861DE" w:rsidRPr="00F46944" w:rsidRDefault="000861DE" w:rsidP="000861DE">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46944">
              <w:rPr>
                <w:rFonts w:cstheme="minorHAnsi"/>
              </w:rPr>
              <w:t xml:space="preserve">chronic obstructive pulmonary disease </w:t>
            </w:r>
          </w:p>
        </w:tc>
      </w:tr>
      <w:tr w:rsidR="000861DE" w:rsidRPr="00F46944" w14:paraId="1516B597" w14:textId="77777777" w:rsidTr="005E3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647A22D" w14:textId="23412CC9" w:rsidR="000861DE" w:rsidRPr="00F46944" w:rsidRDefault="000861DE" w:rsidP="000861DE">
            <w:pPr>
              <w:spacing w:after="0"/>
              <w:rPr>
                <w:rFonts w:cstheme="minorHAnsi"/>
              </w:rPr>
            </w:pPr>
            <w:r w:rsidRPr="00F46944">
              <w:rPr>
                <w:rFonts w:cstheme="minorHAnsi"/>
              </w:rPr>
              <w:t>COVID-19</w:t>
            </w:r>
          </w:p>
        </w:tc>
        <w:tc>
          <w:tcPr>
            <w:tcW w:w="6493" w:type="dxa"/>
          </w:tcPr>
          <w:p w14:paraId="55255ABC" w14:textId="71D63DC1" w:rsidR="000861DE" w:rsidRPr="00F46944" w:rsidRDefault="000861DE" w:rsidP="000861DE">
            <w:pPr>
              <w:spacing w:after="0"/>
              <w:cnfStyle w:val="000000100000" w:firstRow="0" w:lastRow="0" w:firstColumn="0" w:lastColumn="0" w:oddVBand="0" w:evenVBand="0" w:oddHBand="1" w:evenHBand="0" w:firstRowFirstColumn="0" w:firstRowLastColumn="0" w:lastRowFirstColumn="0" w:lastRowLastColumn="0"/>
              <w:rPr>
                <w:rFonts w:cstheme="minorHAnsi"/>
              </w:rPr>
            </w:pPr>
            <w:r w:rsidRPr="00F46944">
              <w:rPr>
                <w:rFonts w:cstheme="minorHAnsi"/>
              </w:rPr>
              <w:t>coronavirus disease 2019</w:t>
            </w:r>
          </w:p>
        </w:tc>
      </w:tr>
      <w:tr w:rsidR="000861DE" w:rsidRPr="00F46944" w14:paraId="6617CE5B" w14:textId="77777777" w:rsidTr="005E342B">
        <w:tc>
          <w:tcPr>
            <w:cnfStyle w:val="001000000000" w:firstRow="0" w:lastRow="0" w:firstColumn="1" w:lastColumn="0" w:oddVBand="0" w:evenVBand="0" w:oddHBand="0" w:evenHBand="0" w:firstRowFirstColumn="0" w:firstRowLastColumn="0" w:lastRowFirstColumn="0" w:lastRowLastColumn="0"/>
            <w:tcW w:w="2263" w:type="dxa"/>
          </w:tcPr>
          <w:p w14:paraId="787A1DB9" w14:textId="3A5467BA" w:rsidR="000861DE" w:rsidRPr="00F46944" w:rsidRDefault="000861DE" w:rsidP="000861DE">
            <w:pPr>
              <w:spacing w:after="0"/>
              <w:rPr>
                <w:rFonts w:cstheme="minorHAnsi"/>
              </w:rPr>
            </w:pPr>
            <w:r w:rsidRPr="00F46944">
              <w:rPr>
                <w:rFonts w:cstheme="minorHAnsi"/>
              </w:rPr>
              <w:t xml:space="preserve">DDD </w:t>
            </w:r>
          </w:p>
        </w:tc>
        <w:tc>
          <w:tcPr>
            <w:tcW w:w="6493" w:type="dxa"/>
          </w:tcPr>
          <w:p w14:paraId="7FD33EA9" w14:textId="430BFADE" w:rsidR="000861DE" w:rsidRPr="00F46944" w:rsidRDefault="000861DE" w:rsidP="000861DE">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46944">
              <w:rPr>
                <w:rFonts w:cstheme="minorHAnsi"/>
              </w:rPr>
              <w:t xml:space="preserve">defined daily dose </w:t>
            </w:r>
          </w:p>
        </w:tc>
      </w:tr>
      <w:tr w:rsidR="000861DE" w:rsidRPr="00F46944" w14:paraId="1891ED33" w14:textId="77777777" w:rsidTr="005E3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73CE904" w14:textId="31458F20" w:rsidR="000861DE" w:rsidRPr="00F46944" w:rsidRDefault="000861DE" w:rsidP="000861DE">
            <w:pPr>
              <w:spacing w:after="0"/>
              <w:rPr>
                <w:rFonts w:cstheme="minorHAnsi"/>
              </w:rPr>
            </w:pPr>
            <w:r w:rsidRPr="00F46944">
              <w:rPr>
                <w:rFonts w:cstheme="minorHAnsi"/>
              </w:rPr>
              <w:t xml:space="preserve">GP </w:t>
            </w:r>
          </w:p>
        </w:tc>
        <w:tc>
          <w:tcPr>
            <w:tcW w:w="6493" w:type="dxa"/>
          </w:tcPr>
          <w:p w14:paraId="36C4021D" w14:textId="44262A63" w:rsidR="000861DE" w:rsidRPr="00F46944" w:rsidRDefault="000861DE" w:rsidP="000861DE">
            <w:pPr>
              <w:spacing w:after="0"/>
              <w:cnfStyle w:val="000000100000" w:firstRow="0" w:lastRow="0" w:firstColumn="0" w:lastColumn="0" w:oddVBand="0" w:evenVBand="0" w:oddHBand="1" w:evenHBand="0" w:firstRowFirstColumn="0" w:firstRowLastColumn="0" w:lastRowFirstColumn="0" w:lastRowLastColumn="0"/>
              <w:rPr>
                <w:rFonts w:cstheme="minorHAnsi"/>
              </w:rPr>
            </w:pPr>
            <w:r w:rsidRPr="00F46944">
              <w:rPr>
                <w:rFonts w:cstheme="minorHAnsi"/>
              </w:rPr>
              <w:t xml:space="preserve">general practitioner </w:t>
            </w:r>
          </w:p>
        </w:tc>
      </w:tr>
      <w:tr w:rsidR="000861DE" w:rsidRPr="00F46944" w14:paraId="5D54A50B" w14:textId="77777777" w:rsidTr="005E342B">
        <w:tc>
          <w:tcPr>
            <w:cnfStyle w:val="001000000000" w:firstRow="0" w:lastRow="0" w:firstColumn="1" w:lastColumn="0" w:oddVBand="0" w:evenVBand="0" w:oddHBand="0" w:evenHBand="0" w:firstRowFirstColumn="0" w:firstRowLastColumn="0" w:lastRowFirstColumn="0" w:lastRowLastColumn="0"/>
            <w:tcW w:w="2263" w:type="dxa"/>
          </w:tcPr>
          <w:p w14:paraId="5977D249" w14:textId="134C6E24" w:rsidR="000861DE" w:rsidRPr="00F46944" w:rsidRDefault="000861DE" w:rsidP="000861DE">
            <w:pPr>
              <w:spacing w:after="0"/>
              <w:rPr>
                <w:rFonts w:cstheme="minorHAnsi"/>
              </w:rPr>
            </w:pPr>
            <w:r w:rsidRPr="00F46944">
              <w:rPr>
                <w:rFonts w:cstheme="minorHAnsi"/>
              </w:rPr>
              <w:t xml:space="preserve">LRTI </w:t>
            </w:r>
          </w:p>
        </w:tc>
        <w:tc>
          <w:tcPr>
            <w:tcW w:w="6493" w:type="dxa"/>
          </w:tcPr>
          <w:p w14:paraId="64CB10E9" w14:textId="468CB881" w:rsidR="000861DE" w:rsidRPr="00F46944" w:rsidRDefault="000861DE" w:rsidP="000861DE">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46944">
              <w:rPr>
                <w:rFonts w:cstheme="minorHAnsi"/>
              </w:rPr>
              <w:t xml:space="preserve">lower respiratory tract infection </w:t>
            </w:r>
          </w:p>
        </w:tc>
      </w:tr>
      <w:tr w:rsidR="000861DE" w:rsidRPr="00F46944" w14:paraId="25569462" w14:textId="77777777" w:rsidTr="005E3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079588F" w14:textId="05874341" w:rsidR="000861DE" w:rsidRPr="00F46944" w:rsidRDefault="000861DE" w:rsidP="000861DE">
            <w:pPr>
              <w:spacing w:after="0"/>
              <w:rPr>
                <w:rFonts w:cstheme="minorHAnsi"/>
              </w:rPr>
            </w:pPr>
            <w:r w:rsidRPr="00F46944">
              <w:rPr>
                <w:rFonts w:cstheme="minorHAnsi"/>
              </w:rPr>
              <w:t xml:space="preserve">MBS </w:t>
            </w:r>
          </w:p>
        </w:tc>
        <w:tc>
          <w:tcPr>
            <w:tcW w:w="6493" w:type="dxa"/>
          </w:tcPr>
          <w:p w14:paraId="4A471DFF" w14:textId="1F8F05FE" w:rsidR="000861DE" w:rsidRPr="00F46944" w:rsidRDefault="000861DE" w:rsidP="000861DE">
            <w:pPr>
              <w:spacing w:after="0"/>
              <w:cnfStyle w:val="000000100000" w:firstRow="0" w:lastRow="0" w:firstColumn="0" w:lastColumn="0" w:oddVBand="0" w:evenVBand="0" w:oddHBand="1" w:evenHBand="0" w:firstRowFirstColumn="0" w:firstRowLastColumn="0" w:lastRowFirstColumn="0" w:lastRowLastColumn="0"/>
              <w:rPr>
                <w:rFonts w:cstheme="minorHAnsi"/>
              </w:rPr>
            </w:pPr>
            <w:r w:rsidRPr="00F46944">
              <w:rPr>
                <w:rFonts w:cstheme="minorHAnsi"/>
              </w:rPr>
              <w:t xml:space="preserve">Medicare Benefits Schedule </w:t>
            </w:r>
          </w:p>
        </w:tc>
      </w:tr>
      <w:tr w:rsidR="000861DE" w:rsidRPr="00F46944" w14:paraId="35F81758" w14:textId="77777777" w:rsidTr="005E342B">
        <w:tc>
          <w:tcPr>
            <w:cnfStyle w:val="001000000000" w:firstRow="0" w:lastRow="0" w:firstColumn="1" w:lastColumn="0" w:oddVBand="0" w:evenVBand="0" w:oddHBand="0" w:evenHBand="0" w:firstRowFirstColumn="0" w:firstRowLastColumn="0" w:lastRowFirstColumn="0" w:lastRowLastColumn="0"/>
            <w:tcW w:w="2263" w:type="dxa"/>
          </w:tcPr>
          <w:p w14:paraId="05EA6B3C" w14:textId="09A45347" w:rsidR="000861DE" w:rsidRPr="00F46944" w:rsidRDefault="000861DE" w:rsidP="000861DE">
            <w:pPr>
              <w:spacing w:after="0"/>
              <w:rPr>
                <w:rFonts w:cstheme="minorHAnsi"/>
              </w:rPr>
            </w:pPr>
            <w:r w:rsidRPr="00F46944">
              <w:rPr>
                <w:rFonts w:cstheme="minorHAnsi"/>
              </w:rPr>
              <w:t xml:space="preserve">NSQHS </w:t>
            </w:r>
          </w:p>
        </w:tc>
        <w:tc>
          <w:tcPr>
            <w:tcW w:w="6493" w:type="dxa"/>
          </w:tcPr>
          <w:p w14:paraId="0D2094C6" w14:textId="4CE5B5CB" w:rsidR="000861DE" w:rsidRPr="00F46944" w:rsidRDefault="000861DE" w:rsidP="000861DE">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46944">
              <w:rPr>
                <w:rFonts w:cstheme="minorHAnsi"/>
              </w:rPr>
              <w:t>National Safety and Quality Health Service</w:t>
            </w:r>
          </w:p>
        </w:tc>
      </w:tr>
      <w:tr w:rsidR="000861DE" w:rsidRPr="00F46944" w14:paraId="6CF60BB4" w14:textId="77777777" w:rsidTr="005E3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C009C33" w14:textId="362BD753" w:rsidR="000861DE" w:rsidRPr="00F46944" w:rsidRDefault="000861DE" w:rsidP="000861DE">
            <w:pPr>
              <w:spacing w:after="0"/>
              <w:rPr>
                <w:rFonts w:cstheme="minorHAnsi"/>
              </w:rPr>
            </w:pPr>
            <w:r w:rsidRPr="00F46944">
              <w:rPr>
                <w:rFonts w:cstheme="minorHAnsi"/>
              </w:rPr>
              <w:t xml:space="preserve">NSW </w:t>
            </w:r>
          </w:p>
        </w:tc>
        <w:tc>
          <w:tcPr>
            <w:tcW w:w="6493" w:type="dxa"/>
          </w:tcPr>
          <w:p w14:paraId="7E7516BB" w14:textId="237C0264" w:rsidR="000861DE" w:rsidRPr="00F46944" w:rsidRDefault="000861DE" w:rsidP="000861DE">
            <w:pPr>
              <w:spacing w:after="0"/>
              <w:cnfStyle w:val="000000100000" w:firstRow="0" w:lastRow="0" w:firstColumn="0" w:lastColumn="0" w:oddVBand="0" w:evenVBand="0" w:oddHBand="1" w:evenHBand="0" w:firstRowFirstColumn="0" w:firstRowLastColumn="0" w:lastRowFirstColumn="0" w:lastRowLastColumn="0"/>
              <w:rPr>
                <w:rFonts w:cstheme="minorHAnsi"/>
              </w:rPr>
            </w:pPr>
            <w:r w:rsidRPr="00F46944">
              <w:rPr>
                <w:rFonts w:cstheme="minorHAnsi"/>
              </w:rPr>
              <w:t xml:space="preserve">New South Wales </w:t>
            </w:r>
          </w:p>
        </w:tc>
      </w:tr>
      <w:tr w:rsidR="000861DE" w:rsidRPr="00F46944" w14:paraId="533586A2" w14:textId="77777777" w:rsidTr="005E342B">
        <w:tc>
          <w:tcPr>
            <w:cnfStyle w:val="001000000000" w:firstRow="0" w:lastRow="0" w:firstColumn="1" w:lastColumn="0" w:oddVBand="0" w:evenVBand="0" w:oddHBand="0" w:evenHBand="0" w:firstRowFirstColumn="0" w:firstRowLastColumn="0" w:lastRowFirstColumn="0" w:lastRowLastColumn="0"/>
            <w:tcW w:w="2263" w:type="dxa"/>
          </w:tcPr>
          <w:p w14:paraId="7A73266E" w14:textId="477ACD6B" w:rsidR="000861DE" w:rsidRPr="00F46944" w:rsidRDefault="000861DE" w:rsidP="000861DE">
            <w:pPr>
              <w:spacing w:after="0"/>
              <w:rPr>
                <w:rFonts w:cstheme="minorHAnsi"/>
              </w:rPr>
            </w:pPr>
            <w:r w:rsidRPr="00F46944">
              <w:rPr>
                <w:rFonts w:cstheme="minorHAnsi"/>
              </w:rPr>
              <w:t xml:space="preserve">NT </w:t>
            </w:r>
          </w:p>
        </w:tc>
        <w:tc>
          <w:tcPr>
            <w:tcW w:w="6493" w:type="dxa"/>
          </w:tcPr>
          <w:p w14:paraId="2E963329" w14:textId="67748167" w:rsidR="000861DE" w:rsidRPr="00F46944" w:rsidRDefault="000861DE" w:rsidP="000861DE">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46944">
              <w:rPr>
                <w:rFonts w:cstheme="minorHAnsi"/>
              </w:rPr>
              <w:t xml:space="preserve">Northern Territory </w:t>
            </w:r>
          </w:p>
        </w:tc>
      </w:tr>
      <w:tr w:rsidR="000861DE" w:rsidRPr="00F46944" w14:paraId="585DB954" w14:textId="77777777" w:rsidTr="005E3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CDF399D" w14:textId="1E9BAECC" w:rsidR="000861DE" w:rsidRPr="00F46944" w:rsidRDefault="000861DE" w:rsidP="000861DE">
            <w:pPr>
              <w:spacing w:after="0"/>
              <w:rPr>
                <w:rFonts w:cstheme="minorHAnsi"/>
              </w:rPr>
            </w:pPr>
            <w:r w:rsidRPr="00F46944">
              <w:rPr>
                <w:rFonts w:cstheme="minorHAnsi"/>
              </w:rPr>
              <w:t>OECD</w:t>
            </w:r>
          </w:p>
        </w:tc>
        <w:tc>
          <w:tcPr>
            <w:tcW w:w="6493" w:type="dxa"/>
          </w:tcPr>
          <w:p w14:paraId="3AB1F701" w14:textId="7B954CC4" w:rsidR="000861DE" w:rsidRPr="00F46944" w:rsidRDefault="000861DE" w:rsidP="000861DE">
            <w:pPr>
              <w:spacing w:after="0"/>
              <w:cnfStyle w:val="000000100000" w:firstRow="0" w:lastRow="0" w:firstColumn="0" w:lastColumn="0" w:oddVBand="0" w:evenVBand="0" w:oddHBand="1" w:evenHBand="0" w:firstRowFirstColumn="0" w:firstRowLastColumn="0" w:lastRowFirstColumn="0" w:lastRowLastColumn="0"/>
              <w:rPr>
                <w:rFonts w:cstheme="minorHAnsi"/>
              </w:rPr>
            </w:pPr>
            <w:r w:rsidRPr="00F46944">
              <w:rPr>
                <w:rFonts w:cstheme="minorHAnsi"/>
              </w:rPr>
              <w:t>Organisation for Economic Co-operation and Development</w:t>
            </w:r>
          </w:p>
        </w:tc>
      </w:tr>
      <w:tr w:rsidR="000861DE" w:rsidRPr="00F46944" w14:paraId="2211CC77" w14:textId="77777777" w:rsidTr="005E342B">
        <w:tc>
          <w:tcPr>
            <w:cnfStyle w:val="001000000000" w:firstRow="0" w:lastRow="0" w:firstColumn="1" w:lastColumn="0" w:oddVBand="0" w:evenVBand="0" w:oddHBand="0" w:evenHBand="0" w:firstRowFirstColumn="0" w:firstRowLastColumn="0" w:lastRowFirstColumn="0" w:lastRowLastColumn="0"/>
            <w:tcW w:w="2263" w:type="dxa"/>
          </w:tcPr>
          <w:p w14:paraId="35F707ED" w14:textId="1FDDB199" w:rsidR="000861DE" w:rsidRPr="00F46944" w:rsidRDefault="000861DE" w:rsidP="000861DE">
            <w:pPr>
              <w:spacing w:after="0"/>
              <w:rPr>
                <w:rFonts w:cstheme="minorHAnsi"/>
              </w:rPr>
            </w:pPr>
            <w:r w:rsidRPr="00F46944">
              <w:rPr>
                <w:rFonts w:cstheme="minorHAnsi"/>
              </w:rPr>
              <w:t xml:space="preserve">PBS </w:t>
            </w:r>
          </w:p>
        </w:tc>
        <w:tc>
          <w:tcPr>
            <w:tcW w:w="6493" w:type="dxa"/>
          </w:tcPr>
          <w:p w14:paraId="60F7EB7C" w14:textId="29AF012D" w:rsidR="000861DE" w:rsidRPr="00F46944" w:rsidRDefault="000861DE" w:rsidP="000861DE">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46944">
              <w:rPr>
                <w:rFonts w:cstheme="minorHAnsi"/>
              </w:rPr>
              <w:t xml:space="preserve">Pharmaceutical Benefits Scheme </w:t>
            </w:r>
          </w:p>
        </w:tc>
      </w:tr>
      <w:tr w:rsidR="000861DE" w:rsidRPr="00F46944" w14:paraId="2F3D5BFB" w14:textId="77777777" w:rsidTr="005E3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2A3BE04" w14:textId="7BCC2FED" w:rsidR="000861DE" w:rsidRPr="00F46944" w:rsidRDefault="000861DE" w:rsidP="000861DE">
            <w:pPr>
              <w:spacing w:after="0"/>
              <w:rPr>
                <w:rFonts w:cstheme="minorHAnsi"/>
              </w:rPr>
            </w:pPr>
            <w:r w:rsidRPr="00F46944">
              <w:rPr>
                <w:rFonts w:cstheme="minorHAnsi"/>
              </w:rPr>
              <w:t>Q</w:t>
            </w:r>
            <w:r w:rsidR="003629B1" w:rsidRPr="00F46944">
              <w:rPr>
                <w:rFonts w:cstheme="minorHAnsi"/>
              </w:rPr>
              <w:t>ld</w:t>
            </w:r>
          </w:p>
        </w:tc>
        <w:tc>
          <w:tcPr>
            <w:tcW w:w="6493" w:type="dxa"/>
          </w:tcPr>
          <w:p w14:paraId="2EBD4CF0" w14:textId="39CCEC7F" w:rsidR="000861DE" w:rsidRPr="00F46944" w:rsidRDefault="000861DE" w:rsidP="000861DE">
            <w:pPr>
              <w:spacing w:after="0"/>
              <w:cnfStyle w:val="000000100000" w:firstRow="0" w:lastRow="0" w:firstColumn="0" w:lastColumn="0" w:oddVBand="0" w:evenVBand="0" w:oddHBand="1" w:evenHBand="0" w:firstRowFirstColumn="0" w:firstRowLastColumn="0" w:lastRowFirstColumn="0" w:lastRowLastColumn="0"/>
              <w:rPr>
                <w:rFonts w:cstheme="minorHAnsi"/>
              </w:rPr>
            </w:pPr>
            <w:r w:rsidRPr="00F46944">
              <w:rPr>
                <w:rFonts w:cstheme="minorHAnsi"/>
              </w:rPr>
              <w:t xml:space="preserve">Queensland </w:t>
            </w:r>
          </w:p>
        </w:tc>
      </w:tr>
      <w:tr w:rsidR="000861DE" w:rsidRPr="00F46944" w14:paraId="477472B0" w14:textId="77777777" w:rsidTr="005E342B">
        <w:tc>
          <w:tcPr>
            <w:cnfStyle w:val="001000000000" w:firstRow="0" w:lastRow="0" w:firstColumn="1" w:lastColumn="0" w:oddVBand="0" w:evenVBand="0" w:oddHBand="0" w:evenHBand="0" w:firstRowFirstColumn="0" w:firstRowLastColumn="0" w:lastRowFirstColumn="0" w:lastRowLastColumn="0"/>
            <w:tcW w:w="2263" w:type="dxa"/>
          </w:tcPr>
          <w:p w14:paraId="50C74E08" w14:textId="5960B04A" w:rsidR="000861DE" w:rsidRPr="00F46944" w:rsidRDefault="000861DE" w:rsidP="000861DE">
            <w:pPr>
              <w:spacing w:after="0"/>
              <w:rPr>
                <w:rFonts w:cstheme="minorHAnsi"/>
              </w:rPr>
            </w:pPr>
            <w:r w:rsidRPr="00F46944">
              <w:rPr>
                <w:rFonts w:cstheme="minorHAnsi"/>
              </w:rPr>
              <w:t xml:space="preserve">RPBS </w:t>
            </w:r>
          </w:p>
        </w:tc>
        <w:tc>
          <w:tcPr>
            <w:tcW w:w="6493" w:type="dxa"/>
          </w:tcPr>
          <w:p w14:paraId="09095E54" w14:textId="0599931D" w:rsidR="000861DE" w:rsidRPr="00F46944" w:rsidRDefault="000861DE" w:rsidP="000861DE">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46944">
              <w:rPr>
                <w:rFonts w:cstheme="minorHAnsi"/>
              </w:rPr>
              <w:t xml:space="preserve">Repatriation Pharmaceutical Benefits Scheme </w:t>
            </w:r>
          </w:p>
        </w:tc>
      </w:tr>
      <w:tr w:rsidR="000861DE" w:rsidRPr="00F46944" w14:paraId="27115D9D" w14:textId="77777777" w:rsidTr="005E3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CD1385A" w14:textId="60411079" w:rsidR="000861DE" w:rsidRPr="00F46944" w:rsidRDefault="000861DE" w:rsidP="000861DE">
            <w:pPr>
              <w:spacing w:after="0"/>
              <w:rPr>
                <w:rFonts w:cstheme="minorHAnsi"/>
              </w:rPr>
            </w:pPr>
            <w:r w:rsidRPr="00F46944">
              <w:rPr>
                <w:rFonts w:cstheme="minorHAnsi"/>
              </w:rPr>
              <w:t xml:space="preserve">SA </w:t>
            </w:r>
          </w:p>
        </w:tc>
        <w:tc>
          <w:tcPr>
            <w:tcW w:w="6493" w:type="dxa"/>
          </w:tcPr>
          <w:p w14:paraId="516B93C9" w14:textId="6FAD843E" w:rsidR="000861DE" w:rsidRPr="00F46944" w:rsidRDefault="000861DE" w:rsidP="000861DE">
            <w:pPr>
              <w:spacing w:after="0"/>
              <w:cnfStyle w:val="000000100000" w:firstRow="0" w:lastRow="0" w:firstColumn="0" w:lastColumn="0" w:oddVBand="0" w:evenVBand="0" w:oddHBand="1" w:evenHBand="0" w:firstRowFirstColumn="0" w:firstRowLastColumn="0" w:lastRowFirstColumn="0" w:lastRowLastColumn="0"/>
              <w:rPr>
                <w:rFonts w:cstheme="minorHAnsi"/>
              </w:rPr>
            </w:pPr>
            <w:r w:rsidRPr="00F46944">
              <w:rPr>
                <w:rFonts w:cstheme="minorHAnsi"/>
              </w:rPr>
              <w:t xml:space="preserve">South Australia </w:t>
            </w:r>
          </w:p>
        </w:tc>
      </w:tr>
      <w:tr w:rsidR="000861DE" w:rsidRPr="00F46944" w14:paraId="4B45A019" w14:textId="77777777" w:rsidTr="005E342B">
        <w:tc>
          <w:tcPr>
            <w:cnfStyle w:val="001000000000" w:firstRow="0" w:lastRow="0" w:firstColumn="1" w:lastColumn="0" w:oddVBand="0" w:evenVBand="0" w:oddHBand="0" w:evenHBand="0" w:firstRowFirstColumn="0" w:firstRowLastColumn="0" w:lastRowFirstColumn="0" w:lastRowLastColumn="0"/>
            <w:tcW w:w="2263" w:type="dxa"/>
          </w:tcPr>
          <w:p w14:paraId="45BBD83D" w14:textId="491BAAC2" w:rsidR="000861DE" w:rsidRPr="00F46944" w:rsidRDefault="000861DE" w:rsidP="000861DE">
            <w:pPr>
              <w:spacing w:after="0"/>
              <w:rPr>
                <w:rFonts w:cstheme="minorHAnsi"/>
              </w:rPr>
            </w:pPr>
            <w:r w:rsidRPr="00F46944">
              <w:rPr>
                <w:rFonts w:cstheme="minorHAnsi"/>
              </w:rPr>
              <w:t>SA3</w:t>
            </w:r>
          </w:p>
        </w:tc>
        <w:tc>
          <w:tcPr>
            <w:tcW w:w="6493" w:type="dxa"/>
          </w:tcPr>
          <w:p w14:paraId="52636C7C" w14:textId="6EB72E04" w:rsidR="000861DE" w:rsidRPr="00F46944" w:rsidRDefault="000861DE" w:rsidP="000861DE">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46944">
              <w:rPr>
                <w:rFonts w:cstheme="minorHAnsi"/>
              </w:rPr>
              <w:t>Statistical Area Level 3</w:t>
            </w:r>
          </w:p>
        </w:tc>
      </w:tr>
      <w:tr w:rsidR="0027727A" w:rsidRPr="00F46944" w14:paraId="253DFE9F" w14:textId="77777777" w:rsidTr="005E3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DB6402C" w14:textId="5441D985" w:rsidR="0027727A" w:rsidRPr="00F46944" w:rsidRDefault="0027727A" w:rsidP="000861DE">
            <w:pPr>
              <w:spacing w:after="0"/>
              <w:rPr>
                <w:rFonts w:cstheme="minorHAnsi"/>
              </w:rPr>
            </w:pPr>
            <w:r w:rsidRPr="00F46944">
              <w:rPr>
                <w:rFonts w:asciiTheme="majorHAnsi" w:hAnsiTheme="majorHAnsi" w:cstheme="majorHAnsi"/>
              </w:rPr>
              <w:t>SARS-CoV-2</w:t>
            </w:r>
          </w:p>
        </w:tc>
        <w:tc>
          <w:tcPr>
            <w:tcW w:w="6493" w:type="dxa"/>
          </w:tcPr>
          <w:p w14:paraId="63C8B112" w14:textId="684ED95D" w:rsidR="0027727A" w:rsidRPr="00F46944" w:rsidRDefault="0027727A" w:rsidP="000861DE">
            <w:pPr>
              <w:spacing w:after="0"/>
              <w:cnfStyle w:val="000000100000" w:firstRow="0" w:lastRow="0" w:firstColumn="0" w:lastColumn="0" w:oddVBand="0" w:evenVBand="0" w:oddHBand="1" w:evenHBand="0" w:firstRowFirstColumn="0" w:firstRowLastColumn="0" w:lastRowFirstColumn="0" w:lastRowLastColumn="0"/>
              <w:rPr>
                <w:rFonts w:cstheme="minorHAnsi"/>
              </w:rPr>
            </w:pPr>
            <w:r w:rsidRPr="00F46944">
              <w:rPr>
                <w:rFonts w:asciiTheme="majorHAnsi" w:hAnsiTheme="majorHAnsi" w:cstheme="majorHAnsi"/>
              </w:rPr>
              <w:t>Severe Acute Respiratory Syndrome Coronavirus 2</w:t>
            </w:r>
          </w:p>
        </w:tc>
      </w:tr>
      <w:tr w:rsidR="000861DE" w:rsidRPr="00F46944" w14:paraId="10BC1253" w14:textId="77777777" w:rsidTr="005E342B">
        <w:tc>
          <w:tcPr>
            <w:cnfStyle w:val="001000000000" w:firstRow="0" w:lastRow="0" w:firstColumn="1" w:lastColumn="0" w:oddVBand="0" w:evenVBand="0" w:oddHBand="0" w:evenHBand="0" w:firstRowFirstColumn="0" w:firstRowLastColumn="0" w:lastRowFirstColumn="0" w:lastRowLastColumn="0"/>
            <w:tcW w:w="2263" w:type="dxa"/>
          </w:tcPr>
          <w:p w14:paraId="775D01E2" w14:textId="1A17B9D8" w:rsidR="000861DE" w:rsidRPr="00F46944" w:rsidRDefault="000861DE" w:rsidP="000861DE">
            <w:pPr>
              <w:spacing w:after="0"/>
              <w:rPr>
                <w:rFonts w:cstheme="minorHAnsi"/>
              </w:rPr>
            </w:pPr>
            <w:r w:rsidRPr="00F46944">
              <w:rPr>
                <w:rFonts w:cstheme="minorHAnsi"/>
              </w:rPr>
              <w:t>SEIFA</w:t>
            </w:r>
          </w:p>
        </w:tc>
        <w:tc>
          <w:tcPr>
            <w:tcW w:w="6493" w:type="dxa"/>
          </w:tcPr>
          <w:p w14:paraId="461E3AA1" w14:textId="046D3416" w:rsidR="000861DE" w:rsidRPr="00F46944" w:rsidRDefault="000861DE" w:rsidP="000861DE">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46944">
              <w:rPr>
                <w:rFonts w:cstheme="minorHAnsi"/>
              </w:rPr>
              <w:t>Socio-Economic Indexes for Areas</w:t>
            </w:r>
          </w:p>
        </w:tc>
      </w:tr>
      <w:tr w:rsidR="000861DE" w:rsidRPr="00F46944" w14:paraId="665488CE" w14:textId="77777777" w:rsidTr="005E3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99378CC" w14:textId="5E2CFB1C" w:rsidR="000861DE" w:rsidRPr="00F46944" w:rsidRDefault="000861DE" w:rsidP="000861DE">
            <w:pPr>
              <w:spacing w:after="0"/>
              <w:rPr>
                <w:rFonts w:cstheme="minorHAnsi"/>
              </w:rPr>
            </w:pPr>
            <w:r w:rsidRPr="00F46944">
              <w:rPr>
                <w:rFonts w:cstheme="minorHAnsi"/>
              </w:rPr>
              <w:t>T</w:t>
            </w:r>
            <w:r w:rsidR="003629B1" w:rsidRPr="00F46944">
              <w:rPr>
                <w:rFonts w:cstheme="minorHAnsi"/>
              </w:rPr>
              <w:t>as</w:t>
            </w:r>
          </w:p>
        </w:tc>
        <w:tc>
          <w:tcPr>
            <w:tcW w:w="6493" w:type="dxa"/>
          </w:tcPr>
          <w:p w14:paraId="498DF749" w14:textId="6C73E15E" w:rsidR="000861DE" w:rsidRPr="00F46944" w:rsidRDefault="000861DE" w:rsidP="000861DE">
            <w:pPr>
              <w:spacing w:after="0"/>
              <w:cnfStyle w:val="000000100000" w:firstRow="0" w:lastRow="0" w:firstColumn="0" w:lastColumn="0" w:oddVBand="0" w:evenVBand="0" w:oddHBand="1" w:evenHBand="0" w:firstRowFirstColumn="0" w:firstRowLastColumn="0" w:lastRowFirstColumn="0" w:lastRowLastColumn="0"/>
              <w:rPr>
                <w:rFonts w:cstheme="minorHAnsi"/>
              </w:rPr>
            </w:pPr>
            <w:r w:rsidRPr="00F46944">
              <w:rPr>
                <w:rFonts w:cstheme="minorHAnsi"/>
              </w:rPr>
              <w:t xml:space="preserve">Tasmania </w:t>
            </w:r>
          </w:p>
        </w:tc>
      </w:tr>
      <w:tr w:rsidR="000861DE" w:rsidRPr="00F46944" w14:paraId="0CF55557" w14:textId="77777777" w:rsidTr="005E342B">
        <w:tc>
          <w:tcPr>
            <w:cnfStyle w:val="001000000000" w:firstRow="0" w:lastRow="0" w:firstColumn="1" w:lastColumn="0" w:oddVBand="0" w:evenVBand="0" w:oddHBand="0" w:evenHBand="0" w:firstRowFirstColumn="0" w:firstRowLastColumn="0" w:lastRowFirstColumn="0" w:lastRowLastColumn="0"/>
            <w:tcW w:w="2263" w:type="dxa"/>
          </w:tcPr>
          <w:p w14:paraId="5763E5C8" w14:textId="3AD7946B" w:rsidR="000861DE" w:rsidRPr="00F46944" w:rsidRDefault="000861DE" w:rsidP="000861DE">
            <w:pPr>
              <w:spacing w:after="0"/>
              <w:rPr>
                <w:rFonts w:cstheme="minorHAnsi"/>
              </w:rPr>
            </w:pPr>
            <w:r w:rsidRPr="00F46944">
              <w:rPr>
                <w:rFonts w:cstheme="minorHAnsi"/>
              </w:rPr>
              <w:t xml:space="preserve">URTI </w:t>
            </w:r>
          </w:p>
        </w:tc>
        <w:tc>
          <w:tcPr>
            <w:tcW w:w="6493" w:type="dxa"/>
          </w:tcPr>
          <w:p w14:paraId="2E7300E0" w14:textId="3499C7E3" w:rsidR="000861DE" w:rsidRPr="00F46944" w:rsidRDefault="000861DE" w:rsidP="000861DE">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46944">
              <w:rPr>
                <w:rFonts w:cstheme="minorHAnsi"/>
              </w:rPr>
              <w:t xml:space="preserve">upper respiratory tract infection </w:t>
            </w:r>
          </w:p>
        </w:tc>
      </w:tr>
      <w:tr w:rsidR="000861DE" w:rsidRPr="00F46944" w14:paraId="7ACF1A84" w14:textId="77777777" w:rsidTr="005E3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DBE4FDB" w14:textId="76392CAA" w:rsidR="000861DE" w:rsidRPr="00F46944" w:rsidRDefault="000861DE" w:rsidP="000861DE">
            <w:pPr>
              <w:spacing w:after="0"/>
              <w:rPr>
                <w:rFonts w:cstheme="minorHAnsi"/>
              </w:rPr>
            </w:pPr>
            <w:r w:rsidRPr="00F46944">
              <w:rPr>
                <w:rFonts w:cstheme="minorHAnsi"/>
              </w:rPr>
              <w:t xml:space="preserve">UTI </w:t>
            </w:r>
          </w:p>
        </w:tc>
        <w:tc>
          <w:tcPr>
            <w:tcW w:w="6493" w:type="dxa"/>
          </w:tcPr>
          <w:p w14:paraId="590A4A3E" w14:textId="0A96294F" w:rsidR="000861DE" w:rsidRPr="00F46944" w:rsidRDefault="000861DE" w:rsidP="000861DE">
            <w:pPr>
              <w:spacing w:after="0"/>
              <w:cnfStyle w:val="000000100000" w:firstRow="0" w:lastRow="0" w:firstColumn="0" w:lastColumn="0" w:oddVBand="0" w:evenVBand="0" w:oddHBand="1" w:evenHBand="0" w:firstRowFirstColumn="0" w:firstRowLastColumn="0" w:lastRowFirstColumn="0" w:lastRowLastColumn="0"/>
              <w:rPr>
                <w:rFonts w:cstheme="minorHAnsi"/>
              </w:rPr>
            </w:pPr>
            <w:r w:rsidRPr="00F46944">
              <w:rPr>
                <w:rFonts w:cstheme="minorHAnsi"/>
              </w:rPr>
              <w:t xml:space="preserve">urinary tract infection </w:t>
            </w:r>
          </w:p>
        </w:tc>
      </w:tr>
      <w:tr w:rsidR="000861DE" w:rsidRPr="00F46944" w14:paraId="28424873" w14:textId="77777777" w:rsidTr="005E342B">
        <w:tc>
          <w:tcPr>
            <w:cnfStyle w:val="001000000000" w:firstRow="0" w:lastRow="0" w:firstColumn="1" w:lastColumn="0" w:oddVBand="0" w:evenVBand="0" w:oddHBand="0" w:evenHBand="0" w:firstRowFirstColumn="0" w:firstRowLastColumn="0" w:lastRowFirstColumn="0" w:lastRowLastColumn="0"/>
            <w:tcW w:w="2263" w:type="dxa"/>
          </w:tcPr>
          <w:p w14:paraId="465383A5" w14:textId="0FEBE0A9" w:rsidR="000861DE" w:rsidRPr="00F46944" w:rsidRDefault="000861DE" w:rsidP="000861DE">
            <w:pPr>
              <w:spacing w:after="0"/>
              <w:rPr>
                <w:rFonts w:cstheme="minorHAnsi"/>
              </w:rPr>
            </w:pPr>
            <w:r w:rsidRPr="00F46944">
              <w:rPr>
                <w:rFonts w:cstheme="minorHAnsi"/>
              </w:rPr>
              <w:t>V</w:t>
            </w:r>
            <w:r w:rsidR="00153F76" w:rsidRPr="00F46944">
              <w:rPr>
                <w:rFonts w:cstheme="minorHAnsi"/>
              </w:rPr>
              <w:t>ic</w:t>
            </w:r>
          </w:p>
        </w:tc>
        <w:tc>
          <w:tcPr>
            <w:tcW w:w="6493" w:type="dxa"/>
          </w:tcPr>
          <w:p w14:paraId="0CEE2D08" w14:textId="3DBB6702" w:rsidR="000861DE" w:rsidRPr="00F46944" w:rsidRDefault="000861DE" w:rsidP="000861DE">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46944">
              <w:rPr>
                <w:rFonts w:cstheme="minorHAnsi"/>
              </w:rPr>
              <w:t xml:space="preserve">Victoria </w:t>
            </w:r>
          </w:p>
        </w:tc>
      </w:tr>
      <w:tr w:rsidR="000861DE" w:rsidRPr="00F46944" w14:paraId="2083AB82" w14:textId="77777777" w:rsidTr="005E3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530475B" w14:textId="76575A4A" w:rsidR="000861DE" w:rsidRPr="00F46944" w:rsidRDefault="000861DE" w:rsidP="000861DE">
            <w:pPr>
              <w:spacing w:after="0"/>
              <w:rPr>
                <w:rFonts w:cstheme="minorHAnsi"/>
              </w:rPr>
            </w:pPr>
            <w:r w:rsidRPr="00F46944">
              <w:rPr>
                <w:rFonts w:cstheme="minorHAnsi"/>
              </w:rPr>
              <w:t xml:space="preserve">WA </w:t>
            </w:r>
          </w:p>
        </w:tc>
        <w:tc>
          <w:tcPr>
            <w:tcW w:w="6493" w:type="dxa"/>
          </w:tcPr>
          <w:p w14:paraId="782E3A68" w14:textId="596B911D" w:rsidR="000861DE" w:rsidRPr="00F46944" w:rsidRDefault="000861DE" w:rsidP="000861DE">
            <w:pPr>
              <w:spacing w:after="0"/>
              <w:cnfStyle w:val="000000100000" w:firstRow="0" w:lastRow="0" w:firstColumn="0" w:lastColumn="0" w:oddVBand="0" w:evenVBand="0" w:oddHBand="1" w:evenHBand="0" w:firstRowFirstColumn="0" w:firstRowLastColumn="0" w:lastRowFirstColumn="0" w:lastRowLastColumn="0"/>
              <w:rPr>
                <w:rFonts w:cstheme="minorHAnsi"/>
              </w:rPr>
            </w:pPr>
            <w:r w:rsidRPr="00F46944">
              <w:rPr>
                <w:rFonts w:cstheme="minorHAnsi"/>
              </w:rPr>
              <w:t xml:space="preserve">Western Australia </w:t>
            </w:r>
          </w:p>
        </w:tc>
      </w:tr>
      <w:tr w:rsidR="000861DE" w:rsidRPr="00F46944" w14:paraId="174B9D56" w14:textId="77777777" w:rsidTr="005E342B">
        <w:tc>
          <w:tcPr>
            <w:cnfStyle w:val="001000000000" w:firstRow="0" w:lastRow="0" w:firstColumn="1" w:lastColumn="0" w:oddVBand="0" w:evenVBand="0" w:oddHBand="0" w:evenHBand="0" w:firstRowFirstColumn="0" w:firstRowLastColumn="0" w:lastRowFirstColumn="0" w:lastRowLastColumn="0"/>
            <w:tcW w:w="2263" w:type="dxa"/>
          </w:tcPr>
          <w:p w14:paraId="000CC1ED" w14:textId="4ADFB52A" w:rsidR="000861DE" w:rsidRPr="00F46944" w:rsidRDefault="000861DE" w:rsidP="000861DE">
            <w:pPr>
              <w:spacing w:after="0"/>
              <w:rPr>
                <w:rFonts w:cstheme="minorHAnsi"/>
              </w:rPr>
            </w:pPr>
            <w:r w:rsidRPr="00F46944">
              <w:rPr>
                <w:rFonts w:cstheme="minorHAnsi"/>
              </w:rPr>
              <w:t xml:space="preserve">WHO </w:t>
            </w:r>
          </w:p>
        </w:tc>
        <w:tc>
          <w:tcPr>
            <w:tcW w:w="6493" w:type="dxa"/>
          </w:tcPr>
          <w:p w14:paraId="0478546D" w14:textId="0EAAFA20" w:rsidR="000861DE" w:rsidRPr="00F46944" w:rsidRDefault="000861DE" w:rsidP="000861DE">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46944">
              <w:rPr>
                <w:rFonts w:cstheme="minorHAnsi"/>
              </w:rPr>
              <w:t xml:space="preserve">World Health Organization </w:t>
            </w:r>
          </w:p>
        </w:tc>
      </w:tr>
    </w:tbl>
    <w:p w14:paraId="00B6BFF4" w14:textId="77777777" w:rsidR="005E342B" w:rsidRPr="00F46944" w:rsidRDefault="005E342B">
      <w:pPr>
        <w:spacing w:after="80"/>
      </w:pPr>
      <w:r w:rsidRPr="00F46944">
        <w:br w:type="page"/>
      </w:r>
    </w:p>
    <w:p w14:paraId="7B06EE2B" w14:textId="2424AC61" w:rsidR="00BA07CC" w:rsidRPr="00F46944" w:rsidRDefault="00BA07CC" w:rsidP="00EE05E1">
      <w:pPr>
        <w:pStyle w:val="Heading4"/>
      </w:pPr>
      <w:bookmarkStart w:id="192" w:name="_Toc121826745"/>
      <w:r w:rsidRPr="00F46944">
        <w:lastRenderedPageBreak/>
        <w:t>A</w:t>
      </w:r>
      <w:r w:rsidR="008C50A8" w:rsidRPr="00F46944">
        <w:t>2</w:t>
      </w:r>
      <w:r w:rsidRPr="00F46944">
        <w:t>.2 Common terms</w:t>
      </w:r>
      <w:bookmarkEnd w:id="192"/>
    </w:p>
    <w:tbl>
      <w:tblPr>
        <w:tblStyle w:val="PlainTable2"/>
        <w:tblW w:w="0" w:type="auto"/>
        <w:tblLook w:val="04A0" w:firstRow="1" w:lastRow="0" w:firstColumn="1" w:lastColumn="0" w:noHBand="0" w:noVBand="1"/>
      </w:tblPr>
      <w:tblGrid>
        <w:gridCol w:w="2263"/>
        <w:gridCol w:w="6493"/>
      </w:tblGrid>
      <w:tr w:rsidR="000861DE" w:rsidRPr="00F46944" w14:paraId="169C6DE2" w14:textId="77777777" w:rsidTr="00EE05E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63" w:type="dxa"/>
            <w:shd w:val="clear" w:color="auto" w:fill="F1BBA8" w:themeFill="accent5" w:themeFillTint="66"/>
          </w:tcPr>
          <w:p w14:paraId="3BD4DD7A" w14:textId="52CA7F2F" w:rsidR="000861DE" w:rsidRPr="00F46944" w:rsidRDefault="000861DE" w:rsidP="000861DE">
            <w:pPr>
              <w:spacing w:after="0"/>
              <w:rPr>
                <w:rFonts w:cstheme="minorHAnsi"/>
              </w:rPr>
            </w:pPr>
            <w:r w:rsidRPr="00F46944">
              <w:rPr>
                <w:rFonts w:cstheme="minorHAnsi"/>
              </w:rPr>
              <w:t xml:space="preserve">Term </w:t>
            </w:r>
          </w:p>
        </w:tc>
        <w:tc>
          <w:tcPr>
            <w:tcW w:w="6493" w:type="dxa"/>
            <w:shd w:val="clear" w:color="auto" w:fill="F1BBA8" w:themeFill="accent5" w:themeFillTint="66"/>
          </w:tcPr>
          <w:p w14:paraId="70415D12" w14:textId="6AC21973" w:rsidR="000861DE" w:rsidRPr="00F46944" w:rsidRDefault="000861DE" w:rsidP="000861DE">
            <w:pPr>
              <w:spacing w:after="0"/>
              <w:cnfStyle w:val="100000000000" w:firstRow="1" w:lastRow="0" w:firstColumn="0" w:lastColumn="0" w:oddVBand="0" w:evenVBand="0" w:oddHBand="0" w:evenHBand="0" w:firstRowFirstColumn="0" w:firstRowLastColumn="0" w:lastRowFirstColumn="0" w:lastRowLastColumn="0"/>
              <w:rPr>
                <w:rFonts w:cstheme="minorHAnsi"/>
              </w:rPr>
            </w:pPr>
            <w:r w:rsidRPr="00F46944">
              <w:rPr>
                <w:rFonts w:cstheme="minorHAnsi"/>
              </w:rPr>
              <w:t>Definition</w:t>
            </w:r>
          </w:p>
        </w:tc>
      </w:tr>
      <w:tr w:rsidR="000861DE" w:rsidRPr="00F46944" w14:paraId="67E8F494" w14:textId="77777777" w:rsidTr="005E3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A3031C6" w14:textId="322C8D66" w:rsidR="000861DE" w:rsidRPr="00F46944" w:rsidRDefault="000861DE" w:rsidP="000861DE">
            <w:pPr>
              <w:spacing w:after="0"/>
              <w:rPr>
                <w:rFonts w:cstheme="minorHAnsi"/>
              </w:rPr>
            </w:pPr>
            <w:r w:rsidRPr="00F46944">
              <w:rPr>
                <w:rFonts w:cstheme="minorHAnsi"/>
              </w:rPr>
              <w:t>Anatomical Therapeutic Chemical (ATC) classification</w:t>
            </w:r>
          </w:p>
        </w:tc>
        <w:tc>
          <w:tcPr>
            <w:tcW w:w="6493" w:type="dxa"/>
          </w:tcPr>
          <w:p w14:paraId="75F23505" w14:textId="1C880E8C" w:rsidR="000861DE" w:rsidRPr="00F46944" w:rsidRDefault="000861DE" w:rsidP="000861DE">
            <w:pPr>
              <w:spacing w:after="0"/>
              <w:cnfStyle w:val="000000100000" w:firstRow="0" w:lastRow="0" w:firstColumn="0" w:lastColumn="0" w:oddVBand="0" w:evenVBand="0" w:oddHBand="1" w:evenHBand="0" w:firstRowFirstColumn="0" w:firstRowLastColumn="0" w:lastRowFirstColumn="0" w:lastRowLastColumn="0"/>
              <w:rPr>
                <w:rFonts w:cstheme="minorHAnsi"/>
              </w:rPr>
            </w:pPr>
            <w:r w:rsidRPr="00F46944">
              <w:rPr>
                <w:rFonts w:cstheme="minorHAnsi"/>
              </w:rPr>
              <w:t xml:space="preserve">An internationally accepted classification system for medicines that is maintained by the World Health Organization. Active substances are divided into different groups according to the organ or system on which they act, and their therapeutic, </w:t>
            </w:r>
            <w:r w:rsidR="00956C22" w:rsidRPr="00F46944">
              <w:rPr>
                <w:rFonts w:cstheme="minorHAnsi"/>
              </w:rPr>
              <w:t>pharmacological,</w:t>
            </w:r>
            <w:r w:rsidRPr="00F46944">
              <w:rPr>
                <w:rFonts w:cstheme="minorHAnsi"/>
              </w:rPr>
              <w:t xml:space="preserve"> and chemical properties.</w:t>
            </w:r>
          </w:p>
        </w:tc>
      </w:tr>
      <w:tr w:rsidR="000861DE" w:rsidRPr="00F46944" w14:paraId="446F90EE" w14:textId="77777777" w:rsidTr="005E342B">
        <w:tc>
          <w:tcPr>
            <w:cnfStyle w:val="001000000000" w:firstRow="0" w:lastRow="0" w:firstColumn="1" w:lastColumn="0" w:oddVBand="0" w:evenVBand="0" w:oddHBand="0" w:evenHBand="0" w:firstRowFirstColumn="0" w:firstRowLastColumn="0" w:lastRowFirstColumn="0" w:lastRowLastColumn="0"/>
            <w:tcW w:w="2263" w:type="dxa"/>
          </w:tcPr>
          <w:p w14:paraId="6EFBC407" w14:textId="53929F84" w:rsidR="000861DE" w:rsidRPr="00F46944" w:rsidRDefault="000861DE" w:rsidP="000861DE">
            <w:pPr>
              <w:spacing w:after="0"/>
              <w:rPr>
                <w:rFonts w:cstheme="minorHAnsi"/>
              </w:rPr>
            </w:pPr>
            <w:r w:rsidRPr="00F46944">
              <w:rPr>
                <w:rFonts w:cstheme="minorHAnsi"/>
              </w:rPr>
              <w:t>antimicrobial</w:t>
            </w:r>
          </w:p>
        </w:tc>
        <w:tc>
          <w:tcPr>
            <w:tcW w:w="6493" w:type="dxa"/>
          </w:tcPr>
          <w:p w14:paraId="4B9C40D2" w14:textId="286CDD6B" w:rsidR="004D2FDA" w:rsidRPr="00F46944" w:rsidRDefault="000861DE" w:rsidP="004D2FDA">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46944">
              <w:rPr>
                <w:rFonts w:cstheme="minorHAnsi"/>
              </w:rPr>
              <w:t xml:space="preserve">Chemical substances that inhibit the growth of, or destroy, bacteria, fungi, </w:t>
            </w:r>
            <w:r w:rsidR="00956C22" w:rsidRPr="00F46944">
              <w:rPr>
                <w:rFonts w:cstheme="minorHAnsi"/>
              </w:rPr>
              <w:t>viruses,</w:t>
            </w:r>
            <w:r w:rsidRPr="00F46944">
              <w:rPr>
                <w:rFonts w:cstheme="minorHAnsi"/>
              </w:rPr>
              <w:t xml:space="preserve"> or parasites. They can be administered therapeutically to humans or animals. </w:t>
            </w:r>
          </w:p>
        </w:tc>
      </w:tr>
      <w:tr w:rsidR="000861DE" w:rsidRPr="00F46944" w14:paraId="728B3939" w14:textId="77777777" w:rsidTr="005E3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3DDFA35" w14:textId="5BE743A9" w:rsidR="000861DE" w:rsidRPr="00F46944" w:rsidRDefault="000861DE" w:rsidP="000861DE">
            <w:pPr>
              <w:spacing w:after="0"/>
              <w:rPr>
                <w:rFonts w:cstheme="minorHAnsi"/>
              </w:rPr>
            </w:pPr>
            <w:r w:rsidRPr="00F46944">
              <w:rPr>
                <w:rFonts w:cstheme="minorHAnsi"/>
              </w:rPr>
              <w:t>antimicrobial resistance (AMR)</w:t>
            </w:r>
          </w:p>
        </w:tc>
        <w:tc>
          <w:tcPr>
            <w:tcW w:w="6493" w:type="dxa"/>
          </w:tcPr>
          <w:p w14:paraId="75D474A1" w14:textId="3CB4CDDE" w:rsidR="000861DE" w:rsidRPr="00F46944" w:rsidRDefault="000861DE" w:rsidP="000861DE">
            <w:pPr>
              <w:spacing w:after="0"/>
              <w:cnfStyle w:val="000000100000" w:firstRow="0" w:lastRow="0" w:firstColumn="0" w:lastColumn="0" w:oddVBand="0" w:evenVBand="0" w:oddHBand="1" w:evenHBand="0" w:firstRowFirstColumn="0" w:firstRowLastColumn="0" w:lastRowFirstColumn="0" w:lastRowLastColumn="0"/>
              <w:rPr>
                <w:rFonts w:cstheme="minorHAnsi"/>
              </w:rPr>
            </w:pPr>
            <w:r w:rsidRPr="00F46944">
              <w:rPr>
                <w:rFonts w:cstheme="minorHAnsi"/>
              </w:rPr>
              <w:t>Failure of an antimicrobial to inhibit a microorganism at the antimicrobial concentrations usually achieved over time with standard dosing regimens.</w:t>
            </w:r>
          </w:p>
        </w:tc>
      </w:tr>
      <w:tr w:rsidR="000861DE" w:rsidRPr="00F46944" w14:paraId="1B7A8B20" w14:textId="77777777" w:rsidTr="005E342B">
        <w:tc>
          <w:tcPr>
            <w:cnfStyle w:val="001000000000" w:firstRow="0" w:lastRow="0" w:firstColumn="1" w:lastColumn="0" w:oddVBand="0" w:evenVBand="0" w:oddHBand="0" w:evenHBand="0" w:firstRowFirstColumn="0" w:firstRowLastColumn="0" w:lastRowFirstColumn="0" w:lastRowLastColumn="0"/>
            <w:tcW w:w="2263" w:type="dxa"/>
          </w:tcPr>
          <w:p w14:paraId="2E669FB0" w14:textId="00C492AE" w:rsidR="000861DE" w:rsidRPr="00F46944" w:rsidRDefault="000861DE" w:rsidP="000861DE">
            <w:pPr>
              <w:spacing w:after="0"/>
              <w:rPr>
                <w:rFonts w:cstheme="minorHAnsi"/>
              </w:rPr>
            </w:pPr>
            <w:r w:rsidRPr="00F46944">
              <w:rPr>
                <w:rFonts w:cstheme="minorHAnsi"/>
              </w:rPr>
              <w:t>antimicrobial stewardship (AMS)</w:t>
            </w:r>
          </w:p>
        </w:tc>
        <w:tc>
          <w:tcPr>
            <w:tcW w:w="6493" w:type="dxa"/>
          </w:tcPr>
          <w:p w14:paraId="3208ED0B" w14:textId="4F230779" w:rsidR="000861DE" w:rsidRPr="00F46944" w:rsidRDefault="000861DE" w:rsidP="000861DE">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46944">
              <w:rPr>
                <w:rFonts w:cstheme="minorHAnsi"/>
              </w:rPr>
              <w:t>An ongoing effort by a health service organisation to reduce the risks associated with increasing antimicrobial resistance and to extend the effectiveness of antimicrobial treatments. It may incorporate a broad range of strategies, including monitoring, reviewing, and promoting appropriate antimicrobial use.</w:t>
            </w:r>
          </w:p>
        </w:tc>
      </w:tr>
      <w:tr w:rsidR="000861DE" w:rsidRPr="00F46944" w14:paraId="4C72C73E" w14:textId="77777777" w:rsidTr="005E3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BCE12AC" w14:textId="55454C71" w:rsidR="000861DE" w:rsidRPr="00F46944" w:rsidRDefault="000861DE" w:rsidP="000861DE">
            <w:pPr>
              <w:spacing w:after="0"/>
              <w:rPr>
                <w:rFonts w:cstheme="minorHAnsi"/>
              </w:rPr>
            </w:pPr>
            <w:r w:rsidRPr="00F46944">
              <w:rPr>
                <w:rFonts w:cstheme="minorHAnsi"/>
              </w:rPr>
              <w:t>broad-spectrum antimicrobials</w:t>
            </w:r>
          </w:p>
        </w:tc>
        <w:tc>
          <w:tcPr>
            <w:tcW w:w="6493" w:type="dxa"/>
          </w:tcPr>
          <w:p w14:paraId="3BAF3AE2" w14:textId="4C0D74C7" w:rsidR="000861DE" w:rsidRPr="00F46944" w:rsidRDefault="000861DE" w:rsidP="000861DE">
            <w:pPr>
              <w:spacing w:after="0"/>
              <w:cnfStyle w:val="000000100000" w:firstRow="0" w:lastRow="0" w:firstColumn="0" w:lastColumn="0" w:oddVBand="0" w:evenVBand="0" w:oddHBand="1" w:evenHBand="0" w:firstRowFirstColumn="0" w:firstRowLastColumn="0" w:lastRowFirstColumn="0" w:lastRowLastColumn="0"/>
              <w:rPr>
                <w:rFonts w:cstheme="minorHAnsi"/>
              </w:rPr>
            </w:pPr>
            <w:r w:rsidRPr="00F46944">
              <w:rPr>
                <w:rFonts w:cstheme="minorHAnsi"/>
              </w:rPr>
              <w:t xml:space="preserve">A single antimicrobial, or class of antimicrobials, </w:t>
            </w:r>
            <w:r w:rsidR="00F46944" w:rsidRPr="00F46944">
              <w:rPr>
                <w:rFonts w:cstheme="minorHAnsi"/>
              </w:rPr>
              <w:t>which</w:t>
            </w:r>
            <w:r w:rsidRPr="00F46944">
              <w:rPr>
                <w:rFonts w:cstheme="minorHAnsi"/>
              </w:rPr>
              <w:t xml:space="preserve"> affects many organisms.</w:t>
            </w:r>
          </w:p>
        </w:tc>
      </w:tr>
      <w:tr w:rsidR="000861DE" w:rsidRPr="00F46944" w14:paraId="345A7C7D" w14:textId="77777777" w:rsidTr="005E342B">
        <w:tc>
          <w:tcPr>
            <w:cnfStyle w:val="001000000000" w:firstRow="0" w:lastRow="0" w:firstColumn="1" w:lastColumn="0" w:oddVBand="0" w:evenVBand="0" w:oddHBand="0" w:evenHBand="0" w:firstRowFirstColumn="0" w:firstRowLastColumn="0" w:lastRowFirstColumn="0" w:lastRowLastColumn="0"/>
            <w:tcW w:w="2263" w:type="dxa"/>
          </w:tcPr>
          <w:p w14:paraId="49172E02" w14:textId="08546DBA" w:rsidR="000861DE" w:rsidRPr="00F46944" w:rsidRDefault="000861DE" w:rsidP="000861DE">
            <w:pPr>
              <w:spacing w:after="0"/>
              <w:rPr>
                <w:rFonts w:cstheme="minorHAnsi"/>
              </w:rPr>
            </w:pPr>
            <w:r w:rsidRPr="00F46944">
              <w:rPr>
                <w:rFonts w:cstheme="minorHAnsi"/>
              </w:rPr>
              <w:t>defined daily dose (DDD)</w:t>
            </w:r>
          </w:p>
        </w:tc>
        <w:tc>
          <w:tcPr>
            <w:tcW w:w="6493" w:type="dxa"/>
          </w:tcPr>
          <w:p w14:paraId="194CDA2C" w14:textId="10DA13D7" w:rsidR="000861DE" w:rsidRPr="00F46944" w:rsidRDefault="000861DE" w:rsidP="000861DE">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46944">
              <w:rPr>
                <w:rFonts w:cstheme="minorHAnsi"/>
              </w:rPr>
              <w:t>The assumed average maintenance dose per day to treat the main indication for an average adult patient, as defined by the World Health Organization. The DDD is a technical unit of measurement that is widely accepted in international surveillance programs because it enables comparison of antimicrobial use within and between countries. DDDs are only assigned for medicines given an Anatomical Therapeutic Chemical (ATC) code.</w:t>
            </w:r>
          </w:p>
        </w:tc>
      </w:tr>
      <w:tr w:rsidR="000861DE" w:rsidRPr="00F46944" w14:paraId="58475D76" w14:textId="77777777" w:rsidTr="005E3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357CC45" w14:textId="1B734FBB" w:rsidR="000861DE" w:rsidRPr="00F46944" w:rsidRDefault="000861DE" w:rsidP="000861DE">
            <w:pPr>
              <w:spacing w:after="0"/>
              <w:rPr>
                <w:rFonts w:cstheme="minorHAnsi"/>
              </w:rPr>
            </w:pPr>
            <w:r w:rsidRPr="00F46944">
              <w:rPr>
                <w:rFonts w:cstheme="minorHAnsi"/>
              </w:rPr>
              <w:t>DDDs per 1,000 people per day</w:t>
            </w:r>
          </w:p>
        </w:tc>
        <w:tc>
          <w:tcPr>
            <w:tcW w:w="6493" w:type="dxa"/>
          </w:tcPr>
          <w:p w14:paraId="6A44463C" w14:textId="12C3CA1A" w:rsidR="000861DE" w:rsidRPr="00F46944" w:rsidRDefault="000861DE" w:rsidP="000861DE">
            <w:pPr>
              <w:spacing w:after="0"/>
              <w:cnfStyle w:val="000000100000" w:firstRow="0" w:lastRow="0" w:firstColumn="0" w:lastColumn="0" w:oddVBand="0" w:evenVBand="0" w:oddHBand="1" w:evenHBand="0" w:firstRowFirstColumn="0" w:firstRowLastColumn="0" w:lastRowFirstColumn="0" w:lastRowLastColumn="0"/>
              <w:rPr>
                <w:rFonts w:cstheme="minorHAnsi"/>
              </w:rPr>
            </w:pPr>
            <w:r w:rsidRPr="00F46944">
              <w:rPr>
                <w:rFonts w:cstheme="minorHAnsi"/>
              </w:rPr>
              <w:t>Sales or prescription data about medicine use in the community can be expressed as DDDs per 1,000 people per day to give a population estimate for use of a medicine (or group of medicines). For example, 10 DDDs per 1,000 people per day means that, on a given day, 1% of the population received a medicine (or group of medicines). This estimate is most useful for medicines that treat chronic illnesses for which the DDD and the average prescribed daily dose are similar.</w:t>
            </w:r>
          </w:p>
        </w:tc>
      </w:tr>
      <w:tr w:rsidR="000861DE" w:rsidRPr="00F46944" w14:paraId="1E174A4C" w14:textId="77777777" w:rsidTr="005E342B">
        <w:tc>
          <w:tcPr>
            <w:cnfStyle w:val="001000000000" w:firstRow="0" w:lastRow="0" w:firstColumn="1" w:lastColumn="0" w:oddVBand="0" w:evenVBand="0" w:oddHBand="0" w:evenHBand="0" w:firstRowFirstColumn="0" w:firstRowLastColumn="0" w:lastRowFirstColumn="0" w:lastRowLastColumn="0"/>
            <w:tcW w:w="2263" w:type="dxa"/>
          </w:tcPr>
          <w:p w14:paraId="08DC5617" w14:textId="6CEFC072" w:rsidR="000861DE" w:rsidRPr="00F46944" w:rsidRDefault="000861DE" w:rsidP="000861DE">
            <w:pPr>
              <w:spacing w:after="0"/>
              <w:rPr>
                <w:rFonts w:cstheme="minorHAnsi"/>
              </w:rPr>
            </w:pPr>
            <w:r w:rsidRPr="00F46944">
              <w:rPr>
                <w:rFonts w:cstheme="minorHAnsi"/>
              </w:rPr>
              <w:t>J01</w:t>
            </w:r>
          </w:p>
        </w:tc>
        <w:tc>
          <w:tcPr>
            <w:tcW w:w="6493" w:type="dxa"/>
          </w:tcPr>
          <w:p w14:paraId="07DF56F3" w14:textId="34DD094A" w:rsidR="000861DE" w:rsidRPr="00F46944" w:rsidRDefault="000861DE" w:rsidP="000861DE">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46944">
              <w:rPr>
                <w:rFonts w:cstheme="minorHAnsi"/>
              </w:rPr>
              <w:t>A code within the Anatomical Therapeutic Chemical (ATC) classification system that is applied to the group labelled ‘</w:t>
            </w:r>
            <w:proofErr w:type="spellStart"/>
            <w:r w:rsidRPr="00F46944">
              <w:rPr>
                <w:rFonts w:cstheme="minorHAnsi"/>
              </w:rPr>
              <w:t>Antibacterials</w:t>
            </w:r>
            <w:proofErr w:type="spellEnd"/>
            <w:r w:rsidRPr="00F46944">
              <w:rPr>
                <w:rFonts w:cstheme="minorHAnsi"/>
              </w:rPr>
              <w:t xml:space="preserve"> for systemic use’.</w:t>
            </w:r>
          </w:p>
        </w:tc>
      </w:tr>
      <w:tr w:rsidR="000861DE" w:rsidRPr="00F46944" w14:paraId="15FAD7A2" w14:textId="77777777" w:rsidTr="005E3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D1C9624" w14:textId="44A4F532" w:rsidR="000861DE" w:rsidRPr="00F46944" w:rsidRDefault="000861DE" w:rsidP="000861DE">
            <w:pPr>
              <w:spacing w:after="0"/>
              <w:rPr>
                <w:rFonts w:cstheme="minorHAnsi"/>
              </w:rPr>
            </w:pPr>
            <w:r w:rsidRPr="00F46944">
              <w:rPr>
                <w:rFonts w:cstheme="minorHAnsi"/>
              </w:rPr>
              <w:t>narrow-spectrum antimicrobials</w:t>
            </w:r>
          </w:p>
        </w:tc>
        <w:tc>
          <w:tcPr>
            <w:tcW w:w="6493" w:type="dxa"/>
          </w:tcPr>
          <w:p w14:paraId="3CB8BB6B" w14:textId="7FC09C18" w:rsidR="000861DE" w:rsidRPr="00F46944" w:rsidRDefault="000861DE" w:rsidP="000861DE">
            <w:pPr>
              <w:spacing w:after="0"/>
              <w:cnfStyle w:val="000000100000" w:firstRow="0" w:lastRow="0" w:firstColumn="0" w:lastColumn="0" w:oddVBand="0" w:evenVBand="0" w:oddHBand="1" w:evenHBand="0" w:firstRowFirstColumn="0" w:firstRowLastColumn="0" w:lastRowFirstColumn="0" w:lastRowLastColumn="0"/>
              <w:rPr>
                <w:rFonts w:cstheme="minorHAnsi"/>
              </w:rPr>
            </w:pPr>
            <w:r w:rsidRPr="00F46944">
              <w:rPr>
                <w:rFonts w:cstheme="minorHAnsi"/>
              </w:rPr>
              <w:t>A single antimicrobial or class of antimicrobials that affects few organisms and contributes less to antimicrobial resistance than broad-spectrum antimicrobials.</w:t>
            </w:r>
          </w:p>
        </w:tc>
      </w:tr>
      <w:tr w:rsidR="000861DE" w:rsidRPr="00F46944" w14:paraId="7FD4681A" w14:textId="77777777" w:rsidTr="005E342B">
        <w:tc>
          <w:tcPr>
            <w:cnfStyle w:val="001000000000" w:firstRow="0" w:lastRow="0" w:firstColumn="1" w:lastColumn="0" w:oddVBand="0" w:evenVBand="0" w:oddHBand="0" w:evenHBand="0" w:firstRowFirstColumn="0" w:firstRowLastColumn="0" w:lastRowFirstColumn="0" w:lastRowLastColumn="0"/>
            <w:tcW w:w="2263" w:type="dxa"/>
          </w:tcPr>
          <w:p w14:paraId="1D78442D" w14:textId="7BC8BCF8" w:rsidR="000861DE" w:rsidRPr="00F46944" w:rsidRDefault="000861DE" w:rsidP="000861DE">
            <w:pPr>
              <w:spacing w:after="0"/>
              <w:rPr>
                <w:rFonts w:cstheme="minorHAnsi"/>
              </w:rPr>
            </w:pPr>
            <w:r w:rsidRPr="00F46944">
              <w:rPr>
                <w:rFonts w:cstheme="minorHAnsi"/>
              </w:rPr>
              <w:t xml:space="preserve">National Safety and Quality Health Service (NSQHS) Standards </w:t>
            </w:r>
          </w:p>
        </w:tc>
        <w:tc>
          <w:tcPr>
            <w:tcW w:w="6493" w:type="dxa"/>
          </w:tcPr>
          <w:p w14:paraId="29DC3470" w14:textId="1B8218B7" w:rsidR="000861DE" w:rsidRPr="00F46944" w:rsidRDefault="000861DE" w:rsidP="000861DE">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46944">
              <w:rPr>
                <w:rFonts w:cstheme="minorHAnsi"/>
              </w:rPr>
              <w:t xml:space="preserve">Standards developed by the Australian Commission on Safety and Quality in Health Care to drive the implementation of safety and quality systems and improve the quality of health care in Australia. The NSQHS Standards provide a nationally consistent statement about the standard of care that consumers can expect from their health service organisations. </w:t>
            </w:r>
          </w:p>
        </w:tc>
      </w:tr>
      <w:tr w:rsidR="000861DE" w:rsidRPr="00F46944" w14:paraId="2C7B87F9" w14:textId="77777777" w:rsidTr="005E3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8AB21EA" w14:textId="753D4657" w:rsidR="000861DE" w:rsidRPr="00F46944" w:rsidRDefault="000861DE" w:rsidP="000861DE">
            <w:pPr>
              <w:spacing w:after="0"/>
              <w:rPr>
                <w:rFonts w:cstheme="minorHAnsi"/>
              </w:rPr>
            </w:pPr>
            <w:r w:rsidRPr="00F46944">
              <w:rPr>
                <w:rFonts w:cstheme="minorHAnsi"/>
              </w:rPr>
              <w:t>Pharmaceutical Benefits Scheme (PBS)</w:t>
            </w:r>
          </w:p>
        </w:tc>
        <w:tc>
          <w:tcPr>
            <w:tcW w:w="6493" w:type="dxa"/>
          </w:tcPr>
          <w:p w14:paraId="3840E41A" w14:textId="1B54F5A9" w:rsidR="000861DE" w:rsidRPr="00F46944" w:rsidRDefault="000861DE" w:rsidP="000861DE">
            <w:pPr>
              <w:spacing w:after="0"/>
              <w:cnfStyle w:val="000000100000" w:firstRow="0" w:lastRow="0" w:firstColumn="0" w:lastColumn="0" w:oddVBand="0" w:evenVBand="0" w:oddHBand="1" w:evenHBand="0" w:firstRowFirstColumn="0" w:firstRowLastColumn="0" w:lastRowFirstColumn="0" w:lastRowLastColumn="0"/>
              <w:rPr>
                <w:rFonts w:cstheme="minorHAnsi"/>
              </w:rPr>
            </w:pPr>
            <w:r w:rsidRPr="00F46944">
              <w:rPr>
                <w:rFonts w:cstheme="minorHAnsi"/>
              </w:rPr>
              <w:t>An Australian Government program that subsidises medicines</w:t>
            </w:r>
          </w:p>
        </w:tc>
      </w:tr>
    </w:tbl>
    <w:p w14:paraId="2AA55892" w14:textId="77777777" w:rsidR="006B3AA7" w:rsidRPr="00F46944" w:rsidRDefault="006B3AA7">
      <w:r w:rsidRPr="00F46944">
        <w:rPr>
          <w:b/>
          <w:bCs/>
        </w:rPr>
        <w:br w:type="page"/>
      </w:r>
    </w:p>
    <w:tbl>
      <w:tblPr>
        <w:tblStyle w:val="PlainTable2"/>
        <w:tblW w:w="0" w:type="auto"/>
        <w:tblLook w:val="04A0" w:firstRow="1" w:lastRow="0" w:firstColumn="1" w:lastColumn="0" w:noHBand="0" w:noVBand="1"/>
      </w:tblPr>
      <w:tblGrid>
        <w:gridCol w:w="2263"/>
        <w:gridCol w:w="6493"/>
      </w:tblGrid>
      <w:tr w:rsidR="00EE05E1" w:rsidRPr="00F46944" w14:paraId="5E0F5225" w14:textId="77777777" w:rsidTr="00D7742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63" w:type="dxa"/>
            <w:shd w:val="clear" w:color="auto" w:fill="F1BBA8" w:themeFill="accent5" w:themeFillTint="66"/>
          </w:tcPr>
          <w:p w14:paraId="33B23B52" w14:textId="77777777" w:rsidR="00EE05E1" w:rsidRPr="00F46944" w:rsidRDefault="00EE05E1" w:rsidP="00D77422">
            <w:pPr>
              <w:spacing w:after="0"/>
              <w:rPr>
                <w:rFonts w:cstheme="minorHAnsi"/>
              </w:rPr>
            </w:pPr>
            <w:r w:rsidRPr="00F46944">
              <w:rPr>
                <w:rFonts w:cstheme="minorHAnsi"/>
              </w:rPr>
              <w:lastRenderedPageBreak/>
              <w:t xml:space="preserve">Term </w:t>
            </w:r>
          </w:p>
        </w:tc>
        <w:tc>
          <w:tcPr>
            <w:tcW w:w="6493" w:type="dxa"/>
            <w:shd w:val="clear" w:color="auto" w:fill="F1BBA8" w:themeFill="accent5" w:themeFillTint="66"/>
          </w:tcPr>
          <w:p w14:paraId="579A85E4" w14:textId="77777777" w:rsidR="00EE05E1" w:rsidRPr="00F46944" w:rsidRDefault="00EE05E1" w:rsidP="00D77422">
            <w:pPr>
              <w:spacing w:after="0"/>
              <w:cnfStyle w:val="100000000000" w:firstRow="1" w:lastRow="0" w:firstColumn="0" w:lastColumn="0" w:oddVBand="0" w:evenVBand="0" w:oddHBand="0" w:evenHBand="0" w:firstRowFirstColumn="0" w:firstRowLastColumn="0" w:lastRowFirstColumn="0" w:lastRowLastColumn="0"/>
              <w:rPr>
                <w:rFonts w:cstheme="minorHAnsi"/>
              </w:rPr>
            </w:pPr>
            <w:r w:rsidRPr="00F46944">
              <w:rPr>
                <w:rFonts w:cstheme="minorHAnsi"/>
              </w:rPr>
              <w:t>Definition</w:t>
            </w:r>
          </w:p>
        </w:tc>
      </w:tr>
      <w:tr w:rsidR="000861DE" w:rsidRPr="00F46944" w14:paraId="3C3974B7" w14:textId="77777777" w:rsidTr="005E3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ECFD569" w14:textId="2D7989B9" w:rsidR="000861DE" w:rsidRPr="00F46944" w:rsidRDefault="000861DE" w:rsidP="000861DE">
            <w:pPr>
              <w:spacing w:after="0"/>
              <w:rPr>
                <w:rFonts w:cstheme="minorHAnsi"/>
              </w:rPr>
            </w:pPr>
            <w:r w:rsidRPr="00F46944">
              <w:rPr>
                <w:rFonts w:cstheme="minorHAnsi"/>
              </w:rPr>
              <w:t>National Safety and Quality Primary and Community Healthcare Standards</w:t>
            </w:r>
          </w:p>
        </w:tc>
        <w:tc>
          <w:tcPr>
            <w:tcW w:w="6493" w:type="dxa"/>
          </w:tcPr>
          <w:p w14:paraId="263AE394" w14:textId="439BD4A1" w:rsidR="000861DE" w:rsidRPr="00F46944" w:rsidRDefault="000861DE" w:rsidP="000861DE">
            <w:pPr>
              <w:spacing w:after="0"/>
              <w:cnfStyle w:val="000000100000" w:firstRow="0" w:lastRow="0" w:firstColumn="0" w:lastColumn="0" w:oddVBand="0" w:evenVBand="0" w:oddHBand="1" w:evenHBand="0" w:firstRowFirstColumn="0" w:firstRowLastColumn="0" w:lastRowFirstColumn="0" w:lastRowLastColumn="0"/>
              <w:rPr>
                <w:rFonts w:cstheme="minorHAnsi"/>
                <w:b/>
                <w:bCs/>
              </w:rPr>
            </w:pPr>
            <w:r w:rsidRPr="00F46944">
              <w:rPr>
                <w:rFonts w:cstheme="minorHAnsi"/>
              </w:rPr>
              <w:t>Standards developed by the Australian Commission on Safety and Quality in Health Care to drive the implementation of safety and quality systems and improve the quality of primary and community health care in Australia. These Standards provide a nationally consistent statement about the standard of care that consumers can expect from their community and primary health service organisations.</w:t>
            </w:r>
          </w:p>
        </w:tc>
      </w:tr>
      <w:tr w:rsidR="000861DE" w:rsidRPr="00F46944" w14:paraId="79BE427C" w14:textId="77777777" w:rsidTr="005E342B">
        <w:tc>
          <w:tcPr>
            <w:cnfStyle w:val="001000000000" w:firstRow="0" w:lastRow="0" w:firstColumn="1" w:lastColumn="0" w:oddVBand="0" w:evenVBand="0" w:oddHBand="0" w:evenHBand="0" w:firstRowFirstColumn="0" w:firstRowLastColumn="0" w:lastRowFirstColumn="0" w:lastRowLastColumn="0"/>
            <w:tcW w:w="2263" w:type="dxa"/>
          </w:tcPr>
          <w:p w14:paraId="335570FE" w14:textId="732EA23A" w:rsidR="000861DE" w:rsidRPr="00F46944" w:rsidRDefault="000861DE" w:rsidP="000861DE">
            <w:pPr>
              <w:spacing w:after="0"/>
              <w:rPr>
                <w:rFonts w:cstheme="minorHAnsi"/>
              </w:rPr>
            </w:pPr>
            <w:r w:rsidRPr="00F46944">
              <w:rPr>
                <w:rFonts w:cstheme="minorHAnsi"/>
              </w:rPr>
              <w:t>Repatriation Pharmaceutical Benefits Scheme (RPBS)</w:t>
            </w:r>
          </w:p>
        </w:tc>
        <w:tc>
          <w:tcPr>
            <w:tcW w:w="6493" w:type="dxa"/>
          </w:tcPr>
          <w:p w14:paraId="6FDC83EE" w14:textId="6645C8DF" w:rsidR="000861DE" w:rsidRPr="00F46944" w:rsidRDefault="000861DE" w:rsidP="000861DE">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46944">
              <w:rPr>
                <w:rFonts w:cstheme="minorHAnsi"/>
              </w:rPr>
              <w:t>An Australian Government program that subsidises medicines for veterans</w:t>
            </w:r>
            <w:r w:rsidR="00000115" w:rsidRPr="00F46944">
              <w:rPr>
                <w:rFonts w:cstheme="minorHAnsi"/>
              </w:rPr>
              <w:t>.</w:t>
            </w:r>
          </w:p>
        </w:tc>
      </w:tr>
      <w:tr w:rsidR="000861DE" w:rsidRPr="00F46944" w14:paraId="5AA23B1C" w14:textId="77777777" w:rsidTr="005E3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9437FF4" w14:textId="07A5C295" w:rsidR="000861DE" w:rsidRPr="00F46944" w:rsidRDefault="000861DE" w:rsidP="000861DE">
            <w:pPr>
              <w:spacing w:after="0"/>
              <w:rPr>
                <w:rFonts w:cstheme="minorHAnsi"/>
              </w:rPr>
            </w:pPr>
            <w:r w:rsidRPr="00F46944">
              <w:rPr>
                <w:rFonts w:cstheme="minorHAnsi"/>
              </w:rPr>
              <w:t>Statistical Area Level 3 (SA3)</w:t>
            </w:r>
          </w:p>
        </w:tc>
        <w:tc>
          <w:tcPr>
            <w:tcW w:w="6493" w:type="dxa"/>
          </w:tcPr>
          <w:p w14:paraId="6D9079EC" w14:textId="47B49214" w:rsidR="000861DE" w:rsidRPr="00F46944" w:rsidRDefault="000861DE" w:rsidP="000861DE">
            <w:pPr>
              <w:spacing w:after="0"/>
              <w:cnfStyle w:val="000000100000" w:firstRow="0" w:lastRow="0" w:firstColumn="0" w:lastColumn="0" w:oddVBand="0" w:evenVBand="0" w:oddHBand="1" w:evenHBand="0" w:firstRowFirstColumn="0" w:firstRowLastColumn="0" w:lastRowFirstColumn="0" w:lastRowLastColumn="0"/>
              <w:rPr>
                <w:rFonts w:cstheme="minorHAnsi"/>
              </w:rPr>
            </w:pPr>
            <w:r w:rsidRPr="00F46944">
              <w:rPr>
                <w:rFonts w:cstheme="minorHAnsi"/>
              </w:rPr>
              <w:t>Geographical areas designed for the output of regional data, including 2016 Census data. SA3s create a standard framework for analysing Australian Bureau of Statistics data at the regional level by clustering groups of Statistical Areas Level 2 (SA2) that have similar regional characteristics.</w:t>
            </w:r>
          </w:p>
        </w:tc>
      </w:tr>
      <w:tr w:rsidR="000861DE" w:rsidRPr="00F46944" w14:paraId="21465142" w14:textId="77777777" w:rsidTr="005E342B">
        <w:tc>
          <w:tcPr>
            <w:cnfStyle w:val="001000000000" w:firstRow="0" w:lastRow="0" w:firstColumn="1" w:lastColumn="0" w:oddVBand="0" w:evenVBand="0" w:oddHBand="0" w:evenHBand="0" w:firstRowFirstColumn="0" w:firstRowLastColumn="0" w:lastRowFirstColumn="0" w:lastRowLastColumn="0"/>
            <w:tcW w:w="2263" w:type="dxa"/>
          </w:tcPr>
          <w:p w14:paraId="5EEF76F1" w14:textId="5060FBB1" w:rsidR="000861DE" w:rsidRPr="00F46944" w:rsidRDefault="000861DE" w:rsidP="000861DE">
            <w:pPr>
              <w:spacing w:after="0"/>
              <w:rPr>
                <w:rFonts w:cstheme="minorHAnsi"/>
              </w:rPr>
            </w:pPr>
            <w:r w:rsidRPr="00F46944">
              <w:rPr>
                <w:rFonts w:cstheme="minorHAnsi"/>
              </w:rPr>
              <w:t>therapeutic group or class</w:t>
            </w:r>
          </w:p>
        </w:tc>
        <w:tc>
          <w:tcPr>
            <w:tcW w:w="6493" w:type="dxa"/>
          </w:tcPr>
          <w:p w14:paraId="23B2E6A0" w14:textId="1E38001C" w:rsidR="000861DE" w:rsidRPr="00F46944" w:rsidRDefault="000861DE" w:rsidP="000861DE">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46944">
              <w:rPr>
                <w:rFonts w:cstheme="minorHAnsi"/>
              </w:rPr>
              <w:t>A category of medicines that have similar chemical structure</w:t>
            </w:r>
            <w:r w:rsidR="00000115" w:rsidRPr="00F46944">
              <w:rPr>
                <w:rFonts w:cstheme="minorHAnsi"/>
              </w:rPr>
              <w:t>.</w:t>
            </w:r>
          </w:p>
        </w:tc>
      </w:tr>
      <w:tr w:rsidR="000861DE" w:rsidRPr="00F46944" w14:paraId="0FD210A8" w14:textId="77777777" w:rsidTr="005E3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22E4CDF" w14:textId="4E094CE5" w:rsidR="000861DE" w:rsidRPr="00F46944" w:rsidRDefault="000861DE" w:rsidP="000861DE">
            <w:pPr>
              <w:spacing w:after="0"/>
              <w:rPr>
                <w:rFonts w:cstheme="minorHAnsi"/>
              </w:rPr>
            </w:pPr>
            <w:r w:rsidRPr="00F46944">
              <w:rPr>
                <w:rFonts w:cstheme="minorHAnsi"/>
              </w:rPr>
              <w:t>topical (medication)</w:t>
            </w:r>
          </w:p>
        </w:tc>
        <w:tc>
          <w:tcPr>
            <w:tcW w:w="6493" w:type="dxa"/>
          </w:tcPr>
          <w:p w14:paraId="6547D562" w14:textId="6568AECD" w:rsidR="000861DE" w:rsidRPr="00F46944" w:rsidRDefault="000861DE" w:rsidP="000861DE">
            <w:pPr>
              <w:spacing w:after="0"/>
              <w:cnfStyle w:val="000000100000" w:firstRow="0" w:lastRow="0" w:firstColumn="0" w:lastColumn="0" w:oddVBand="0" w:evenVBand="0" w:oddHBand="1" w:evenHBand="0" w:firstRowFirstColumn="0" w:firstRowLastColumn="0" w:lastRowFirstColumn="0" w:lastRowLastColumn="0"/>
              <w:rPr>
                <w:rFonts w:cstheme="minorHAnsi"/>
              </w:rPr>
            </w:pPr>
            <w:r w:rsidRPr="00F46944">
              <w:rPr>
                <w:rFonts w:cstheme="minorHAnsi"/>
              </w:rPr>
              <w:t xml:space="preserve">A medication that is applied to body surfaces such as the skin or mucous membranes; includes creams, foams, gels, </w:t>
            </w:r>
            <w:r w:rsidR="00956C22" w:rsidRPr="00F46944">
              <w:rPr>
                <w:rFonts w:cstheme="minorHAnsi"/>
              </w:rPr>
              <w:t>lotions,</w:t>
            </w:r>
            <w:r w:rsidRPr="00F46944">
              <w:rPr>
                <w:rFonts w:cstheme="minorHAnsi"/>
              </w:rPr>
              <w:t xml:space="preserve"> and ointments.</w:t>
            </w:r>
          </w:p>
        </w:tc>
      </w:tr>
    </w:tbl>
    <w:p w14:paraId="1178B652" w14:textId="3F026D3B" w:rsidR="000861DE" w:rsidRPr="00F46944" w:rsidRDefault="000861DE" w:rsidP="000861DE"/>
    <w:p w14:paraId="2E1738E9" w14:textId="77777777" w:rsidR="00E0396F" w:rsidRDefault="00E0396F">
      <w:pPr>
        <w:spacing w:after="80"/>
      </w:pPr>
      <w:r>
        <w:br w:type="page"/>
      </w:r>
    </w:p>
    <w:p w14:paraId="4BEF1092" w14:textId="10FECD9A" w:rsidR="00E0396F" w:rsidRPr="00F46944" w:rsidRDefault="00E0396F" w:rsidP="000627FE">
      <w:pPr>
        <w:pStyle w:val="Heading4"/>
      </w:pPr>
      <w:bookmarkStart w:id="193" w:name="_Toc121826746"/>
      <w:r w:rsidRPr="00F46944">
        <w:lastRenderedPageBreak/>
        <w:t>A2.</w:t>
      </w:r>
      <w:r>
        <w:t>3</w:t>
      </w:r>
      <w:r w:rsidRPr="00F46944">
        <w:t xml:space="preserve"> </w:t>
      </w:r>
      <w:r>
        <w:t>Antimicrobial, antibacterial or antibiotic?</w:t>
      </w:r>
      <w:bookmarkEnd w:id="193"/>
    </w:p>
    <w:p w14:paraId="2C8C6223" w14:textId="3C263B17" w:rsidR="00E0396F" w:rsidRPr="00F46944" w:rsidRDefault="00D77422" w:rsidP="00E0396F">
      <w:r>
        <w:rPr>
          <w:rFonts w:ascii="ZWAdobeF" w:hAnsi="ZWAdobeF" w:cs="ZWAdobeF"/>
          <w:sz w:val="2"/>
          <w:szCs w:val="2"/>
        </w:rPr>
        <w:t>686B</w:t>
      </w:r>
      <w:r w:rsidR="00E0396F" w:rsidRPr="00F46944">
        <w:t xml:space="preserve">Antimicrobial is the term which includes all antibiotics, antifungals, antivirals and antiparasitic agents. The terms antibacterial and antibiotic have the same meaning, </w:t>
      </w:r>
      <w:r w:rsidR="00CA66D2">
        <w:t xml:space="preserve">and </w:t>
      </w:r>
      <w:r w:rsidR="00E0396F" w:rsidRPr="00F46944">
        <w:t xml:space="preserve">they </w:t>
      </w:r>
      <w:r w:rsidR="00CA66D2">
        <w:t xml:space="preserve">are used to treat infections caused by </w:t>
      </w:r>
      <w:r w:rsidR="00E0396F" w:rsidRPr="00F46944">
        <w:t>bacteria.</w:t>
      </w:r>
    </w:p>
    <w:p w14:paraId="209D9ACE" w14:textId="597016C4" w:rsidR="00E0396F" w:rsidRPr="00F46944" w:rsidRDefault="00D77422" w:rsidP="00E0396F">
      <w:pPr>
        <w:rPr>
          <w:rFonts w:cstheme="minorHAnsi"/>
        </w:rPr>
      </w:pPr>
      <w:r>
        <w:rPr>
          <w:rFonts w:ascii="ZWAdobeF" w:hAnsi="ZWAdobeF" w:cs="ZWAdobeF"/>
          <w:sz w:val="2"/>
          <w:szCs w:val="2"/>
        </w:rPr>
        <w:t>687B</w:t>
      </w:r>
      <w:r w:rsidR="00E0396F" w:rsidRPr="00F46944">
        <w:rPr>
          <w:rFonts w:cstheme="minorHAnsi"/>
        </w:rPr>
        <w:t>The term ‘antibacterial’ is used in this report in reference to antimicrobials classified as Anatomical Therapeutic Chemical (ATC) code J01, ‘</w:t>
      </w:r>
      <w:proofErr w:type="spellStart"/>
      <w:r w:rsidR="00E0396F" w:rsidRPr="00F46944">
        <w:rPr>
          <w:rFonts w:cstheme="minorHAnsi"/>
        </w:rPr>
        <w:t>antibacterials</w:t>
      </w:r>
      <w:proofErr w:type="spellEnd"/>
      <w:r w:rsidR="00E0396F" w:rsidRPr="00F46944">
        <w:rPr>
          <w:rFonts w:cstheme="minorHAnsi"/>
        </w:rPr>
        <w:t xml:space="preserve"> for systemic use’.</w:t>
      </w:r>
    </w:p>
    <w:p w14:paraId="59488C41" w14:textId="27934FFB" w:rsidR="00E0396F" w:rsidRPr="00F46944" w:rsidRDefault="00D77422" w:rsidP="00E0396F">
      <w:pPr>
        <w:rPr>
          <w:rFonts w:cstheme="minorHAnsi"/>
        </w:rPr>
      </w:pPr>
      <w:r>
        <w:rPr>
          <w:rFonts w:ascii="ZWAdobeF" w:hAnsi="ZWAdobeF" w:cs="ZWAdobeF"/>
          <w:sz w:val="2"/>
          <w:szCs w:val="2"/>
        </w:rPr>
        <w:t>688B</w:t>
      </w:r>
      <w:r w:rsidR="00E0396F" w:rsidRPr="00F46944">
        <w:rPr>
          <w:rFonts w:cstheme="minorHAnsi"/>
        </w:rPr>
        <w:t>The term ‘all antimicrobials’ is used in this report in reference to all antimicrobials classified under ATC codes J01 (</w:t>
      </w:r>
      <w:proofErr w:type="spellStart"/>
      <w:r w:rsidR="00E0396F" w:rsidRPr="00F46944">
        <w:rPr>
          <w:rFonts w:cstheme="minorHAnsi"/>
        </w:rPr>
        <w:t>antibacterials</w:t>
      </w:r>
      <w:proofErr w:type="spellEnd"/>
      <w:r w:rsidR="00E0396F" w:rsidRPr="00F46944">
        <w:rPr>
          <w:rFonts w:cstheme="minorHAnsi"/>
        </w:rPr>
        <w:t xml:space="preserve"> for systemic use), A07 (antidiarrheals, intestine anti-inflammatory/anti-infective agents), D06 (antibiotics and chemotherapeutics for dermatological use), S01 (</w:t>
      </w:r>
      <w:proofErr w:type="spellStart"/>
      <w:r w:rsidR="00E0396F" w:rsidRPr="00F46944">
        <w:rPr>
          <w:rFonts w:cstheme="minorHAnsi"/>
        </w:rPr>
        <w:t>ophthalmologicals</w:t>
      </w:r>
      <w:proofErr w:type="spellEnd"/>
      <w:r w:rsidR="00E0396F" w:rsidRPr="00F46944">
        <w:rPr>
          <w:rFonts w:cstheme="minorHAnsi"/>
        </w:rPr>
        <w:t>), S02 (</w:t>
      </w:r>
      <w:proofErr w:type="spellStart"/>
      <w:r w:rsidR="00E0396F" w:rsidRPr="00F46944">
        <w:rPr>
          <w:rFonts w:cstheme="minorHAnsi"/>
        </w:rPr>
        <w:t>otologicals</w:t>
      </w:r>
      <w:proofErr w:type="spellEnd"/>
      <w:r w:rsidR="00E0396F" w:rsidRPr="00F46944">
        <w:rPr>
          <w:rFonts w:cstheme="minorHAnsi"/>
        </w:rPr>
        <w:t xml:space="preserve">) and S03 (ophthalmological and ontological preparations). </w:t>
      </w:r>
    </w:p>
    <w:p w14:paraId="4F397506" w14:textId="3E10DA4B" w:rsidR="00E0396F" w:rsidRPr="00F46944" w:rsidDel="00595692" w:rsidRDefault="00D77422" w:rsidP="00E0396F">
      <w:r>
        <w:rPr>
          <w:rFonts w:ascii="ZWAdobeF" w:hAnsi="ZWAdobeF" w:cs="ZWAdobeF"/>
          <w:sz w:val="2"/>
          <w:szCs w:val="2"/>
        </w:rPr>
        <w:t>689B</w:t>
      </w:r>
      <w:r w:rsidR="00E0396F" w:rsidRPr="00F46944">
        <w:t xml:space="preserve">The term ‘high use antimicrobials’ refers to seven most commonly prescribed antimicrobials: amoxicillin, amoxicillin–clavulanic acid, azithromycin, cefalexin, ciprofloxacin, doxycycline and roxithromycin. </w:t>
      </w:r>
    </w:p>
    <w:p w14:paraId="5C129A76" w14:textId="71F0CDB7" w:rsidR="00B24F8C" w:rsidRPr="00F46944" w:rsidRDefault="00D77422" w:rsidP="00B204D4">
      <w:pPr>
        <w:jc w:val="center"/>
        <w:rPr>
          <w:b/>
          <w:bCs/>
          <w:color w:val="404040" w:themeColor="text1" w:themeTint="BF"/>
          <w:sz w:val="26"/>
          <w:szCs w:val="26"/>
        </w:rPr>
      </w:pPr>
      <w:r>
        <w:rPr>
          <w:rFonts w:ascii="ZWAdobeF" w:hAnsi="ZWAdobeF" w:cs="ZWAdobeF"/>
          <w:sz w:val="2"/>
          <w:szCs w:val="2"/>
        </w:rPr>
        <w:t>690B</w:t>
      </w:r>
      <w:r w:rsidR="00E0396F" w:rsidRPr="00F46944">
        <w:rPr>
          <w:noProof/>
        </w:rPr>
        <w:drawing>
          <wp:inline distT="0" distB="0" distL="0" distR="0" wp14:anchorId="677F86A7" wp14:editId="6F661671">
            <wp:extent cx="5060150" cy="5796000"/>
            <wp:effectExtent l="0" t="0" r="7620" b="0"/>
            <wp:docPr id="27" name="Picture 27" descr="Graphic depicting terminology that comprises 'antimicrobials'.&#10;Antibiotics have activity against bacteria (e.g., medicines for urine infections).&#10;Antivirals have activity against viruses (e.g., medicines for herpes or HIV).&#10;Antifungals have activity against fungi (e.g., medicines for thrush).&#10;Antiparasitics have activity against parasites (e.g., medicines for mala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 depicting terminology that comprises 'antimicrobials'.&#10;Antibiotics have activity against bacteria (e.g., medicines for urine infections).&#10;Antivirals have activity against viruses (e.g., medicines for herpes or HIV).&#10;Antifungals have activity against fungi (e.g., medicines for thrush).&#10;Antiparasitics have activity against parasites (e.g., medicines for malaria). "/>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8364"/>
                    <a:stretch/>
                  </pic:blipFill>
                  <pic:spPr bwMode="auto">
                    <a:xfrm>
                      <a:off x="0" y="0"/>
                      <a:ext cx="5060150" cy="5796000"/>
                    </a:xfrm>
                    <a:prstGeom prst="rect">
                      <a:avLst/>
                    </a:prstGeom>
                    <a:noFill/>
                    <a:ln>
                      <a:noFill/>
                    </a:ln>
                    <a:extLst>
                      <a:ext uri="{53640926-AAD7-44D8-BBD7-CCE9431645EC}">
                        <a14:shadowObscured xmlns:a14="http://schemas.microsoft.com/office/drawing/2010/main"/>
                      </a:ext>
                    </a:extLst>
                  </pic:spPr>
                </pic:pic>
              </a:graphicData>
            </a:graphic>
          </wp:inline>
        </w:drawing>
      </w:r>
      <w:r w:rsidR="00B24F8C" w:rsidRPr="00F46944">
        <w:br w:type="page"/>
      </w:r>
    </w:p>
    <w:p w14:paraId="5ECD0EB6" w14:textId="77777777" w:rsidR="005651ED" w:rsidRPr="00F46944" w:rsidRDefault="005651ED" w:rsidP="00335790">
      <w:pPr>
        <w:pStyle w:val="Heading2"/>
        <w:rPr>
          <w:color w:val="DC5827" w:themeColor="accent5"/>
        </w:rPr>
        <w:sectPr w:rsidR="005651ED" w:rsidRPr="00F46944" w:rsidSect="008B1CB0">
          <w:pgSz w:w="11906" w:h="16838"/>
          <w:pgMar w:top="1440" w:right="1134" w:bottom="1440" w:left="1440" w:header="709" w:footer="709" w:gutter="0"/>
          <w:cols w:space="708"/>
          <w:docGrid w:linePitch="360"/>
        </w:sectPr>
      </w:pPr>
      <w:bookmarkStart w:id="194" w:name="_Appendix_3:_Antimicrobial,"/>
      <w:bookmarkEnd w:id="194"/>
    </w:p>
    <w:p w14:paraId="509A7651" w14:textId="3D44969F" w:rsidR="00335790" w:rsidRPr="000627FE" w:rsidRDefault="00335790" w:rsidP="00710F6F">
      <w:pPr>
        <w:pStyle w:val="Heading3"/>
      </w:pPr>
      <w:bookmarkStart w:id="195" w:name="_Appendix_4:_Supplementary"/>
      <w:bookmarkStart w:id="196" w:name="_Toc121826747"/>
      <w:bookmarkEnd w:id="195"/>
      <w:r w:rsidRPr="000627FE">
        <w:lastRenderedPageBreak/>
        <w:t xml:space="preserve">Appendix </w:t>
      </w:r>
      <w:r w:rsidR="0048693D" w:rsidRPr="000627FE">
        <w:t>3</w:t>
      </w:r>
      <w:r w:rsidRPr="000627FE">
        <w:t xml:space="preserve">: </w:t>
      </w:r>
      <w:r w:rsidR="0049490C" w:rsidRPr="000627FE">
        <w:t>Supplementary Data</w:t>
      </w:r>
      <w:bookmarkEnd w:id="196"/>
    </w:p>
    <w:p w14:paraId="6319C0B3" w14:textId="55672B31" w:rsidR="005651ED" w:rsidRPr="00F46944" w:rsidRDefault="00D77422" w:rsidP="004F38D0">
      <w:r>
        <w:rPr>
          <w:rFonts w:ascii="ZWAdobeF" w:hAnsi="ZWAdobeF" w:cs="ZWAdobeF"/>
          <w:sz w:val="2"/>
          <w:szCs w:val="2"/>
        </w:rPr>
        <w:t>691B</w:t>
      </w:r>
      <w:r w:rsidR="00A24753" w:rsidRPr="00A249B7">
        <w:t>Figure</w:t>
      </w:r>
      <w:r w:rsidR="00A047E2" w:rsidRPr="00A249B7">
        <w:t> </w:t>
      </w:r>
      <w:r w:rsidR="0048693D" w:rsidRPr="00A249B7">
        <w:t>A</w:t>
      </w:r>
      <w:r w:rsidR="0048693D">
        <w:t>3</w:t>
      </w:r>
      <w:r w:rsidR="0048693D" w:rsidRPr="00F46944">
        <w:t xml:space="preserve"> </w:t>
      </w:r>
      <w:r w:rsidR="00190D74" w:rsidRPr="00F46944">
        <w:t xml:space="preserve">complements </w:t>
      </w:r>
      <w:r w:rsidR="00190D74" w:rsidRPr="00A249B7">
        <w:t>Figure</w:t>
      </w:r>
      <w:r w:rsidR="00A047E2" w:rsidRPr="00A249B7">
        <w:t> </w:t>
      </w:r>
      <w:r w:rsidR="000F6CA1" w:rsidRPr="00A249B7">
        <w:t>8</w:t>
      </w:r>
      <w:r w:rsidR="000F6CA1" w:rsidRPr="00F46944">
        <w:t xml:space="preserve"> </w:t>
      </w:r>
      <w:r w:rsidR="00190D74" w:rsidRPr="00F46944">
        <w:t>of this report</w:t>
      </w:r>
      <w:r w:rsidR="007B1BBA" w:rsidRPr="00F46944">
        <w:t xml:space="preserve"> </w:t>
      </w:r>
      <w:r w:rsidR="00580F6A" w:rsidRPr="00F46944">
        <w:t xml:space="preserve">and </w:t>
      </w:r>
      <w:r w:rsidR="00A24753" w:rsidRPr="00F46944">
        <w:t xml:space="preserve">provides greater detail on the age profile </w:t>
      </w:r>
      <w:r w:rsidR="00986BFF" w:rsidRPr="00F46944">
        <w:t>of</w:t>
      </w:r>
      <w:r w:rsidR="004F3ACC" w:rsidRPr="00F46944">
        <w:t xml:space="preserve"> patients prescribed one or more </w:t>
      </w:r>
      <w:r w:rsidR="00190D74" w:rsidRPr="00F46944">
        <w:t>antimicrobial</w:t>
      </w:r>
      <w:r w:rsidR="00580F6A" w:rsidRPr="00F46944">
        <w:t>s</w:t>
      </w:r>
      <w:r w:rsidR="006D6B9C" w:rsidRPr="00F46944">
        <w:t xml:space="preserve"> (</w:t>
      </w:r>
      <w:r w:rsidR="00383CA0">
        <w:t xml:space="preserve">ATC code </w:t>
      </w:r>
      <w:r w:rsidR="006D6B9C" w:rsidRPr="00F46944">
        <w:t>J01)</w:t>
      </w:r>
      <w:r w:rsidR="00580F6A" w:rsidRPr="00F46944">
        <w:t xml:space="preserve"> in </w:t>
      </w:r>
      <w:proofErr w:type="spellStart"/>
      <w:r w:rsidR="00190D74" w:rsidRPr="00F46944">
        <w:t>MedicineInsight</w:t>
      </w:r>
      <w:proofErr w:type="spellEnd"/>
      <w:r w:rsidR="00190D74" w:rsidRPr="00F46944">
        <w:t xml:space="preserve"> practices</w:t>
      </w:r>
      <w:r w:rsidR="00580F6A" w:rsidRPr="00F46944">
        <w:t xml:space="preserve"> from </w:t>
      </w:r>
      <w:r w:rsidR="00190D74" w:rsidRPr="00F46944">
        <w:t xml:space="preserve">2015 to 2021. </w:t>
      </w:r>
      <w:bookmarkStart w:id="197" w:name="_Hlk105404603"/>
    </w:p>
    <w:p w14:paraId="016BC62C" w14:textId="1C3C6E7B" w:rsidR="004F38D0" w:rsidRPr="00F46944" w:rsidRDefault="00D77422" w:rsidP="004F38D0">
      <w:r>
        <w:rPr>
          <w:rFonts w:ascii="ZWAdobeF" w:hAnsi="ZWAdobeF" w:cs="ZWAdobeF"/>
          <w:bCs/>
          <w:sz w:val="2"/>
          <w:szCs w:val="2"/>
        </w:rPr>
        <w:t>692B</w:t>
      </w:r>
      <w:r w:rsidR="004F38D0" w:rsidRPr="00F46944">
        <w:rPr>
          <w:b/>
          <w:bCs/>
        </w:rPr>
        <w:t>Figure </w:t>
      </w:r>
      <w:r w:rsidR="0048693D" w:rsidRPr="00F46944">
        <w:rPr>
          <w:b/>
          <w:bCs/>
        </w:rPr>
        <w:t>A</w:t>
      </w:r>
      <w:r w:rsidR="0048693D">
        <w:rPr>
          <w:b/>
          <w:bCs/>
        </w:rPr>
        <w:t>3</w:t>
      </w:r>
      <w:r w:rsidR="004F38D0" w:rsidRPr="00F46944">
        <w:rPr>
          <w:b/>
          <w:bCs/>
        </w:rPr>
        <w:t>:</w:t>
      </w:r>
      <w:r w:rsidR="004F38D0" w:rsidRPr="00F46944">
        <w:t> Number of patients prescribed one or more antimicrobials</w:t>
      </w:r>
      <w:r w:rsidR="0000534A" w:rsidRPr="00F46944">
        <w:t>*</w:t>
      </w:r>
      <w:r w:rsidR="00E97EC7" w:rsidRPr="00F46944">
        <w:t xml:space="preserve"> </w:t>
      </w:r>
      <w:r w:rsidR="004F38D0" w:rsidRPr="00F46944">
        <w:t>per 100 patients, by age group</w:t>
      </w:r>
      <w:r w:rsidR="00CA0D04">
        <w:t>,</w:t>
      </w:r>
      <w:r w:rsidR="004F38D0" w:rsidRPr="00F46944">
        <w:t xml:space="preserve"> </w:t>
      </w:r>
      <w:proofErr w:type="spellStart"/>
      <w:r w:rsidR="004F38D0" w:rsidRPr="00F46944">
        <w:t>MedicineInsight</w:t>
      </w:r>
      <w:proofErr w:type="spellEnd"/>
      <w:r w:rsidR="004F38D0" w:rsidRPr="00F46944">
        <w:t xml:space="preserve"> practices, 2015</w:t>
      </w:r>
      <w:r w:rsidR="004F32C1" w:rsidRPr="00F46944">
        <w:t>–</w:t>
      </w:r>
      <w:r w:rsidR="004F38D0" w:rsidRPr="00F46944">
        <w:t>2021</w:t>
      </w:r>
    </w:p>
    <w:bookmarkEnd w:id="197"/>
    <w:p w14:paraId="1814F2B6" w14:textId="3C3DD75D" w:rsidR="00727ABC" w:rsidRPr="00F46944" w:rsidRDefault="00D77422" w:rsidP="00727ABC">
      <w:pPr>
        <w:tabs>
          <w:tab w:val="left" w:pos="720"/>
          <w:tab w:val="left" w:pos="1440"/>
          <w:tab w:val="left" w:pos="2160"/>
          <w:tab w:val="left" w:pos="2880"/>
          <w:tab w:val="left" w:pos="3600"/>
          <w:tab w:val="left" w:pos="4320"/>
          <w:tab w:val="left" w:pos="5040"/>
          <w:tab w:val="left" w:pos="5760"/>
          <w:tab w:val="left" w:pos="6480"/>
          <w:tab w:val="center" w:pos="6979"/>
          <w:tab w:val="left" w:pos="7200"/>
          <w:tab w:val="left" w:pos="7920"/>
          <w:tab w:val="left" w:pos="8640"/>
          <w:tab w:val="left" w:pos="9360"/>
          <w:tab w:val="left" w:pos="10080"/>
          <w:tab w:val="left" w:pos="10800"/>
          <w:tab w:val="left" w:pos="11520"/>
          <w:tab w:val="left" w:pos="12240"/>
          <w:tab w:val="left" w:pos="12960"/>
          <w:tab w:val="right" w:pos="13958"/>
        </w:tabs>
      </w:pPr>
      <w:r>
        <w:rPr>
          <w:rFonts w:ascii="ZWAdobeF" w:hAnsi="ZWAdobeF" w:cs="ZWAdobeF"/>
          <w:sz w:val="2"/>
          <w:szCs w:val="2"/>
        </w:rPr>
        <w:t>693B</w:t>
      </w:r>
      <w:r w:rsidR="00EC26B7">
        <w:rPr>
          <w:rFonts w:ascii="ZWAdobeF" w:hAnsi="ZWAdobeF" w:cs="ZWAdobeF"/>
          <w:noProof/>
          <w:sz w:val="2"/>
          <w:szCs w:val="2"/>
        </w:rPr>
        <w:drawing>
          <wp:inline distT="0" distB="0" distL="0" distR="0" wp14:anchorId="000D7694" wp14:editId="3449A711">
            <wp:extent cx="8809355" cy="4438015"/>
            <wp:effectExtent l="0" t="0" r="0" b="635"/>
            <wp:docPr id="117" name="Picture 117" descr="Figure A3: Number of patients prescribed one or more antimicrobials per 100 patients, by age group, MedicineInsight practices, 2015–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Figure A3: Number of patients prescribed one or more antimicrobials per 100 patients, by age group, MedicineInsight practices, 2015–20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09355" cy="4438015"/>
                    </a:xfrm>
                    <a:prstGeom prst="rect">
                      <a:avLst/>
                    </a:prstGeom>
                    <a:noFill/>
                  </pic:spPr>
                </pic:pic>
              </a:graphicData>
            </a:graphic>
          </wp:inline>
        </w:drawing>
      </w:r>
    </w:p>
    <w:p w14:paraId="0EBA3786" w14:textId="21C49BB1" w:rsidR="00384807" w:rsidRDefault="00D77422" w:rsidP="00727ABC">
      <w:pPr>
        <w:sectPr w:rsidR="00384807" w:rsidSect="005A3AF9">
          <w:footerReference w:type="default" r:id="rId58"/>
          <w:pgSz w:w="16838" w:h="11906" w:orient="landscape"/>
          <w:pgMar w:top="1440" w:right="1440" w:bottom="1134" w:left="1440" w:header="709" w:footer="709" w:gutter="0"/>
          <w:cols w:space="708"/>
          <w:docGrid w:linePitch="360"/>
        </w:sectPr>
      </w:pPr>
      <w:r>
        <w:rPr>
          <w:rFonts w:ascii="ZWAdobeF" w:hAnsi="ZWAdobeF" w:cs="ZWAdobeF"/>
          <w:sz w:val="2"/>
          <w:szCs w:val="2"/>
        </w:rPr>
        <w:t>694B</w:t>
      </w:r>
      <w:r w:rsidR="0000534A" w:rsidRPr="00F46944">
        <w:rPr>
          <w:rFonts w:ascii="Arial" w:hAnsi="Arial" w:cs="Arial"/>
          <w:color w:val="000000"/>
          <w:sz w:val="16"/>
          <w:szCs w:val="16"/>
        </w:rPr>
        <w:t xml:space="preserve">* </w:t>
      </w:r>
      <w:proofErr w:type="spellStart"/>
      <w:r w:rsidR="0000534A" w:rsidRPr="00F46944">
        <w:rPr>
          <w:rFonts w:ascii="Arial" w:hAnsi="Arial" w:cs="Arial"/>
          <w:color w:val="000000"/>
          <w:sz w:val="16"/>
          <w:szCs w:val="16"/>
        </w:rPr>
        <w:t>Antibacterials</w:t>
      </w:r>
      <w:proofErr w:type="spellEnd"/>
      <w:r w:rsidR="0000534A" w:rsidRPr="00F46944">
        <w:rPr>
          <w:rFonts w:ascii="Arial" w:hAnsi="Arial" w:cs="Arial"/>
          <w:color w:val="000000"/>
          <w:sz w:val="16"/>
          <w:szCs w:val="16"/>
        </w:rPr>
        <w:t xml:space="preserve"> for systemic use (</w:t>
      </w:r>
      <w:r w:rsidR="004E5645">
        <w:rPr>
          <w:rFonts w:ascii="Arial" w:hAnsi="Arial" w:cs="Arial"/>
          <w:color w:val="000000"/>
          <w:sz w:val="16"/>
          <w:szCs w:val="16"/>
        </w:rPr>
        <w:t xml:space="preserve">ATC code </w:t>
      </w:r>
      <w:r w:rsidR="0000534A" w:rsidRPr="00F46944">
        <w:rPr>
          <w:rFonts w:ascii="Arial" w:hAnsi="Arial" w:cs="Arial"/>
          <w:color w:val="000000"/>
          <w:sz w:val="16"/>
          <w:szCs w:val="16"/>
        </w:rPr>
        <w:t>J01)</w:t>
      </w:r>
      <w:r w:rsidR="0000534A" w:rsidRPr="00F46944">
        <w:rPr>
          <w:rFonts w:ascii="Arial" w:hAnsi="Arial" w:cs="Arial"/>
          <w:color w:val="000000"/>
          <w:sz w:val="16"/>
          <w:szCs w:val="16"/>
        </w:rPr>
        <w:br/>
      </w:r>
      <w:r w:rsidR="00727ABC" w:rsidRPr="00F46944">
        <w:rPr>
          <w:rFonts w:ascii="Arial" w:hAnsi="Arial" w:cs="Arial"/>
          <w:color w:val="000000"/>
          <w:sz w:val="16"/>
          <w:szCs w:val="16"/>
        </w:rPr>
        <w:t>Source: NPS MedicineWise</w:t>
      </w:r>
      <w:r w:rsidR="00727ABC" w:rsidRPr="00F46944">
        <w:rPr>
          <w:rFonts w:ascii="Arial" w:hAnsi="Arial" w:cs="Arial"/>
          <w:color w:val="000000"/>
          <w:sz w:val="16"/>
          <w:szCs w:val="16"/>
        </w:rPr>
        <w:fldChar w:fldCharType="begin"/>
      </w:r>
      <w:r w:rsidR="00DB0DCB">
        <w:rPr>
          <w:rFonts w:ascii="Arial" w:hAnsi="Arial" w:cs="Arial"/>
          <w:color w:val="000000"/>
          <w:sz w:val="16"/>
          <w:szCs w:val="16"/>
        </w:rPr>
        <w:instrText xml:space="preserve"> ADDIN EN.CITE &lt;EndNote&gt;&lt;Cite&gt;&lt;Author&gt;NPS MedicineWise&lt;/Author&gt;&lt;RecNum&gt;6&lt;/RecNum&gt;&lt;DisplayText&gt;&lt;style face="superscript"&gt;6&lt;/style&gt;&lt;/DisplayText&gt;&lt;record&gt;&lt;rec-number&gt;6&lt;/rec-number&gt;&lt;foreign-keys&gt;&lt;key app="EN" db-id="es9dr99ws90stoe5x2rp505nazvswdzppxa5" timestamp="1670810539"&gt;6&lt;/key&gt;&lt;/foreign-keys&gt;&lt;ref-type name="Unpublished Work"&gt;34&lt;/ref-type&gt;&lt;contributors&gt;&lt;authors&gt;&lt;author&gt;NPS MedicineWise,&lt;/author&gt;&lt;/authors&gt;&lt;/contributors&gt;&lt;titles&gt;&lt;title&gt;MedicineInsight data analyses for AURA Community report, May 2022 (unpublished)&lt;/title&gt;&lt;/titles&gt;&lt;dates&gt;&lt;/dates&gt;&lt;publisher&gt;NPS MedicineWise&lt;/publisher&gt;&lt;urls&gt;&lt;/urls&gt;&lt;/record&gt;&lt;/Cite&gt;&lt;/EndNote&gt;</w:instrText>
      </w:r>
      <w:r w:rsidR="00727ABC" w:rsidRPr="00F46944">
        <w:rPr>
          <w:rFonts w:ascii="Arial" w:hAnsi="Arial" w:cs="Arial"/>
          <w:color w:val="000000"/>
          <w:sz w:val="16"/>
          <w:szCs w:val="16"/>
        </w:rPr>
        <w:fldChar w:fldCharType="separate"/>
      </w:r>
      <w:r w:rsidR="001C0A42" w:rsidRPr="001C0A42">
        <w:rPr>
          <w:rFonts w:ascii="Arial" w:hAnsi="Arial" w:cs="Arial"/>
          <w:noProof/>
          <w:color w:val="000000"/>
          <w:sz w:val="16"/>
          <w:szCs w:val="16"/>
          <w:vertAlign w:val="superscript"/>
        </w:rPr>
        <w:t>6</w:t>
      </w:r>
      <w:r w:rsidR="00727ABC" w:rsidRPr="00F46944">
        <w:rPr>
          <w:rFonts w:ascii="Arial" w:hAnsi="Arial" w:cs="Arial"/>
          <w:color w:val="000000"/>
          <w:sz w:val="16"/>
          <w:szCs w:val="16"/>
        </w:rPr>
        <w:fldChar w:fldCharType="end"/>
      </w:r>
      <w:r w:rsidR="00727ABC" w:rsidRPr="00F46944">
        <w:tab/>
      </w:r>
    </w:p>
    <w:p w14:paraId="68AE37BE" w14:textId="56F1A0FF" w:rsidR="00727ABC" w:rsidRPr="00F46944" w:rsidRDefault="00727ABC" w:rsidP="00727ABC">
      <w:pPr>
        <w:rPr>
          <w:sz w:val="16"/>
          <w:szCs w:val="16"/>
        </w:rPr>
        <w:sectPr w:rsidR="00727ABC" w:rsidRPr="00F46944" w:rsidSect="00384807">
          <w:footerReference w:type="first" r:id="rId59"/>
          <w:pgSz w:w="11906" w:h="16838"/>
          <w:pgMar w:top="1440" w:right="1134" w:bottom="1440" w:left="1440" w:header="709" w:footer="709" w:gutter="0"/>
          <w:cols w:space="708"/>
          <w:titlePg/>
          <w:docGrid w:linePitch="360"/>
        </w:sectPr>
      </w:pPr>
    </w:p>
    <w:p w14:paraId="214B7135" w14:textId="0A1A5CF1" w:rsidR="005651ED" w:rsidRPr="00F46944" w:rsidRDefault="00352ACA" w:rsidP="002C6FB0">
      <w:pPr>
        <w:ind w:left="-1417"/>
      </w:pPr>
      <w:r w:rsidRPr="00F46944">
        <w:rPr>
          <w:noProof/>
        </w:rPr>
        <w:lastRenderedPageBreak/>
        <w:drawing>
          <wp:inline distT="0" distB="0" distL="0" distR="0" wp14:anchorId="306C486B" wp14:editId="6B1C376F">
            <wp:extent cx="7560000" cy="2920418"/>
            <wp:effectExtent l="0" t="0" r="3175"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000" cy="2920418"/>
                    </a:xfrm>
                    <a:prstGeom prst="rect">
                      <a:avLst/>
                    </a:prstGeom>
                    <a:noFill/>
                    <a:ln>
                      <a:noFill/>
                    </a:ln>
                  </pic:spPr>
                </pic:pic>
              </a:graphicData>
            </a:graphic>
          </wp:inline>
        </w:drawing>
      </w:r>
    </w:p>
    <w:p w14:paraId="6C68015D" w14:textId="6D093310" w:rsidR="005651ED" w:rsidRPr="00F46944" w:rsidRDefault="005651ED" w:rsidP="00981E53">
      <w:pPr>
        <w:ind w:left="113"/>
      </w:pPr>
    </w:p>
    <w:p w14:paraId="14F8DB56" w14:textId="2A0322B9" w:rsidR="005651ED" w:rsidRPr="00F46944" w:rsidRDefault="005651ED" w:rsidP="00981E53">
      <w:pPr>
        <w:ind w:left="113"/>
      </w:pPr>
    </w:p>
    <w:p w14:paraId="5557DAB0" w14:textId="266D76B8" w:rsidR="005651ED" w:rsidRPr="00F46944" w:rsidRDefault="005651ED" w:rsidP="00981E53">
      <w:pPr>
        <w:ind w:left="113"/>
      </w:pPr>
    </w:p>
    <w:p w14:paraId="50703015" w14:textId="7AF17B27" w:rsidR="005651ED" w:rsidRPr="00F46944" w:rsidRDefault="005651ED" w:rsidP="00981E53">
      <w:pPr>
        <w:ind w:left="113"/>
      </w:pPr>
    </w:p>
    <w:p w14:paraId="1D0E8C18" w14:textId="5221312F" w:rsidR="005651ED" w:rsidRPr="00F46944" w:rsidRDefault="005651ED" w:rsidP="00981E53">
      <w:pPr>
        <w:ind w:left="113"/>
      </w:pPr>
    </w:p>
    <w:p w14:paraId="5E68C851" w14:textId="74D9A902" w:rsidR="005651ED" w:rsidRPr="00F46944" w:rsidRDefault="005651ED" w:rsidP="00981E53">
      <w:pPr>
        <w:ind w:left="113"/>
      </w:pPr>
    </w:p>
    <w:p w14:paraId="5D35ACE8" w14:textId="6F3731CC" w:rsidR="005651ED" w:rsidRPr="00F46944" w:rsidRDefault="005651ED" w:rsidP="00981E53">
      <w:pPr>
        <w:ind w:left="113"/>
      </w:pPr>
    </w:p>
    <w:p w14:paraId="337E4011" w14:textId="225790CA" w:rsidR="005651ED" w:rsidRDefault="005651ED" w:rsidP="00981E53">
      <w:pPr>
        <w:ind w:left="113"/>
      </w:pPr>
    </w:p>
    <w:p w14:paraId="145A4AA9" w14:textId="66EEEE7D" w:rsidR="00A04BC1" w:rsidRDefault="00A04BC1" w:rsidP="00981E53">
      <w:pPr>
        <w:ind w:left="113"/>
      </w:pPr>
    </w:p>
    <w:p w14:paraId="77401AFB" w14:textId="71580CC3" w:rsidR="00A04BC1" w:rsidRDefault="00A04BC1" w:rsidP="00981E53">
      <w:pPr>
        <w:ind w:left="113"/>
      </w:pPr>
    </w:p>
    <w:p w14:paraId="3817C94F" w14:textId="77777777" w:rsidR="00A04BC1" w:rsidRPr="00F46944" w:rsidRDefault="00A04BC1" w:rsidP="00981E53">
      <w:pPr>
        <w:ind w:left="113"/>
      </w:pPr>
    </w:p>
    <w:p w14:paraId="1C6EB606" w14:textId="77777777" w:rsidR="005651ED" w:rsidRPr="00F46944" w:rsidRDefault="005651ED" w:rsidP="00981E53">
      <w:pPr>
        <w:ind w:left="113"/>
      </w:pPr>
    </w:p>
    <w:p w14:paraId="2CBF4A06" w14:textId="05F0A169" w:rsidR="005651ED" w:rsidRPr="00F46944" w:rsidRDefault="00A04BC1" w:rsidP="00981E53">
      <w:pPr>
        <w:ind w:left="113"/>
      </w:pPr>
      <w:r w:rsidRPr="00F46944">
        <w:rPr>
          <w:rFonts w:asciiTheme="majorHAnsi" w:eastAsiaTheme="majorEastAsia" w:hAnsiTheme="majorHAnsi" w:cstheme="majorHAnsi"/>
          <w:noProof/>
        </w:rPr>
        <w:drawing>
          <wp:inline distT="0" distB="0" distL="0" distR="0" wp14:anchorId="7B6CF0F6" wp14:editId="20E850F6">
            <wp:extent cx="3060621" cy="432000"/>
            <wp:effectExtent l="0" t="0" r="6985" b="6350"/>
            <wp:docPr id="16" name="Picture 16"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060621" cy="432000"/>
                    </a:xfrm>
                    <a:prstGeom prst="rect">
                      <a:avLst/>
                    </a:prstGeom>
                  </pic:spPr>
                </pic:pic>
              </a:graphicData>
            </a:graphic>
          </wp:inline>
        </w:drawing>
      </w:r>
    </w:p>
    <w:p w14:paraId="4C638357" w14:textId="77777777" w:rsidR="00981E53" w:rsidRPr="00F46944" w:rsidRDefault="00981E53" w:rsidP="00981E53">
      <w:pPr>
        <w:ind w:left="113"/>
        <w:rPr>
          <w:rFonts w:cstheme="minorHAnsi"/>
          <w:spacing w:val="30"/>
          <w:sz w:val="19"/>
        </w:rPr>
      </w:pPr>
    </w:p>
    <w:p w14:paraId="0AFCA016" w14:textId="1C156898" w:rsidR="00981E53" w:rsidRPr="00F46944" w:rsidRDefault="00D77422" w:rsidP="00A04BC1">
      <w:pPr>
        <w:ind w:left="113"/>
        <w:rPr>
          <w:rFonts w:cstheme="minorHAnsi"/>
        </w:rPr>
      </w:pPr>
      <w:r>
        <w:rPr>
          <w:rFonts w:ascii="ZWAdobeF" w:hAnsi="ZWAdobeF" w:cs="ZWAdobeF"/>
          <w:sz w:val="2"/>
          <w:szCs w:val="2"/>
        </w:rPr>
        <w:t>695B696B</w:t>
      </w:r>
      <w:r w:rsidR="00981E53" w:rsidRPr="00F46944">
        <w:rPr>
          <w:rFonts w:cstheme="minorHAnsi"/>
        </w:rPr>
        <w:t>Level</w:t>
      </w:r>
      <w:r w:rsidR="00981E53" w:rsidRPr="00F46944">
        <w:rPr>
          <w:rFonts w:cstheme="minorHAnsi"/>
          <w:spacing w:val="-10"/>
        </w:rPr>
        <w:t xml:space="preserve"> </w:t>
      </w:r>
      <w:r w:rsidR="00981E53" w:rsidRPr="00F46944">
        <w:rPr>
          <w:rFonts w:cstheme="minorHAnsi"/>
        </w:rPr>
        <w:t>5,</w:t>
      </w:r>
      <w:r w:rsidR="00981E53" w:rsidRPr="00F46944">
        <w:rPr>
          <w:rFonts w:cstheme="minorHAnsi"/>
          <w:spacing w:val="-9"/>
        </w:rPr>
        <w:t xml:space="preserve"> </w:t>
      </w:r>
      <w:r w:rsidR="00981E53" w:rsidRPr="00F46944">
        <w:rPr>
          <w:rFonts w:cstheme="minorHAnsi"/>
        </w:rPr>
        <w:t>255</w:t>
      </w:r>
      <w:r w:rsidR="00981E53" w:rsidRPr="00F46944">
        <w:rPr>
          <w:rFonts w:cstheme="minorHAnsi"/>
          <w:spacing w:val="-9"/>
        </w:rPr>
        <w:t xml:space="preserve"> </w:t>
      </w:r>
      <w:r w:rsidR="00981E53" w:rsidRPr="00F46944">
        <w:rPr>
          <w:rFonts w:cstheme="minorHAnsi"/>
        </w:rPr>
        <w:t>Elizabeth</w:t>
      </w:r>
      <w:r w:rsidR="00981E53" w:rsidRPr="00F46944">
        <w:rPr>
          <w:rFonts w:cstheme="minorHAnsi"/>
          <w:spacing w:val="-10"/>
        </w:rPr>
        <w:t xml:space="preserve"> </w:t>
      </w:r>
      <w:r w:rsidR="00981E53" w:rsidRPr="00F46944">
        <w:rPr>
          <w:rFonts w:cstheme="minorHAnsi"/>
        </w:rPr>
        <w:t>Street,</w:t>
      </w:r>
      <w:r w:rsidR="00981E53" w:rsidRPr="00F46944">
        <w:rPr>
          <w:rFonts w:cstheme="minorHAnsi"/>
          <w:spacing w:val="-9"/>
        </w:rPr>
        <w:t xml:space="preserve"> </w:t>
      </w:r>
      <w:r w:rsidR="00981E53" w:rsidRPr="00F46944">
        <w:rPr>
          <w:rFonts w:cstheme="minorHAnsi"/>
        </w:rPr>
        <w:t>Sydney</w:t>
      </w:r>
      <w:r w:rsidR="00981E53" w:rsidRPr="00F46944">
        <w:rPr>
          <w:rFonts w:cstheme="minorHAnsi"/>
          <w:spacing w:val="-9"/>
        </w:rPr>
        <w:t xml:space="preserve"> </w:t>
      </w:r>
      <w:r w:rsidR="00981E53" w:rsidRPr="00F46944">
        <w:rPr>
          <w:rFonts w:cstheme="minorHAnsi"/>
        </w:rPr>
        <w:t>NSW</w:t>
      </w:r>
      <w:r w:rsidR="00981E53" w:rsidRPr="00F46944">
        <w:rPr>
          <w:rFonts w:cstheme="minorHAnsi"/>
          <w:spacing w:val="-10"/>
        </w:rPr>
        <w:t xml:space="preserve"> </w:t>
      </w:r>
      <w:r w:rsidR="00981E53" w:rsidRPr="00F46944">
        <w:rPr>
          <w:rFonts w:cstheme="minorHAnsi"/>
        </w:rPr>
        <w:t>2000</w:t>
      </w:r>
    </w:p>
    <w:p w14:paraId="18961249" w14:textId="5E543984" w:rsidR="00981E53" w:rsidRPr="00F46944" w:rsidRDefault="00D77422" w:rsidP="00981E53">
      <w:pPr>
        <w:spacing w:before="33"/>
        <w:ind w:left="113"/>
        <w:rPr>
          <w:rFonts w:cstheme="minorHAnsi"/>
        </w:rPr>
      </w:pPr>
      <w:r>
        <w:rPr>
          <w:rFonts w:ascii="ZWAdobeF" w:hAnsi="ZWAdobeF" w:cs="ZWAdobeF"/>
          <w:sz w:val="2"/>
          <w:szCs w:val="2"/>
        </w:rPr>
        <w:t>697B</w:t>
      </w:r>
      <w:r w:rsidR="00981E53" w:rsidRPr="00F46944">
        <w:rPr>
          <w:rFonts w:cstheme="minorHAnsi"/>
        </w:rPr>
        <w:t>GPO Box 5480, Sydney NSW 2001</w:t>
      </w:r>
    </w:p>
    <w:p w14:paraId="50482707" w14:textId="3E22F66B" w:rsidR="00981E53" w:rsidRPr="00F46944" w:rsidRDefault="00D77422" w:rsidP="00981E53">
      <w:pPr>
        <w:spacing w:before="193"/>
        <w:ind w:left="113"/>
        <w:rPr>
          <w:rFonts w:cstheme="minorHAnsi"/>
        </w:rPr>
      </w:pPr>
      <w:r>
        <w:rPr>
          <w:rFonts w:ascii="ZWAdobeF" w:hAnsi="ZWAdobeF" w:cs="ZWAdobeF"/>
          <w:bCs/>
          <w:sz w:val="2"/>
          <w:szCs w:val="2"/>
        </w:rPr>
        <w:t>698B</w:t>
      </w:r>
      <w:r w:rsidR="00981E53" w:rsidRPr="00F46944">
        <w:rPr>
          <w:rFonts w:cstheme="minorHAnsi"/>
          <w:b/>
          <w:bCs/>
        </w:rPr>
        <w:t>PHONE:</w:t>
      </w:r>
      <w:r w:rsidR="00981E53" w:rsidRPr="00F46944">
        <w:rPr>
          <w:rFonts w:cstheme="minorHAnsi"/>
        </w:rPr>
        <w:t xml:space="preserve"> (02) 9126 3600</w:t>
      </w:r>
    </w:p>
    <w:p w14:paraId="65227541" w14:textId="77777777" w:rsidR="00981E53" w:rsidRPr="00F46944" w:rsidRDefault="00981E53" w:rsidP="002564A9">
      <w:pPr>
        <w:pStyle w:val="BodyText"/>
        <w:spacing w:before="10"/>
        <w:ind w:left="142"/>
        <w:rPr>
          <w:rFonts w:asciiTheme="minorHAnsi" w:hAnsiTheme="minorHAnsi" w:cstheme="minorHAnsi"/>
          <w:lang w:val="en-AU"/>
        </w:rPr>
      </w:pPr>
    </w:p>
    <w:p w14:paraId="34CDB61C" w14:textId="629A6518" w:rsidR="00FD260F" w:rsidRPr="00F46944" w:rsidRDefault="00D77422" w:rsidP="00AF7A6D">
      <w:pPr>
        <w:pStyle w:val="BodyText"/>
        <w:spacing w:before="1"/>
        <w:ind w:left="113"/>
        <w:rPr>
          <w:lang w:val="en-AU"/>
        </w:rPr>
      </w:pPr>
      <w:r>
        <w:rPr>
          <w:rFonts w:ascii="ZWAdobeF" w:hAnsi="ZWAdobeF" w:cs="ZWAdobeF"/>
          <w:sz w:val="2"/>
          <w:szCs w:val="2"/>
          <w:lang w:val="en-AU"/>
        </w:rPr>
        <w:t>0B</w:t>
      </w:r>
      <w:r w:rsidR="00981E53" w:rsidRPr="00F46944">
        <w:rPr>
          <w:rFonts w:asciiTheme="minorHAnsi" w:hAnsiTheme="minorHAnsi" w:cstheme="minorHAnsi"/>
          <w:noProof/>
          <w:position w:val="-9"/>
          <w:lang w:val="en-AU" w:eastAsia="en-AU"/>
        </w:rPr>
        <w:drawing>
          <wp:inline distT="0" distB="0" distL="0" distR="0" wp14:anchorId="4C0568E5" wp14:editId="35406E20">
            <wp:extent cx="214759" cy="214756"/>
            <wp:effectExtent l="0" t="0" r="0" b="0"/>
            <wp:docPr id="45" name="image97.png" descr="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97.png" descr="Twitter logo"/>
                    <pic:cNvPicPr/>
                  </pic:nvPicPr>
                  <pic:blipFill>
                    <a:blip r:embed="rId61" cstate="print"/>
                    <a:stretch>
                      <a:fillRect/>
                    </a:stretch>
                  </pic:blipFill>
                  <pic:spPr>
                    <a:xfrm>
                      <a:off x="0" y="0"/>
                      <a:ext cx="214759" cy="214756"/>
                    </a:xfrm>
                    <a:prstGeom prst="rect">
                      <a:avLst/>
                    </a:prstGeom>
                  </pic:spPr>
                </pic:pic>
              </a:graphicData>
            </a:graphic>
          </wp:inline>
        </w:drawing>
      </w:r>
      <w:r w:rsidR="00981E53" w:rsidRPr="00F46944">
        <w:rPr>
          <w:rFonts w:asciiTheme="minorHAnsi" w:hAnsiTheme="minorHAnsi" w:cstheme="minorHAnsi"/>
          <w:spacing w:val="23"/>
          <w:lang w:val="en-AU"/>
        </w:rPr>
        <w:t xml:space="preserve"> </w:t>
      </w:r>
      <w:r w:rsidR="00981E53" w:rsidRPr="00F46944">
        <w:rPr>
          <w:rFonts w:asciiTheme="minorHAnsi" w:hAnsiTheme="minorHAnsi" w:cstheme="minorHAnsi"/>
          <w:lang w:val="en-AU"/>
        </w:rPr>
        <w:t>@ACSQHC</w:t>
      </w:r>
      <w:r w:rsidR="00BF5A88" w:rsidRPr="00F46944">
        <w:rPr>
          <w:lang w:val="en-AU"/>
        </w:rPr>
        <w:fldChar w:fldCharType="begin"/>
      </w:r>
      <w:r w:rsidR="00BF5A88" w:rsidRPr="00F46944">
        <w:rPr>
          <w:lang w:val="en-AU"/>
        </w:rPr>
        <w:instrText xml:space="preserve"> ADDIN </w:instrText>
      </w:r>
      <w:r w:rsidR="00BF5A88" w:rsidRPr="00F46944">
        <w:rPr>
          <w:lang w:val="en-AU"/>
        </w:rPr>
        <w:fldChar w:fldCharType="end"/>
      </w:r>
    </w:p>
    <w:sectPr w:rsidR="00FD260F" w:rsidRPr="00F46944" w:rsidSect="006250B4">
      <w:footerReference w:type="first" r:id="rId62"/>
      <w:pgSz w:w="11906" w:h="16838"/>
      <w:pgMar w:top="1440" w:right="1134"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63422" w14:textId="77777777" w:rsidR="00F824FC" w:rsidRDefault="00F824FC" w:rsidP="000B0274">
      <w:r>
        <w:separator/>
      </w:r>
    </w:p>
  </w:endnote>
  <w:endnote w:type="continuationSeparator" w:id="0">
    <w:p w14:paraId="360DC22C" w14:textId="77777777" w:rsidR="00F824FC" w:rsidRDefault="00F824FC" w:rsidP="000B0274">
      <w:r>
        <w:continuationSeparator/>
      </w:r>
    </w:p>
  </w:endnote>
  <w:endnote w:type="continuationNotice" w:id="1">
    <w:p w14:paraId="28A58ADF" w14:textId="77777777" w:rsidR="00F824FC" w:rsidRDefault="00F824F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Arial Bold">
    <w:panose1 w:val="020B07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dobe Devanagari">
    <w:panose1 w:val="02040503050201020203"/>
    <w:charset w:val="00"/>
    <w:family w:val="roman"/>
    <w:notTrueType/>
    <w:pitch w:val="variable"/>
    <w:sig w:usb0="00008003" w:usb1="00000000" w:usb2="00000000" w:usb3="00000000" w:csb0="00000001"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otham Book">
    <w:altName w:val="Calibri"/>
    <w:panose1 w:val="00000000000000000000"/>
    <w:charset w:val="00"/>
    <w:family w:val="modern"/>
    <w:notTrueType/>
    <w:pitch w:val="variable"/>
    <w:sig w:usb0="A10000FF" w:usb1="4000005B"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656AA" w14:textId="407DC99F" w:rsidR="00BB6E6E" w:rsidRDefault="00BB6E6E" w:rsidP="00EC277F">
    <w:pPr>
      <w:pStyle w:val="Footer"/>
    </w:pPr>
    <w:r w:rsidRPr="009A013D">
      <w:rPr>
        <w:rFonts w:asciiTheme="majorHAnsi" w:hAnsiTheme="majorHAnsi" w:cstheme="majorHAnsi"/>
        <w:color w:val="auto"/>
      </w:rPr>
      <w:t xml:space="preserve">Antimicrobial use </w:t>
    </w:r>
    <w:r>
      <w:rPr>
        <w:rFonts w:asciiTheme="majorHAnsi" w:hAnsiTheme="majorHAnsi" w:cstheme="majorHAnsi"/>
        <w:color w:val="auto"/>
      </w:rPr>
      <w:t xml:space="preserve">and appropriateness </w:t>
    </w:r>
    <w:r w:rsidRPr="009A013D">
      <w:rPr>
        <w:rFonts w:asciiTheme="majorHAnsi" w:hAnsiTheme="majorHAnsi" w:cstheme="majorHAnsi"/>
        <w:color w:val="auto"/>
      </w:rPr>
      <w:t>in the community</w:t>
    </w:r>
    <w:r>
      <w:rPr>
        <w:rFonts w:asciiTheme="majorHAnsi" w:hAnsiTheme="majorHAnsi" w:cstheme="majorHAnsi"/>
        <w:color w:val="auto"/>
      </w:rPr>
      <w:t xml:space="preserve">: </w:t>
    </w:r>
    <w:r w:rsidRPr="009A013D">
      <w:rPr>
        <w:rFonts w:asciiTheme="majorHAnsi" w:hAnsiTheme="majorHAnsi" w:cstheme="majorHAnsi"/>
        <w:color w:val="auto"/>
      </w:rPr>
      <w:t>20</w:t>
    </w:r>
    <w:r>
      <w:rPr>
        <w:rFonts w:asciiTheme="majorHAnsi" w:hAnsiTheme="majorHAnsi" w:cstheme="majorHAnsi"/>
        <w:color w:val="auto"/>
      </w:rPr>
      <w:t>20–20</w:t>
    </w:r>
    <w:r w:rsidRPr="009A013D">
      <w:rPr>
        <w:rFonts w:asciiTheme="majorHAnsi" w:hAnsiTheme="majorHAnsi" w:cstheme="majorHAnsi"/>
        <w:color w:val="auto"/>
      </w:rPr>
      <w:t>21</w:t>
    </w:r>
    <w:r w:rsidR="005A3AF9">
      <w:tab/>
    </w:r>
    <w:r w:rsidRPr="00F57148">
      <w:fldChar w:fldCharType="begin"/>
    </w:r>
    <w:r w:rsidRPr="00F57148">
      <w:instrText xml:space="preserve"> PAGE   \* MERGEFORMAT </w:instrText>
    </w:r>
    <w:r w:rsidRPr="00F57148">
      <w:fldChar w:fldCharType="separate"/>
    </w:r>
    <w:r>
      <w:t>67</w:t>
    </w:r>
    <w:r w:rsidRPr="00F57148">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5C716" w14:textId="422B4502" w:rsidR="005A3AF9" w:rsidRDefault="005A3AF9" w:rsidP="00EC277F">
    <w:pPr>
      <w:pStyle w:val="Footer"/>
    </w:pPr>
    <w:r w:rsidRPr="009A013D">
      <w:rPr>
        <w:rFonts w:asciiTheme="majorHAnsi" w:hAnsiTheme="majorHAnsi" w:cstheme="majorHAnsi"/>
        <w:color w:val="auto"/>
      </w:rPr>
      <w:t xml:space="preserve">Antimicrobial use </w:t>
    </w:r>
    <w:r>
      <w:rPr>
        <w:rFonts w:asciiTheme="majorHAnsi" w:hAnsiTheme="majorHAnsi" w:cstheme="majorHAnsi"/>
        <w:color w:val="auto"/>
      </w:rPr>
      <w:t xml:space="preserve">and appropriateness </w:t>
    </w:r>
    <w:r w:rsidRPr="009A013D">
      <w:rPr>
        <w:rFonts w:asciiTheme="majorHAnsi" w:hAnsiTheme="majorHAnsi" w:cstheme="majorHAnsi"/>
        <w:color w:val="auto"/>
      </w:rPr>
      <w:t>in the community</w:t>
    </w:r>
    <w:r>
      <w:rPr>
        <w:rFonts w:asciiTheme="majorHAnsi" w:hAnsiTheme="majorHAnsi" w:cstheme="majorHAnsi"/>
        <w:color w:val="auto"/>
      </w:rPr>
      <w:t xml:space="preserve">: </w:t>
    </w:r>
    <w:r w:rsidRPr="009A013D">
      <w:rPr>
        <w:rFonts w:asciiTheme="majorHAnsi" w:hAnsiTheme="majorHAnsi" w:cstheme="majorHAnsi"/>
        <w:color w:val="auto"/>
      </w:rPr>
      <w:t>20</w:t>
    </w:r>
    <w:r>
      <w:rPr>
        <w:rFonts w:asciiTheme="majorHAnsi" w:hAnsiTheme="majorHAnsi" w:cstheme="majorHAnsi"/>
        <w:color w:val="auto"/>
      </w:rPr>
      <w:t>20–20</w:t>
    </w:r>
    <w:r w:rsidRPr="009A013D">
      <w:rPr>
        <w:rFonts w:asciiTheme="majorHAnsi" w:hAnsiTheme="majorHAnsi" w:cstheme="majorHAnsi"/>
        <w:color w:val="auto"/>
      </w:rPr>
      <w:t>21</w:t>
    </w:r>
    <w:r>
      <w:rPr>
        <w:rFonts w:asciiTheme="majorHAnsi" w:hAnsiTheme="majorHAnsi" w:cstheme="majorHAnsi"/>
        <w:color w:val="auto"/>
      </w:rPr>
      <w:tab/>
    </w:r>
    <w:r>
      <w:rPr>
        <w:rFonts w:asciiTheme="majorHAnsi" w:hAnsiTheme="majorHAnsi" w:cstheme="majorHAnsi"/>
        <w:color w:val="auto"/>
      </w:rPr>
      <w:tab/>
    </w:r>
    <w:r>
      <w:rPr>
        <w:rFonts w:asciiTheme="majorHAnsi" w:hAnsiTheme="majorHAnsi" w:cstheme="majorHAnsi"/>
        <w:color w:val="auto"/>
      </w:rPr>
      <w:tab/>
    </w:r>
    <w:r>
      <w:rPr>
        <w:rFonts w:asciiTheme="majorHAnsi" w:hAnsiTheme="majorHAnsi" w:cstheme="majorHAnsi"/>
        <w:color w:val="auto"/>
      </w:rPr>
      <w:tab/>
    </w:r>
    <w:r>
      <w:rPr>
        <w:rFonts w:asciiTheme="majorHAnsi" w:hAnsiTheme="majorHAnsi" w:cstheme="majorHAnsi"/>
        <w:color w:val="auto"/>
      </w:rPr>
      <w:tab/>
    </w:r>
    <w:r>
      <w:tab/>
    </w:r>
    <w:r>
      <w:tab/>
    </w:r>
    <w:r>
      <w:tab/>
    </w:r>
    <w:r w:rsidRPr="00F57148">
      <w:fldChar w:fldCharType="begin"/>
    </w:r>
    <w:r w:rsidRPr="00F57148">
      <w:instrText xml:space="preserve"> PAGE   \* MERGEFORMAT </w:instrText>
    </w:r>
    <w:r w:rsidRPr="00F57148">
      <w:fldChar w:fldCharType="separate"/>
    </w:r>
    <w:r>
      <w:t>67</w:t>
    </w:r>
    <w:r w:rsidRPr="00F57148">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52FC3" w14:textId="77777777" w:rsidR="00384807" w:rsidRDefault="00384807" w:rsidP="005A3AF9">
    <w:pPr>
      <w:pStyle w:val="Footer"/>
      <w:jc w:val="center"/>
    </w:pPr>
    <w:r w:rsidRPr="009A013D">
      <w:rPr>
        <w:rFonts w:asciiTheme="majorHAnsi" w:hAnsiTheme="majorHAnsi" w:cstheme="majorHAnsi"/>
        <w:color w:val="auto"/>
      </w:rPr>
      <w:t xml:space="preserve">Antimicrobial use </w:t>
    </w:r>
    <w:r>
      <w:rPr>
        <w:rFonts w:asciiTheme="majorHAnsi" w:hAnsiTheme="majorHAnsi" w:cstheme="majorHAnsi"/>
        <w:color w:val="auto"/>
      </w:rPr>
      <w:t xml:space="preserve">and appropriateness </w:t>
    </w:r>
    <w:r w:rsidRPr="009A013D">
      <w:rPr>
        <w:rFonts w:asciiTheme="majorHAnsi" w:hAnsiTheme="majorHAnsi" w:cstheme="majorHAnsi"/>
        <w:color w:val="auto"/>
      </w:rPr>
      <w:t>in the community</w:t>
    </w:r>
    <w:r>
      <w:rPr>
        <w:rFonts w:asciiTheme="majorHAnsi" w:hAnsiTheme="majorHAnsi" w:cstheme="majorHAnsi"/>
        <w:color w:val="auto"/>
      </w:rPr>
      <w:t xml:space="preserve">: </w:t>
    </w:r>
    <w:r w:rsidRPr="009A013D">
      <w:rPr>
        <w:rFonts w:asciiTheme="majorHAnsi" w:hAnsiTheme="majorHAnsi" w:cstheme="majorHAnsi"/>
        <w:color w:val="auto"/>
      </w:rPr>
      <w:t>20</w:t>
    </w:r>
    <w:r>
      <w:rPr>
        <w:rFonts w:asciiTheme="majorHAnsi" w:hAnsiTheme="majorHAnsi" w:cstheme="majorHAnsi"/>
        <w:color w:val="auto"/>
      </w:rPr>
      <w:t>20–20</w:t>
    </w:r>
    <w:r w:rsidRPr="009A013D">
      <w:rPr>
        <w:rFonts w:asciiTheme="majorHAnsi" w:hAnsiTheme="majorHAnsi" w:cstheme="majorHAnsi"/>
        <w:color w:val="auto"/>
      </w:rPr>
      <w:t>21</w:t>
    </w:r>
    <w:r>
      <w:tab/>
    </w:r>
    <w:r w:rsidRPr="00F57148">
      <w:fldChar w:fldCharType="begin"/>
    </w:r>
    <w:r w:rsidRPr="00F57148">
      <w:instrText xml:space="preserve"> PAGE   \* MERGEFORMAT </w:instrText>
    </w:r>
    <w:r w:rsidRPr="00F57148">
      <w:fldChar w:fldCharType="separate"/>
    </w:r>
    <w:r>
      <w:t>65</w:t>
    </w:r>
    <w:r w:rsidRPr="00F57148">
      <w:rPr>
        <w:noProof/>
      </w:rPr>
      <w:fldChar w:fldCharType="end"/>
    </w:r>
  </w:p>
  <w:p w14:paraId="44762741" w14:textId="77777777" w:rsidR="00384807" w:rsidRDefault="0038480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3D98F" w14:textId="77777777" w:rsidR="00384807" w:rsidRDefault="003848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C2A05" w14:textId="77777777" w:rsidR="00F824FC" w:rsidRDefault="00F824FC" w:rsidP="000B0274">
      <w:r>
        <w:separator/>
      </w:r>
    </w:p>
  </w:footnote>
  <w:footnote w:type="continuationSeparator" w:id="0">
    <w:p w14:paraId="61B48015" w14:textId="77777777" w:rsidR="00F824FC" w:rsidRDefault="00F824FC" w:rsidP="000B0274">
      <w:r>
        <w:continuationSeparator/>
      </w:r>
    </w:p>
  </w:footnote>
  <w:footnote w:type="continuationNotice" w:id="1">
    <w:p w14:paraId="4B6534B8" w14:textId="77777777" w:rsidR="00F824FC" w:rsidRDefault="00F824FC">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AAF2DA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4" type="#_x0000_t75" style="width:9pt;height:8.25pt;visibility:visible" o:bullet="t">
        <v:imagedata r:id="rId1" o:title=""/>
      </v:shape>
    </w:pict>
  </w:numPicBullet>
  <w:numPicBullet w:numPicBulletId="1">
    <w:pict>
      <v:shape id="_x0000_i1345" type="#_x0000_t75" style="width:9pt;height:8.25pt;visibility:visible" o:bullet="t">
        <v:imagedata r:id="rId2" o:title=""/>
      </v:shape>
    </w:pict>
  </w:numPicBullet>
  <w:abstractNum w:abstractNumId="0" w15:restartNumberingAfterBreak="0">
    <w:nsid w:val="FFFFFF7C"/>
    <w:multiLevelType w:val="singleLevel"/>
    <w:tmpl w:val="FF282B4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1900F2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6FC40E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1F8CC4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238E24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1C7BF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BD0BFD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AED19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E5038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04AC7D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3F5BD6"/>
    <w:multiLevelType w:val="hybridMultilevel"/>
    <w:tmpl w:val="F18AF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408615B"/>
    <w:multiLevelType w:val="hybridMultilevel"/>
    <w:tmpl w:val="4CF23B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9BF1125"/>
    <w:multiLevelType w:val="hybridMultilevel"/>
    <w:tmpl w:val="D8802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E2C5E0C"/>
    <w:multiLevelType w:val="hybridMultilevel"/>
    <w:tmpl w:val="93361696"/>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E9C32EB"/>
    <w:multiLevelType w:val="multilevel"/>
    <w:tmpl w:val="D1DCA2EC"/>
    <w:lvl w:ilvl="0">
      <w:start w:val="1"/>
      <w:numFmt w:val="bullet"/>
      <w:pStyle w:val="Bulletlis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7" w15:restartNumberingAfterBreak="0">
    <w:nsid w:val="13497B92"/>
    <w:multiLevelType w:val="hybridMultilevel"/>
    <w:tmpl w:val="B680CF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EE2B38"/>
    <w:multiLevelType w:val="hybridMultilevel"/>
    <w:tmpl w:val="738E9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C714585"/>
    <w:multiLevelType w:val="hybridMultilevel"/>
    <w:tmpl w:val="C3DA0A86"/>
    <w:lvl w:ilvl="0" w:tplc="F36611F8">
      <w:numFmt w:val="bullet"/>
      <w:pStyle w:val="BulletLast"/>
      <w:lvlText w:val="•"/>
      <w:lvlJc w:val="left"/>
      <w:pPr>
        <w:ind w:left="720" w:hanging="360"/>
      </w:pPr>
      <w:rPr>
        <w:rFonts w:ascii="Arial" w:eastAsia="Times New Roman" w:hAnsi="Arial" w:cs="Arial" w:hint="default"/>
        <w:color w:val="00B0F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0B44DBD"/>
    <w:multiLevelType w:val="hybridMultilevel"/>
    <w:tmpl w:val="39EED194"/>
    <w:lvl w:ilvl="0" w:tplc="0C09000F">
      <w:start w:val="1"/>
      <w:numFmt w:val="decimal"/>
      <w:lvlText w:val="%1."/>
      <w:lvlJc w:val="left"/>
      <w:pPr>
        <w:ind w:left="720" w:hanging="360"/>
      </w:pPr>
      <w:rPr>
        <w:rFonts w:hint="default"/>
      </w:rPr>
    </w:lvl>
    <w:lvl w:ilvl="1" w:tplc="0C090019">
      <w:start w:val="1"/>
      <w:numFmt w:val="lowerLetter"/>
      <w:lvlText w:val="%2."/>
      <w:lvlJc w:val="left"/>
      <w:pPr>
        <w:ind w:left="786"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3EB2DF4"/>
    <w:multiLevelType w:val="hybridMultilevel"/>
    <w:tmpl w:val="2DAC9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4" w15:restartNumberingAfterBreak="0">
    <w:nsid w:val="246604EA"/>
    <w:multiLevelType w:val="hybridMultilevel"/>
    <w:tmpl w:val="7AE88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AB47323"/>
    <w:multiLevelType w:val="hybridMultilevel"/>
    <w:tmpl w:val="9A5AF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E4A034F"/>
    <w:multiLevelType w:val="hybridMultilevel"/>
    <w:tmpl w:val="2ACA02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7EB0009"/>
    <w:multiLevelType w:val="hybridMultilevel"/>
    <w:tmpl w:val="16B205A0"/>
    <w:lvl w:ilvl="0" w:tplc="0C09000F">
      <w:start w:val="1"/>
      <w:numFmt w:val="decimal"/>
      <w:lvlText w:val="%1."/>
      <w:lvlJc w:val="left"/>
      <w:pPr>
        <w:ind w:left="774" w:hanging="360"/>
      </w:pPr>
      <w:rPr>
        <w:rFonts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8" w15:restartNumberingAfterBreak="0">
    <w:nsid w:val="462F4A0B"/>
    <w:multiLevelType w:val="hybridMultilevel"/>
    <w:tmpl w:val="8230ED46"/>
    <w:lvl w:ilvl="0" w:tplc="37762F46">
      <w:start w:val="1"/>
      <w:numFmt w:val="bullet"/>
      <w:pStyle w:val="TableBullet"/>
      <w:lvlText w:val="•"/>
      <w:lvlJc w:val="left"/>
      <w:pPr>
        <w:tabs>
          <w:tab w:val="num" w:pos="360"/>
        </w:tabs>
        <w:ind w:left="360" w:hanging="360"/>
      </w:pPr>
      <w:rPr>
        <w:rFonts w:ascii="Verdana" w:hAnsi="Verdana"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6A452C3"/>
    <w:multiLevelType w:val="multilevel"/>
    <w:tmpl w:val="3FEA7ED4"/>
    <w:lvl w:ilvl="0">
      <w:start w:val="1"/>
      <w:numFmt w:val="decimal"/>
      <w:pStyle w:val="Numberedlis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4C4422E0"/>
    <w:multiLevelType w:val="hybridMultilevel"/>
    <w:tmpl w:val="7D885CAA"/>
    <w:lvl w:ilvl="0" w:tplc="0C09000F">
      <w:start w:val="1"/>
      <w:numFmt w:val="decimal"/>
      <w:lvlText w:val="%1."/>
      <w:lvlJc w:val="left"/>
      <w:pPr>
        <w:ind w:left="720" w:hanging="360"/>
      </w:pPr>
    </w:lvl>
    <w:lvl w:ilvl="1" w:tplc="A79A36E6">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69A0DE1"/>
    <w:multiLevelType w:val="hybridMultilevel"/>
    <w:tmpl w:val="43405A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8587AEE"/>
    <w:multiLevelType w:val="hybridMultilevel"/>
    <w:tmpl w:val="915AB48E"/>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C6264B4"/>
    <w:multiLevelType w:val="hybridMultilevel"/>
    <w:tmpl w:val="04C2F852"/>
    <w:lvl w:ilvl="0" w:tplc="2E5E2236">
      <w:start w:val="1"/>
      <w:numFmt w:val="bullet"/>
      <w:pStyle w:val="TableDash"/>
      <w:lvlText w:val="–"/>
      <w:lvlJc w:val="left"/>
      <w:pPr>
        <w:tabs>
          <w:tab w:val="num" w:pos="216"/>
        </w:tabs>
        <w:ind w:left="432" w:hanging="216"/>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D722EF8"/>
    <w:multiLevelType w:val="hybridMultilevel"/>
    <w:tmpl w:val="67A20DE4"/>
    <w:lvl w:ilvl="0" w:tplc="C2B4E652">
      <w:start w:val="19"/>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0574596"/>
    <w:multiLevelType w:val="hybridMultilevel"/>
    <w:tmpl w:val="7EC0E8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954163C"/>
    <w:multiLevelType w:val="hybridMultilevel"/>
    <w:tmpl w:val="697C21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C89247A"/>
    <w:multiLevelType w:val="hybridMultilevel"/>
    <w:tmpl w:val="0BC854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D7620C1"/>
    <w:multiLevelType w:val="hybridMultilevel"/>
    <w:tmpl w:val="8438EFD8"/>
    <w:lvl w:ilvl="0" w:tplc="0C090019">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E6D10F9"/>
    <w:multiLevelType w:val="hybridMultilevel"/>
    <w:tmpl w:val="93489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F03228A"/>
    <w:multiLevelType w:val="hybridMultilevel"/>
    <w:tmpl w:val="7EEC9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0136645"/>
    <w:multiLevelType w:val="hybridMultilevel"/>
    <w:tmpl w:val="76D66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48266C6"/>
    <w:multiLevelType w:val="hybridMultilevel"/>
    <w:tmpl w:val="08F4C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6D46535"/>
    <w:multiLevelType w:val="hybridMultilevel"/>
    <w:tmpl w:val="EFE6D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81175F5"/>
    <w:multiLevelType w:val="hybridMultilevel"/>
    <w:tmpl w:val="02A838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8E81FDC"/>
    <w:multiLevelType w:val="hybridMultilevel"/>
    <w:tmpl w:val="D5C698E8"/>
    <w:lvl w:ilvl="0" w:tplc="A79EC4F8">
      <w:start w:val="1"/>
      <w:numFmt w:val="bullet"/>
      <w:pStyle w:val="BulletBeforeDash"/>
      <w:lvlText w:val="•"/>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11"/>
  </w:num>
  <w:num w:numId="3">
    <w:abstractNumId w:val="14"/>
  </w:num>
  <w:num w:numId="4">
    <w:abstractNumId w:val="23"/>
  </w:num>
  <w:num w:numId="5">
    <w:abstractNumId w:val="30"/>
  </w:num>
  <w:num w:numId="6">
    <w:abstractNumId w:val="29"/>
  </w:num>
  <w:num w:numId="7">
    <w:abstractNumId w:val="16"/>
  </w:num>
  <w:num w:numId="8">
    <w:abstractNumId w:val="18"/>
  </w:num>
  <w:num w:numId="9">
    <w:abstractNumId w:val="46"/>
  </w:num>
  <w:num w:numId="10">
    <w:abstractNumId w:val="28"/>
  </w:num>
  <w:num w:numId="11">
    <w:abstractNumId w:val="34"/>
  </w:num>
  <w:num w:numId="12">
    <w:abstractNumId w:val="21"/>
  </w:num>
  <w:num w:numId="13">
    <w:abstractNumId w:val="15"/>
  </w:num>
  <w:num w:numId="14">
    <w:abstractNumId w:val="33"/>
  </w:num>
  <w:num w:numId="15">
    <w:abstractNumId w:val="39"/>
  </w:num>
  <w:num w:numId="16">
    <w:abstractNumId w:val="45"/>
  </w:num>
  <w:num w:numId="17">
    <w:abstractNumId w:val="22"/>
  </w:num>
  <w:num w:numId="18">
    <w:abstractNumId w:val="25"/>
  </w:num>
  <w:num w:numId="19">
    <w:abstractNumId w:val="26"/>
  </w:num>
  <w:num w:numId="20">
    <w:abstractNumId w:val="19"/>
  </w:num>
  <w:num w:numId="21">
    <w:abstractNumId w:val="31"/>
  </w:num>
  <w:num w:numId="22">
    <w:abstractNumId w:val="36"/>
  </w:num>
  <w:num w:numId="23">
    <w:abstractNumId w:val="40"/>
  </w:num>
  <w:num w:numId="24">
    <w:abstractNumId w:val="37"/>
  </w:num>
  <w:num w:numId="25">
    <w:abstractNumId w:val="42"/>
  </w:num>
  <w:num w:numId="26">
    <w:abstractNumId w:val="12"/>
  </w:num>
  <w:num w:numId="27">
    <w:abstractNumId w:val="43"/>
  </w:num>
  <w:num w:numId="28">
    <w:abstractNumId w:val="17"/>
  </w:num>
  <w:num w:numId="29">
    <w:abstractNumId w:val="32"/>
  </w:num>
  <w:num w:numId="30">
    <w:abstractNumId w:val="38"/>
  </w:num>
  <w:num w:numId="31">
    <w:abstractNumId w:val="44"/>
  </w:num>
  <w:num w:numId="32">
    <w:abstractNumId w:val="27"/>
  </w:num>
  <w:num w:numId="33">
    <w:abstractNumId w:val="24"/>
  </w:num>
  <w:num w:numId="34">
    <w:abstractNumId w:val="10"/>
  </w:num>
  <w:num w:numId="35">
    <w:abstractNumId w:val="41"/>
  </w:num>
  <w:num w:numId="36">
    <w:abstractNumId w:val="13"/>
  </w:num>
  <w:num w:numId="37">
    <w:abstractNumId w:val="35"/>
  </w:num>
  <w:num w:numId="38">
    <w:abstractNumId w:val="9"/>
  </w:num>
  <w:num w:numId="39">
    <w:abstractNumId w:val="7"/>
  </w:num>
  <w:num w:numId="40">
    <w:abstractNumId w:val="6"/>
  </w:num>
  <w:num w:numId="41">
    <w:abstractNumId w:val="5"/>
  </w:num>
  <w:num w:numId="42">
    <w:abstractNumId w:val="4"/>
  </w:num>
  <w:num w:numId="43">
    <w:abstractNumId w:val="8"/>
  </w:num>
  <w:num w:numId="44">
    <w:abstractNumId w:val="3"/>
  </w:num>
  <w:num w:numId="45">
    <w:abstractNumId w:val="2"/>
  </w:num>
  <w:num w:numId="46">
    <w:abstractNumId w:val="1"/>
  </w:num>
  <w:num w:numId="47">
    <w:abstractNumId w:val="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s9dr99ws90stoe5x2rp505nazvswdzppxa5&quot;&gt;Community Report 2021&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record-ids&gt;&lt;/item&gt;&lt;/Libraries&gt;"/>
  </w:docVars>
  <w:rsids>
    <w:rsidRoot w:val="00C31839"/>
    <w:rsid w:val="00000115"/>
    <w:rsid w:val="00001422"/>
    <w:rsid w:val="0000162D"/>
    <w:rsid w:val="0000202A"/>
    <w:rsid w:val="00003664"/>
    <w:rsid w:val="00003743"/>
    <w:rsid w:val="00003B89"/>
    <w:rsid w:val="0000534A"/>
    <w:rsid w:val="000068B5"/>
    <w:rsid w:val="00006944"/>
    <w:rsid w:val="000079F1"/>
    <w:rsid w:val="00010527"/>
    <w:rsid w:val="00010F5E"/>
    <w:rsid w:val="00011DB2"/>
    <w:rsid w:val="00012FB0"/>
    <w:rsid w:val="00013FE2"/>
    <w:rsid w:val="00014F49"/>
    <w:rsid w:val="000160FD"/>
    <w:rsid w:val="00016250"/>
    <w:rsid w:val="000203BF"/>
    <w:rsid w:val="000209D0"/>
    <w:rsid w:val="00020DBD"/>
    <w:rsid w:val="00020E43"/>
    <w:rsid w:val="00022617"/>
    <w:rsid w:val="00023E64"/>
    <w:rsid w:val="00023E78"/>
    <w:rsid w:val="0002441B"/>
    <w:rsid w:val="00025A5C"/>
    <w:rsid w:val="00026539"/>
    <w:rsid w:val="00026BB2"/>
    <w:rsid w:val="00026FFE"/>
    <w:rsid w:val="0002750D"/>
    <w:rsid w:val="00031416"/>
    <w:rsid w:val="00032228"/>
    <w:rsid w:val="0003377C"/>
    <w:rsid w:val="000338D0"/>
    <w:rsid w:val="000338D3"/>
    <w:rsid w:val="00033C5B"/>
    <w:rsid w:val="000345D0"/>
    <w:rsid w:val="000349EE"/>
    <w:rsid w:val="00034AD5"/>
    <w:rsid w:val="0003504A"/>
    <w:rsid w:val="000354A0"/>
    <w:rsid w:val="000360F8"/>
    <w:rsid w:val="0003613B"/>
    <w:rsid w:val="000370E1"/>
    <w:rsid w:val="000377EB"/>
    <w:rsid w:val="000379FF"/>
    <w:rsid w:val="00040520"/>
    <w:rsid w:val="0004057F"/>
    <w:rsid w:val="000406F8"/>
    <w:rsid w:val="00040772"/>
    <w:rsid w:val="000409DE"/>
    <w:rsid w:val="00040E4B"/>
    <w:rsid w:val="000410CE"/>
    <w:rsid w:val="00041D6D"/>
    <w:rsid w:val="0004274D"/>
    <w:rsid w:val="0004280B"/>
    <w:rsid w:val="00043671"/>
    <w:rsid w:val="00044DDE"/>
    <w:rsid w:val="000452BD"/>
    <w:rsid w:val="00045FB4"/>
    <w:rsid w:val="0004647C"/>
    <w:rsid w:val="00046902"/>
    <w:rsid w:val="00047DBE"/>
    <w:rsid w:val="0005096A"/>
    <w:rsid w:val="00051C8E"/>
    <w:rsid w:val="00051FCB"/>
    <w:rsid w:val="000527E1"/>
    <w:rsid w:val="00052D19"/>
    <w:rsid w:val="0005358D"/>
    <w:rsid w:val="0005536A"/>
    <w:rsid w:val="000557AF"/>
    <w:rsid w:val="00055C18"/>
    <w:rsid w:val="0006039D"/>
    <w:rsid w:val="00061E7B"/>
    <w:rsid w:val="000627FE"/>
    <w:rsid w:val="00063971"/>
    <w:rsid w:val="00064A95"/>
    <w:rsid w:val="00065CFC"/>
    <w:rsid w:val="00065D4A"/>
    <w:rsid w:val="0006742A"/>
    <w:rsid w:val="00067456"/>
    <w:rsid w:val="00067618"/>
    <w:rsid w:val="00067D2D"/>
    <w:rsid w:val="00070C88"/>
    <w:rsid w:val="00070FA3"/>
    <w:rsid w:val="000716E4"/>
    <w:rsid w:val="00071AC9"/>
    <w:rsid w:val="0007204A"/>
    <w:rsid w:val="00073324"/>
    <w:rsid w:val="00073576"/>
    <w:rsid w:val="00074D3B"/>
    <w:rsid w:val="000756ED"/>
    <w:rsid w:val="000759D6"/>
    <w:rsid w:val="00075A1A"/>
    <w:rsid w:val="00075D08"/>
    <w:rsid w:val="0007631C"/>
    <w:rsid w:val="00077106"/>
    <w:rsid w:val="00080C33"/>
    <w:rsid w:val="00080D56"/>
    <w:rsid w:val="000817F1"/>
    <w:rsid w:val="000825F4"/>
    <w:rsid w:val="0008271A"/>
    <w:rsid w:val="000835CF"/>
    <w:rsid w:val="00083C34"/>
    <w:rsid w:val="00083C88"/>
    <w:rsid w:val="00083E61"/>
    <w:rsid w:val="000844CE"/>
    <w:rsid w:val="00084532"/>
    <w:rsid w:val="000847A9"/>
    <w:rsid w:val="000851DF"/>
    <w:rsid w:val="000851F7"/>
    <w:rsid w:val="00085202"/>
    <w:rsid w:val="00085EA3"/>
    <w:rsid w:val="000861DE"/>
    <w:rsid w:val="000870DC"/>
    <w:rsid w:val="000871C2"/>
    <w:rsid w:val="00087595"/>
    <w:rsid w:val="00087709"/>
    <w:rsid w:val="00090236"/>
    <w:rsid w:val="0009198A"/>
    <w:rsid w:val="0009198F"/>
    <w:rsid w:val="0009271C"/>
    <w:rsid w:val="00092FC3"/>
    <w:rsid w:val="000935E5"/>
    <w:rsid w:val="00094494"/>
    <w:rsid w:val="0009495B"/>
    <w:rsid w:val="00096369"/>
    <w:rsid w:val="00096E45"/>
    <w:rsid w:val="00097345"/>
    <w:rsid w:val="00097CAA"/>
    <w:rsid w:val="000A113F"/>
    <w:rsid w:val="000A192D"/>
    <w:rsid w:val="000A1AA9"/>
    <w:rsid w:val="000A22E9"/>
    <w:rsid w:val="000A261E"/>
    <w:rsid w:val="000A27A4"/>
    <w:rsid w:val="000A327D"/>
    <w:rsid w:val="000A3305"/>
    <w:rsid w:val="000A360C"/>
    <w:rsid w:val="000A3F0D"/>
    <w:rsid w:val="000A3F6B"/>
    <w:rsid w:val="000A601E"/>
    <w:rsid w:val="000A6327"/>
    <w:rsid w:val="000A66D9"/>
    <w:rsid w:val="000A6EC4"/>
    <w:rsid w:val="000A74E8"/>
    <w:rsid w:val="000B0274"/>
    <w:rsid w:val="000B0B5C"/>
    <w:rsid w:val="000B0DC5"/>
    <w:rsid w:val="000B158E"/>
    <w:rsid w:val="000B1ECF"/>
    <w:rsid w:val="000B2932"/>
    <w:rsid w:val="000B29BF"/>
    <w:rsid w:val="000B4F50"/>
    <w:rsid w:val="000B61A6"/>
    <w:rsid w:val="000B648B"/>
    <w:rsid w:val="000B64EF"/>
    <w:rsid w:val="000C1023"/>
    <w:rsid w:val="000C1DD4"/>
    <w:rsid w:val="000C2B09"/>
    <w:rsid w:val="000C2F44"/>
    <w:rsid w:val="000C46EE"/>
    <w:rsid w:val="000C4AA4"/>
    <w:rsid w:val="000C5224"/>
    <w:rsid w:val="000C6009"/>
    <w:rsid w:val="000C7143"/>
    <w:rsid w:val="000C7610"/>
    <w:rsid w:val="000D00FE"/>
    <w:rsid w:val="000D017D"/>
    <w:rsid w:val="000D12F2"/>
    <w:rsid w:val="000D2087"/>
    <w:rsid w:val="000D3EF6"/>
    <w:rsid w:val="000D3FD7"/>
    <w:rsid w:val="000D4188"/>
    <w:rsid w:val="000D433C"/>
    <w:rsid w:val="000D61E9"/>
    <w:rsid w:val="000D678C"/>
    <w:rsid w:val="000D728D"/>
    <w:rsid w:val="000D72ED"/>
    <w:rsid w:val="000D7480"/>
    <w:rsid w:val="000E0212"/>
    <w:rsid w:val="000E02AF"/>
    <w:rsid w:val="000E044C"/>
    <w:rsid w:val="000E0DEB"/>
    <w:rsid w:val="000E2F2E"/>
    <w:rsid w:val="000E3064"/>
    <w:rsid w:val="000E39EB"/>
    <w:rsid w:val="000E3B22"/>
    <w:rsid w:val="000E3E53"/>
    <w:rsid w:val="000E3EF9"/>
    <w:rsid w:val="000E44BD"/>
    <w:rsid w:val="000E4A4C"/>
    <w:rsid w:val="000E5A7E"/>
    <w:rsid w:val="000E5ADB"/>
    <w:rsid w:val="000E66B6"/>
    <w:rsid w:val="000E6C71"/>
    <w:rsid w:val="000E7932"/>
    <w:rsid w:val="000E793A"/>
    <w:rsid w:val="000E7C09"/>
    <w:rsid w:val="000F1C5D"/>
    <w:rsid w:val="000F264E"/>
    <w:rsid w:val="000F42D1"/>
    <w:rsid w:val="000F475A"/>
    <w:rsid w:val="000F5564"/>
    <w:rsid w:val="000F56C9"/>
    <w:rsid w:val="000F62BE"/>
    <w:rsid w:val="000F6CA1"/>
    <w:rsid w:val="00100FA4"/>
    <w:rsid w:val="00101599"/>
    <w:rsid w:val="00101A5D"/>
    <w:rsid w:val="00103833"/>
    <w:rsid w:val="0010665C"/>
    <w:rsid w:val="001066EF"/>
    <w:rsid w:val="0010697C"/>
    <w:rsid w:val="00106BC3"/>
    <w:rsid w:val="0010769E"/>
    <w:rsid w:val="0010778A"/>
    <w:rsid w:val="00107C9D"/>
    <w:rsid w:val="0011068D"/>
    <w:rsid w:val="00110A13"/>
    <w:rsid w:val="001116C6"/>
    <w:rsid w:val="00112691"/>
    <w:rsid w:val="00112D38"/>
    <w:rsid w:val="0011388D"/>
    <w:rsid w:val="00114092"/>
    <w:rsid w:val="0011639D"/>
    <w:rsid w:val="001163E7"/>
    <w:rsid w:val="00116E13"/>
    <w:rsid w:val="00117173"/>
    <w:rsid w:val="00120D24"/>
    <w:rsid w:val="00121C9A"/>
    <w:rsid w:val="0012249A"/>
    <w:rsid w:val="001225E7"/>
    <w:rsid w:val="001238B7"/>
    <w:rsid w:val="00125011"/>
    <w:rsid w:val="00125F75"/>
    <w:rsid w:val="00126656"/>
    <w:rsid w:val="00127ECB"/>
    <w:rsid w:val="00131A8E"/>
    <w:rsid w:val="00131C40"/>
    <w:rsid w:val="00131DBA"/>
    <w:rsid w:val="001327E4"/>
    <w:rsid w:val="001327F8"/>
    <w:rsid w:val="001353F1"/>
    <w:rsid w:val="0013555B"/>
    <w:rsid w:val="001357DF"/>
    <w:rsid w:val="00136187"/>
    <w:rsid w:val="0014044D"/>
    <w:rsid w:val="00140983"/>
    <w:rsid w:val="00140C30"/>
    <w:rsid w:val="00140D26"/>
    <w:rsid w:val="00141FBF"/>
    <w:rsid w:val="0014349D"/>
    <w:rsid w:val="00144641"/>
    <w:rsid w:val="001446A8"/>
    <w:rsid w:val="00145424"/>
    <w:rsid w:val="001454EC"/>
    <w:rsid w:val="00146080"/>
    <w:rsid w:val="00146865"/>
    <w:rsid w:val="001468D3"/>
    <w:rsid w:val="00146E5B"/>
    <w:rsid w:val="00146F1A"/>
    <w:rsid w:val="0014706F"/>
    <w:rsid w:val="00147072"/>
    <w:rsid w:val="0014718C"/>
    <w:rsid w:val="001507C9"/>
    <w:rsid w:val="00150A27"/>
    <w:rsid w:val="00151123"/>
    <w:rsid w:val="00153F68"/>
    <w:rsid w:val="00153F76"/>
    <w:rsid w:val="00154F4D"/>
    <w:rsid w:val="00155FC5"/>
    <w:rsid w:val="00156130"/>
    <w:rsid w:val="0015750E"/>
    <w:rsid w:val="00160004"/>
    <w:rsid w:val="00160830"/>
    <w:rsid w:val="0016252D"/>
    <w:rsid w:val="001626C2"/>
    <w:rsid w:val="00162BB2"/>
    <w:rsid w:val="00163270"/>
    <w:rsid w:val="001634AF"/>
    <w:rsid w:val="0016537F"/>
    <w:rsid w:val="001653AC"/>
    <w:rsid w:val="00166301"/>
    <w:rsid w:val="00166339"/>
    <w:rsid w:val="001663A6"/>
    <w:rsid w:val="00167F1A"/>
    <w:rsid w:val="0017074C"/>
    <w:rsid w:val="00170850"/>
    <w:rsid w:val="0017097B"/>
    <w:rsid w:val="0017197A"/>
    <w:rsid w:val="0017251F"/>
    <w:rsid w:val="00172536"/>
    <w:rsid w:val="00172717"/>
    <w:rsid w:val="00172E00"/>
    <w:rsid w:val="00172E94"/>
    <w:rsid w:val="001730E6"/>
    <w:rsid w:val="00173859"/>
    <w:rsid w:val="00175282"/>
    <w:rsid w:val="001753DE"/>
    <w:rsid w:val="00175C9B"/>
    <w:rsid w:val="00176775"/>
    <w:rsid w:val="00176F04"/>
    <w:rsid w:val="001770FF"/>
    <w:rsid w:val="001807B1"/>
    <w:rsid w:val="001829AF"/>
    <w:rsid w:val="001831BC"/>
    <w:rsid w:val="00183A8C"/>
    <w:rsid w:val="00184C46"/>
    <w:rsid w:val="001852B2"/>
    <w:rsid w:val="001865ED"/>
    <w:rsid w:val="0018664A"/>
    <w:rsid w:val="00186BA0"/>
    <w:rsid w:val="00186F59"/>
    <w:rsid w:val="0018737B"/>
    <w:rsid w:val="001873A9"/>
    <w:rsid w:val="00190372"/>
    <w:rsid w:val="00190593"/>
    <w:rsid w:val="00190D74"/>
    <w:rsid w:val="0019158C"/>
    <w:rsid w:val="001919DB"/>
    <w:rsid w:val="001921ED"/>
    <w:rsid w:val="00192351"/>
    <w:rsid w:val="0019330A"/>
    <w:rsid w:val="00193F55"/>
    <w:rsid w:val="00194B39"/>
    <w:rsid w:val="00196AC8"/>
    <w:rsid w:val="00196BDF"/>
    <w:rsid w:val="00196D6B"/>
    <w:rsid w:val="00196F47"/>
    <w:rsid w:val="0019777E"/>
    <w:rsid w:val="00197CFE"/>
    <w:rsid w:val="001A0377"/>
    <w:rsid w:val="001A0ABA"/>
    <w:rsid w:val="001A19DC"/>
    <w:rsid w:val="001A2462"/>
    <w:rsid w:val="001A24FA"/>
    <w:rsid w:val="001A2D31"/>
    <w:rsid w:val="001A3141"/>
    <w:rsid w:val="001A36D1"/>
    <w:rsid w:val="001A3903"/>
    <w:rsid w:val="001A45D4"/>
    <w:rsid w:val="001A65CB"/>
    <w:rsid w:val="001A6CFD"/>
    <w:rsid w:val="001A7EC4"/>
    <w:rsid w:val="001A7EF7"/>
    <w:rsid w:val="001A7F6A"/>
    <w:rsid w:val="001B1F48"/>
    <w:rsid w:val="001B248A"/>
    <w:rsid w:val="001B2B05"/>
    <w:rsid w:val="001B3443"/>
    <w:rsid w:val="001B34EB"/>
    <w:rsid w:val="001B378B"/>
    <w:rsid w:val="001B4BF8"/>
    <w:rsid w:val="001B521D"/>
    <w:rsid w:val="001B5616"/>
    <w:rsid w:val="001B5F1A"/>
    <w:rsid w:val="001B720D"/>
    <w:rsid w:val="001B726F"/>
    <w:rsid w:val="001B7BFC"/>
    <w:rsid w:val="001C0218"/>
    <w:rsid w:val="001C04A7"/>
    <w:rsid w:val="001C0761"/>
    <w:rsid w:val="001C0A42"/>
    <w:rsid w:val="001C2604"/>
    <w:rsid w:val="001C367D"/>
    <w:rsid w:val="001C3FA2"/>
    <w:rsid w:val="001C41FD"/>
    <w:rsid w:val="001C445F"/>
    <w:rsid w:val="001C4B97"/>
    <w:rsid w:val="001C5332"/>
    <w:rsid w:val="001C7221"/>
    <w:rsid w:val="001C741C"/>
    <w:rsid w:val="001C78C2"/>
    <w:rsid w:val="001C7B47"/>
    <w:rsid w:val="001D0621"/>
    <w:rsid w:val="001D14A7"/>
    <w:rsid w:val="001D1722"/>
    <w:rsid w:val="001D20C6"/>
    <w:rsid w:val="001D2969"/>
    <w:rsid w:val="001D2ACA"/>
    <w:rsid w:val="001D2F55"/>
    <w:rsid w:val="001D3169"/>
    <w:rsid w:val="001D346B"/>
    <w:rsid w:val="001D49C2"/>
    <w:rsid w:val="001D6463"/>
    <w:rsid w:val="001D7106"/>
    <w:rsid w:val="001D7A1D"/>
    <w:rsid w:val="001D7E23"/>
    <w:rsid w:val="001E0766"/>
    <w:rsid w:val="001E1042"/>
    <w:rsid w:val="001E1629"/>
    <w:rsid w:val="001E1772"/>
    <w:rsid w:val="001E199E"/>
    <w:rsid w:val="001E361F"/>
    <w:rsid w:val="001E37A8"/>
    <w:rsid w:val="001E4DE2"/>
    <w:rsid w:val="001E50EF"/>
    <w:rsid w:val="001E5F13"/>
    <w:rsid w:val="001E6070"/>
    <w:rsid w:val="001E77C4"/>
    <w:rsid w:val="001F01CB"/>
    <w:rsid w:val="001F01D0"/>
    <w:rsid w:val="001F0C99"/>
    <w:rsid w:val="001F0D7D"/>
    <w:rsid w:val="001F0F6C"/>
    <w:rsid w:val="001F1DF6"/>
    <w:rsid w:val="001F1FDA"/>
    <w:rsid w:val="001F26F7"/>
    <w:rsid w:val="001F2861"/>
    <w:rsid w:val="001F2950"/>
    <w:rsid w:val="001F350A"/>
    <w:rsid w:val="001F3771"/>
    <w:rsid w:val="001F4193"/>
    <w:rsid w:val="001F508D"/>
    <w:rsid w:val="001F5165"/>
    <w:rsid w:val="001F52B3"/>
    <w:rsid w:val="001F5B56"/>
    <w:rsid w:val="001F647C"/>
    <w:rsid w:val="00200BFC"/>
    <w:rsid w:val="00201776"/>
    <w:rsid w:val="00201875"/>
    <w:rsid w:val="00202D10"/>
    <w:rsid w:val="00202D52"/>
    <w:rsid w:val="0020315E"/>
    <w:rsid w:val="002035B5"/>
    <w:rsid w:val="0020378A"/>
    <w:rsid w:val="00204398"/>
    <w:rsid w:val="002043EB"/>
    <w:rsid w:val="002055E9"/>
    <w:rsid w:val="0020574E"/>
    <w:rsid w:val="00206ADC"/>
    <w:rsid w:val="00206D62"/>
    <w:rsid w:val="00207228"/>
    <w:rsid w:val="002075BB"/>
    <w:rsid w:val="0020763E"/>
    <w:rsid w:val="002105C9"/>
    <w:rsid w:val="00211234"/>
    <w:rsid w:val="00211E0D"/>
    <w:rsid w:val="00212E96"/>
    <w:rsid w:val="00213300"/>
    <w:rsid w:val="0021337E"/>
    <w:rsid w:val="00213518"/>
    <w:rsid w:val="00213841"/>
    <w:rsid w:val="00214934"/>
    <w:rsid w:val="002158D1"/>
    <w:rsid w:val="00216086"/>
    <w:rsid w:val="002160A1"/>
    <w:rsid w:val="00216576"/>
    <w:rsid w:val="0022229F"/>
    <w:rsid w:val="00222964"/>
    <w:rsid w:val="00222992"/>
    <w:rsid w:val="002235D8"/>
    <w:rsid w:val="002249D8"/>
    <w:rsid w:val="00226531"/>
    <w:rsid w:val="00226F2A"/>
    <w:rsid w:val="00227470"/>
    <w:rsid w:val="00227D00"/>
    <w:rsid w:val="0023029D"/>
    <w:rsid w:val="00230465"/>
    <w:rsid w:val="00230ECC"/>
    <w:rsid w:val="00231F65"/>
    <w:rsid w:val="00233672"/>
    <w:rsid w:val="00234174"/>
    <w:rsid w:val="0023568B"/>
    <w:rsid w:val="002356EE"/>
    <w:rsid w:val="00235E42"/>
    <w:rsid w:val="00236920"/>
    <w:rsid w:val="00236DC7"/>
    <w:rsid w:val="0023708E"/>
    <w:rsid w:val="002373F9"/>
    <w:rsid w:val="00237797"/>
    <w:rsid w:val="002379EB"/>
    <w:rsid w:val="00237ADF"/>
    <w:rsid w:val="00240945"/>
    <w:rsid w:val="00240D6A"/>
    <w:rsid w:val="00240DD0"/>
    <w:rsid w:val="00241919"/>
    <w:rsid w:val="002430D8"/>
    <w:rsid w:val="002443C3"/>
    <w:rsid w:val="00244E7B"/>
    <w:rsid w:val="002459C9"/>
    <w:rsid w:val="00245D81"/>
    <w:rsid w:val="00246636"/>
    <w:rsid w:val="00246864"/>
    <w:rsid w:val="002476BC"/>
    <w:rsid w:val="00247740"/>
    <w:rsid w:val="00247988"/>
    <w:rsid w:val="00247D5F"/>
    <w:rsid w:val="00250BED"/>
    <w:rsid w:val="00250CE8"/>
    <w:rsid w:val="00250E29"/>
    <w:rsid w:val="0025132B"/>
    <w:rsid w:val="002530A6"/>
    <w:rsid w:val="002539AA"/>
    <w:rsid w:val="00254B2C"/>
    <w:rsid w:val="00254E28"/>
    <w:rsid w:val="00255596"/>
    <w:rsid w:val="00255849"/>
    <w:rsid w:val="00255E87"/>
    <w:rsid w:val="002564A9"/>
    <w:rsid w:val="00256902"/>
    <w:rsid w:val="00257141"/>
    <w:rsid w:val="0026030E"/>
    <w:rsid w:val="00260964"/>
    <w:rsid w:val="00260DF4"/>
    <w:rsid w:val="00261F43"/>
    <w:rsid w:val="00263169"/>
    <w:rsid w:val="002634E3"/>
    <w:rsid w:val="00263BA4"/>
    <w:rsid w:val="00263F66"/>
    <w:rsid w:val="002644D3"/>
    <w:rsid w:val="00265DE9"/>
    <w:rsid w:val="002662B4"/>
    <w:rsid w:val="0026662A"/>
    <w:rsid w:val="00266D68"/>
    <w:rsid w:val="002671B7"/>
    <w:rsid w:val="00267635"/>
    <w:rsid w:val="00267AF8"/>
    <w:rsid w:val="00267B45"/>
    <w:rsid w:val="00270389"/>
    <w:rsid w:val="00270F1B"/>
    <w:rsid w:val="00273F64"/>
    <w:rsid w:val="0027582D"/>
    <w:rsid w:val="00275CC4"/>
    <w:rsid w:val="00275D34"/>
    <w:rsid w:val="00275DB2"/>
    <w:rsid w:val="002765D8"/>
    <w:rsid w:val="0027727A"/>
    <w:rsid w:val="00277332"/>
    <w:rsid w:val="0027747A"/>
    <w:rsid w:val="00281FD4"/>
    <w:rsid w:val="00282814"/>
    <w:rsid w:val="00283953"/>
    <w:rsid w:val="00284440"/>
    <w:rsid w:val="00284EDA"/>
    <w:rsid w:val="00285BE9"/>
    <w:rsid w:val="00285C18"/>
    <w:rsid w:val="00285EE2"/>
    <w:rsid w:val="00285F71"/>
    <w:rsid w:val="00286FE9"/>
    <w:rsid w:val="00287155"/>
    <w:rsid w:val="002871EE"/>
    <w:rsid w:val="002903A9"/>
    <w:rsid w:val="002903AF"/>
    <w:rsid w:val="0029442D"/>
    <w:rsid w:val="00294C4C"/>
    <w:rsid w:val="00294DC9"/>
    <w:rsid w:val="00295C39"/>
    <w:rsid w:val="002965E6"/>
    <w:rsid w:val="00296F4B"/>
    <w:rsid w:val="002972E3"/>
    <w:rsid w:val="00297C75"/>
    <w:rsid w:val="002A1A09"/>
    <w:rsid w:val="002A32C3"/>
    <w:rsid w:val="002A3C4E"/>
    <w:rsid w:val="002A44AA"/>
    <w:rsid w:val="002A4D83"/>
    <w:rsid w:val="002A5166"/>
    <w:rsid w:val="002A530E"/>
    <w:rsid w:val="002A5B86"/>
    <w:rsid w:val="002A5C96"/>
    <w:rsid w:val="002A7154"/>
    <w:rsid w:val="002A7750"/>
    <w:rsid w:val="002A7EE5"/>
    <w:rsid w:val="002A7F2E"/>
    <w:rsid w:val="002B0340"/>
    <w:rsid w:val="002B24FC"/>
    <w:rsid w:val="002B292F"/>
    <w:rsid w:val="002B39E8"/>
    <w:rsid w:val="002B42FD"/>
    <w:rsid w:val="002B4BA2"/>
    <w:rsid w:val="002B4DA4"/>
    <w:rsid w:val="002B54E0"/>
    <w:rsid w:val="002B55E2"/>
    <w:rsid w:val="002B6336"/>
    <w:rsid w:val="002B78A4"/>
    <w:rsid w:val="002C021C"/>
    <w:rsid w:val="002C0553"/>
    <w:rsid w:val="002C0850"/>
    <w:rsid w:val="002C0C84"/>
    <w:rsid w:val="002C22D2"/>
    <w:rsid w:val="002C3A18"/>
    <w:rsid w:val="002C3DE9"/>
    <w:rsid w:val="002C49FE"/>
    <w:rsid w:val="002C4F49"/>
    <w:rsid w:val="002C5707"/>
    <w:rsid w:val="002C6995"/>
    <w:rsid w:val="002C6AF0"/>
    <w:rsid w:val="002C6D9C"/>
    <w:rsid w:val="002C6DE5"/>
    <w:rsid w:val="002C6ECD"/>
    <w:rsid w:val="002C6FB0"/>
    <w:rsid w:val="002C7201"/>
    <w:rsid w:val="002D08CF"/>
    <w:rsid w:val="002D20EC"/>
    <w:rsid w:val="002D3C2F"/>
    <w:rsid w:val="002D52D2"/>
    <w:rsid w:val="002D6A72"/>
    <w:rsid w:val="002D73DB"/>
    <w:rsid w:val="002D782B"/>
    <w:rsid w:val="002D7BAB"/>
    <w:rsid w:val="002E0811"/>
    <w:rsid w:val="002E0CFA"/>
    <w:rsid w:val="002E0F8F"/>
    <w:rsid w:val="002E122E"/>
    <w:rsid w:val="002E2746"/>
    <w:rsid w:val="002E5373"/>
    <w:rsid w:val="002E5BEF"/>
    <w:rsid w:val="002E618E"/>
    <w:rsid w:val="002E6A48"/>
    <w:rsid w:val="002E7640"/>
    <w:rsid w:val="002E7731"/>
    <w:rsid w:val="002E7CEE"/>
    <w:rsid w:val="002F00B2"/>
    <w:rsid w:val="002F085C"/>
    <w:rsid w:val="002F09E0"/>
    <w:rsid w:val="002F11AF"/>
    <w:rsid w:val="002F2396"/>
    <w:rsid w:val="002F380C"/>
    <w:rsid w:val="002F38CB"/>
    <w:rsid w:val="002F3AE3"/>
    <w:rsid w:val="002F3CC4"/>
    <w:rsid w:val="002F4E40"/>
    <w:rsid w:val="002F5427"/>
    <w:rsid w:val="002F56FA"/>
    <w:rsid w:val="002F6AB9"/>
    <w:rsid w:val="002F6F83"/>
    <w:rsid w:val="002F74D3"/>
    <w:rsid w:val="002F78DD"/>
    <w:rsid w:val="002F7E6F"/>
    <w:rsid w:val="00300CAE"/>
    <w:rsid w:val="003026C5"/>
    <w:rsid w:val="00304A3E"/>
    <w:rsid w:val="003055E3"/>
    <w:rsid w:val="003061AF"/>
    <w:rsid w:val="0030661D"/>
    <w:rsid w:val="0030786C"/>
    <w:rsid w:val="00310179"/>
    <w:rsid w:val="003129DC"/>
    <w:rsid w:val="00312A00"/>
    <w:rsid w:val="00312A62"/>
    <w:rsid w:val="0031332B"/>
    <w:rsid w:val="003140B6"/>
    <w:rsid w:val="003142C8"/>
    <w:rsid w:val="00316683"/>
    <w:rsid w:val="00316AF9"/>
    <w:rsid w:val="00316BFB"/>
    <w:rsid w:val="00316FE3"/>
    <w:rsid w:val="003176CA"/>
    <w:rsid w:val="00320D9D"/>
    <w:rsid w:val="003216CE"/>
    <w:rsid w:val="00321AA1"/>
    <w:rsid w:val="003227D2"/>
    <w:rsid w:val="003228A0"/>
    <w:rsid w:val="003238F4"/>
    <w:rsid w:val="00324F25"/>
    <w:rsid w:val="003253A6"/>
    <w:rsid w:val="003259A3"/>
    <w:rsid w:val="00326959"/>
    <w:rsid w:val="003270EE"/>
    <w:rsid w:val="003272BB"/>
    <w:rsid w:val="00327405"/>
    <w:rsid w:val="00330AC1"/>
    <w:rsid w:val="003322CC"/>
    <w:rsid w:val="003325D5"/>
    <w:rsid w:val="00332667"/>
    <w:rsid w:val="00332BE2"/>
    <w:rsid w:val="00333303"/>
    <w:rsid w:val="003336FD"/>
    <w:rsid w:val="00333A5F"/>
    <w:rsid w:val="0033427F"/>
    <w:rsid w:val="00335790"/>
    <w:rsid w:val="00335F85"/>
    <w:rsid w:val="00337147"/>
    <w:rsid w:val="003372F7"/>
    <w:rsid w:val="003377F3"/>
    <w:rsid w:val="0034124C"/>
    <w:rsid w:val="00341F7B"/>
    <w:rsid w:val="0034267D"/>
    <w:rsid w:val="003436BF"/>
    <w:rsid w:val="003437C8"/>
    <w:rsid w:val="00343DF5"/>
    <w:rsid w:val="00344F8A"/>
    <w:rsid w:val="003454ED"/>
    <w:rsid w:val="00345B73"/>
    <w:rsid w:val="00346465"/>
    <w:rsid w:val="00346B65"/>
    <w:rsid w:val="003508A8"/>
    <w:rsid w:val="00350AD8"/>
    <w:rsid w:val="003516FE"/>
    <w:rsid w:val="00351885"/>
    <w:rsid w:val="00351F1D"/>
    <w:rsid w:val="00352374"/>
    <w:rsid w:val="00352ACA"/>
    <w:rsid w:val="00353859"/>
    <w:rsid w:val="00353908"/>
    <w:rsid w:val="00353F96"/>
    <w:rsid w:val="00355293"/>
    <w:rsid w:val="00355B56"/>
    <w:rsid w:val="00356167"/>
    <w:rsid w:val="00356275"/>
    <w:rsid w:val="00356A26"/>
    <w:rsid w:val="003570FF"/>
    <w:rsid w:val="0035754D"/>
    <w:rsid w:val="00357D04"/>
    <w:rsid w:val="00360A0C"/>
    <w:rsid w:val="00361019"/>
    <w:rsid w:val="003617A6"/>
    <w:rsid w:val="003619F6"/>
    <w:rsid w:val="00361A71"/>
    <w:rsid w:val="003629B1"/>
    <w:rsid w:val="003642FD"/>
    <w:rsid w:val="00364673"/>
    <w:rsid w:val="00364B86"/>
    <w:rsid w:val="00364C78"/>
    <w:rsid w:val="003650FC"/>
    <w:rsid w:val="00366539"/>
    <w:rsid w:val="00367033"/>
    <w:rsid w:val="003679B0"/>
    <w:rsid w:val="00370CA5"/>
    <w:rsid w:val="00370FC1"/>
    <w:rsid w:val="0037211E"/>
    <w:rsid w:val="00373269"/>
    <w:rsid w:val="00373407"/>
    <w:rsid w:val="00374FB1"/>
    <w:rsid w:val="003752AF"/>
    <w:rsid w:val="003768A9"/>
    <w:rsid w:val="00376D94"/>
    <w:rsid w:val="00376FCC"/>
    <w:rsid w:val="00377EAD"/>
    <w:rsid w:val="003803ED"/>
    <w:rsid w:val="0038053E"/>
    <w:rsid w:val="00380592"/>
    <w:rsid w:val="00382C61"/>
    <w:rsid w:val="00383541"/>
    <w:rsid w:val="00383A0B"/>
    <w:rsid w:val="00383CA0"/>
    <w:rsid w:val="00384807"/>
    <w:rsid w:val="00386A72"/>
    <w:rsid w:val="003873C6"/>
    <w:rsid w:val="0038755F"/>
    <w:rsid w:val="00387E9A"/>
    <w:rsid w:val="003905BE"/>
    <w:rsid w:val="00391226"/>
    <w:rsid w:val="003917DA"/>
    <w:rsid w:val="003926C8"/>
    <w:rsid w:val="003927FC"/>
    <w:rsid w:val="00392D9E"/>
    <w:rsid w:val="00393122"/>
    <w:rsid w:val="00394FEF"/>
    <w:rsid w:val="00395739"/>
    <w:rsid w:val="0039613F"/>
    <w:rsid w:val="00396274"/>
    <w:rsid w:val="0039710C"/>
    <w:rsid w:val="003A04F7"/>
    <w:rsid w:val="003A2341"/>
    <w:rsid w:val="003A2436"/>
    <w:rsid w:val="003A259C"/>
    <w:rsid w:val="003A31AD"/>
    <w:rsid w:val="003A45B5"/>
    <w:rsid w:val="003A496A"/>
    <w:rsid w:val="003A499C"/>
    <w:rsid w:val="003A4B72"/>
    <w:rsid w:val="003A70F0"/>
    <w:rsid w:val="003A7D8F"/>
    <w:rsid w:val="003A7EAB"/>
    <w:rsid w:val="003B057B"/>
    <w:rsid w:val="003B06BA"/>
    <w:rsid w:val="003B0D82"/>
    <w:rsid w:val="003B12A4"/>
    <w:rsid w:val="003B2837"/>
    <w:rsid w:val="003B2D9F"/>
    <w:rsid w:val="003B3D38"/>
    <w:rsid w:val="003B422D"/>
    <w:rsid w:val="003B4507"/>
    <w:rsid w:val="003B605E"/>
    <w:rsid w:val="003B64CE"/>
    <w:rsid w:val="003B65A0"/>
    <w:rsid w:val="003B78D7"/>
    <w:rsid w:val="003B7C34"/>
    <w:rsid w:val="003C1BF3"/>
    <w:rsid w:val="003C297A"/>
    <w:rsid w:val="003C3278"/>
    <w:rsid w:val="003C3FC4"/>
    <w:rsid w:val="003C4585"/>
    <w:rsid w:val="003C4988"/>
    <w:rsid w:val="003C49C0"/>
    <w:rsid w:val="003C4A44"/>
    <w:rsid w:val="003C4A56"/>
    <w:rsid w:val="003C5364"/>
    <w:rsid w:val="003C5479"/>
    <w:rsid w:val="003C57D9"/>
    <w:rsid w:val="003C768B"/>
    <w:rsid w:val="003C781F"/>
    <w:rsid w:val="003D031F"/>
    <w:rsid w:val="003D17F9"/>
    <w:rsid w:val="003D23D3"/>
    <w:rsid w:val="003D2625"/>
    <w:rsid w:val="003D2710"/>
    <w:rsid w:val="003D2919"/>
    <w:rsid w:val="003D2A1D"/>
    <w:rsid w:val="003D2FA2"/>
    <w:rsid w:val="003D3335"/>
    <w:rsid w:val="003D437B"/>
    <w:rsid w:val="003D448C"/>
    <w:rsid w:val="003D4809"/>
    <w:rsid w:val="003D4A5B"/>
    <w:rsid w:val="003D66D9"/>
    <w:rsid w:val="003D6B5C"/>
    <w:rsid w:val="003D7DBE"/>
    <w:rsid w:val="003E0463"/>
    <w:rsid w:val="003E1471"/>
    <w:rsid w:val="003E243C"/>
    <w:rsid w:val="003E2E9F"/>
    <w:rsid w:val="003E3F81"/>
    <w:rsid w:val="003E462B"/>
    <w:rsid w:val="003E4E41"/>
    <w:rsid w:val="003E549F"/>
    <w:rsid w:val="003E588E"/>
    <w:rsid w:val="003E6182"/>
    <w:rsid w:val="003E6FD8"/>
    <w:rsid w:val="003E76C8"/>
    <w:rsid w:val="003E79A5"/>
    <w:rsid w:val="003F00E1"/>
    <w:rsid w:val="003F120B"/>
    <w:rsid w:val="003F1B41"/>
    <w:rsid w:val="003F273E"/>
    <w:rsid w:val="003F348C"/>
    <w:rsid w:val="003F4266"/>
    <w:rsid w:val="003F435F"/>
    <w:rsid w:val="003F437C"/>
    <w:rsid w:val="003F44C2"/>
    <w:rsid w:val="003F4739"/>
    <w:rsid w:val="003F480D"/>
    <w:rsid w:val="003F571F"/>
    <w:rsid w:val="003F5F96"/>
    <w:rsid w:val="003F687A"/>
    <w:rsid w:val="003F6915"/>
    <w:rsid w:val="003F722F"/>
    <w:rsid w:val="003F75CA"/>
    <w:rsid w:val="003F7EAE"/>
    <w:rsid w:val="00400BE4"/>
    <w:rsid w:val="004010CE"/>
    <w:rsid w:val="004016CA"/>
    <w:rsid w:val="00402040"/>
    <w:rsid w:val="00402B65"/>
    <w:rsid w:val="00403293"/>
    <w:rsid w:val="00403E7F"/>
    <w:rsid w:val="0040445C"/>
    <w:rsid w:val="004073B2"/>
    <w:rsid w:val="00407CCE"/>
    <w:rsid w:val="00410396"/>
    <w:rsid w:val="00410530"/>
    <w:rsid w:val="0041084B"/>
    <w:rsid w:val="0041107B"/>
    <w:rsid w:val="00412507"/>
    <w:rsid w:val="00412C7B"/>
    <w:rsid w:val="00412CD2"/>
    <w:rsid w:val="00412E9D"/>
    <w:rsid w:val="004130AB"/>
    <w:rsid w:val="00413330"/>
    <w:rsid w:val="004135DC"/>
    <w:rsid w:val="00413784"/>
    <w:rsid w:val="00413DFE"/>
    <w:rsid w:val="0041555A"/>
    <w:rsid w:val="0041684B"/>
    <w:rsid w:val="004176A6"/>
    <w:rsid w:val="004179E2"/>
    <w:rsid w:val="00417E15"/>
    <w:rsid w:val="00420E10"/>
    <w:rsid w:val="004215F9"/>
    <w:rsid w:val="00421AFF"/>
    <w:rsid w:val="00424885"/>
    <w:rsid w:val="0042674B"/>
    <w:rsid w:val="00427663"/>
    <w:rsid w:val="00430E56"/>
    <w:rsid w:val="0043118F"/>
    <w:rsid w:val="004314A4"/>
    <w:rsid w:val="00433417"/>
    <w:rsid w:val="0043388C"/>
    <w:rsid w:val="00433D91"/>
    <w:rsid w:val="00434263"/>
    <w:rsid w:val="00434604"/>
    <w:rsid w:val="00435352"/>
    <w:rsid w:val="00436423"/>
    <w:rsid w:val="00436A28"/>
    <w:rsid w:val="0043710F"/>
    <w:rsid w:val="00437149"/>
    <w:rsid w:val="00440D41"/>
    <w:rsid w:val="00440FD5"/>
    <w:rsid w:val="0044128C"/>
    <w:rsid w:val="004413B7"/>
    <w:rsid w:val="00442C54"/>
    <w:rsid w:val="00443B1B"/>
    <w:rsid w:val="0044438E"/>
    <w:rsid w:val="004446DA"/>
    <w:rsid w:val="00445A19"/>
    <w:rsid w:val="0044619F"/>
    <w:rsid w:val="00446BAC"/>
    <w:rsid w:val="00447037"/>
    <w:rsid w:val="00447178"/>
    <w:rsid w:val="00447D31"/>
    <w:rsid w:val="0045054F"/>
    <w:rsid w:val="0045067E"/>
    <w:rsid w:val="00451693"/>
    <w:rsid w:val="00452378"/>
    <w:rsid w:val="004523CB"/>
    <w:rsid w:val="0045272D"/>
    <w:rsid w:val="004529FE"/>
    <w:rsid w:val="00453BA6"/>
    <w:rsid w:val="004544FE"/>
    <w:rsid w:val="00454BAA"/>
    <w:rsid w:val="004555D0"/>
    <w:rsid w:val="00455B01"/>
    <w:rsid w:val="00455DC7"/>
    <w:rsid w:val="00455FEB"/>
    <w:rsid w:val="0045605C"/>
    <w:rsid w:val="00456823"/>
    <w:rsid w:val="004573E7"/>
    <w:rsid w:val="00457745"/>
    <w:rsid w:val="0045795E"/>
    <w:rsid w:val="00457DA3"/>
    <w:rsid w:val="00460FAD"/>
    <w:rsid w:val="00461F62"/>
    <w:rsid w:val="00462A1D"/>
    <w:rsid w:val="00462E31"/>
    <w:rsid w:val="00464A68"/>
    <w:rsid w:val="00464B99"/>
    <w:rsid w:val="004659FA"/>
    <w:rsid w:val="00465F80"/>
    <w:rsid w:val="004665D7"/>
    <w:rsid w:val="00466846"/>
    <w:rsid w:val="00470AB8"/>
    <w:rsid w:val="00471FBB"/>
    <w:rsid w:val="004724E9"/>
    <w:rsid w:val="004737D4"/>
    <w:rsid w:val="0047390A"/>
    <w:rsid w:val="00473F7C"/>
    <w:rsid w:val="0047405C"/>
    <w:rsid w:val="00474436"/>
    <w:rsid w:val="004763A4"/>
    <w:rsid w:val="00476D9B"/>
    <w:rsid w:val="00481BD1"/>
    <w:rsid w:val="00481BDC"/>
    <w:rsid w:val="004820F0"/>
    <w:rsid w:val="00482A3A"/>
    <w:rsid w:val="00483C22"/>
    <w:rsid w:val="0048406C"/>
    <w:rsid w:val="004843F8"/>
    <w:rsid w:val="00484A00"/>
    <w:rsid w:val="004853AD"/>
    <w:rsid w:val="00485AD0"/>
    <w:rsid w:val="00485D33"/>
    <w:rsid w:val="00486696"/>
    <w:rsid w:val="00486795"/>
    <w:rsid w:val="004867E2"/>
    <w:rsid w:val="00486826"/>
    <w:rsid w:val="0048693D"/>
    <w:rsid w:val="0048767A"/>
    <w:rsid w:val="004905AD"/>
    <w:rsid w:val="004919A3"/>
    <w:rsid w:val="0049273C"/>
    <w:rsid w:val="00492E2F"/>
    <w:rsid w:val="004931D9"/>
    <w:rsid w:val="0049431F"/>
    <w:rsid w:val="0049490C"/>
    <w:rsid w:val="004954F4"/>
    <w:rsid w:val="00495BB5"/>
    <w:rsid w:val="004963B8"/>
    <w:rsid w:val="00496A0F"/>
    <w:rsid w:val="00497B8D"/>
    <w:rsid w:val="00497F7C"/>
    <w:rsid w:val="004A0446"/>
    <w:rsid w:val="004A0670"/>
    <w:rsid w:val="004A06EF"/>
    <w:rsid w:val="004A0CF1"/>
    <w:rsid w:val="004A10EF"/>
    <w:rsid w:val="004A17A4"/>
    <w:rsid w:val="004A24D4"/>
    <w:rsid w:val="004A3BBA"/>
    <w:rsid w:val="004A445C"/>
    <w:rsid w:val="004A4591"/>
    <w:rsid w:val="004A4729"/>
    <w:rsid w:val="004A474C"/>
    <w:rsid w:val="004A61B4"/>
    <w:rsid w:val="004A639B"/>
    <w:rsid w:val="004A73BB"/>
    <w:rsid w:val="004A7930"/>
    <w:rsid w:val="004A7E61"/>
    <w:rsid w:val="004B000A"/>
    <w:rsid w:val="004B0522"/>
    <w:rsid w:val="004B0B34"/>
    <w:rsid w:val="004B0B9A"/>
    <w:rsid w:val="004B10CB"/>
    <w:rsid w:val="004B141C"/>
    <w:rsid w:val="004B1A1B"/>
    <w:rsid w:val="004B2665"/>
    <w:rsid w:val="004B2999"/>
    <w:rsid w:val="004B2C63"/>
    <w:rsid w:val="004B3D70"/>
    <w:rsid w:val="004B4C32"/>
    <w:rsid w:val="004B4D75"/>
    <w:rsid w:val="004B5078"/>
    <w:rsid w:val="004B75CE"/>
    <w:rsid w:val="004B783A"/>
    <w:rsid w:val="004C1810"/>
    <w:rsid w:val="004C2160"/>
    <w:rsid w:val="004C2B6D"/>
    <w:rsid w:val="004C3025"/>
    <w:rsid w:val="004C3319"/>
    <w:rsid w:val="004C3A3C"/>
    <w:rsid w:val="004C433D"/>
    <w:rsid w:val="004C47A1"/>
    <w:rsid w:val="004C49B4"/>
    <w:rsid w:val="004C4CD8"/>
    <w:rsid w:val="004C5133"/>
    <w:rsid w:val="004C5BBF"/>
    <w:rsid w:val="004C7343"/>
    <w:rsid w:val="004C758E"/>
    <w:rsid w:val="004D06F1"/>
    <w:rsid w:val="004D1EAB"/>
    <w:rsid w:val="004D2FDA"/>
    <w:rsid w:val="004D4B28"/>
    <w:rsid w:val="004D508B"/>
    <w:rsid w:val="004D515A"/>
    <w:rsid w:val="004D5360"/>
    <w:rsid w:val="004D674E"/>
    <w:rsid w:val="004E042D"/>
    <w:rsid w:val="004E0518"/>
    <w:rsid w:val="004E1FF5"/>
    <w:rsid w:val="004E27F6"/>
    <w:rsid w:val="004E288F"/>
    <w:rsid w:val="004E312C"/>
    <w:rsid w:val="004E327C"/>
    <w:rsid w:val="004E35D7"/>
    <w:rsid w:val="004E387B"/>
    <w:rsid w:val="004E3B3A"/>
    <w:rsid w:val="004E4ED9"/>
    <w:rsid w:val="004E4FC2"/>
    <w:rsid w:val="004E52B4"/>
    <w:rsid w:val="004E5645"/>
    <w:rsid w:val="004E58C1"/>
    <w:rsid w:val="004E5B6E"/>
    <w:rsid w:val="004E5E71"/>
    <w:rsid w:val="004E625A"/>
    <w:rsid w:val="004E6C57"/>
    <w:rsid w:val="004E6D88"/>
    <w:rsid w:val="004E7AA2"/>
    <w:rsid w:val="004F1440"/>
    <w:rsid w:val="004F1814"/>
    <w:rsid w:val="004F1A5F"/>
    <w:rsid w:val="004F261D"/>
    <w:rsid w:val="004F2D0B"/>
    <w:rsid w:val="004F2DF8"/>
    <w:rsid w:val="004F2EDE"/>
    <w:rsid w:val="004F30D2"/>
    <w:rsid w:val="004F32C1"/>
    <w:rsid w:val="004F35C2"/>
    <w:rsid w:val="004F37B2"/>
    <w:rsid w:val="004F38D0"/>
    <w:rsid w:val="004F3ACC"/>
    <w:rsid w:val="004F4495"/>
    <w:rsid w:val="004F49A0"/>
    <w:rsid w:val="004F4A85"/>
    <w:rsid w:val="004F5D8A"/>
    <w:rsid w:val="004F6A51"/>
    <w:rsid w:val="004F7E22"/>
    <w:rsid w:val="00501524"/>
    <w:rsid w:val="00501CF8"/>
    <w:rsid w:val="00502170"/>
    <w:rsid w:val="00502814"/>
    <w:rsid w:val="00502863"/>
    <w:rsid w:val="005029AB"/>
    <w:rsid w:val="00502A3D"/>
    <w:rsid w:val="005038F8"/>
    <w:rsid w:val="005048C9"/>
    <w:rsid w:val="00505F22"/>
    <w:rsid w:val="005063BE"/>
    <w:rsid w:val="005067C8"/>
    <w:rsid w:val="0050742E"/>
    <w:rsid w:val="00507634"/>
    <w:rsid w:val="00507C75"/>
    <w:rsid w:val="00507D94"/>
    <w:rsid w:val="00507FF2"/>
    <w:rsid w:val="0051042E"/>
    <w:rsid w:val="00510729"/>
    <w:rsid w:val="00510CD5"/>
    <w:rsid w:val="0051205C"/>
    <w:rsid w:val="00512500"/>
    <w:rsid w:val="00513951"/>
    <w:rsid w:val="0051429A"/>
    <w:rsid w:val="00514402"/>
    <w:rsid w:val="00514506"/>
    <w:rsid w:val="00515589"/>
    <w:rsid w:val="00515965"/>
    <w:rsid w:val="005162C3"/>
    <w:rsid w:val="005169E1"/>
    <w:rsid w:val="0052076D"/>
    <w:rsid w:val="00520881"/>
    <w:rsid w:val="0052107C"/>
    <w:rsid w:val="00521127"/>
    <w:rsid w:val="0052113A"/>
    <w:rsid w:val="005221B7"/>
    <w:rsid w:val="005221C3"/>
    <w:rsid w:val="005228E4"/>
    <w:rsid w:val="0052340D"/>
    <w:rsid w:val="00523921"/>
    <w:rsid w:val="00525DAB"/>
    <w:rsid w:val="005265FF"/>
    <w:rsid w:val="00526D4E"/>
    <w:rsid w:val="00530417"/>
    <w:rsid w:val="00530883"/>
    <w:rsid w:val="00530BF9"/>
    <w:rsid w:val="005315DF"/>
    <w:rsid w:val="005318D3"/>
    <w:rsid w:val="005319EF"/>
    <w:rsid w:val="00531B3D"/>
    <w:rsid w:val="00533AA0"/>
    <w:rsid w:val="00534BA1"/>
    <w:rsid w:val="00535225"/>
    <w:rsid w:val="00535410"/>
    <w:rsid w:val="0053555D"/>
    <w:rsid w:val="00535F94"/>
    <w:rsid w:val="00536CA1"/>
    <w:rsid w:val="00537FCD"/>
    <w:rsid w:val="00540C15"/>
    <w:rsid w:val="0054122A"/>
    <w:rsid w:val="00541B1C"/>
    <w:rsid w:val="00542BD8"/>
    <w:rsid w:val="00542D5E"/>
    <w:rsid w:val="00544626"/>
    <w:rsid w:val="0054462A"/>
    <w:rsid w:val="00544A4E"/>
    <w:rsid w:val="0054637E"/>
    <w:rsid w:val="005464D6"/>
    <w:rsid w:val="00547AA0"/>
    <w:rsid w:val="00547B6B"/>
    <w:rsid w:val="00550459"/>
    <w:rsid w:val="0055077E"/>
    <w:rsid w:val="00551000"/>
    <w:rsid w:val="00553581"/>
    <w:rsid w:val="0055359A"/>
    <w:rsid w:val="00553D33"/>
    <w:rsid w:val="00553E33"/>
    <w:rsid w:val="0055455A"/>
    <w:rsid w:val="00555E49"/>
    <w:rsid w:val="00556123"/>
    <w:rsid w:val="005574BD"/>
    <w:rsid w:val="005602F4"/>
    <w:rsid w:val="00560DE9"/>
    <w:rsid w:val="005610CE"/>
    <w:rsid w:val="00562520"/>
    <w:rsid w:val="00563531"/>
    <w:rsid w:val="00563F1A"/>
    <w:rsid w:val="005645B7"/>
    <w:rsid w:val="00564C4B"/>
    <w:rsid w:val="00564D03"/>
    <w:rsid w:val="005651ED"/>
    <w:rsid w:val="005657BB"/>
    <w:rsid w:val="00566B97"/>
    <w:rsid w:val="00567159"/>
    <w:rsid w:val="00567781"/>
    <w:rsid w:val="00567EB7"/>
    <w:rsid w:val="005701EE"/>
    <w:rsid w:val="00570865"/>
    <w:rsid w:val="00570C2C"/>
    <w:rsid w:val="00571290"/>
    <w:rsid w:val="005714EB"/>
    <w:rsid w:val="005729E2"/>
    <w:rsid w:val="00572FAE"/>
    <w:rsid w:val="00573160"/>
    <w:rsid w:val="00573508"/>
    <w:rsid w:val="005741D2"/>
    <w:rsid w:val="00574F54"/>
    <w:rsid w:val="0057579B"/>
    <w:rsid w:val="00575B03"/>
    <w:rsid w:val="0057607E"/>
    <w:rsid w:val="005763D4"/>
    <w:rsid w:val="0057715C"/>
    <w:rsid w:val="005774C4"/>
    <w:rsid w:val="005777E4"/>
    <w:rsid w:val="00577C2D"/>
    <w:rsid w:val="00580199"/>
    <w:rsid w:val="00580F6A"/>
    <w:rsid w:val="00580F90"/>
    <w:rsid w:val="00582340"/>
    <w:rsid w:val="00583872"/>
    <w:rsid w:val="00583D45"/>
    <w:rsid w:val="00584B1C"/>
    <w:rsid w:val="005851F1"/>
    <w:rsid w:val="00585293"/>
    <w:rsid w:val="005858FA"/>
    <w:rsid w:val="005866BD"/>
    <w:rsid w:val="005871CC"/>
    <w:rsid w:val="00587226"/>
    <w:rsid w:val="00587DBC"/>
    <w:rsid w:val="00590D0C"/>
    <w:rsid w:val="00590E98"/>
    <w:rsid w:val="0059154F"/>
    <w:rsid w:val="00591638"/>
    <w:rsid w:val="005922B1"/>
    <w:rsid w:val="005927FC"/>
    <w:rsid w:val="00594A43"/>
    <w:rsid w:val="00595601"/>
    <w:rsid w:val="0059560D"/>
    <w:rsid w:val="00595692"/>
    <w:rsid w:val="00595ABE"/>
    <w:rsid w:val="0059683C"/>
    <w:rsid w:val="0059724C"/>
    <w:rsid w:val="00597C86"/>
    <w:rsid w:val="005A0EE4"/>
    <w:rsid w:val="005A2328"/>
    <w:rsid w:val="005A2508"/>
    <w:rsid w:val="005A332A"/>
    <w:rsid w:val="005A3AF9"/>
    <w:rsid w:val="005A6175"/>
    <w:rsid w:val="005A66FD"/>
    <w:rsid w:val="005A7D98"/>
    <w:rsid w:val="005B0588"/>
    <w:rsid w:val="005B1703"/>
    <w:rsid w:val="005B23B4"/>
    <w:rsid w:val="005B372E"/>
    <w:rsid w:val="005B44C1"/>
    <w:rsid w:val="005B4D3C"/>
    <w:rsid w:val="005B5214"/>
    <w:rsid w:val="005B6ADA"/>
    <w:rsid w:val="005B7087"/>
    <w:rsid w:val="005C08B8"/>
    <w:rsid w:val="005C101E"/>
    <w:rsid w:val="005C1496"/>
    <w:rsid w:val="005C171A"/>
    <w:rsid w:val="005C2BEB"/>
    <w:rsid w:val="005C426E"/>
    <w:rsid w:val="005C4526"/>
    <w:rsid w:val="005C47DF"/>
    <w:rsid w:val="005C497D"/>
    <w:rsid w:val="005C5867"/>
    <w:rsid w:val="005C5DFC"/>
    <w:rsid w:val="005C6421"/>
    <w:rsid w:val="005C66A6"/>
    <w:rsid w:val="005C6AAE"/>
    <w:rsid w:val="005C7604"/>
    <w:rsid w:val="005D0DA4"/>
    <w:rsid w:val="005D1A10"/>
    <w:rsid w:val="005D1D25"/>
    <w:rsid w:val="005D32FB"/>
    <w:rsid w:val="005D3918"/>
    <w:rsid w:val="005D42FC"/>
    <w:rsid w:val="005D46A0"/>
    <w:rsid w:val="005D65F1"/>
    <w:rsid w:val="005D7304"/>
    <w:rsid w:val="005D7AEC"/>
    <w:rsid w:val="005D7C00"/>
    <w:rsid w:val="005E1734"/>
    <w:rsid w:val="005E2037"/>
    <w:rsid w:val="005E2614"/>
    <w:rsid w:val="005E2BEF"/>
    <w:rsid w:val="005E342B"/>
    <w:rsid w:val="005E4781"/>
    <w:rsid w:val="005E6295"/>
    <w:rsid w:val="005E6A28"/>
    <w:rsid w:val="005E6E0A"/>
    <w:rsid w:val="005E76AB"/>
    <w:rsid w:val="005E773D"/>
    <w:rsid w:val="005E7906"/>
    <w:rsid w:val="005E7B48"/>
    <w:rsid w:val="005E7BCB"/>
    <w:rsid w:val="005E7DF9"/>
    <w:rsid w:val="005F0307"/>
    <w:rsid w:val="005F09C6"/>
    <w:rsid w:val="005F0C04"/>
    <w:rsid w:val="005F2645"/>
    <w:rsid w:val="005F4509"/>
    <w:rsid w:val="005F55A4"/>
    <w:rsid w:val="005F5988"/>
    <w:rsid w:val="005F6760"/>
    <w:rsid w:val="005F6C85"/>
    <w:rsid w:val="005F73CA"/>
    <w:rsid w:val="005F7872"/>
    <w:rsid w:val="006005F6"/>
    <w:rsid w:val="00600FE2"/>
    <w:rsid w:val="00601699"/>
    <w:rsid w:val="006018ED"/>
    <w:rsid w:val="00601ACF"/>
    <w:rsid w:val="00602915"/>
    <w:rsid w:val="006033E9"/>
    <w:rsid w:val="00603BFA"/>
    <w:rsid w:val="00604A52"/>
    <w:rsid w:val="006070EC"/>
    <w:rsid w:val="00607B0B"/>
    <w:rsid w:val="00611468"/>
    <w:rsid w:val="006114E2"/>
    <w:rsid w:val="00611533"/>
    <w:rsid w:val="006116C0"/>
    <w:rsid w:val="0061279E"/>
    <w:rsid w:val="00612DED"/>
    <w:rsid w:val="006131A4"/>
    <w:rsid w:val="00613875"/>
    <w:rsid w:val="00614526"/>
    <w:rsid w:val="00614BBF"/>
    <w:rsid w:val="00614E00"/>
    <w:rsid w:val="00615921"/>
    <w:rsid w:val="00616A53"/>
    <w:rsid w:val="006178C1"/>
    <w:rsid w:val="006201C1"/>
    <w:rsid w:val="006208AF"/>
    <w:rsid w:val="00620B49"/>
    <w:rsid w:val="006211BA"/>
    <w:rsid w:val="0062248B"/>
    <w:rsid w:val="00622A04"/>
    <w:rsid w:val="00622DD9"/>
    <w:rsid w:val="00624D5C"/>
    <w:rsid w:val="006250B4"/>
    <w:rsid w:val="00625242"/>
    <w:rsid w:val="0062536D"/>
    <w:rsid w:val="00626555"/>
    <w:rsid w:val="00626EBC"/>
    <w:rsid w:val="0062713E"/>
    <w:rsid w:val="00627219"/>
    <w:rsid w:val="00627A70"/>
    <w:rsid w:val="0063062E"/>
    <w:rsid w:val="00630C0E"/>
    <w:rsid w:val="006317C9"/>
    <w:rsid w:val="00632333"/>
    <w:rsid w:val="00632CF1"/>
    <w:rsid w:val="0063319A"/>
    <w:rsid w:val="0063337B"/>
    <w:rsid w:val="0063364D"/>
    <w:rsid w:val="00634BB8"/>
    <w:rsid w:val="00634D52"/>
    <w:rsid w:val="006353A9"/>
    <w:rsid w:val="00635485"/>
    <w:rsid w:val="0063637E"/>
    <w:rsid w:val="00641BA6"/>
    <w:rsid w:val="0064286A"/>
    <w:rsid w:val="00643C90"/>
    <w:rsid w:val="00644A15"/>
    <w:rsid w:val="00644A72"/>
    <w:rsid w:val="00644E94"/>
    <w:rsid w:val="006465FF"/>
    <w:rsid w:val="00646884"/>
    <w:rsid w:val="00646958"/>
    <w:rsid w:val="0064779F"/>
    <w:rsid w:val="006478A6"/>
    <w:rsid w:val="00647FD6"/>
    <w:rsid w:val="0065052E"/>
    <w:rsid w:val="00650C18"/>
    <w:rsid w:val="0065134A"/>
    <w:rsid w:val="006524DA"/>
    <w:rsid w:val="00653D43"/>
    <w:rsid w:val="00655A00"/>
    <w:rsid w:val="00656B05"/>
    <w:rsid w:val="0065702E"/>
    <w:rsid w:val="00657759"/>
    <w:rsid w:val="00657B12"/>
    <w:rsid w:val="0066038B"/>
    <w:rsid w:val="006620C9"/>
    <w:rsid w:val="0066435A"/>
    <w:rsid w:val="006649C8"/>
    <w:rsid w:val="00664A28"/>
    <w:rsid w:val="0066696D"/>
    <w:rsid w:val="00667FEF"/>
    <w:rsid w:val="00670335"/>
    <w:rsid w:val="00670342"/>
    <w:rsid w:val="006705D6"/>
    <w:rsid w:val="0067456A"/>
    <w:rsid w:val="00674855"/>
    <w:rsid w:val="00675031"/>
    <w:rsid w:val="006750E4"/>
    <w:rsid w:val="00675807"/>
    <w:rsid w:val="006776CD"/>
    <w:rsid w:val="006800B6"/>
    <w:rsid w:val="006802A2"/>
    <w:rsid w:val="006803BA"/>
    <w:rsid w:val="00680A99"/>
    <w:rsid w:val="00680B8E"/>
    <w:rsid w:val="00681AD9"/>
    <w:rsid w:val="00681BB2"/>
    <w:rsid w:val="00682040"/>
    <w:rsid w:val="006821B3"/>
    <w:rsid w:val="006822FD"/>
    <w:rsid w:val="00682531"/>
    <w:rsid w:val="0068313A"/>
    <w:rsid w:val="00683C21"/>
    <w:rsid w:val="006847AC"/>
    <w:rsid w:val="00684D9E"/>
    <w:rsid w:val="00685CB6"/>
    <w:rsid w:val="006868D5"/>
    <w:rsid w:val="00686B01"/>
    <w:rsid w:val="0068700C"/>
    <w:rsid w:val="00687DB0"/>
    <w:rsid w:val="00687FED"/>
    <w:rsid w:val="006903E6"/>
    <w:rsid w:val="00690466"/>
    <w:rsid w:val="00690985"/>
    <w:rsid w:val="00690B87"/>
    <w:rsid w:val="00690CF5"/>
    <w:rsid w:val="006910BF"/>
    <w:rsid w:val="00691FB0"/>
    <w:rsid w:val="00692127"/>
    <w:rsid w:val="00692ED8"/>
    <w:rsid w:val="00692FFB"/>
    <w:rsid w:val="00693087"/>
    <w:rsid w:val="006938E2"/>
    <w:rsid w:val="00694056"/>
    <w:rsid w:val="00694DB0"/>
    <w:rsid w:val="00695079"/>
    <w:rsid w:val="0069577B"/>
    <w:rsid w:val="006A14A6"/>
    <w:rsid w:val="006A25D9"/>
    <w:rsid w:val="006A2755"/>
    <w:rsid w:val="006A2764"/>
    <w:rsid w:val="006A33AD"/>
    <w:rsid w:val="006A343A"/>
    <w:rsid w:val="006A39D5"/>
    <w:rsid w:val="006A3EE8"/>
    <w:rsid w:val="006A43F4"/>
    <w:rsid w:val="006A6705"/>
    <w:rsid w:val="006A6A75"/>
    <w:rsid w:val="006A717A"/>
    <w:rsid w:val="006A76D8"/>
    <w:rsid w:val="006A7B57"/>
    <w:rsid w:val="006B0AC7"/>
    <w:rsid w:val="006B148F"/>
    <w:rsid w:val="006B23CE"/>
    <w:rsid w:val="006B2409"/>
    <w:rsid w:val="006B3991"/>
    <w:rsid w:val="006B3AA7"/>
    <w:rsid w:val="006B49B2"/>
    <w:rsid w:val="006B540C"/>
    <w:rsid w:val="006B6636"/>
    <w:rsid w:val="006B7282"/>
    <w:rsid w:val="006B7F5B"/>
    <w:rsid w:val="006C0A2E"/>
    <w:rsid w:val="006C19D2"/>
    <w:rsid w:val="006C2160"/>
    <w:rsid w:val="006C2810"/>
    <w:rsid w:val="006C3459"/>
    <w:rsid w:val="006C3CBD"/>
    <w:rsid w:val="006C3E70"/>
    <w:rsid w:val="006C44BA"/>
    <w:rsid w:val="006C4965"/>
    <w:rsid w:val="006C4B26"/>
    <w:rsid w:val="006C5A14"/>
    <w:rsid w:val="006C5ABA"/>
    <w:rsid w:val="006C6578"/>
    <w:rsid w:val="006C677D"/>
    <w:rsid w:val="006C67E1"/>
    <w:rsid w:val="006D0415"/>
    <w:rsid w:val="006D0F3B"/>
    <w:rsid w:val="006D21C6"/>
    <w:rsid w:val="006D2497"/>
    <w:rsid w:val="006D366B"/>
    <w:rsid w:val="006D372B"/>
    <w:rsid w:val="006D3C14"/>
    <w:rsid w:val="006D481C"/>
    <w:rsid w:val="006D498C"/>
    <w:rsid w:val="006D5053"/>
    <w:rsid w:val="006D5F28"/>
    <w:rsid w:val="006D692D"/>
    <w:rsid w:val="006D6B9C"/>
    <w:rsid w:val="006D6C84"/>
    <w:rsid w:val="006D6D11"/>
    <w:rsid w:val="006D732F"/>
    <w:rsid w:val="006D79BD"/>
    <w:rsid w:val="006E187A"/>
    <w:rsid w:val="006E1B8A"/>
    <w:rsid w:val="006E2117"/>
    <w:rsid w:val="006E2137"/>
    <w:rsid w:val="006E241E"/>
    <w:rsid w:val="006E2D2F"/>
    <w:rsid w:val="006E3566"/>
    <w:rsid w:val="006E3CFC"/>
    <w:rsid w:val="006E439A"/>
    <w:rsid w:val="006E5F42"/>
    <w:rsid w:val="006E6608"/>
    <w:rsid w:val="006E688D"/>
    <w:rsid w:val="006E7795"/>
    <w:rsid w:val="006E7EB1"/>
    <w:rsid w:val="006F08FB"/>
    <w:rsid w:val="006F1A80"/>
    <w:rsid w:val="006F390E"/>
    <w:rsid w:val="006F4F31"/>
    <w:rsid w:val="006F66F4"/>
    <w:rsid w:val="006F72DF"/>
    <w:rsid w:val="006F780A"/>
    <w:rsid w:val="006F7A86"/>
    <w:rsid w:val="006F7E01"/>
    <w:rsid w:val="007008CB"/>
    <w:rsid w:val="00700C7B"/>
    <w:rsid w:val="00700D92"/>
    <w:rsid w:val="007028EC"/>
    <w:rsid w:val="00704A0C"/>
    <w:rsid w:val="00705A50"/>
    <w:rsid w:val="00705E32"/>
    <w:rsid w:val="00706810"/>
    <w:rsid w:val="00706EB5"/>
    <w:rsid w:val="0070703E"/>
    <w:rsid w:val="00707BBD"/>
    <w:rsid w:val="00710F6F"/>
    <w:rsid w:val="0071107A"/>
    <w:rsid w:val="0071364F"/>
    <w:rsid w:val="007137F9"/>
    <w:rsid w:val="00714036"/>
    <w:rsid w:val="00714FA8"/>
    <w:rsid w:val="0071549E"/>
    <w:rsid w:val="0071637F"/>
    <w:rsid w:val="007178A4"/>
    <w:rsid w:val="0072014D"/>
    <w:rsid w:val="00720718"/>
    <w:rsid w:val="00720822"/>
    <w:rsid w:val="00720B1D"/>
    <w:rsid w:val="007214F6"/>
    <w:rsid w:val="00721638"/>
    <w:rsid w:val="00721C9C"/>
    <w:rsid w:val="007229B8"/>
    <w:rsid w:val="007233E2"/>
    <w:rsid w:val="00724295"/>
    <w:rsid w:val="00724E1C"/>
    <w:rsid w:val="00725B42"/>
    <w:rsid w:val="00725CF1"/>
    <w:rsid w:val="007260C1"/>
    <w:rsid w:val="007260CB"/>
    <w:rsid w:val="0072623B"/>
    <w:rsid w:val="00727ABC"/>
    <w:rsid w:val="00727B5E"/>
    <w:rsid w:val="00727C3D"/>
    <w:rsid w:val="007302C6"/>
    <w:rsid w:val="00730DE3"/>
    <w:rsid w:val="007319D7"/>
    <w:rsid w:val="00732545"/>
    <w:rsid w:val="0073274C"/>
    <w:rsid w:val="00732A8F"/>
    <w:rsid w:val="0073567A"/>
    <w:rsid w:val="0073588F"/>
    <w:rsid w:val="007360BF"/>
    <w:rsid w:val="00740104"/>
    <w:rsid w:val="00742340"/>
    <w:rsid w:val="00742B2F"/>
    <w:rsid w:val="00744190"/>
    <w:rsid w:val="00744ABE"/>
    <w:rsid w:val="00744AF1"/>
    <w:rsid w:val="007452C7"/>
    <w:rsid w:val="007454CE"/>
    <w:rsid w:val="007459E7"/>
    <w:rsid w:val="00746289"/>
    <w:rsid w:val="007468A6"/>
    <w:rsid w:val="007509D3"/>
    <w:rsid w:val="00751B91"/>
    <w:rsid w:val="00751D3E"/>
    <w:rsid w:val="00753233"/>
    <w:rsid w:val="00753BF7"/>
    <w:rsid w:val="007545C7"/>
    <w:rsid w:val="00755BDE"/>
    <w:rsid w:val="00757147"/>
    <w:rsid w:val="00757956"/>
    <w:rsid w:val="00757C2D"/>
    <w:rsid w:val="0076005C"/>
    <w:rsid w:val="00761365"/>
    <w:rsid w:val="0076186F"/>
    <w:rsid w:val="00761E1F"/>
    <w:rsid w:val="00762FFB"/>
    <w:rsid w:val="0076304B"/>
    <w:rsid w:val="007631ED"/>
    <w:rsid w:val="007635C1"/>
    <w:rsid w:val="00764A32"/>
    <w:rsid w:val="00764D41"/>
    <w:rsid w:val="00764F31"/>
    <w:rsid w:val="007650BA"/>
    <w:rsid w:val="007653E9"/>
    <w:rsid w:val="00765856"/>
    <w:rsid w:val="00766B42"/>
    <w:rsid w:val="0076762C"/>
    <w:rsid w:val="007677D8"/>
    <w:rsid w:val="00770965"/>
    <w:rsid w:val="00770D7B"/>
    <w:rsid w:val="007715DF"/>
    <w:rsid w:val="00771F4E"/>
    <w:rsid w:val="007727E0"/>
    <w:rsid w:val="00772D2D"/>
    <w:rsid w:val="00772DCB"/>
    <w:rsid w:val="00772FAF"/>
    <w:rsid w:val="0077309D"/>
    <w:rsid w:val="00773CA8"/>
    <w:rsid w:val="007746D7"/>
    <w:rsid w:val="00774DE2"/>
    <w:rsid w:val="00775D42"/>
    <w:rsid w:val="00776C6E"/>
    <w:rsid w:val="007770E2"/>
    <w:rsid w:val="00777B4D"/>
    <w:rsid w:val="00780069"/>
    <w:rsid w:val="007801C1"/>
    <w:rsid w:val="007804C2"/>
    <w:rsid w:val="0078070C"/>
    <w:rsid w:val="007810C5"/>
    <w:rsid w:val="007816BB"/>
    <w:rsid w:val="007824B9"/>
    <w:rsid w:val="00782D39"/>
    <w:rsid w:val="0078366D"/>
    <w:rsid w:val="00784541"/>
    <w:rsid w:val="00784A92"/>
    <w:rsid w:val="00786039"/>
    <w:rsid w:val="00786D09"/>
    <w:rsid w:val="00787533"/>
    <w:rsid w:val="007876EB"/>
    <w:rsid w:val="00787DDB"/>
    <w:rsid w:val="00790EDA"/>
    <w:rsid w:val="00790EEA"/>
    <w:rsid w:val="00792299"/>
    <w:rsid w:val="007933E4"/>
    <w:rsid w:val="00793696"/>
    <w:rsid w:val="0079450D"/>
    <w:rsid w:val="00794B11"/>
    <w:rsid w:val="00794F2A"/>
    <w:rsid w:val="007968CC"/>
    <w:rsid w:val="007969B0"/>
    <w:rsid w:val="007969C6"/>
    <w:rsid w:val="00796FB7"/>
    <w:rsid w:val="007978F3"/>
    <w:rsid w:val="00797A5F"/>
    <w:rsid w:val="007A0E32"/>
    <w:rsid w:val="007A1000"/>
    <w:rsid w:val="007A327D"/>
    <w:rsid w:val="007A3368"/>
    <w:rsid w:val="007A406F"/>
    <w:rsid w:val="007A43CA"/>
    <w:rsid w:val="007A6140"/>
    <w:rsid w:val="007A64BA"/>
    <w:rsid w:val="007A686A"/>
    <w:rsid w:val="007A72F9"/>
    <w:rsid w:val="007A7A2F"/>
    <w:rsid w:val="007B0138"/>
    <w:rsid w:val="007B04A9"/>
    <w:rsid w:val="007B16AC"/>
    <w:rsid w:val="007B1BBA"/>
    <w:rsid w:val="007B2705"/>
    <w:rsid w:val="007B287F"/>
    <w:rsid w:val="007B2CB3"/>
    <w:rsid w:val="007B3222"/>
    <w:rsid w:val="007B32BA"/>
    <w:rsid w:val="007B33BB"/>
    <w:rsid w:val="007B349B"/>
    <w:rsid w:val="007B3594"/>
    <w:rsid w:val="007B37B2"/>
    <w:rsid w:val="007B422E"/>
    <w:rsid w:val="007B4A6F"/>
    <w:rsid w:val="007B5347"/>
    <w:rsid w:val="007B536D"/>
    <w:rsid w:val="007B5B99"/>
    <w:rsid w:val="007B5DD4"/>
    <w:rsid w:val="007B6ADF"/>
    <w:rsid w:val="007B6D8F"/>
    <w:rsid w:val="007B6DD4"/>
    <w:rsid w:val="007B74B0"/>
    <w:rsid w:val="007B758B"/>
    <w:rsid w:val="007C0247"/>
    <w:rsid w:val="007C0EB7"/>
    <w:rsid w:val="007C2B94"/>
    <w:rsid w:val="007C2CC7"/>
    <w:rsid w:val="007C319D"/>
    <w:rsid w:val="007C321C"/>
    <w:rsid w:val="007C3737"/>
    <w:rsid w:val="007C3F58"/>
    <w:rsid w:val="007C4A94"/>
    <w:rsid w:val="007C660C"/>
    <w:rsid w:val="007C699A"/>
    <w:rsid w:val="007C6ED8"/>
    <w:rsid w:val="007C7107"/>
    <w:rsid w:val="007C71A7"/>
    <w:rsid w:val="007D07EB"/>
    <w:rsid w:val="007D119A"/>
    <w:rsid w:val="007D1EC6"/>
    <w:rsid w:val="007D2102"/>
    <w:rsid w:val="007D3411"/>
    <w:rsid w:val="007D345A"/>
    <w:rsid w:val="007D38EE"/>
    <w:rsid w:val="007D4300"/>
    <w:rsid w:val="007D48B9"/>
    <w:rsid w:val="007D4EDF"/>
    <w:rsid w:val="007D64F6"/>
    <w:rsid w:val="007D780F"/>
    <w:rsid w:val="007D7D80"/>
    <w:rsid w:val="007E000D"/>
    <w:rsid w:val="007E0ECB"/>
    <w:rsid w:val="007E3354"/>
    <w:rsid w:val="007E3423"/>
    <w:rsid w:val="007E37FD"/>
    <w:rsid w:val="007E45D9"/>
    <w:rsid w:val="007E4971"/>
    <w:rsid w:val="007E4E08"/>
    <w:rsid w:val="007E4EB9"/>
    <w:rsid w:val="007E53C3"/>
    <w:rsid w:val="007E596A"/>
    <w:rsid w:val="007E6141"/>
    <w:rsid w:val="007E6659"/>
    <w:rsid w:val="007E6AFE"/>
    <w:rsid w:val="007E72F5"/>
    <w:rsid w:val="007E77A0"/>
    <w:rsid w:val="007F0331"/>
    <w:rsid w:val="007F12A4"/>
    <w:rsid w:val="007F281D"/>
    <w:rsid w:val="007F2FAC"/>
    <w:rsid w:val="007F37EC"/>
    <w:rsid w:val="007F44B1"/>
    <w:rsid w:val="007F48EB"/>
    <w:rsid w:val="007F4D3D"/>
    <w:rsid w:val="007F5E8B"/>
    <w:rsid w:val="007F7B72"/>
    <w:rsid w:val="007F7C01"/>
    <w:rsid w:val="008003C7"/>
    <w:rsid w:val="008003D4"/>
    <w:rsid w:val="00802123"/>
    <w:rsid w:val="0080351D"/>
    <w:rsid w:val="00803985"/>
    <w:rsid w:val="00803E77"/>
    <w:rsid w:val="008045A1"/>
    <w:rsid w:val="00804796"/>
    <w:rsid w:val="00804EEB"/>
    <w:rsid w:val="00804FB8"/>
    <w:rsid w:val="008052DC"/>
    <w:rsid w:val="008061F4"/>
    <w:rsid w:val="008070E9"/>
    <w:rsid w:val="00807D52"/>
    <w:rsid w:val="00812202"/>
    <w:rsid w:val="00816921"/>
    <w:rsid w:val="00817828"/>
    <w:rsid w:val="008201AF"/>
    <w:rsid w:val="0082078D"/>
    <w:rsid w:val="008217A1"/>
    <w:rsid w:val="008239E8"/>
    <w:rsid w:val="00823C20"/>
    <w:rsid w:val="008264EB"/>
    <w:rsid w:val="00827493"/>
    <w:rsid w:val="00827924"/>
    <w:rsid w:val="008303F4"/>
    <w:rsid w:val="008303FB"/>
    <w:rsid w:val="00830743"/>
    <w:rsid w:val="00830756"/>
    <w:rsid w:val="0083193E"/>
    <w:rsid w:val="0083500B"/>
    <w:rsid w:val="00835F8D"/>
    <w:rsid w:val="00836D71"/>
    <w:rsid w:val="00836FA1"/>
    <w:rsid w:val="00837265"/>
    <w:rsid w:val="00837460"/>
    <w:rsid w:val="00837812"/>
    <w:rsid w:val="00837837"/>
    <w:rsid w:val="00837ADC"/>
    <w:rsid w:val="00837AFC"/>
    <w:rsid w:val="008405F4"/>
    <w:rsid w:val="00840AB7"/>
    <w:rsid w:val="00840BEB"/>
    <w:rsid w:val="00840F3D"/>
    <w:rsid w:val="00840FB4"/>
    <w:rsid w:val="008419B1"/>
    <w:rsid w:val="00841BF7"/>
    <w:rsid w:val="00842914"/>
    <w:rsid w:val="00844AD6"/>
    <w:rsid w:val="0084645D"/>
    <w:rsid w:val="0084659A"/>
    <w:rsid w:val="00847640"/>
    <w:rsid w:val="00847706"/>
    <w:rsid w:val="0084778D"/>
    <w:rsid w:val="00850A2A"/>
    <w:rsid w:val="0085148D"/>
    <w:rsid w:val="00851855"/>
    <w:rsid w:val="00851A0B"/>
    <w:rsid w:val="00852D08"/>
    <w:rsid w:val="00852E4F"/>
    <w:rsid w:val="008548F1"/>
    <w:rsid w:val="00854DBF"/>
    <w:rsid w:val="00854F00"/>
    <w:rsid w:val="0085513E"/>
    <w:rsid w:val="00856D1F"/>
    <w:rsid w:val="00857A72"/>
    <w:rsid w:val="00857F5A"/>
    <w:rsid w:val="008602AA"/>
    <w:rsid w:val="0086134D"/>
    <w:rsid w:val="0086184A"/>
    <w:rsid w:val="00861E99"/>
    <w:rsid w:val="0086249B"/>
    <w:rsid w:val="00862EB6"/>
    <w:rsid w:val="008632E3"/>
    <w:rsid w:val="00863691"/>
    <w:rsid w:val="00863B72"/>
    <w:rsid w:val="00863BBB"/>
    <w:rsid w:val="00863FEF"/>
    <w:rsid w:val="008649FD"/>
    <w:rsid w:val="00865630"/>
    <w:rsid w:val="008656D8"/>
    <w:rsid w:val="00865B69"/>
    <w:rsid w:val="0086649F"/>
    <w:rsid w:val="00867490"/>
    <w:rsid w:val="00867FF3"/>
    <w:rsid w:val="00870DCF"/>
    <w:rsid w:val="00871806"/>
    <w:rsid w:val="00871BFA"/>
    <w:rsid w:val="0087309B"/>
    <w:rsid w:val="00874381"/>
    <w:rsid w:val="00874A07"/>
    <w:rsid w:val="008764F2"/>
    <w:rsid w:val="00876F22"/>
    <w:rsid w:val="00877D79"/>
    <w:rsid w:val="00880983"/>
    <w:rsid w:val="00881332"/>
    <w:rsid w:val="00881818"/>
    <w:rsid w:val="00883142"/>
    <w:rsid w:val="0088322F"/>
    <w:rsid w:val="00883F67"/>
    <w:rsid w:val="008848CF"/>
    <w:rsid w:val="00884C94"/>
    <w:rsid w:val="00885090"/>
    <w:rsid w:val="00886AE5"/>
    <w:rsid w:val="0089064B"/>
    <w:rsid w:val="008915FC"/>
    <w:rsid w:val="008916EC"/>
    <w:rsid w:val="00891E03"/>
    <w:rsid w:val="00891E11"/>
    <w:rsid w:val="00891E58"/>
    <w:rsid w:val="00892156"/>
    <w:rsid w:val="00892943"/>
    <w:rsid w:val="008935D5"/>
    <w:rsid w:val="0089371C"/>
    <w:rsid w:val="00893F33"/>
    <w:rsid w:val="00897AA5"/>
    <w:rsid w:val="008A0513"/>
    <w:rsid w:val="008A0859"/>
    <w:rsid w:val="008A10F2"/>
    <w:rsid w:val="008A2422"/>
    <w:rsid w:val="008A3D63"/>
    <w:rsid w:val="008A431D"/>
    <w:rsid w:val="008A4AAE"/>
    <w:rsid w:val="008A58F9"/>
    <w:rsid w:val="008A75E9"/>
    <w:rsid w:val="008A7B9C"/>
    <w:rsid w:val="008B008A"/>
    <w:rsid w:val="008B0845"/>
    <w:rsid w:val="008B0D64"/>
    <w:rsid w:val="008B0F65"/>
    <w:rsid w:val="008B1CB0"/>
    <w:rsid w:val="008B29BD"/>
    <w:rsid w:val="008B2ABE"/>
    <w:rsid w:val="008B2E5D"/>
    <w:rsid w:val="008B4928"/>
    <w:rsid w:val="008B5539"/>
    <w:rsid w:val="008B6406"/>
    <w:rsid w:val="008B6F49"/>
    <w:rsid w:val="008C0564"/>
    <w:rsid w:val="008C0B6B"/>
    <w:rsid w:val="008C3A9D"/>
    <w:rsid w:val="008C4AB3"/>
    <w:rsid w:val="008C50A8"/>
    <w:rsid w:val="008C553F"/>
    <w:rsid w:val="008C5935"/>
    <w:rsid w:val="008C6976"/>
    <w:rsid w:val="008D126A"/>
    <w:rsid w:val="008D15FB"/>
    <w:rsid w:val="008D2172"/>
    <w:rsid w:val="008D23FA"/>
    <w:rsid w:val="008D28B9"/>
    <w:rsid w:val="008D2BCF"/>
    <w:rsid w:val="008D2DF4"/>
    <w:rsid w:val="008D3BFD"/>
    <w:rsid w:val="008D3EB3"/>
    <w:rsid w:val="008D46C1"/>
    <w:rsid w:val="008D4BE0"/>
    <w:rsid w:val="008D52AA"/>
    <w:rsid w:val="008D6F59"/>
    <w:rsid w:val="008D76DA"/>
    <w:rsid w:val="008D7785"/>
    <w:rsid w:val="008D7FCB"/>
    <w:rsid w:val="008E1860"/>
    <w:rsid w:val="008E40E1"/>
    <w:rsid w:val="008E411A"/>
    <w:rsid w:val="008E50D4"/>
    <w:rsid w:val="008E512B"/>
    <w:rsid w:val="008E5A2E"/>
    <w:rsid w:val="008E5D6A"/>
    <w:rsid w:val="008E69DE"/>
    <w:rsid w:val="008E79D8"/>
    <w:rsid w:val="008E7D91"/>
    <w:rsid w:val="008F0BEF"/>
    <w:rsid w:val="008F1DE1"/>
    <w:rsid w:val="008F2236"/>
    <w:rsid w:val="008F25E1"/>
    <w:rsid w:val="008F2B97"/>
    <w:rsid w:val="008F2C66"/>
    <w:rsid w:val="008F36DD"/>
    <w:rsid w:val="008F5EA1"/>
    <w:rsid w:val="008F6AEB"/>
    <w:rsid w:val="008F6BC5"/>
    <w:rsid w:val="008F716E"/>
    <w:rsid w:val="009004F1"/>
    <w:rsid w:val="00900B87"/>
    <w:rsid w:val="00901AB0"/>
    <w:rsid w:val="00901B30"/>
    <w:rsid w:val="00901C17"/>
    <w:rsid w:val="009021D3"/>
    <w:rsid w:val="0090291A"/>
    <w:rsid w:val="009030C8"/>
    <w:rsid w:val="009040BC"/>
    <w:rsid w:val="00904AB6"/>
    <w:rsid w:val="0090642E"/>
    <w:rsid w:val="00906D09"/>
    <w:rsid w:val="00906DD7"/>
    <w:rsid w:val="0091070C"/>
    <w:rsid w:val="00910990"/>
    <w:rsid w:val="0091137C"/>
    <w:rsid w:val="0091164D"/>
    <w:rsid w:val="00911944"/>
    <w:rsid w:val="009120CF"/>
    <w:rsid w:val="00912276"/>
    <w:rsid w:val="0091288A"/>
    <w:rsid w:val="00912D99"/>
    <w:rsid w:val="0091365D"/>
    <w:rsid w:val="00914126"/>
    <w:rsid w:val="00914267"/>
    <w:rsid w:val="009143BA"/>
    <w:rsid w:val="00914982"/>
    <w:rsid w:val="00915B70"/>
    <w:rsid w:val="00915EF6"/>
    <w:rsid w:val="00920B6B"/>
    <w:rsid w:val="00925341"/>
    <w:rsid w:val="00930167"/>
    <w:rsid w:val="00931F1A"/>
    <w:rsid w:val="0093267B"/>
    <w:rsid w:val="00932BD0"/>
    <w:rsid w:val="00933869"/>
    <w:rsid w:val="00933B8E"/>
    <w:rsid w:val="00933BC4"/>
    <w:rsid w:val="00934144"/>
    <w:rsid w:val="00934F93"/>
    <w:rsid w:val="00935C29"/>
    <w:rsid w:val="00936055"/>
    <w:rsid w:val="0093641B"/>
    <w:rsid w:val="00936A98"/>
    <w:rsid w:val="009373D6"/>
    <w:rsid w:val="00940563"/>
    <w:rsid w:val="00941565"/>
    <w:rsid w:val="009424A5"/>
    <w:rsid w:val="00942FCF"/>
    <w:rsid w:val="009436EC"/>
    <w:rsid w:val="00943E68"/>
    <w:rsid w:val="00944B22"/>
    <w:rsid w:val="009457F4"/>
    <w:rsid w:val="0094594F"/>
    <w:rsid w:val="00945F8D"/>
    <w:rsid w:val="0094609A"/>
    <w:rsid w:val="00947888"/>
    <w:rsid w:val="00950665"/>
    <w:rsid w:val="00950A05"/>
    <w:rsid w:val="009529CB"/>
    <w:rsid w:val="00953858"/>
    <w:rsid w:val="009547B8"/>
    <w:rsid w:val="0095580F"/>
    <w:rsid w:val="00955A45"/>
    <w:rsid w:val="00955FCB"/>
    <w:rsid w:val="00956AE6"/>
    <w:rsid w:val="00956C22"/>
    <w:rsid w:val="00960510"/>
    <w:rsid w:val="00961031"/>
    <w:rsid w:val="00961E99"/>
    <w:rsid w:val="00962F6F"/>
    <w:rsid w:val="0096337C"/>
    <w:rsid w:val="00964277"/>
    <w:rsid w:val="00971632"/>
    <w:rsid w:val="00971E25"/>
    <w:rsid w:val="00973B7E"/>
    <w:rsid w:val="00973F55"/>
    <w:rsid w:val="00973F5A"/>
    <w:rsid w:val="009744E4"/>
    <w:rsid w:val="009748D8"/>
    <w:rsid w:val="00974AD3"/>
    <w:rsid w:val="00975329"/>
    <w:rsid w:val="0097547F"/>
    <w:rsid w:val="00976217"/>
    <w:rsid w:val="009772D6"/>
    <w:rsid w:val="00977D26"/>
    <w:rsid w:val="00980251"/>
    <w:rsid w:val="009802E2"/>
    <w:rsid w:val="00980CD5"/>
    <w:rsid w:val="00981034"/>
    <w:rsid w:val="00981E53"/>
    <w:rsid w:val="00981E59"/>
    <w:rsid w:val="009833A3"/>
    <w:rsid w:val="0098399F"/>
    <w:rsid w:val="00983BF5"/>
    <w:rsid w:val="00985E02"/>
    <w:rsid w:val="00986694"/>
    <w:rsid w:val="00986BFF"/>
    <w:rsid w:val="00987698"/>
    <w:rsid w:val="0099096C"/>
    <w:rsid w:val="0099098C"/>
    <w:rsid w:val="00991143"/>
    <w:rsid w:val="00992A84"/>
    <w:rsid w:val="00993EF8"/>
    <w:rsid w:val="009949E5"/>
    <w:rsid w:val="00994F21"/>
    <w:rsid w:val="00996571"/>
    <w:rsid w:val="0099666D"/>
    <w:rsid w:val="00996EB7"/>
    <w:rsid w:val="009A007B"/>
    <w:rsid w:val="009A013D"/>
    <w:rsid w:val="009A08B4"/>
    <w:rsid w:val="009A1C06"/>
    <w:rsid w:val="009A263C"/>
    <w:rsid w:val="009A2806"/>
    <w:rsid w:val="009A2CDD"/>
    <w:rsid w:val="009A2F28"/>
    <w:rsid w:val="009A3ADD"/>
    <w:rsid w:val="009A4C00"/>
    <w:rsid w:val="009A5F90"/>
    <w:rsid w:val="009A7162"/>
    <w:rsid w:val="009A72BF"/>
    <w:rsid w:val="009A7AC5"/>
    <w:rsid w:val="009A7FEA"/>
    <w:rsid w:val="009B02AE"/>
    <w:rsid w:val="009B053D"/>
    <w:rsid w:val="009B0D62"/>
    <w:rsid w:val="009B0F8D"/>
    <w:rsid w:val="009B1331"/>
    <w:rsid w:val="009B1C0D"/>
    <w:rsid w:val="009B209F"/>
    <w:rsid w:val="009B210B"/>
    <w:rsid w:val="009B2598"/>
    <w:rsid w:val="009B2A61"/>
    <w:rsid w:val="009B373D"/>
    <w:rsid w:val="009B3E45"/>
    <w:rsid w:val="009B42DB"/>
    <w:rsid w:val="009B46EF"/>
    <w:rsid w:val="009B56C1"/>
    <w:rsid w:val="009B6008"/>
    <w:rsid w:val="009B64E3"/>
    <w:rsid w:val="009B69BB"/>
    <w:rsid w:val="009B6FD6"/>
    <w:rsid w:val="009B7D24"/>
    <w:rsid w:val="009C0A06"/>
    <w:rsid w:val="009C0E25"/>
    <w:rsid w:val="009C174B"/>
    <w:rsid w:val="009C1C3B"/>
    <w:rsid w:val="009C3408"/>
    <w:rsid w:val="009C3D96"/>
    <w:rsid w:val="009C3EBA"/>
    <w:rsid w:val="009C4DC8"/>
    <w:rsid w:val="009C50E3"/>
    <w:rsid w:val="009C52AF"/>
    <w:rsid w:val="009C755F"/>
    <w:rsid w:val="009D00F9"/>
    <w:rsid w:val="009D016C"/>
    <w:rsid w:val="009D1AD2"/>
    <w:rsid w:val="009D2546"/>
    <w:rsid w:val="009D26C1"/>
    <w:rsid w:val="009D2F00"/>
    <w:rsid w:val="009D3FE7"/>
    <w:rsid w:val="009D48E7"/>
    <w:rsid w:val="009D5EF0"/>
    <w:rsid w:val="009D609F"/>
    <w:rsid w:val="009D663E"/>
    <w:rsid w:val="009D6827"/>
    <w:rsid w:val="009E0F6F"/>
    <w:rsid w:val="009E11F0"/>
    <w:rsid w:val="009E1AC8"/>
    <w:rsid w:val="009E1F38"/>
    <w:rsid w:val="009E2ACB"/>
    <w:rsid w:val="009E38CD"/>
    <w:rsid w:val="009E3CC9"/>
    <w:rsid w:val="009E40E1"/>
    <w:rsid w:val="009E40F6"/>
    <w:rsid w:val="009E4253"/>
    <w:rsid w:val="009E44DB"/>
    <w:rsid w:val="009E5806"/>
    <w:rsid w:val="009E6673"/>
    <w:rsid w:val="009E6B78"/>
    <w:rsid w:val="009F037F"/>
    <w:rsid w:val="009F0570"/>
    <w:rsid w:val="009F20DA"/>
    <w:rsid w:val="009F3268"/>
    <w:rsid w:val="009F3730"/>
    <w:rsid w:val="009F3B4E"/>
    <w:rsid w:val="009F3E19"/>
    <w:rsid w:val="009F4BCB"/>
    <w:rsid w:val="009F5557"/>
    <w:rsid w:val="009F5589"/>
    <w:rsid w:val="009F65E7"/>
    <w:rsid w:val="009F6E77"/>
    <w:rsid w:val="009F7426"/>
    <w:rsid w:val="009F767F"/>
    <w:rsid w:val="00A0041F"/>
    <w:rsid w:val="00A0089F"/>
    <w:rsid w:val="00A008D8"/>
    <w:rsid w:val="00A019F0"/>
    <w:rsid w:val="00A01A61"/>
    <w:rsid w:val="00A01C6B"/>
    <w:rsid w:val="00A01E01"/>
    <w:rsid w:val="00A0288C"/>
    <w:rsid w:val="00A03ACC"/>
    <w:rsid w:val="00A042C9"/>
    <w:rsid w:val="00A047E2"/>
    <w:rsid w:val="00A04BC1"/>
    <w:rsid w:val="00A04DEF"/>
    <w:rsid w:val="00A050F6"/>
    <w:rsid w:val="00A0554C"/>
    <w:rsid w:val="00A05A7A"/>
    <w:rsid w:val="00A05C00"/>
    <w:rsid w:val="00A06182"/>
    <w:rsid w:val="00A0630A"/>
    <w:rsid w:val="00A079D2"/>
    <w:rsid w:val="00A079F6"/>
    <w:rsid w:val="00A07F75"/>
    <w:rsid w:val="00A07F99"/>
    <w:rsid w:val="00A104B7"/>
    <w:rsid w:val="00A10A1C"/>
    <w:rsid w:val="00A11C9A"/>
    <w:rsid w:val="00A15082"/>
    <w:rsid w:val="00A15121"/>
    <w:rsid w:val="00A164CC"/>
    <w:rsid w:val="00A17246"/>
    <w:rsid w:val="00A17D3A"/>
    <w:rsid w:val="00A20379"/>
    <w:rsid w:val="00A21B0A"/>
    <w:rsid w:val="00A220F3"/>
    <w:rsid w:val="00A24753"/>
    <w:rsid w:val="00A249B7"/>
    <w:rsid w:val="00A25B0C"/>
    <w:rsid w:val="00A25FFB"/>
    <w:rsid w:val="00A3034A"/>
    <w:rsid w:val="00A309D6"/>
    <w:rsid w:val="00A32DB1"/>
    <w:rsid w:val="00A33C99"/>
    <w:rsid w:val="00A34B91"/>
    <w:rsid w:val="00A35996"/>
    <w:rsid w:val="00A359C1"/>
    <w:rsid w:val="00A35D39"/>
    <w:rsid w:val="00A37865"/>
    <w:rsid w:val="00A37D70"/>
    <w:rsid w:val="00A407A8"/>
    <w:rsid w:val="00A40E03"/>
    <w:rsid w:val="00A4199A"/>
    <w:rsid w:val="00A419E4"/>
    <w:rsid w:val="00A430A6"/>
    <w:rsid w:val="00A440FC"/>
    <w:rsid w:val="00A44455"/>
    <w:rsid w:val="00A44720"/>
    <w:rsid w:val="00A4512D"/>
    <w:rsid w:val="00A45647"/>
    <w:rsid w:val="00A4565B"/>
    <w:rsid w:val="00A45B18"/>
    <w:rsid w:val="00A45DC6"/>
    <w:rsid w:val="00A47635"/>
    <w:rsid w:val="00A51E5A"/>
    <w:rsid w:val="00A52DE6"/>
    <w:rsid w:val="00A5395B"/>
    <w:rsid w:val="00A55457"/>
    <w:rsid w:val="00A56281"/>
    <w:rsid w:val="00A5712D"/>
    <w:rsid w:val="00A57BE6"/>
    <w:rsid w:val="00A60822"/>
    <w:rsid w:val="00A61350"/>
    <w:rsid w:val="00A61A8A"/>
    <w:rsid w:val="00A61DDD"/>
    <w:rsid w:val="00A6329F"/>
    <w:rsid w:val="00A63C14"/>
    <w:rsid w:val="00A63DD0"/>
    <w:rsid w:val="00A6447A"/>
    <w:rsid w:val="00A649CC"/>
    <w:rsid w:val="00A665CC"/>
    <w:rsid w:val="00A66614"/>
    <w:rsid w:val="00A705AF"/>
    <w:rsid w:val="00A70B58"/>
    <w:rsid w:val="00A72195"/>
    <w:rsid w:val="00A72254"/>
    <w:rsid w:val="00A729AC"/>
    <w:rsid w:val="00A72EFC"/>
    <w:rsid w:val="00A74054"/>
    <w:rsid w:val="00A7407E"/>
    <w:rsid w:val="00A744DC"/>
    <w:rsid w:val="00A74D2F"/>
    <w:rsid w:val="00A74EB6"/>
    <w:rsid w:val="00A75B58"/>
    <w:rsid w:val="00A75FBF"/>
    <w:rsid w:val="00A75FCB"/>
    <w:rsid w:val="00A76395"/>
    <w:rsid w:val="00A77349"/>
    <w:rsid w:val="00A77455"/>
    <w:rsid w:val="00A77B82"/>
    <w:rsid w:val="00A77CCB"/>
    <w:rsid w:val="00A8079A"/>
    <w:rsid w:val="00A80BA0"/>
    <w:rsid w:val="00A810AD"/>
    <w:rsid w:val="00A81D89"/>
    <w:rsid w:val="00A8281E"/>
    <w:rsid w:val="00A82971"/>
    <w:rsid w:val="00A84201"/>
    <w:rsid w:val="00A85154"/>
    <w:rsid w:val="00A86074"/>
    <w:rsid w:val="00A86D38"/>
    <w:rsid w:val="00A90344"/>
    <w:rsid w:val="00A91678"/>
    <w:rsid w:val="00A917DE"/>
    <w:rsid w:val="00A92061"/>
    <w:rsid w:val="00A92C75"/>
    <w:rsid w:val="00A92E12"/>
    <w:rsid w:val="00A931E2"/>
    <w:rsid w:val="00A93A18"/>
    <w:rsid w:val="00A946C6"/>
    <w:rsid w:val="00A94BC1"/>
    <w:rsid w:val="00A95761"/>
    <w:rsid w:val="00A95BB3"/>
    <w:rsid w:val="00A95C17"/>
    <w:rsid w:val="00A964DB"/>
    <w:rsid w:val="00A96ACC"/>
    <w:rsid w:val="00AA0B84"/>
    <w:rsid w:val="00AA1F36"/>
    <w:rsid w:val="00AA1F65"/>
    <w:rsid w:val="00AA2419"/>
    <w:rsid w:val="00AA2CCD"/>
    <w:rsid w:val="00AA3BF2"/>
    <w:rsid w:val="00AA3C06"/>
    <w:rsid w:val="00AA4089"/>
    <w:rsid w:val="00AA455D"/>
    <w:rsid w:val="00AA4584"/>
    <w:rsid w:val="00AA5895"/>
    <w:rsid w:val="00AA5CBC"/>
    <w:rsid w:val="00AA6575"/>
    <w:rsid w:val="00AA6628"/>
    <w:rsid w:val="00AA69A5"/>
    <w:rsid w:val="00AA6B38"/>
    <w:rsid w:val="00AA6DC2"/>
    <w:rsid w:val="00AA7934"/>
    <w:rsid w:val="00AA7B58"/>
    <w:rsid w:val="00AB0BDD"/>
    <w:rsid w:val="00AB1978"/>
    <w:rsid w:val="00AB32AA"/>
    <w:rsid w:val="00AB3B3D"/>
    <w:rsid w:val="00AB40AB"/>
    <w:rsid w:val="00AB43AF"/>
    <w:rsid w:val="00AB525B"/>
    <w:rsid w:val="00AB6542"/>
    <w:rsid w:val="00AB6685"/>
    <w:rsid w:val="00AB6A92"/>
    <w:rsid w:val="00AB6ED9"/>
    <w:rsid w:val="00AB6FC5"/>
    <w:rsid w:val="00AB7269"/>
    <w:rsid w:val="00AB7948"/>
    <w:rsid w:val="00AC0335"/>
    <w:rsid w:val="00AC079C"/>
    <w:rsid w:val="00AC0A19"/>
    <w:rsid w:val="00AC2182"/>
    <w:rsid w:val="00AC34EE"/>
    <w:rsid w:val="00AC3C5A"/>
    <w:rsid w:val="00AC42E3"/>
    <w:rsid w:val="00AC4F11"/>
    <w:rsid w:val="00AC57F1"/>
    <w:rsid w:val="00AC5F47"/>
    <w:rsid w:val="00AC5FC6"/>
    <w:rsid w:val="00AC64E6"/>
    <w:rsid w:val="00AC7668"/>
    <w:rsid w:val="00AC7768"/>
    <w:rsid w:val="00AC7D55"/>
    <w:rsid w:val="00AD0546"/>
    <w:rsid w:val="00AD068C"/>
    <w:rsid w:val="00AD118F"/>
    <w:rsid w:val="00AD1784"/>
    <w:rsid w:val="00AD1815"/>
    <w:rsid w:val="00AD2283"/>
    <w:rsid w:val="00AD3802"/>
    <w:rsid w:val="00AD3F3E"/>
    <w:rsid w:val="00AD40B2"/>
    <w:rsid w:val="00AD52A0"/>
    <w:rsid w:val="00AD587D"/>
    <w:rsid w:val="00AD58A0"/>
    <w:rsid w:val="00AD5C2C"/>
    <w:rsid w:val="00AD75C4"/>
    <w:rsid w:val="00AD7A2E"/>
    <w:rsid w:val="00AD7A70"/>
    <w:rsid w:val="00AD7F5E"/>
    <w:rsid w:val="00AE0EAE"/>
    <w:rsid w:val="00AE10F7"/>
    <w:rsid w:val="00AE15AF"/>
    <w:rsid w:val="00AE33B9"/>
    <w:rsid w:val="00AE4F74"/>
    <w:rsid w:val="00AE506C"/>
    <w:rsid w:val="00AE584E"/>
    <w:rsid w:val="00AE5FA5"/>
    <w:rsid w:val="00AE6239"/>
    <w:rsid w:val="00AE6587"/>
    <w:rsid w:val="00AE66C8"/>
    <w:rsid w:val="00AE681D"/>
    <w:rsid w:val="00AE69BD"/>
    <w:rsid w:val="00AE6A71"/>
    <w:rsid w:val="00AE6DE9"/>
    <w:rsid w:val="00AE7F05"/>
    <w:rsid w:val="00AF0B1A"/>
    <w:rsid w:val="00AF0F57"/>
    <w:rsid w:val="00AF19C7"/>
    <w:rsid w:val="00AF1A9F"/>
    <w:rsid w:val="00AF211A"/>
    <w:rsid w:val="00AF24DD"/>
    <w:rsid w:val="00AF2D2B"/>
    <w:rsid w:val="00AF305D"/>
    <w:rsid w:val="00AF32A4"/>
    <w:rsid w:val="00AF5178"/>
    <w:rsid w:val="00AF6154"/>
    <w:rsid w:val="00AF6F19"/>
    <w:rsid w:val="00AF77DC"/>
    <w:rsid w:val="00AF7A6D"/>
    <w:rsid w:val="00B001B6"/>
    <w:rsid w:val="00B00648"/>
    <w:rsid w:val="00B00966"/>
    <w:rsid w:val="00B00BDA"/>
    <w:rsid w:val="00B018A4"/>
    <w:rsid w:val="00B02B94"/>
    <w:rsid w:val="00B0390F"/>
    <w:rsid w:val="00B0509D"/>
    <w:rsid w:val="00B05124"/>
    <w:rsid w:val="00B06DED"/>
    <w:rsid w:val="00B06F87"/>
    <w:rsid w:val="00B07014"/>
    <w:rsid w:val="00B07812"/>
    <w:rsid w:val="00B1110C"/>
    <w:rsid w:val="00B11683"/>
    <w:rsid w:val="00B11C75"/>
    <w:rsid w:val="00B13B75"/>
    <w:rsid w:val="00B147E7"/>
    <w:rsid w:val="00B158F6"/>
    <w:rsid w:val="00B15DE9"/>
    <w:rsid w:val="00B16043"/>
    <w:rsid w:val="00B16AB2"/>
    <w:rsid w:val="00B178AD"/>
    <w:rsid w:val="00B204D4"/>
    <w:rsid w:val="00B215B8"/>
    <w:rsid w:val="00B21BA9"/>
    <w:rsid w:val="00B21E98"/>
    <w:rsid w:val="00B21EEE"/>
    <w:rsid w:val="00B22810"/>
    <w:rsid w:val="00B22B85"/>
    <w:rsid w:val="00B234D2"/>
    <w:rsid w:val="00B248F1"/>
    <w:rsid w:val="00B24DF4"/>
    <w:rsid w:val="00B24F8C"/>
    <w:rsid w:val="00B2665E"/>
    <w:rsid w:val="00B27656"/>
    <w:rsid w:val="00B276E8"/>
    <w:rsid w:val="00B27C10"/>
    <w:rsid w:val="00B30014"/>
    <w:rsid w:val="00B30E49"/>
    <w:rsid w:val="00B31A9D"/>
    <w:rsid w:val="00B32387"/>
    <w:rsid w:val="00B328AF"/>
    <w:rsid w:val="00B32DD1"/>
    <w:rsid w:val="00B337CA"/>
    <w:rsid w:val="00B3443B"/>
    <w:rsid w:val="00B3576B"/>
    <w:rsid w:val="00B35D45"/>
    <w:rsid w:val="00B3706E"/>
    <w:rsid w:val="00B3720C"/>
    <w:rsid w:val="00B378B7"/>
    <w:rsid w:val="00B37DC7"/>
    <w:rsid w:val="00B4083E"/>
    <w:rsid w:val="00B409DB"/>
    <w:rsid w:val="00B41409"/>
    <w:rsid w:val="00B415B4"/>
    <w:rsid w:val="00B41761"/>
    <w:rsid w:val="00B42851"/>
    <w:rsid w:val="00B435BF"/>
    <w:rsid w:val="00B45402"/>
    <w:rsid w:val="00B4540E"/>
    <w:rsid w:val="00B4559D"/>
    <w:rsid w:val="00B464F1"/>
    <w:rsid w:val="00B468D7"/>
    <w:rsid w:val="00B47076"/>
    <w:rsid w:val="00B5208D"/>
    <w:rsid w:val="00B527D9"/>
    <w:rsid w:val="00B535EB"/>
    <w:rsid w:val="00B53932"/>
    <w:rsid w:val="00B53D4C"/>
    <w:rsid w:val="00B5601A"/>
    <w:rsid w:val="00B5616A"/>
    <w:rsid w:val="00B565B9"/>
    <w:rsid w:val="00B56B37"/>
    <w:rsid w:val="00B56BA8"/>
    <w:rsid w:val="00B56E31"/>
    <w:rsid w:val="00B57B3B"/>
    <w:rsid w:val="00B57B79"/>
    <w:rsid w:val="00B6249B"/>
    <w:rsid w:val="00B62666"/>
    <w:rsid w:val="00B63B76"/>
    <w:rsid w:val="00B64251"/>
    <w:rsid w:val="00B650E4"/>
    <w:rsid w:val="00B6513C"/>
    <w:rsid w:val="00B65965"/>
    <w:rsid w:val="00B67913"/>
    <w:rsid w:val="00B67C25"/>
    <w:rsid w:val="00B67DE9"/>
    <w:rsid w:val="00B70B71"/>
    <w:rsid w:val="00B70C7A"/>
    <w:rsid w:val="00B7263F"/>
    <w:rsid w:val="00B72A2B"/>
    <w:rsid w:val="00B72C31"/>
    <w:rsid w:val="00B72F06"/>
    <w:rsid w:val="00B73620"/>
    <w:rsid w:val="00B73634"/>
    <w:rsid w:val="00B74551"/>
    <w:rsid w:val="00B74985"/>
    <w:rsid w:val="00B750DB"/>
    <w:rsid w:val="00B75616"/>
    <w:rsid w:val="00B76E74"/>
    <w:rsid w:val="00B774B8"/>
    <w:rsid w:val="00B77DB2"/>
    <w:rsid w:val="00B806E0"/>
    <w:rsid w:val="00B80E9A"/>
    <w:rsid w:val="00B81214"/>
    <w:rsid w:val="00B81826"/>
    <w:rsid w:val="00B81ED8"/>
    <w:rsid w:val="00B84650"/>
    <w:rsid w:val="00B8468D"/>
    <w:rsid w:val="00B860C8"/>
    <w:rsid w:val="00B862F6"/>
    <w:rsid w:val="00B86482"/>
    <w:rsid w:val="00B86DB6"/>
    <w:rsid w:val="00B87B79"/>
    <w:rsid w:val="00B90298"/>
    <w:rsid w:val="00B9048A"/>
    <w:rsid w:val="00B904F4"/>
    <w:rsid w:val="00B90DB4"/>
    <w:rsid w:val="00B9160E"/>
    <w:rsid w:val="00B91953"/>
    <w:rsid w:val="00B91A37"/>
    <w:rsid w:val="00B9286C"/>
    <w:rsid w:val="00B950C4"/>
    <w:rsid w:val="00B9511E"/>
    <w:rsid w:val="00B956D5"/>
    <w:rsid w:val="00B95A67"/>
    <w:rsid w:val="00B96AD5"/>
    <w:rsid w:val="00B970A3"/>
    <w:rsid w:val="00BA07CC"/>
    <w:rsid w:val="00BA0D25"/>
    <w:rsid w:val="00BA1080"/>
    <w:rsid w:val="00BA11C4"/>
    <w:rsid w:val="00BA1399"/>
    <w:rsid w:val="00BA1830"/>
    <w:rsid w:val="00BA27F1"/>
    <w:rsid w:val="00BA2C2A"/>
    <w:rsid w:val="00BA2EAA"/>
    <w:rsid w:val="00BA38CF"/>
    <w:rsid w:val="00BA3D51"/>
    <w:rsid w:val="00BA428F"/>
    <w:rsid w:val="00BA47E3"/>
    <w:rsid w:val="00BA4AEE"/>
    <w:rsid w:val="00BA4BA4"/>
    <w:rsid w:val="00BA7F59"/>
    <w:rsid w:val="00BB030B"/>
    <w:rsid w:val="00BB0C25"/>
    <w:rsid w:val="00BB143E"/>
    <w:rsid w:val="00BB26C5"/>
    <w:rsid w:val="00BB3497"/>
    <w:rsid w:val="00BB3BAC"/>
    <w:rsid w:val="00BB4023"/>
    <w:rsid w:val="00BB4285"/>
    <w:rsid w:val="00BB533E"/>
    <w:rsid w:val="00BB585D"/>
    <w:rsid w:val="00BB6415"/>
    <w:rsid w:val="00BB656E"/>
    <w:rsid w:val="00BB666B"/>
    <w:rsid w:val="00BB6E6E"/>
    <w:rsid w:val="00BB76E3"/>
    <w:rsid w:val="00BC07E4"/>
    <w:rsid w:val="00BC13FC"/>
    <w:rsid w:val="00BC17C9"/>
    <w:rsid w:val="00BC1C3B"/>
    <w:rsid w:val="00BC1F4A"/>
    <w:rsid w:val="00BC21D1"/>
    <w:rsid w:val="00BC3ED4"/>
    <w:rsid w:val="00BC3F75"/>
    <w:rsid w:val="00BC43F1"/>
    <w:rsid w:val="00BC5B3A"/>
    <w:rsid w:val="00BC5E48"/>
    <w:rsid w:val="00BC7403"/>
    <w:rsid w:val="00BC745F"/>
    <w:rsid w:val="00BD0C3A"/>
    <w:rsid w:val="00BD480C"/>
    <w:rsid w:val="00BD5443"/>
    <w:rsid w:val="00BD7546"/>
    <w:rsid w:val="00BE0AAD"/>
    <w:rsid w:val="00BE0B1B"/>
    <w:rsid w:val="00BE1B39"/>
    <w:rsid w:val="00BE1BD8"/>
    <w:rsid w:val="00BE2252"/>
    <w:rsid w:val="00BE2366"/>
    <w:rsid w:val="00BE26F9"/>
    <w:rsid w:val="00BE2F4E"/>
    <w:rsid w:val="00BE34F5"/>
    <w:rsid w:val="00BE4397"/>
    <w:rsid w:val="00BE536D"/>
    <w:rsid w:val="00BE64C0"/>
    <w:rsid w:val="00BE6985"/>
    <w:rsid w:val="00BE6FA4"/>
    <w:rsid w:val="00BE71C4"/>
    <w:rsid w:val="00BE74B0"/>
    <w:rsid w:val="00BE7A0E"/>
    <w:rsid w:val="00BE7A1F"/>
    <w:rsid w:val="00BF09D5"/>
    <w:rsid w:val="00BF1C5D"/>
    <w:rsid w:val="00BF2D7E"/>
    <w:rsid w:val="00BF3424"/>
    <w:rsid w:val="00BF356C"/>
    <w:rsid w:val="00BF3614"/>
    <w:rsid w:val="00BF3FD0"/>
    <w:rsid w:val="00BF46B7"/>
    <w:rsid w:val="00BF4DD6"/>
    <w:rsid w:val="00BF568A"/>
    <w:rsid w:val="00BF5A88"/>
    <w:rsid w:val="00BF603F"/>
    <w:rsid w:val="00BF63B9"/>
    <w:rsid w:val="00BF6527"/>
    <w:rsid w:val="00BF6F43"/>
    <w:rsid w:val="00C003AB"/>
    <w:rsid w:val="00C00CFC"/>
    <w:rsid w:val="00C0112C"/>
    <w:rsid w:val="00C01825"/>
    <w:rsid w:val="00C01B9C"/>
    <w:rsid w:val="00C0220C"/>
    <w:rsid w:val="00C02A99"/>
    <w:rsid w:val="00C044D3"/>
    <w:rsid w:val="00C06314"/>
    <w:rsid w:val="00C068ED"/>
    <w:rsid w:val="00C07936"/>
    <w:rsid w:val="00C111BE"/>
    <w:rsid w:val="00C112F6"/>
    <w:rsid w:val="00C11A65"/>
    <w:rsid w:val="00C1249F"/>
    <w:rsid w:val="00C12663"/>
    <w:rsid w:val="00C12F01"/>
    <w:rsid w:val="00C13672"/>
    <w:rsid w:val="00C14505"/>
    <w:rsid w:val="00C16994"/>
    <w:rsid w:val="00C16B8F"/>
    <w:rsid w:val="00C170FC"/>
    <w:rsid w:val="00C20562"/>
    <w:rsid w:val="00C20571"/>
    <w:rsid w:val="00C2139B"/>
    <w:rsid w:val="00C21856"/>
    <w:rsid w:val="00C21C4B"/>
    <w:rsid w:val="00C21D10"/>
    <w:rsid w:val="00C21E86"/>
    <w:rsid w:val="00C22B0D"/>
    <w:rsid w:val="00C23604"/>
    <w:rsid w:val="00C23C97"/>
    <w:rsid w:val="00C23E1D"/>
    <w:rsid w:val="00C24287"/>
    <w:rsid w:val="00C245A9"/>
    <w:rsid w:val="00C2502D"/>
    <w:rsid w:val="00C26102"/>
    <w:rsid w:val="00C27ADD"/>
    <w:rsid w:val="00C30592"/>
    <w:rsid w:val="00C30A8E"/>
    <w:rsid w:val="00C31839"/>
    <w:rsid w:val="00C31C79"/>
    <w:rsid w:val="00C327BF"/>
    <w:rsid w:val="00C33B29"/>
    <w:rsid w:val="00C33DF0"/>
    <w:rsid w:val="00C3489E"/>
    <w:rsid w:val="00C3752D"/>
    <w:rsid w:val="00C37DFA"/>
    <w:rsid w:val="00C37F17"/>
    <w:rsid w:val="00C4103A"/>
    <w:rsid w:val="00C41726"/>
    <w:rsid w:val="00C417B9"/>
    <w:rsid w:val="00C419F4"/>
    <w:rsid w:val="00C428AC"/>
    <w:rsid w:val="00C43404"/>
    <w:rsid w:val="00C436EE"/>
    <w:rsid w:val="00C43DEF"/>
    <w:rsid w:val="00C440C9"/>
    <w:rsid w:val="00C44BEF"/>
    <w:rsid w:val="00C45A52"/>
    <w:rsid w:val="00C46435"/>
    <w:rsid w:val="00C473E6"/>
    <w:rsid w:val="00C47A3E"/>
    <w:rsid w:val="00C47A7B"/>
    <w:rsid w:val="00C502ED"/>
    <w:rsid w:val="00C513BE"/>
    <w:rsid w:val="00C519B2"/>
    <w:rsid w:val="00C51AD3"/>
    <w:rsid w:val="00C51BE7"/>
    <w:rsid w:val="00C51C5D"/>
    <w:rsid w:val="00C53268"/>
    <w:rsid w:val="00C53C9E"/>
    <w:rsid w:val="00C542DB"/>
    <w:rsid w:val="00C55539"/>
    <w:rsid w:val="00C55DC9"/>
    <w:rsid w:val="00C562B6"/>
    <w:rsid w:val="00C56917"/>
    <w:rsid w:val="00C578F3"/>
    <w:rsid w:val="00C60766"/>
    <w:rsid w:val="00C60851"/>
    <w:rsid w:val="00C611E0"/>
    <w:rsid w:val="00C61782"/>
    <w:rsid w:val="00C62A0C"/>
    <w:rsid w:val="00C62EB8"/>
    <w:rsid w:val="00C63A47"/>
    <w:rsid w:val="00C64B0E"/>
    <w:rsid w:val="00C64C5C"/>
    <w:rsid w:val="00C64EEC"/>
    <w:rsid w:val="00C6507D"/>
    <w:rsid w:val="00C65117"/>
    <w:rsid w:val="00C6558C"/>
    <w:rsid w:val="00C65F6D"/>
    <w:rsid w:val="00C6769B"/>
    <w:rsid w:val="00C677CC"/>
    <w:rsid w:val="00C678EA"/>
    <w:rsid w:val="00C7070C"/>
    <w:rsid w:val="00C71133"/>
    <w:rsid w:val="00C7218C"/>
    <w:rsid w:val="00C72D40"/>
    <w:rsid w:val="00C7360C"/>
    <w:rsid w:val="00C7468D"/>
    <w:rsid w:val="00C74AD2"/>
    <w:rsid w:val="00C75812"/>
    <w:rsid w:val="00C77725"/>
    <w:rsid w:val="00C77992"/>
    <w:rsid w:val="00C80718"/>
    <w:rsid w:val="00C81467"/>
    <w:rsid w:val="00C81800"/>
    <w:rsid w:val="00C81BEC"/>
    <w:rsid w:val="00C81E53"/>
    <w:rsid w:val="00C82596"/>
    <w:rsid w:val="00C82888"/>
    <w:rsid w:val="00C835EF"/>
    <w:rsid w:val="00C838D0"/>
    <w:rsid w:val="00C8436F"/>
    <w:rsid w:val="00C84F5A"/>
    <w:rsid w:val="00C8504C"/>
    <w:rsid w:val="00C85AC8"/>
    <w:rsid w:val="00C86EFE"/>
    <w:rsid w:val="00C87E95"/>
    <w:rsid w:val="00C87E9C"/>
    <w:rsid w:val="00C90270"/>
    <w:rsid w:val="00C911AD"/>
    <w:rsid w:val="00C91CEA"/>
    <w:rsid w:val="00C92433"/>
    <w:rsid w:val="00C92B78"/>
    <w:rsid w:val="00C9316F"/>
    <w:rsid w:val="00C93235"/>
    <w:rsid w:val="00C95391"/>
    <w:rsid w:val="00C9580B"/>
    <w:rsid w:val="00C95B83"/>
    <w:rsid w:val="00C97E3B"/>
    <w:rsid w:val="00C97E83"/>
    <w:rsid w:val="00CA0D04"/>
    <w:rsid w:val="00CA1A00"/>
    <w:rsid w:val="00CA1B4E"/>
    <w:rsid w:val="00CA1F65"/>
    <w:rsid w:val="00CA2B2E"/>
    <w:rsid w:val="00CA3740"/>
    <w:rsid w:val="00CA44AC"/>
    <w:rsid w:val="00CA64DD"/>
    <w:rsid w:val="00CA66D2"/>
    <w:rsid w:val="00CA712A"/>
    <w:rsid w:val="00CA753B"/>
    <w:rsid w:val="00CA7723"/>
    <w:rsid w:val="00CB009E"/>
    <w:rsid w:val="00CB054A"/>
    <w:rsid w:val="00CB0684"/>
    <w:rsid w:val="00CB074E"/>
    <w:rsid w:val="00CB0D1F"/>
    <w:rsid w:val="00CB2727"/>
    <w:rsid w:val="00CB2958"/>
    <w:rsid w:val="00CB2C7D"/>
    <w:rsid w:val="00CB30FD"/>
    <w:rsid w:val="00CB37B6"/>
    <w:rsid w:val="00CB447F"/>
    <w:rsid w:val="00CB54F0"/>
    <w:rsid w:val="00CB5999"/>
    <w:rsid w:val="00CB5B1A"/>
    <w:rsid w:val="00CB610C"/>
    <w:rsid w:val="00CB6583"/>
    <w:rsid w:val="00CB687B"/>
    <w:rsid w:val="00CB721B"/>
    <w:rsid w:val="00CB733F"/>
    <w:rsid w:val="00CB73D8"/>
    <w:rsid w:val="00CC09FB"/>
    <w:rsid w:val="00CC1F04"/>
    <w:rsid w:val="00CC24D2"/>
    <w:rsid w:val="00CC2D49"/>
    <w:rsid w:val="00CC42E0"/>
    <w:rsid w:val="00CC5896"/>
    <w:rsid w:val="00CC5D41"/>
    <w:rsid w:val="00CC628B"/>
    <w:rsid w:val="00CC697B"/>
    <w:rsid w:val="00CD20FE"/>
    <w:rsid w:val="00CD232B"/>
    <w:rsid w:val="00CD32BF"/>
    <w:rsid w:val="00CD57FD"/>
    <w:rsid w:val="00CD58EC"/>
    <w:rsid w:val="00CD5BE6"/>
    <w:rsid w:val="00CD5ED5"/>
    <w:rsid w:val="00CE0BEE"/>
    <w:rsid w:val="00CE17AB"/>
    <w:rsid w:val="00CE1D0C"/>
    <w:rsid w:val="00CE2038"/>
    <w:rsid w:val="00CE2119"/>
    <w:rsid w:val="00CE30EA"/>
    <w:rsid w:val="00CE3343"/>
    <w:rsid w:val="00CE47D9"/>
    <w:rsid w:val="00CE4872"/>
    <w:rsid w:val="00CE4A6B"/>
    <w:rsid w:val="00CE4EEE"/>
    <w:rsid w:val="00CE5004"/>
    <w:rsid w:val="00CE5A24"/>
    <w:rsid w:val="00CE6E79"/>
    <w:rsid w:val="00CE7040"/>
    <w:rsid w:val="00CE7213"/>
    <w:rsid w:val="00CF017A"/>
    <w:rsid w:val="00CF1BB8"/>
    <w:rsid w:val="00CF3024"/>
    <w:rsid w:val="00CF6287"/>
    <w:rsid w:val="00CF640A"/>
    <w:rsid w:val="00CF7599"/>
    <w:rsid w:val="00D002DA"/>
    <w:rsid w:val="00D01B2C"/>
    <w:rsid w:val="00D01C5F"/>
    <w:rsid w:val="00D01E52"/>
    <w:rsid w:val="00D0297C"/>
    <w:rsid w:val="00D03B58"/>
    <w:rsid w:val="00D048C9"/>
    <w:rsid w:val="00D048F2"/>
    <w:rsid w:val="00D063C6"/>
    <w:rsid w:val="00D0728C"/>
    <w:rsid w:val="00D07F6B"/>
    <w:rsid w:val="00D105CC"/>
    <w:rsid w:val="00D1062B"/>
    <w:rsid w:val="00D10877"/>
    <w:rsid w:val="00D10FCC"/>
    <w:rsid w:val="00D11AD0"/>
    <w:rsid w:val="00D1279A"/>
    <w:rsid w:val="00D13CEF"/>
    <w:rsid w:val="00D13F57"/>
    <w:rsid w:val="00D1444D"/>
    <w:rsid w:val="00D160A5"/>
    <w:rsid w:val="00D17158"/>
    <w:rsid w:val="00D17693"/>
    <w:rsid w:val="00D17F99"/>
    <w:rsid w:val="00D217C3"/>
    <w:rsid w:val="00D222FF"/>
    <w:rsid w:val="00D22391"/>
    <w:rsid w:val="00D227A7"/>
    <w:rsid w:val="00D22ADD"/>
    <w:rsid w:val="00D235FA"/>
    <w:rsid w:val="00D24289"/>
    <w:rsid w:val="00D24922"/>
    <w:rsid w:val="00D24B49"/>
    <w:rsid w:val="00D256D6"/>
    <w:rsid w:val="00D26466"/>
    <w:rsid w:val="00D2737D"/>
    <w:rsid w:val="00D274CE"/>
    <w:rsid w:val="00D27528"/>
    <w:rsid w:val="00D27E33"/>
    <w:rsid w:val="00D30C3A"/>
    <w:rsid w:val="00D30D78"/>
    <w:rsid w:val="00D32185"/>
    <w:rsid w:val="00D32916"/>
    <w:rsid w:val="00D34887"/>
    <w:rsid w:val="00D349DF"/>
    <w:rsid w:val="00D34DC4"/>
    <w:rsid w:val="00D35241"/>
    <w:rsid w:val="00D35D62"/>
    <w:rsid w:val="00D36006"/>
    <w:rsid w:val="00D361C2"/>
    <w:rsid w:val="00D36543"/>
    <w:rsid w:val="00D37459"/>
    <w:rsid w:val="00D374F5"/>
    <w:rsid w:val="00D379BC"/>
    <w:rsid w:val="00D402B1"/>
    <w:rsid w:val="00D40CEA"/>
    <w:rsid w:val="00D42B9A"/>
    <w:rsid w:val="00D42FFA"/>
    <w:rsid w:val="00D4300B"/>
    <w:rsid w:val="00D43799"/>
    <w:rsid w:val="00D4545B"/>
    <w:rsid w:val="00D46562"/>
    <w:rsid w:val="00D469E4"/>
    <w:rsid w:val="00D46D1C"/>
    <w:rsid w:val="00D47A1D"/>
    <w:rsid w:val="00D518EA"/>
    <w:rsid w:val="00D51C76"/>
    <w:rsid w:val="00D5211F"/>
    <w:rsid w:val="00D52F48"/>
    <w:rsid w:val="00D52FD5"/>
    <w:rsid w:val="00D53C4C"/>
    <w:rsid w:val="00D53D96"/>
    <w:rsid w:val="00D53DF0"/>
    <w:rsid w:val="00D556A8"/>
    <w:rsid w:val="00D56D4A"/>
    <w:rsid w:val="00D56E4D"/>
    <w:rsid w:val="00D57296"/>
    <w:rsid w:val="00D60818"/>
    <w:rsid w:val="00D61C44"/>
    <w:rsid w:val="00D62139"/>
    <w:rsid w:val="00D62C5C"/>
    <w:rsid w:val="00D63300"/>
    <w:rsid w:val="00D6375D"/>
    <w:rsid w:val="00D646A7"/>
    <w:rsid w:val="00D6576C"/>
    <w:rsid w:val="00D66561"/>
    <w:rsid w:val="00D6668A"/>
    <w:rsid w:val="00D675CB"/>
    <w:rsid w:val="00D7090F"/>
    <w:rsid w:val="00D70DF9"/>
    <w:rsid w:val="00D716F4"/>
    <w:rsid w:val="00D71F65"/>
    <w:rsid w:val="00D72377"/>
    <w:rsid w:val="00D72BB1"/>
    <w:rsid w:val="00D73FE2"/>
    <w:rsid w:val="00D7465B"/>
    <w:rsid w:val="00D74695"/>
    <w:rsid w:val="00D75701"/>
    <w:rsid w:val="00D76FB9"/>
    <w:rsid w:val="00D77009"/>
    <w:rsid w:val="00D77422"/>
    <w:rsid w:val="00D80675"/>
    <w:rsid w:val="00D8109F"/>
    <w:rsid w:val="00D813E0"/>
    <w:rsid w:val="00D825AE"/>
    <w:rsid w:val="00D8331C"/>
    <w:rsid w:val="00D83C79"/>
    <w:rsid w:val="00D852E7"/>
    <w:rsid w:val="00D85CD2"/>
    <w:rsid w:val="00D86F90"/>
    <w:rsid w:val="00D8741A"/>
    <w:rsid w:val="00D87E52"/>
    <w:rsid w:val="00D90042"/>
    <w:rsid w:val="00D903F9"/>
    <w:rsid w:val="00D90F1C"/>
    <w:rsid w:val="00D9252D"/>
    <w:rsid w:val="00D92732"/>
    <w:rsid w:val="00D928A1"/>
    <w:rsid w:val="00D92E3B"/>
    <w:rsid w:val="00D93D16"/>
    <w:rsid w:val="00D93FF0"/>
    <w:rsid w:val="00D95E73"/>
    <w:rsid w:val="00D9627E"/>
    <w:rsid w:val="00D96327"/>
    <w:rsid w:val="00D96A20"/>
    <w:rsid w:val="00D975B4"/>
    <w:rsid w:val="00DA0BE0"/>
    <w:rsid w:val="00DA0C42"/>
    <w:rsid w:val="00DA0C5D"/>
    <w:rsid w:val="00DA119B"/>
    <w:rsid w:val="00DA1413"/>
    <w:rsid w:val="00DA1F00"/>
    <w:rsid w:val="00DA36C1"/>
    <w:rsid w:val="00DA43CF"/>
    <w:rsid w:val="00DA4A37"/>
    <w:rsid w:val="00DA53BA"/>
    <w:rsid w:val="00DA5A89"/>
    <w:rsid w:val="00DA77F8"/>
    <w:rsid w:val="00DB030A"/>
    <w:rsid w:val="00DB0DCB"/>
    <w:rsid w:val="00DB0F3C"/>
    <w:rsid w:val="00DB356A"/>
    <w:rsid w:val="00DB4131"/>
    <w:rsid w:val="00DB4569"/>
    <w:rsid w:val="00DB52B5"/>
    <w:rsid w:val="00DB541A"/>
    <w:rsid w:val="00DB5472"/>
    <w:rsid w:val="00DB580E"/>
    <w:rsid w:val="00DB5911"/>
    <w:rsid w:val="00DB5D49"/>
    <w:rsid w:val="00DB6798"/>
    <w:rsid w:val="00DB6D65"/>
    <w:rsid w:val="00DB7612"/>
    <w:rsid w:val="00DC0D24"/>
    <w:rsid w:val="00DC19EC"/>
    <w:rsid w:val="00DC243C"/>
    <w:rsid w:val="00DC2655"/>
    <w:rsid w:val="00DC2DE0"/>
    <w:rsid w:val="00DC30DE"/>
    <w:rsid w:val="00DC30E1"/>
    <w:rsid w:val="00DC3C63"/>
    <w:rsid w:val="00DC4226"/>
    <w:rsid w:val="00DC45AE"/>
    <w:rsid w:val="00DC5D5F"/>
    <w:rsid w:val="00DC6AF3"/>
    <w:rsid w:val="00DC6C50"/>
    <w:rsid w:val="00DC6C57"/>
    <w:rsid w:val="00DC6F44"/>
    <w:rsid w:val="00DD1B12"/>
    <w:rsid w:val="00DD1D03"/>
    <w:rsid w:val="00DD260B"/>
    <w:rsid w:val="00DD2D35"/>
    <w:rsid w:val="00DD2F80"/>
    <w:rsid w:val="00DD51FD"/>
    <w:rsid w:val="00DD5305"/>
    <w:rsid w:val="00DD54AD"/>
    <w:rsid w:val="00DD63D9"/>
    <w:rsid w:val="00DD7BD6"/>
    <w:rsid w:val="00DE1155"/>
    <w:rsid w:val="00DE1791"/>
    <w:rsid w:val="00DE1EC0"/>
    <w:rsid w:val="00DE1EDB"/>
    <w:rsid w:val="00DE27C5"/>
    <w:rsid w:val="00DE29DD"/>
    <w:rsid w:val="00DE33E7"/>
    <w:rsid w:val="00DE408B"/>
    <w:rsid w:val="00DE4B32"/>
    <w:rsid w:val="00DE55AB"/>
    <w:rsid w:val="00DE5838"/>
    <w:rsid w:val="00DE5AE9"/>
    <w:rsid w:val="00DE5D78"/>
    <w:rsid w:val="00DF0EB0"/>
    <w:rsid w:val="00DF111F"/>
    <w:rsid w:val="00DF12C1"/>
    <w:rsid w:val="00DF22FB"/>
    <w:rsid w:val="00DF238E"/>
    <w:rsid w:val="00DF458E"/>
    <w:rsid w:val="00DF4749"/>
    <w:rsid w:val="00DF5C3E"/>
    <w:rsid w:val="00DF6A06"/>
    <w:rsid w:val="00DF7DB3"/>
    <w:rsid w:val="00DF7E24"/>
    <w:rsid w:val="00E00F54"/>
    <w:rsid w:val="00E03074"/>
    <w:rsid w:val="00E0396F"/>
    <w:rsid w:val="00E04148"/>
    <w:rsid w:val="00E04A76"/>
    <w:rsid w:val="00E04EBF"/>
    <w:rsid w:val="00E056C9"/>
    <w:rsid w:val="00E05739"/>
    <w:rsid w:val="00E05F54"/>
    <w:rsid w:val="00E06AD1"/>
    <w:rsid w:val="00E072E7"/>
    <w:rsid w:val="00E075F1"/>
    <w:rsid w:val="00E077E1"/>
    <w:rsid w:val="00E10F48"/>
    <w:rsid w:val="00E1111E"/>
    <w:rsid w:val="00E115EC"/>
    <w:rsid w:val="00E11D63"/>
    <w:rsid w:val="00E122B4"/>
    <w:rsid w:val="00E13C5C"/>
    <w:rsid w:val="00E14BFF"/>
    <w:rsid w:val="00E14C3C"/>
    <w:rsid w:val="00E15DCE"/>
    <w:rsid w:val="00E16C95"/>
    <w:rsid w:val="00E2046D"/>
    <w:rsid w:val="00E20EA4"/>
    <w:rsid w:val="00E21168"/>
    <w:rsid w:val="00E213C8"/>
    <w:rsid w:val="00E21902"/>
    <w:rsid w:val="00E2193D"/>
    <w:rsid w:val="00E219AB"/>
    <w:rsid w:val="00E219ED"/>
    <w:rsid w:val="00E224D8"/>
    <w:rsid w:val="00E2321C"/>
    <w:rsid w:val="00E232AE"/>
    <w:rsid w:val="00E236C6"/>
    <w:rsid w:val="00E23E48"/>
    <w:rsid w:val="00E2453E"/>
    <w:rsid w:val="00E24FEB"/>
    <w:rsid w:val="00E25265"/>
    <w:rsid w:val="00E26F35"/>
    <w:rsid w:val="00E2716B"/>
    <w:rsid w:val="00E27C81"/>
    <w:rsid w:val="00E30844"/>
    <w:rsid w:val="00E308F7"/>
    <w:rsid w:val="00E32452"/>
    <w:rsid w:val="00E32773"/>
    <w:rsid w:val="00E32B43"/>
    <w:rsid w:val="00E33FE8"/>
    <w:rsid w:val="00E34383"/>
    <w:rsid w:val="00E349AA"/>
    <w:rsid w:val="00E34AA2"/>
    <w:rsid w:val="00E355CA"/>
    <w:rsid w:val="00E36C63"/>
    <w:rsid w:val="00E4004C"/>
    <w:rsid w:val="00E40AE2"/>
    <w:rsid w:val="00E40BB5"/>
    <w:rsid w:val="00E40F95"/>
    <w:rsid w:val="00E41425"/>
    <w:rsid w:val="00E416DE"/>
    <w:rsid w:val="00E41942"/>
    <w:rsid w:val="00E42076"/>
    <w:rsid w:val="00E42FC7"/>
    <w:rsid w:val="00E4312B"/>
    <w:rsid w:val="00E431E7"/>
    <w:rsid w:val="00E452A8"/>
    <w:rsid w:val="00E45D4A"/>
    <w:rsid w:val="00E464E0"/>
    <w:rsid w:val="00E467C8"/>
    <w:rsid w:val="00E46FF2"/>
    <w:rsid w:val="00E479E1"/>
    <w:rsid w:val="00E47F5A"/>
    <w:rsid w:val="00E50207"/>
    <w:rsid w:val="00E5063F"/>
    <w:rsid w:val="00E51F37"/>
    <w:rsid w:val="00E53E4D"/>
    <w:rsid w:val="00E54107"/>
    <w:rsid w:val="00E5473A"/>
    <w:rsid w:val="00E54ACC"/>
    <w:rsid w:val="00E55133"/>
    <w:rsid w:val="00E55839"/>
    <w:rsid w:val="00E56050"/>
    <w:rsid w:val="00E5778E"/>
    <w:rsid w:val="00E57E4B"/>
    <w:rsid w:val="00E60217"/>
    <w:rsid w:val="00E60CBE"/>
    <w:rsid w:val="00E60EE1"/>
    <w:rsid w:val="00E62140"/>
    <w:rsid w:val="00E62404"/>
    <w:rsid w:val="00E62C1E"/>
    <w:rsid w:val="00E6407A"/>
    <w:rsid w:val="00E655F5"/>
    <w:rsid w:val="00E65E78"/>
    <w:rsid w:val="00E66067"/>
    <w:rsid w:val="00E66586"/>
    <w:rsid w:val="00E675BF"/>
    <w:rsid w:val="00E67CA1"/>
    <w:rsid w:val="00E705E5"/>
    <w:rsid w:val="00E708F6"/>
    <w:rsid w:val="00E70980"/>
    <w:rsid w:val="00E70DFE"/>
    <w:rsid w:val="00E716B4"/>
    <w:rsid w:val="00E71E31"/>
    <w:rsid w:val="00E7213A"/>
    <w:rsid w:val="00E724B1"/>
    <w:rsid w:val="00E74AF0"/>
    <w:rsid w:val="00E75450"/>
    <w:rsid w:val="00E75C59"/>
    <w:rsid w:val="00E76792"/>
    <w:rsid w:val="00E76C10"/>
    <w:rsid w:val="00E76E98"/>
    <w:rsid w:val="00E775A2"/>
    <w:rsid w:val="00E7771C"/>
    <w:rsid w:val="00E7797A"/>
    <w:rsid w:val="00E80084"/>
    <w:rsid w:val="00E8040B"/>
    <w:rsid w:val="00E8095D"/>
    <w:rsid w:val="00E80B4B"/>
    <w:rsid w:val="00E818CD"/>
    <w:rsid w:val="00E81C8F"/>
    <w:rsid w:val="00E822AF"/>
    <w:rsid w:val="00E83406"/>
    <w:rsid w:val="00E834AE"/>
    <w:rsid w:val="00E83F24"/>
    <w:rsid w:val="00E848B6"/>
    <w:rsid w:val="00E86B67"/>
    <w:rsid w:val="00E86EBC"/>
    <w:rsid w:val="00E906E4"/>
    <w:rsid w:val="00E91AFD"/>
    <w:rsid w:val="00E91B37"/>
    <w:rsid w:val="00E924FF"/>
    <w:rsid w:val="00E926DB"/>
    <w:rsid w:val="00E92E31"/>
    <w:rsid w:val="00E93286"/>
    <w:rsid w:val="00E937A7"/>
    <w:rsid w:val="00E9454D"/>
    <w:rsid w:val="00E945CB"/>
    <w:rsid w:val="00E953CC"/>
    <w:rsid w:val="00E95503"/>
    <w:rsid w:val="00E95B28"/>
    <w:rsid w:val="00E95BA7"/>
    <w:rsid w:val="00E961A5"/>
    <w:rsid w:val="00E96E29"/>
    <w:rsid w:val="00E96E9C"/>
    <w:rsid w:val="00E973AF"/>
    <w:rsid w:val="00E97EC7"/>
    <w:rsid w:val="00E97FB3"/>
    <w:rsid w:val="00EA0C4B"/>
    <w:rsid w:val="00EA1B73"/>
    <w:rsid w:val="00EA1E2A"/>
    <w:rsid w:val="00EA4802"/>
    <w:rsid w:val="00EA56F4"/>
    <w:rsid w:val="00EA5742"/>
    <w:rsid w:val="00EA5E02"/>
    <w:rsid w:val="00EA5FD0"/>
    <w:rsid w:val="00EA700D"/>
    <w:rsid w:val="00EA7559"/>
    <w:rsid w:val="00EA7ECD"/>
    <w:rsid w:val="00EB0979"/>
    <w:rsid w:val="00EB1460"/>
    <w:rsid w:val="00EB159D"/>
    <w:rsid w:val="00EB1DBB"/>
    <w:rsid w:val="00EB36E1"/>
    <w:rsid w:val="00EB3B39"/>
    <w:rsid w:val="00EB4AE2"/>
    <w:rsid w:val="00EB6AAC"/>
    <w:rsid w:val="00EB7495"/>
    <w:rsid w:val="00EB74F6"/>
    <w:rsid w:val="00EB7959"/>
    <w:rsid w:val="00EB7CD0"/>
    <w:rsid w:val="00EC0810"/>
    <w:rsid w:val="00EC21AC"/>
    <w:rsid w:val="00EC26B7"/>
    <w:rsid w:val="00EC277F"/>
    <w:rsid w:val="00EC3503"/>
    <w:rsid w:val="00EC39EE"/>
    <w:rsid w:val="00EC501E"/>
    <w:rsid w:val="00EC5920"/>
    <w:rsid w:val="00EC5A88"/>
    <w:rsid w:val="00EC631F"/>
    <w:rsid w:val="00EC6434"/>
    <w:rsid w:val="00EC6BFE"/>
    <w:rsid w:val="00EC7F9A"/>
    <w:rsid w:val="00ED23CA"/>
    <w:rsid w:val="00ED3A34"/>
    <w:rsid w:val="00ED514B"/>
    <w:rsid w:val="00ED5908"/>
    <w:rsid w:val="00ED5DD1"/>
    <w:rsid w:val="00ED61A2"/>
    <w:rsid w:val="00ED6F47"/>
    <w:rsid w:val="00ED7324"/>
    <w:rsid w:val="00ED769C"/>
    <w:rsid w:val="00ED7BD0"/>
    <w:rsid w:val="00ED7EBA"/>
    <w:rsid w:val="00EE05E1"/>
    <w:rsid w:val="00EE06EB"/>
    <w:rsid w:val="00EE0BDB"/>
    <w:rsid w:val="00EE19B0"/>
    <w:rsid w:val="00EE1CA8"/>
    <w:rsid w:val="00EE356F"/>
    <w:rsid w:val="00EE397E"/>
    <w:rsid w:val="00EE39FC"/>
    <w:rsid w:val="00EE4732"/>
    <w:rsid w:val="00EE4BEB"/>
    <w:rsid w:val="00EE5D78"/>
    <w:rsid w:val="00EF04E2"/>
    <w:rsid w:val="00EF1250"/>
    <w:rsid w:val="00EF1C95"/>
    <w:rsid w:val="00EF1E5D"/>
    <w:rsid w:val="00EF29AD"/>
    <w:rsid w:val="00EF2A7A"/>
    <w:rsid w:val="00EF3674"/>
    <w:rsid w:val="00EF3728"/>
    <w:rsid w:val="00EF38C0"/>
    <w:rsid w:val="00EF4A65"/>
    <w:rsid w:val="00EF4C88"/>
    <w:rsid w:val="00EF54B4"/>
    <w:rsid w:val="00EF5A31"/>
    <w:rsid w:val="00EF5C37"/>
    <w:rsid w:val="00EF5C9F"/>
    <w:rsid w:val="00EF6BF5"/>
    <w:rsid w:val="00EF7480"/>
    <w:rsid w:val="00EF749C"/>
    <w:rsid w:val="00EF75A5"/>
    <w:rsid w:val="00EF7EBA"/>
    <w:rsid w:val="00F01007"/>
    <w:rsid w:val="00F0165F"/>
    <w:rsid w:val="00F02009"/>
    <w:rsid w:val="00F031D6"/>
    <w:rsid w:val="00F03385"/>
    <w:rsid w:val="00F0379E"/>
    <w:rsid w:val="00F03A8D"/>
    <w:rsid w:val="00F04D24"/>
    <w:rsid w:val="00F04EAC"/>
    <w:rsid w:val="00F055A8"/>
    <w:rsid w:val="00F05AE4"/>
    <w:rsid w:val="00F076A0"/>
    <w:rsid w:val="00F078B7"/>
    <w:rsid w:val="00F10827"/>
    <w:rsid w:val="00F11FF2"/>
    <w:rsid w:val="00F12825"/>
    <w:rsid w:val="00F12975"/>
    <w:rsid w:val="00F1304E"/>
    <w:rsid w:val="00F130C7"/>
    <w:rsid w:val="00F13D75"/>
    <w:rsid w:val="00F14042"/>
    <w:rsid w:val="00F14565"/>
    <w:rsid w:val="00F14B8F"/>
    <w:rsid w:val="00F1786C"/>
    <w:rsid w:val="00F204F1"/>
    <w:rsid w:val="00F20BFB"/>
    <w:rsid w:val="00F2109D"/>
    <w:rsid w:val="00F21C72"/>
    <w:rsid w:val="00F2207E"/>
    <w:rsid w:val="00F22E9A"/>
    <w:rsid w:val="00F23447"/>
    <w:rsid w:val="00F23892"/>
    <w:rsid w:val="00F238F2"/>
    <w:rsid w:val="00F23E1D"/>
    <w:rsid w:val="00F23EF2"/>
    <w:rsid w:val="00F244DE"/>
    <w:rsid w:val="00F24549"/>
    <w:rsid w:val="00F24931"/>
    <w:rsid w:val="00F24E78"/>
    <w:rsid w:val="00F264B0"/>
    <w:rsid w:val="00F27185"/>
    <w:rsid w:val="00F30406"/>
    <w:rsid w:val="00F311A7"/>
    <w:rsid w:val="00F3223A"/>
    <w:rsid w:val="00F32AA2"/>
    <w:rsid w:val="00F32F60"/>
    <w:rsid w:val="00F332B3"/>
    <w:rsid w:val="00F33D17"/>
    <w:rsid w:val="00F33EAA"/>
    <w:rsid w:val="00F343A2"/>
    <w:rsid w:val="00F345B6"/>
    <w:rsid w:val="00F34D63"/>
    <w:rsid w:val="00F34DDD"/>
    <w:rsid w:val="00F34EE5"/>
    <w:rsid w:val="00F3510A"/>
    <w:rsid w:val="00F3582A"/>
    <w:rsid w:val="00F35975"/>
    <w:rsid w:val="00F35B5F"/>
    <w:rsid w:val="00F404AD"/>
    <w:rsid w:val="00F4073F"/>
    <w:rsid w:val="00F41C35"/>
    <w:rsid w:val="00F41DEB"/>
    <w:rsid w:val="00F41E9B"/>
    <w:rsid w:val="00F42608"/>
    <w:rsid w:val="00F42B4F"/>
    <w:rsid w:val="00F43425"/>
    <w:rsid w:val="00F45069"/>
    <w:rsid w:val="00F4515B"/>
    <w:rsid w:val="00F45FB3"/>
    <w:rsid w:val="00F463EC"/>
    <w:rsid w:val="00F46944"/>
    <w:rsid w:val="00F46C57"/>
    <w:rsid w:val="00F47AF8"/>
    <w:rsid w:val="00F50732"/>
    <w:rsid w:val="00F51C73"/>
    <w:rsid w:val="00F53695"/>
    <w:rsid w:val="00F549D7"/>
    <w:rsid w:val="00F556DB"/>
    <w:rsid w:val="00F5586A"/>
    <w:rsid w:val="00F55FE3"/>
    <w:rsid w:val="00F560D5"/>
    <w:rsid w:val="00F566CA"/>
    <w:rsid w:val="00F5790E"/>
    <w:rsid w:val="00F6048E"/>
    <w:rsid w:val="00F604FC"/>
    <w:rsid w:val="00F60B6D"/>
    <w:rsid w:val="00F60D12"/>
    <w:rsid w:val="00F60F2B"/>
    <w:rsid w:val="00F6186E"/>
    <w:rsid w:val="00F61D0A"/>
    <w:rsid w:val="00F63CDB"/>
    <w:rsid w:val="00F65E41"/>
    <w:rsid w:val="00F66AEB"/>
    <w:rsid w:val="00F670EC"/>
    <w:rsid w:val="00F71CA9"/>
    <w:rsid w:val="00F72CEB"/>
    <w:rsid w:val="00F73D95"/>
    <w:rsid w:val="00F748B7"/>
    <w:rsid w:val="00F74E80"/>
    <w:rsid w:val="00F7557F"/>
    <w:rsid w:val="00F75DE9"/>
    <w:rsid w:val="00F762C3"/>
    <w:rsid w:val="00F770EF"/>
    <w:rsid w:val="00F80C28"/>
    <w:rsid w:val="00F813A3"/>
    <w:rsid w:val="00F8197B"/>
    <w:rsid w:val="00F824FC"/>
    <w:rsid w:val="00F82869"/>
    <w:rsid w:val="00F842F6"/>
    <w:rsid w:val="00F85B41"/>
    <w:rsid w:val="00F86414"/>
    <w:rsid w:val="00F86777"/>
    <w:rsid w:val="00F86918"/>
    <w:rsid w:val="00F87937"/>
    <w:rsid w:val="00F879B8"/>
    <w:rsid w:val="00F87FA0"/>
    <w:rsid w:val="00F90903"/>
    <w:rsid w:val="00F90B36"/>
    <w:rsid w:val="00F9154E"/>
    <w:rsid w:val="00F91D6A"/>
    <w:rsid w:val="00F92BF1"/>
    <w:rsid w:val="00F92DB7"/>
    <w:rsid w:val="00F93018"/>
    <w:rsid w:val="00F93FB1"/>
    <w:rsid w:val="00F94C88"/>
    <w:rsid w:val="00F95769"/>
    <w:rsid w:val="00F96219"/>
    <w:rsid w:val="00F966E2"/>
    <w:rsid w:val="00F979B5"/>
    <w:rsid w:val="00FA1577"/>
    <w:rsid w:val="00FA225A"/>
    <w:rsid w:val="00FA2F00"/>
    <w:rsid w:val="00FA37AD"/>
    <w:rsid w:val="00FA4777"/>
    <w:rsid w:val="00FA4F3B"/>
    <w:rsid w:val="00FA5C67"/>
    <w:rsid w:val="00FA5D5C"/>
    <w:rsid w:val="00FA653B"/>
    <w:rsid w:val="00FA6D8D"/>
    <w:rsid w:val="00FA7026"/>
    <w:rsid w:val="00FA72B6"/>
    <w:rsid w:val="00FA7FD9"/>
    <w:rsid w:val="00FB005D"/>
    <w:rsid w:val="00FB0187"/>
    <w:rsid w:val="00FB082A"/>
    <w:rsid w:val="00FB10CE"/>
    <w:rsid w:val="00FB1162"/>
    <w:rsid w:val="00FB289B"/>
    <w:rsid w:val="00FB3827"/>
    <w:rsid w:val="00FB400F"/>
    <w:rsid w:val="00FB428D"/>
    <w:rsid w:val="00FB44F3"/>
    <w:rsid w:val="00FB504B"/>
    <w:rsid w:val="00FB5F29"/>
    <w:rsid w:val="00FC071F"/>
    <w:rsid w:val="00FC095D"/>
    <w:rsid w:val="00FC1264"/>
    <w:rsid w:val="00FC1842"/>
    <w:rsid w:val="00FC389B"/>
    <w:rsid w:val="00FC4652"/>
    <w:rsid w:val="00FC4E36"/>
    <w:rsid w:val="00FC5067"/>
    <w:rsid w:val="00FC544B"/>
    <w:rsid w:val="00FC5F7C"/>
    <w:rsid w:val="00FC6165"/>
    <w:rsid w:val="00FC712B"/>
    <w:rsid w:val="00FC734F"/>
    <w:rsid w:val="00FC7F5D"/>
    <w:rsid w:val="00FD0B58"/>
    <w:rsid w:val="00FD260F"/>
    <w:rsid w:val="00FD2A28"/>
    <w:rsid w:val="00FD34F6"/>
    <w:rsid w:val="00FD361E"/>
    <w:rsid w:val="00FD3B30"/>
    <w:rsid w:val="00FD4E0F"/>
    <w:rsid w:val="00FD60EF"/>
    <w:rsid w:val="00FD6794"/>
    <w:rsid w:val="00FD68DB"/>
    <w:rsid w:val="00FD72A6"/>
    <w:rsid w:val="00FD7ABA"/>
    <w:rsid w:val="00FD7AE8"/>
    <w:rsid w:val="00FD7B12"/>
    <w:rsid w:val="00FE039F"/>
    <w:rsid w:val="00FE0A89"/>
    <w:rsid w:val="00FE1A40"/>
    <w:rsid w:val="00FE1A74"/>
    <w:rsid w:val="00FE2342"/>
    <w:rsid w:val="00FE4023"/>
    <w:rsid w:val="00FE4B54"/>
    <w:rsid w:val="00FE5545"/>
    <w:rsid w:val="00FE59AE"/>
    <w:rsid w:val="00FE5CA3"/>
    <w:rsid w:val="00FE5CD4"/>
    <w:rsid w:val="00FE63CE"/>
    <w:rsid w:val="00FE6797"/>
    <w:rsid w:val="00FE69C2"/>
    <w:rsid w:val="00FE6B5A"/>
    <w:rsid w:val="00FE7B60"/>
    <w:rsid w:val="00FF092B"/>
    <w:rsid w:val="00FF0EFE"/>
    <w:rsid w:val="00FF0FA6"/>
    <w:rsid w:val="00FF112F"/>
    <w:rsid w:val="00FF1CAD"/>
    <w:rsid w:val="00FF2D2B"/>
    <w:rsid w:val="00FF3602"/>
    <w:rsid w:val="00FF4686"/>
    <w:rsid w:val="00FF46FC"/>
    <w:rsid w:val="00FF4C3A"/>
    <w:rsid w:val="00FF7F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14B575"/>
  <w15:docId w15:val="{C4D0801C-2A26-4195-ACA3-9D9AFF8D5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6">
    <w:lsdException w:name="Normal" w:locked="0" w:uiPriority="0" w:qFormat="1"/>
    <w:lsdException w:name="heading 1" w:locked="0" w:uiPriority="0" w:qFormat="1"/>
    <w:lsdException w:name="heading 2" w:locked="0" w:uiPriority="0" w:qFormat="1"/>
    <w:lsdException w:name="heading 3" w:locked="0" w:uiPriority="0" w:qFormat="1"/>
    <w:lsdException w:name="heading 4" w:locked="0" w:uiPriority="0" w:qFormat="1"/>
    <w:lsdException w:name="heading 5" w:locked="0" w:uiPriority="0" w:qFormat="1"/>
    <w:lsdException w:name="heading 6" w:uiPriority="0"/>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iPriority="99" w:unhideWhenUsed="1"/>
    <w:lsdException w:name="header" w:semiHidden="1" w:uiPriority="0" w:unhideWhenUsed="1"/>
    <w:lsdException w:name="footer" w:locked="0"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0"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5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locked="0"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Reference" w:uiPriority="32" w:qFormat="1"/>
    <w:lsdException w:name="Bibliography" w:semiHidden="1"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E05E1"/>
    <w:pPr>
      <w:spacing w:after="200"/>
    </w:pPr>
  </w:style>
  <w:style w:type="paragraph" w:styleId="Heading1">
    <w:name w:val="heading 1"/>
    <w:basedOn w:val="Normal"/>
    <w:next w:val="Normal"/>
    <w:qFormat/>
    <w:rsid w:val="00A15082"/>
    <w:pPr>
      <w:keepNext/>
      <w:spacing w:before="240" w:after="240"/>
      <w:outlineLvl w:val="0"/>
    </w:pPr>
    <w:rPr>
      <w:rFonts w:cs="Arial"/>
      <w:b/>
      <w:bCs/>
      <w:color w:val="1178A2"/>
      <w:kern w:val="28"/>
      <w:sz w:val="40"/>
      <w:szCs w:val="32"/>
    </w:rPr>
  </w:style>
  <w:style w:type="paragraph" w:styleId="Heading2">
    <w:name w:val="heading 2"/>
    <w:basedOn w:val="Heading1"/>
    <w:next w:val="Normal"/>
    <w:qFormat/>
    <w:rsid w:val="00A15082"/>
    <w:pPr>
      <w:outlineLvl w:val="1"/>
    </w:pPr>
    <w:rPr>
      <w:bCs w:val="0"/>
      <w:iCs/>
      <w:sz w:val="32"/>
      <w:szCs w:val="28"/>
    </w:rPr>
  </w:style>
  <w:style w:type="paragraph" w:styleId="Heading3">
    <w:name w:val="heading 3"/>
    <w:basedOn w:val="Heading2"/>
    <w:next w:val="Normal"/>
    <w:link w:val="Heading3Char"/>
    <w:qFormat/>
    <w:rsid w:val="003F437C"/>
    <w:pPr>
      <w:outlineLvl w:val="2"/>
    </w:pPr>
    <w:rPr>
      <w:bCs/>
      <w:color w:val="DC5827" w:themeColor="accent5"/>
      <w:sz w:val="28"/>
      <w:szCs w:val="26"/>
    </w:rPr>
  </w:style>
  <w:style w:type="paragraph" w:styleId="Heading4">
    <w:name w:val="heading 4"/>
    <w:basedOn w:val="Normal"/>
    <w:next w:val="Normal"/>
    <w:link w:val="Heading4Char"/>
    <w:qFormat/>
    <w:rsid w:val="00A15082"/>
    <w:pPr>
      <w:keepNext/>
      <w:spacing w:before="240" w:after="60"/>
      <w:outlineLvl w:val="3"/>
    </w:pPr>
    <w:rPr>
      <w:b/>
      <w:bCs/>
      <w:color w:val="404040" w:themeColor="text1" w:themeTint="BF"/>
      <w:sz w:val="26"/>
      <w:szCs w:val="26"/>
    </w:rPr>
  </w:style>
  <w:style w:type="paragraph" w:styleId="Heading5">
    <w:name w:val="heading 5"/>
    <w:basedOn w:val="Normal"/>
    <w:next w:val="Normal"/>
    <w:link w:val="Heading5Char"/>
    <w:qFormat/>
    <w:rsid w:val="00A15082"/>
    <w:pPr>
      <w:keepNext/>
      <w:spacing w:before="240" w:after="60"/>
      <w:outlineLvl w:val="4"/>
    </w:pPr>
    <w:rPr>
      <w:b/>
      <w:bCs/>
      <w:iCs/>
      <w:color w:val="404040" w:themeColor="text1" w:themeTint="BF"/>
      <w:sz w:val="24"/>
    </w:rPr>
  </w:style>
  <w:style w:type="paragraph" w:styleId="Heading6">
    <w:name w:val="heading 6"/>
    <w:basedOn w:val="Normal"/>
    <w:next w:val="Normal"/>
    <w:uiPriority w:val="98"/>
    <w:locked/>
    <w:rsid w:val="00A705AF"/>
    <w:pPr>
      <w:keepNext/>
      <w:spacing w:before="240" w:after="60"/>
      <w:outlineLvl w:val="5"/>
    </w:pPr>
    <w:rPr>
      <w:b/>
      <w:bCs/>
      <w:i/>
    </w:rPr>
  </w:style>
  <w:style w:type="paragraph" w:styleId="Heading7">
    <w:name w:val="heading 7"/>
    <w:basedOn w:val="Normal"/>
    <w:next w:val="Normal"/>
    <w:link w:val="Heading7Char"/>
    <w:uiPriority w:val="98"/>
    <w:semiHidden/>
    <w:unhideWhenUsed/>
    <w:qFormat/>
    <w:locked/>
    <w:rsid w:val="00D77422"/>
    <w:pPr>
      <w:keepNext/>
      <w:keepLines/>
      <w:spacing w:before="40" w:after="0"/>
      <w:outlineLvl w:val="6"/>
    </w:pPr>
    <w:rPr>
      <w:rFonts w:asciiTheme="majorHAnsi" w:eastAsiaTheme="majorEastAsia" w:hAnsiTheme="majorHAnsi" w:cstheme="majorBidi"/>
      <w:i/>
      <w:iCs/>
      <w:color w:val="083B50" w:themeColor="accent1" w:themeShade="7F"/>
    </w:rPr>
  </w:style>
  <w:style w:type="paragraph" w:styleId="Heading8">
    <w:name w:val="heading 8"/>
    <w:basedOn w:val="Normal"/>
    <w:next w:val="Normal"/>
    <w:link w:val="Heading8Char"/>
    <w:uiPriority w:val="98"/>
    <w:semiHidden/>
    <w:unhideWhenUsed/>
    <w:qFormat/>
    <w:locked/>
    <w:rsid w:val="00D7742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8"/>
    <w:semiHidden/>
    <w:unhideWhenUsed/>
    <w:qFormat/>
    <w:locked/>
    <w:rsid w:val="00D7742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705AF"/>
    <w:rPr>
      <w:i/>
      <w:iCs/>
    </w:rPr>
  </w:style>
  <w:style w:type="character" w:styleId="Strong">
    <w:name w:val="Strong"/>
    <w:basedOn w:val="DefaultParagraphFont"/>
    <w:uiPriority w:val="22"/>
    <w:qFormat/>
    <w:rsid w:val="00A705AF"/>
    <w:rPr>
      <w:b/>
      <w:bCs/>
    </w:rPr>
  </w:style>
  <w:style w:type="paragraph" w:styleId="Subtitle">
    <w:name w:val="Subtitle"/>
    <w:basedOn w:val="Normal"/>
    <w:next w:val="Normal"/>
    <w:link w:val="SubtitleChar"/>
    <w:uiPriority w:val="98"/>
    <w:locked/>
    <w:rsid w:val="00A75B58"/>
    <w:pPr>
      <w:numPr>
        <w:ilvl w:val="1"/>
      </w:numPr>
      <w:ind w:right="397"/>
    </w:pPr>
    <w:rPr>
      <w:rFonts w:ascii="Franklin Gothic Medium" w:eastAsiaTheme="majorEastAsia" w:hAnsi="Franklin Gothic Medium" w:cstheme="majorBidi"/>
      <w:iCs/>
      <w:color w:val="00A9E5"/>
      <w:spacing w:val="15"/>
      <w:sz w:val="52"/>
    </w:rPr>
  </w:style>
  <w:style w:type="character" w:customStyle="1" w:styleId="SubtitleChar">
    <w:name w:val="Subtitle Char"/>
    <w:basedOn w:val="DefaultParagraphFont"/>
    <w:link w:val="Subtitle"/>
    <w:uiPriority w:val="98"/>
    <w:rsid w:val="007B04A9"/>
    <w:rPr>
      <w:rFonts w:ascii="Franklin Gothic Medium" w:eastAsiaTheme="majorEastAsia" w:hAnsi="Franklin Gothic Medium" w:cstheme="majorBidi"/>
      <w:iCs/>
      <w:color w:val="00A9E5"/>
      <w:spacing w:val="15"/>
      <w:sz w:val="52"/>
    </w:rPr>
  </w:style>
  <w:style w:type="paragraph" w:styleId="Title">
    <w:name w:val="Title"/>
    <w:basedOn w:val="Normal"/>
    <w:next w:val="Normal"/>
    <w:link w:val="TitleChar"/>
    <w:qFormat/>
    <w:rsid w:val="000B0274"/>
    <w:pPr>
      <w:spacing w:after="300"/>
      <w:contextualSpacing/>
    </w:pPr>
    <w:rPr>
      <w:rFonts w:ascii="Arial Bold" w:eastAsiaTheme="majorEastAsia" w:hAnsi="Arial Bold" w:cstheme="majorBidi"/>
      <w:b/>
      <w:color w:val="0A4A63"/>
      <w:kern w:val="28"/>
      <w:sz w:val="56"/>
      <w:szCs w:val="56"/>
    </w:rPr>
  </w:style>
  <w:style w:type="character" w:customStyle="1" w:styleId="TitleChar">
    <w:name w:val="Title Char"/>
    <w:basedOn w:val="DefaultParagraphFont"/>
    <w:link w:val="Title"/>
    <w:rsid w:val="000B0274"/>
    <w:rPr>
      <w:rFonts w:ascii="Arial Bold" w:eastAsiaTheme="majorEastAsia" w:hAnsi="Arial Bold" w:cstheme="majorBidi"/>
      <w:b/>
      <w:color w:val="0A4A63"/>
      <w:kern w:val="28"/>
      <w:sz w:val="56"/>
      <w:szCs w:val="56"/>
      <w:lang w:eastAsia="en-US"/>
    </w:rPr>
  </w:style>
  <w:style w:type="paragraph" w:customStyle="1" w:styleId="Bulletlist">
    <w:name w:val="Bullet list"/>
    <w:qFormat/>
    <w:rsid w:val="00544A4E"/>
    <w:pPr>
      <w:numPr>
        <w:numId w:val="7"/>
      </w:numPr>
      <w:spacing w:after="200"/>
      <w:ind w:left="568" w:hanging="284"/>
      <w:contextualSpacing/>
    </w:pPr>
    <w:rPr>
      <w:rFonts w:ascii="Arial" w:hAnsi="Arial"/>
      <w:color w:val="000000" w:themeColor="text1"/>
      <w:szCs w:val="24"/>
      <w:lang w:eastAsia="en-US"/>
    </w:rPr>
  </w:style>
  <w:style w:type="paragraph" w:customStyle="1" w:styleId="Chaptertitle">
    <w:name w:val="Chapter title"/>
    <w:basedOn w:val="Title"/>
    <w:qFormat/>
    <w:rsid w:val="003873C6"/>
    <w:pPr>
      <w:spacing w:before="240" w:after="240"/>
      <w:contextualSpacing w:val="0"/>
    </w:pPr>
    <w:rPr>
      <w:color w:val="125370" w:themeColor="accent3"/>
      <w:sz w:val="48"/>
      <w:szCs w:val="48"/>
    </w:rPr>
  </w:style>
  <w:style w:type="paragraph" w:styleId="TOC1">
    <w:name w:val="toc 1"/>
    <w:basedOn w:val="Normal"/>
    <w:next w:val="Normal"/>
    <w:autoRedefine/>
    <w:uiPriority w:val="39"/>
    <w:qFormat/>
    <w:rsid w:val="00C86EFE"/>
    <w:pPr>
      <w:tabs>
        <w:tab w:val="right" w:leader="dot" w:pos="9214"/>
      </w:tabs>
      <w:spacing w:before="120" w:after="120"/>
      <w:ind w:right="261"/>
    </w:pPr>
    <w:rPr>
      <w:rFonts w:cstheme="minorHAnsi"/>
      <w:b/>
      <w:bCs/>
      <w:noProof/>
      <w:color w:val="595959" w:themeColor="text1" w:themeTint="A6"/>
      <w:sz w:val="24"/>
      <w:szCs w:val="20"/>
    </w:rPr>
  </w:style>
  <w:style w:type="paragraph" w:styleId="Quote">
    <w:name w:val="Quote"/>
    <w:basedOn w:val="Normal"/>
    <w:next w:val="Normal"/>
    <w:link w:val="QuoteChar"/>
    <w:qFormat/>
    <w:rsid w:val="000D017D"/>
    <w:pPr>
      <w:spacing w:before="240" w:after="240"/>
      <w:ind w:left="397"/>
    </w:pPr>
    <w:rPr>
      <w:iCs/>
      <w:sz w:val="20"/>
    </w:rPr>
  </w:style>
  <w:style w:type="character" w:customStyle="1" w:styleId="QuoteChar">
    <w:name w:val="Quote Char"/>
    <w:basedOn w:val="DefaultParagraphFont"/>
    <w:link w:val="Quote"/>
    <w:rsid w:val="007B04A9"/>
    <w:rPr>
      <w:iCs/>
      <w:sz w:val="20"/>
    </w:rPr>
  </w:style>
  <w:style w:type="paragraph" w:styleId="TOC2">
    <w:name w:val="toc 2"/>
    <w:basedOn w:val="Normal"/>
    <w:next w:val="Normal"/>
    <w:autoRedefine/>
    <w:uiPriority w:val="39"/>
    <w:qFormat/>
    <w:rsid w:val="00C86EFE"/>
    <w:pPr>
      <w:tabs>
        <w:tab w:val="right" w:pos="9214"/>
      </w:tabs>
      <w:spacing w:before="120" w:after="120"/>
      <w:ind w:left="221" w:right="261"/>
    </w:pPr>
    <w:rPr>
      <w:rFonts w:cstheme="minorHAnsi"/>
      <w:szCs w:val="20"/>
    </w:rPr>
  </w:style>
  <w:style w:type="paragraph" w:styleId="TOC3">
    <w:name w:val="toc 3"/>
    <w:basedOn w:val="Normal"/>
    <w:next w:val="Normal"/>
    <w:autoRedefine/>
    <w:uiPriority w:val="39"/>
    <w:qFormat/>
    <w:rsid w:val="00C86EFE"/>
    <w:pPr>
      <w:tabs>
        <w:tab w:val="right" w:leader="dot" w:pos="9214"/>
      </w:tabs>
      <w:spacing w:after="0"/>
      <w:ind w:left="442" w:right="261"/>
    </w:pPr>
    <w:rPr>
      <w:rFonts w:asciiTheme="majorHAnsi" w:hAnsiTheme="majorHAnsi" w:cstheme="majorHAnsi"/>
      <w:b/>
      <w:bCs/>
      <w:iCs/>
      <w:noProof/>
      <w:kern w:val="28"/>
      <w:szCs w:val="20"/>
    </w:rPr>
  </w:style>
  <w:style w:type="paragraph" w:customStyle="1" w:styleId="FigureTitle">
    <w:name w:val="Figure Title"/>
    <w:basedOn w:val="Normal"/>
    <w:qFormat/>
    <w:rsid w:val="005C1496"/>
    <w:pPr>
      <w:contextualSpacing/>
    </w:pPr>
    <w:rPr>
      <w:b/>
    </w:rPr>
  </w:style>
  <w:style w:type="paragraph" w:styleId="FootnoteText">
    <w:name w:val="footnote text"/>
    <w:basedOn w:val="Normal"/>
    <w:link w:val="FootnoteTextChar"/>
    <w:rsid w:val="00C436EE"/>
    <w:pPr>
      <w:spacing w:after="0"/>
    </w:pPr>
    <w:rPr>
      <w:sz w:val="20"/>
      <w:szCs w:val="20"/>
    </w:rPr>
  </w:style>
  <w:style w:type="character" w:customStyle="1" w:styleId="FootnoteTextChar">
    <w:name w:val="Footnote Text Char"/>
    <w:basedOn w:val="DefaultParagraphFont"/>
    <w:link w:val="FootnoteText"/>
    <w:rsid w:val="00C436EE"/>
    <w:rPr>
      <w:rFonts w:ascii="Arial" w:hAnsi="Arial"/>
      <w:color w:val="000000" w:themeColor="text1"/>
      <w:lang w:eastAsia="en-US"/>
    </w:rPr>
  </w:style>
  <w:style w:type="paragraph" w:styleId="BalloonText">
    <w:name w:val="Balloon Text"/>
    <w:basedOn w:val="Normal"/>
    <w:link w:val="BalloonTextChar"/>
    <w:locked/>
    <w:rsid w:val="00A4199A"/>
    <w:pPr>
      <w:spacing w:after="0"/>
    </w:pPr>
    <w:rPr>
      <w:rFonts w:ascii="Tahoma" w:hAnsi="Tahoma" w:cs="Tahoma"/>
      <w:sz w:val="16"/>
      <w:szCs w:val="16"/>
    </w:rPr>
  </w:style>
  <w:style w:type="character" w:styleId="FootnoteReference">
    <w:name w:val="footnote reference"/>
    <w:basedOn w:val="DefaultParagraphFont"/>
    <w:rsid w:val="00E13C5C"/>
    <w:rPr>
      <w:rFonts w:ascii="Arial" w:hAnsi="Arial"/>
      <w:vertAlign w:val="superscript"/>
    </w:rPr>
  </w:style>
  <w:style w:type="table" w:styleId="TableGrid">
    <w:name w:val="Table Grid"/>
    <w:aliases w:val="Commission"/>
    <w:basedOn w:val="TableNormal"/>
    <w:uiPriority w:val="59"/>
    <w:locked/>
    <w:rsid w:val="00BC07E4"/>
    <w:pPr>
      <w:spacing w:after="0"/>
    </w:pPr>
    <w:rPr>
      <w:rFonts w:ascii="Arial" w:hAnsi="Arial"/>
      <w:color w:val="000000" w:themeColor="text1"/>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center"/>
        <w:outlineLvl w:val="9"/>
      </w:pPr>
      <w:rPr>
        <w:rFonts w:ascii="Adobe Devanagari" w:hAnsi="Adobe Devanagari"/>
        <w:b/>
        <w:color w:val="000000" w:themeColor="text1"/>
        <w:sz w:val="18"/>
      </w:rPr>
      <w:tblPr/>
      <w:tcPr>
        <w:shd w:val="clear" w:color="auto" w:fill="86D3F2" w:themeFill="text2" w:themeFillTint="66"/>
      </w:tcPr>
    </w:tblStylePr>
  </w:style>
  <w:style w:type="character" w:customStyle="1" w:styleId="Underline">
    <w:name w:val="Underline"/>
    <w:basedOn w:val="DefaultParagraphFont"/>
    <w:qFormat/>
    <w:rsid w:val="00E13C5C"/>
    <w:rPr>
      <w:u w:val="single"/>
    </w:rPr>
  </w:style>
  <w:style w:type="character" w:customStyle="1" w:styleId="BalloonTextChar">
    <w:name w:val="Balloon Text Char"/>
    <w:basedOn w:val="DefaultParagraphFont"/>
    <w:link w:val="BalloonText"/>
    <w:rsid w:val="00A4199A"/>
    <w:rPr>
      <w:rFonts w:ascii="Tahoma" w:hAnsi="Tahoma" w:cs="Tahoma"/>
      <w:sz w:val="16"/>
      <w:szCs w:val="16"/>
    </w:rPr>
  </w:style>
  <w:style w:type="paragraph" w:styleId="Header">
    <w:name w:val="header"/>
    <w:basedOn w:val="Normal"/>
    <w:link w:val="HeaderChar"/>
    <w:uiPriority w:val="98"/>
    <w:locked/>
    <w:rsid w:val="009B053D"/>
    <w:pPr>
      <w:tabs>
        <w:tab w:val="center" w:pos="4513"/>
        <w:tab w:val="right" w:pos="9026"/>
      </w:tabs>
      <w:spacing w:after="0"/>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uiPriority w:val="98"/>
    <w:rsid w:val="007B04A9"/>
  </w:style>
  <w:style w:type="character" w:styleId="Hyperlink">
    <w:name w:val="Hyperlink"/>
    <w:basedOn w:val="DefaultParagraphFont"/>
    <w:uiPriority w:val="99"/>
    <w:rsid w:val="00B47076"/>
    <w:rPr>
      <w:color w:val="0000FF" w:themeColor="hyperlink"/>
      <w:u w:val="single"/>
    </w:rPr>
  </w:style>
  <w:style w:type="paragraph" w:styleId="Footer">
    <w:name w:val="footer"/>
    <w:basedOn w:val="Normal"/>
    <w:link w:val="FooterChar"/>
    <w:rsid w:val="007635C1"/>
    <w:pPr>
      <w:tabs>
        <w:tab w:val="center" w:pos="4513"/>
        <w:tab w:val="right" w:pos="9026"/>
      </w:tabs>
      <w:spacing w:after="0"/>
    </w:pPr>
    <w:rPr>
      <w:color w:val="404040" w:themeColor="text1" w:themeTint="BF"/>
      <w:sz w:val="20"/>
    </w:rPr>
  </w:style>
  <w:style w:type="character" w:customStyle="1" w:styleId="FooterChar">
    <w:name w:val="Footer Char"/>
    <w:basedOn w:val="DefaultParagraphFont"/>
    <w:link w:val="Footer"/>
    <w:rsid w:val="007B04A9"/>
    <w:rPr>
      <w:color w:val="404040" w:themeColor="text1" w:themeTint="BF"/>
      <w:sz w:val="20"/>
    </w:rPr>
  </w:style>
  <w:style w:type="character" w:styleId="FollowedHyperlink">
    <w:name w:val="FollowedHyperlink"/>
    <w:basedOn w:val="DefaultParagraphFont"/>
    <w:rsid w:val="00F95769"/>
    <w:rPr>
      <w:color w:val="800080" w:themeColor="followedHyperlink"/>
      <w:u w:val="single"/>
    </w:rPr>
  </w:style>
  <w:style w:type="paragraph" w:styleId="TOCHeading">
    <w:name w:val="TOC Heading"/>
    <w:basedOn w:val="Heading1"/>
    <w:next w:val="Normal"/>
    <w:uiPriority w:val="39"/>
    <w:unhideWhenUsed/>
    <w:qFormat/>
    <w:rsid w:val="00255596"/>
    <w:pPr>
      <w:keepLines/>
      <w:spacing w:before="480" w:after="0" w:line="276" w:lineRule="auto"/>
      <w:outlineLvl w:val="9"/>
    </w:pPr>
    <w:rPr>
      <w:rFonts w:asciiTheme="majorHAnsi" w:eastAsiaTheme="majorEastAsia" w:hAnsiTheme="majorHAnsi" w:cstheme="majorBidi"/>
      <w:color w:val="0C5979" w:themeColor="accent1" w:themeShade="BF"/>
      <w:kern w:val="0"/>
      <w:szCs w:val="28"/>
      <w:lang w:val="en-US" w:eastAsia="ja-JP"/>
    </w:rPr>
  </w:style>
  <w:style w:type="paragraph" w:customStyle="1" w:styleId="Captions">
    <w:name w:val="Captions"/>
    <w:basedOn w:val="Caption"/>
    <w:link w:val="CaptionsChar"/>
    <w:qFormat/>
    <w:rsid w:val="00B21BA9"/>
    <w:rPr>
      <w:b/>
      <w:bCs/>
      <w:i w:val="0"/>
      <w:iCs w:val="0"/>
      <w:color w:val="auto"/>
      <w:sz w:val="22"/>
      <w:szCs w:val="22"/>
    </w:rPr>
  </w:style>
  <w:style w:type="character" w:customStyle="1" w:styleId="CaptionsChar">
    <w:name w:val="Captions Char"/>
    <w:basedOn w:val="DefaultParagraphFont"/>
    <w:link w:val="Captions"/>
    <w:rsid w:val="00B21BA9"/>
    <w:rPr>
      <w:b/>
      <w:bCs/>
    </w:rPr>
  </w:style>
  <w:style w:type="numbering" w:customStyle="1" w:styleId="Listbullets">
    <w:name w:val="List bullets"/>
    <w:uiPriority w:val="99"/>
    <w:rsid w:val="000D017D"/>
    <w:pPr>
      <w:numPr>
        <w:numId w:val="2"/>
      </w:numPr>
    </w:pPr>
  </w:style>
  <w:style w:type="paragraph" w:customStyle="1" w:styleId="Numberedlists">
    <w:name w:val="Numbered lists"/>
    <w:basedOn w:val="Normal"/>
    <w:link w:val="NumberedlistsChar"/>
    <w:qFormat/>
    <w:rsid w:val="00A4199A"/>
    <w:pPr>
      <w:numPr>
        <w:numId w:val="6"/>
      </w:numPr>
      <w:spacing w:before="120"/>
      <w:contextualSpacing/>
    </w:pPr>
  </w:style>
  <w:style w:type="character" w:customStyle="1" w:styleId="NumberedlistsChar">
    <w:name w:val="Numbered lists Char"/>
    <w:basedOn w:val="DefaultParagraphFont"/>
    <w:link w:val="Numberedlists"/>
    <w:rsid w:val="00A4199A"/>
  </w:style>
  <w:style w:type="paragraph" w:customStyle="1" w:styleId="Subheading">
    <w:name w:val="Subheading"/>
    <w:basedOn w:val="Normal"/>
    <w:next w:val="Normal"/>
    <w:qFormat/>
    <w:rsid w:val="009C0A06"/>
    <w:pPr>
      <w:spacing w:before="240"/>
    </w:pPr>
    <w:rPr>
      <w:sz w:val="36"/>
      <w:szCs w:val="36"/>
    </w:rPr>
  </w:style>
  <w:style w:type="numbering" w:customStyle="1" w:styleId="Bullet">
    <w:name w:val="Bullet"/>
    <w:uiPriority w:val="99"/>
    <w:locked/>
    <w:rsid w:val="000D017D"/>
    <w:pPr>
      <w:numPr>
        <w:numId w:val="3"/>
      </w:numPr>
    </w:pPr>
  </w:style>
  <w:style w:type="numbering" w:customStyle="1" w:styleId="Bullets">
    <w:name w:val="Bullets"/>
    <w:uiPriority w:val="99"/>
    <w:locked/>
    <w:rsid w:val="000D017D"/>
    <w:pPr>
      <w:numPr>
        <w:numId w:val="4"/>
      </w:numPr>
    </w:pPr>
  </w:style>
  <w:style w:type="numbering" w:customStyle="1" w:styleId="BulletsLevel1">
    <w:name w:val="Bullets Level 1"/>
    <w:uiPriority w:val="99"/>
    <w:locked/>
    <w:rsid w:val="000D017D"/>
    <w:pPr>
      <w:numPr>
        <w:numId w:val="5"/>
      </w:numPr>
    </w:pPr>
  </w:style>
  <w:style w:type="paragraph" w:customStyle="1" w:styleId="PublicationDate">
    <w:name w:val="Publication Date"/>
    <w:basedOn w:val="Normal"/>
    <w:link w:val="PublicationDateChar"/>
    <w:qFormat/>
    <w:rsid w:val="006B2409"/>
    <w:pPr>
      <w:spacing w:before="240" w:after="240"/>
    </w:pPr>
    <w:rPr>
      <w:color w:val="000000" w:themeColor="text1"/>
      <w:sz w:val="32"/>
      <w:szCs w:val="40"/>
    </w:rPr>
  </w:style>
  <w:style w:type="character" w:customStyle="1" w:styleId="PublicationDateChar">
    <w:name w:val="Publication Date Char"/>
    <w:basedOn w:val="DefaultParagraphFont"/>
    <w:link w:val="PublicationDate"/>
    <w:rsid w:val="006B2409"/>
    <w:rPr>
      <w:color w:val="000000" w:themeColor="text1"/>
      <w:sz w:val="32"/>
      <w:szCs w:val="40"/>
    </w:rPr>
  </w:style>
  <w:style w:type="paragraph" w:customStyle="1" w:styleId="Redtext">
    <w:name w:val="Red text"/>
    <w:basedOn w:val="Normal"/>
    <w:qFormat/>
    <w:rsid w:val="00BC07E4"/>
    <w:pPr>
      <w:spacing w:after="80"/>
    </w:pPr>
    <w:rPr>
      <w:color w:val="FF0000"/>
    </w:rPr>
  </w:style>
  <w:style w:type="paragraph" w:customStyle="1" w:styleId="Normal-beforebullets">
    <w:name w:val="Normal - before bullets"/>
    <w:basedOn w:val="Normal"/>
    <w:qFormat/>
    <w:rsid w:val="00020DBD"/>
    <w:pPr>
      <w:spacing w:after="0"/>
    </w:pPr>
  </w:style>
  <w:style w:type="paragraph" w:styleId="TOC4">
    <w:name w:val="toc 4"/>
    <w:basedOn w:val="Normal"/>
    <w:next w:val="Normal"/>
    <w:autoRedefine/>
    <w:uiPriority w:val="39"/>
    <w:locked/>
    <w:rsid w:val="002E6A48"/>
    <w:pPr>
      <w:tabs>
        <w:tab w:val="right" w:pos="9016"/>
      </w:tabs>
      <w:spacing w:before="120" w:after="0"/>
      <w:ind w:left="658"/>
    </w:pPr>
  </w:style>
  <w:style w:type="paragraph" w:customStyle="1" w:styleId="BoxHeading">
    <w:name w:val="BoxHeading"/>
    <w:basedOn w:val="Normal"/>
    <w:rsid w:val="001A3903"/>
    <w:pPr>
      <w:keepNext/>
      <w:pBdr>
        <w:top w:val="single" w:sz="4" w:space="4" w:color="000000"/>
        <w:left w:val="single" w:sz="4" w:space="4" w:color="000000"/>
        <w:bottom w:val="single" w:sz="4" w:space="4" w:color="000000"/>
        <w:right w:val="single" w:sz="4" w:space="4" w:color="000000"/>
      </w:pBdr>
      <w:spacing w:before="120" w:after="60"/>
    </w:pPr>
    <w:rPr>
      <w:rFonts w:ascii="Times New Roman" w:hAnsi="Times New Roman"/>
      <w:b/>
      <w:bCs/>
      <w:color w:val="000000"/>
      <w:szCs w:val="20"/>
    </w:rPr>
  </w:style>
  <w:style w:type="paragraph" w:customStyle="1" w:styleId="BoxBullet">
    <w:name w:val="BoxBullet"/>
    <w:basedOn w:val="Normal"/>
    <w:rsid w:val="001A3903"/>
    <w:pPr>
      <w:numPr>
        <w:numId w:val="8"/>
      </w:numPr>
      <w:pBdr>
        <w:top w:val="single" w:sz="4" w:space="4" w:color="000000"/>
        <w:left w:val="single" w:sz="4" w:space="4" w:color="000000"/>
        <w:bottom w:val="single" w:sz="4" w:space="4" w:color="000000"/>
        <w:right w:val="single" w:sz="4" w:space="4" w:color="000000"/>
      </w:pBdr>
      <w:spacing w:after="120"/>
    </w:pPr>
    <w:rPr>
      <w:rFonts w:ascii="Times New Roman" w:hAnsi="Times New Roman"/>
      <w:color w:val="000000"/>
      <w:szCs w:val="20"/>
    </w:rPr>
  </w:style>
  <w:style w:type="paragraph" w:customStyle="1" w:styleId="PullQuote">
    <w:name w:val="PullQuote"/>
    <w:basedOn w:val="Normal"/>
    <w:next w:val="Normal"/>
    <w:rsid w:val="001A3903"/>
    <w:pPr>
      <w:spacing w:after="240"/>
    </w:pPr>
    <w:rPr>
      <w:rFonts w:ascii="Times New Roman Bold" w:hAnsi="Times New Roman Bold"/>
      <w:b/>
      <w:color w:val="0D3E53" w:themeColor="accent3" w:themeShade="BF"/>
      <w:sz w:val="24"/>
      <w:szCs w:val="20"/>
    </w:rPr>
  </w:style>
  <w:style w:type="paragraph" w:customStyle="1" w:styleId="TableText">
    <w:name w:val="TableText"/>
    <w:basedOn w:val="Normal"/>
    <w:link w:val="TableTextChar"/>
    <w:rsid w:val="001A3903"/>
    <w:pPr>
      <w:keepNext/>
      <w:spacing w:before="60" w:after="60"/>
    </w:pPr>
    <w:rPr>
      <w:rFonts w:ascii="Times New Roman" w:hAnsi="Times New Roman"/>
      <w:color w:val="000000"/>
      <w:sz w:val="21"/>
      <w:szCs w:val="21"/>
    </w:rPr>
  </w:style>
  <w:style w:type="character" w:customStyle="1" w:styleId="TableTextChar">
    <w:name w:val="TableText Char"/>
    <w:basedOn w:val="DefaultParagraphFont"/>
    <w:link w:val="TableText"/>
    <w:rsid w:val="001A3903"/>
    <w:rPr>
      <w:rFonts w:ascii="Times New Roman" w:hAnsi="Times New Roman"/>
      <w:color w:val="000000"/>
      <w:sz w:val="21"/>
      <w:szCs w:val="21"/>
    </w:rPr>
  </w:style>
  <w:style w:type="paragraph" w:customStyle="1" w:styleId="TFListNotes">
    <w:name w:val="TFListNotes"/>
    <w:basedOn w:val="Normal"/>
    <w:link w:val="TFListNotesChar"/>
    <w:rsid w:val="001A3903"/>
    <w:pPr>
      <w:keepNext/>
      <w:keepLines/>
      <w:spacing w:after="0"/>
      <w:ind w:left="170" w:hanging="170"/>
    </w:pPr>
    <w:rPr>
      <w:rFonts w:ascii="Times New Roman" w:hAnsi="Times New Roman"/>
      <w:color w:val="000000"/>
      <w:sz w:val="18"/>
      <w:szCs w:val="18"/>
    </w:rPr>
  </w:style>
  <w:style w:type="paragraph" w:customStyle="1" w:styleId="TableName">
    <w:name w:val="TableName"/>
    <w:basedOn w:val="TableText"/>
    <w:rsid w:val="001A3903"/>
    <w:pPr>
      <w:tabs>
        <w:tab w:val="left" w:pos="1080"/>
      </w:tabs>
      <w:spacing w:before="120" w:after="120"/>
      <w:ind w:left="1080" w:hanging="1080"/>
    </w:pPr>
    <w:rPr>
      <w:rFonts w:ascii="Times New Roman Bold" w:hAnsi="Times New Roman Bold"/>
      <w:b/>
      <w:bCs/>
      <w:sz w:val="22"/>
    </w:rPr>
  </w:style>
  <w:style w:type="paragraph" w:customStyle="1" w:styleId="TableHeading">
    <w:name w:val="TableHeading"/>
    <w:basedOn w:val="TableText"/>
    <w:rsid w:val="001A3903"/>
    <w:rPr>
      <w:b/>
      <w:bCs/>
    </w:rPr>
  </w:style>
  <w:style w:type="paragraph" w:customStyle="1" w:styleId="TFAbbrevs">
    <w:name w:val="TFAbbrevs"/>
    <w:basedOn w:val="TFListNotes"/>
    <w:link w:val="TFAbbrevsChar"/>
    <w:rsid w:val="001A3903"/>
    <w:pPr>
      <w:ind w:left="0" w:firstLine="0"/>
    </w:pPr>
  </w:style>
  <w:style w:type="paragraph" w:customStyle="1" w:styleId="BulletBeforeDash">
    <w:name w:val="BulletBeforeDash"/>
    <w:basedOn w:val="Normal"/>
    <w:rsid w:val="001A3903"/>
    <w:pPr>
      <w:numPr>
        <w:numId w:val="9"/>
      </w:numPr>
      <w:spacing w:after="0"/>
    </w:pPr>
    <w:rPr>
      <w:rFonts w:ascii="Times New Roman" w:hAnsi="Times New Roman"/>
      <w:color w:val="000000"/>
      <w:sz w:val="24"/>
      <w:szCs w:val="20"/>
    </w:rPr>
  </w:style>
  <w:style w:type="paragraph" w:customStyle="1" w:styleId="BulletLast">
    <w:name w:val="BulletLast"/>
    <w:qFormat/>
    <w:rsid w:val="001A3903"/>
    <w:pPr>
      <w:numPr>
        <w:numId w:val="1"/>
      </w:numPr>
      <w:spacing w:after="240"/>
    </w:pPr>
    <w:rPr>
      <w:rFonts w:ascii="Times New Roman" w:hAnsi="Times New Roman"/>
      <w:color w:val="000000"/>
      <w:sz w:val="24"/>
    </w:rPr>
  </w:style>
  <w:style w:type="paragraph" w:customStyle="1" w:styleId="NormalBeforeBullet">
    <w:name w:val="NormalBeforeBullet"/>
    <w:basedOn w:val="Normal"/>
    <w:qFormat/>
    <w:rsid w:val="001A3903"/>
    <w:pPr>
      <w:keepNext/>
      <w:spacing w:after="120"/>
    </w:pPr>
    <w:rPr>
      <w:rFonts w:ascii="Times New Roman" w:hAnsi="Times New Roman"/>
      <w:color w:val="000000"/>
      <w:sz w:val="24"/>
      <w:szCs w:val="20"/>
    </w:rPr>
  </w:style>
  <w:style w:type="paragraph" w:customStyle="1" w:styleId="FigureName">
    <w:name w:val="FigureName"/>
    <w:basedOn w:val="Normal"/>
    <w:next w:val="Normal"/>
    <w:rsid w:val="001A3903"/>
    <w:pPr>
      <w:keepNext/>
      <w:keepLines/>
      <w:tabs>
        <w:tab w:val="left" w:pos="1080"/>
      </w:tabs>
      <w:spacing w:before="120" w:after="120"/>
      <w:ind w:left="1077" w:hanging="1077"/>
    </w:pPr>
    <w:rPr>
      <w:rFonts w:ascii="Times New Roman" w:hAnsi="Times New Roman"/>
      <w:b/>
      <w:bCs/>
      <w:color w:val="000000"/>
      <w:szCs w:val="20"/>
    </w:rPr>
  </w:style>
  <w:style w:type="paragraph" w:customStyle="1" w:styleId="TFNoteSourceSpace">
    <w:name w:val="TFNoteSource+Space"/>
    <w:basedOn w:val="Normal"/>
    <w:next w:val="Normal"/>
    <w:link w:val="TFNoteSourceSpaceChar"/>
    <w:rsid w:val="001A3903"/>
    <w:pPr>
      <w:keepLines/>
      <w:spacing w:after="360"/>
    </w:pPr>
    <w:rPr>
      <w:rFonts w:ascii="Times New Roman" w:hAnsi="Times New Roman"/>
      <w:color w:val="000000"/>
      <w:sz w:val="18"/>
      <w:szCs w:val="18"/>
    </w:rPr>
  </w:style>
  <w:style w:type="character" w:customStyle="1" w:styleId="TFNoteSourceSpaceChar">
    <w:name w:val="TFNoteSource+Space Char"/>
    <w:basedOn w:val="DefaultParagraphFont"/>
    <w:link w:val="TFNoteSourceSpace"/>
    <w:rsid w:val="001A3903"/>
    <w:rPr>
      <w:rFonts w:ascii="Times New Roman" w:hAnsi="Times New Roman"/>
      <w:color w:val="000000"/>
      <w:sz w:val="18"/>
      <w:szCs w:val="18"/>
    </w:rPr>
  </w:style>
  <w:style w:type="paragraph" w:customStyle="1" w:styleId="TFNoteSource">
    <w:name w:val="TFNoteSource"/>
    <w:basedOn w:val="TFNoteSourceSpace"/>
    <w:rsid w:val="001A3903"/>
    <w:pPr>
      <w:spacing w:after="0"/>
    </w:pPr>
  </w:style>
  <w:style w:type="paragraph" w:customStyle="1" w:styleId="TFAbbrevsSpace">
    <w:name w:val="TFAbbrevs+Space"/>
    <w:basedOn w:val="TFAbbrevs"/>
    <w:next w:val="Normal"/>
    <w:rsid w:val="001A3903"/>
    <w:pPr>
      <w:spacing w:after="360"/>
    </w:pPr>
  </w:style>
  <w:style w:type="paragraph" w:customStyle="1" w:styleId="TableHeadingCA">
    <w:name w:val="TableHeadingCA"/>
    <w:basedOn w:val="TableHeading"/>
    <w:rsid w:val="001A3903"/>
    <w:pPr>
      <w:jc w:val="center"/>
    </w:pPr>
  </w:style>
  <w:style w:type="paragraph" w:customStyle="1" w:styleId="TableTextDecimalAlign">
    <w:name w:val="TableTextDecimalAlign"/>
    <w:basedOn w:val="TableText"/>
    <w:rsid w:val="001A3903"/>
    <w:pPr>
      <w:tabs>
        <w:tab w:val="decimal" w:pos="1119"/>
      </w:tabs>
    </w:pPr>
  </w:style>
  <w:style w:type="character" w:customStyle="1" w:styleId="tfsymbol">
    <w:name w:val="tfsymbol"/>
    <w:basedOn w:val="DefaultParagraphFont"/>
    <w:rsid w:val="001A3903"/>
  </w:style>
  <w:style w:type="character" w:customStyle="1" w:styleId="figurenumber">
    <w:name w:val="figurenumber"/>
    <w:basedOn w:val="DefaultParagraphFont"/>
    <w:rsid w:val="001A3903"/>
    <w:rPr>
      <w:rFonts w:ascii="Arial" w:hAnsi="Arial" w:cs="Arial" w:hint="default"/>
      <w:b w:val="0"/>
      <w:bCs w:val="0"/>
      <w:i w:val="0"/>
      <w:iCs w:val="0"/>
    </w:rPr>
  </w:style>
  <w:style w:type="character" w:customStyle="1" w:styleId="emphasis-bold">
    <w:name w:val="emphasis-bold"/>
    <w:basedOn w:val="DefaultParagraphFont"/>
    <w:rsid w:val="001A3903"/>
  </w:style>
  <w:style w:type="character" w:customStyle="1" w:styleId="TFListNotesChar">
    <w:name w:val="TFListNotes Char"/>
    <w:basedOn w:val="DefaultParagraphFont"/>
    <w:link w:val="TFListNotes"/>
    <w:rsid w:val="001A3903"/>
    <w:rPr>
      <w:rFonts w:ascii="Times New Roman" w:hAnsi="Times New Roman"/>
      <w:color w:val="000000"/>
      <w:sz w:val="18"/>
      <w:szCs w:val="18"/>
    </w:rPr>
  </w:style>
  <w:style w:type="character" w:customStyle="1" w:styleId="TFAbbrevsChar">
    <w:name w:val="TFAbbrevs Char"/>
    <w:basedOn w:val="TFListNotesChar"/>
    <w:link w:val="TFAbbrevs"/>
    <w:rsid w:val="001A3903"/>
    <w:rPr>
      <w:rFonts w:ascii="Times New Roman" w:hAnsi="Times New Roman"/>
      <w:color w:val="000000"/>
      <w:sz w:val="18"/>
      <w:szCs w:val="18"/>
    </w:rPr>
  </w:style>
  <w:style w:type="paragraph" w:styleId="ListParagraph">
    <w:name w:val="List Paragraph"/>
    <w:basedOn w:val="Normal"/>
    <w:uiPriority w:val="34"/>
    <w:qFormat/>
    <w:locked/>
    <w:rsid w:val="00211E0D"/>
    <w:pPr>
      <w:ind w:left="720"/>
      <w:contextualSpacing/>
    </w:pPr>
  </w:style>
  <w:style w:type="paragraph" w:customStyle="1" w:styleId="TableBullet">
    <w:name w:val="TableBullet"/>
    <w:basedOn w:val="TableText"/>
    <w:rsid w:val="00211E0D"/>
    <w:pPr>
      <w:numPr>
        <w:numId w:val="10"/>
      </w:numPr>
      <w:tabs>
        <w:tab w:val="clear" w:pos="360"/>
        <w:tab w:val="left" w:pos="216"/>
      </w:tabs>
      <w:ind w:left="216" w:hanging="216"/>
    </w:pPr>
  </w:style>
  <w:style w:type="paragraph" w:customStyle="1" w:styleId="BoxText">
    <w:name w:val="BoxText"/>
    <w:basedOn w:val="Normal"/>
    <w:qFormat/>
    <w:rsid w:val="00211E0D"/>
    <w:pPr>
      <w:pBdr>
        <w:top w:val="single" w:sz="4" w:space="4" w:color="000000"/>
        <w:left w:val="single" w:sz="4" w:space="4" w:color="000000"/>
        <w:bottom w:val="single" w:sz="4" w:space="4" w:color="000000"/>
        <w:right w:val="single" w:sz="4" w:space="4" w:color="000000"/>
      </w:pBdr>
      <w:spacing w:after="120"/>
    </w:pPr>
    <w:rPr>
      <w:rFonts w:ascii="Times New Roman" w:hAnsi="Times New Roman"/>
      <w:color w:val="000000"/>
      <w:szCs w:val="20"/>
    </w:rPr>
  </w:style>
  <w:style w:type="paragraph" w:customStyle="1" w:styleId="BoxName">
    <w:name w:val="BoxName"/>
    <w:basedOn w:val="BoxText"/>
    <w:rsid w:val="00211E0D"/>
    <w:pPr>
      <w:keepNext/>
      <w:spacing w:before="180"/>
      <w:ind w:left="1080" w:hanging="1080"/>
    </w:pPr>
    <w:rPr>
      <w:b/>
      <w:bCs/>
      <w:sz w:val="24"/>
    </w:rPr>
  </w:style>
  <w:style w:type="paragraph" w:customStyle="1" w:styleId="TableTextCA">
    <w:name w:val="TableTextCA"/>
    <w:basedOn w:val="TableText"/>
    <w:rsid w:val="00211E0D"/>
    <w:pPr>
      <w:jc w:val="center"/>
    </w:pPr>
  </w:style>
  <w:style w:type="character" w:customStyle="1" w:styleId="tfsymbol--">
    <w:name w:val="tfsymbol--"/>
    <w:basedOn w:val="DefaultParagraphFont"/>
    <w:rsid w:val="00211E0D"/>
  </w:style>
  <w:style w:type="character" w:customStyle="1" w:styleId="Superscript">
    <w:name w:val="Superscript"/>
    <w:basedOn w:val="DefaultParagraphFont"/>
    <w:uiPriority w:val="1"/>
    <w:rsid w:val="00211E0D"/>
    <w:rPr>
      <w:noProof/>
      <w:vertAlign w:val="superscript"/>
    </w:rPr>
  </w:style>
  <w:style w:type="paragraph" w:customStyle="1" w:styleId="EndNoteBibliography">
    <w:name w:val="EndNote Bibliography"/>
    <w:basedOn w:val="Normal"/>
    <w:link w:val="EndNoteBibliographyChar"/>
    <w:rsid w:val="003B3D38"/>
    <w:pPr>
      <w:spacing w:after="240"/>
    </w:pPr>
    <w:rPr>
      <w:rFonts w:ascii="Arial" w:hAnsi="Arial" w:cs="Arial"/>
      <w:noProof/>
      <w:color w:val="000000"/>
      <w:szCs w:val="20"/>
    </w:rPr>
  </w:style>
  <w:style w:type="character" w:customStyle="1" w:styleId="EndNoteBibliographyChar">
    <w:name w:val="EndNote Bibliography Char"/>
    <w:basedOn w:val="DefaultParagraphFont"/>
    <w:link w:val="EndNoteBibliography"/>
    <w:rsid w:val="003B3D38"/>
    <w:rPr>
      <w:rFonts w:ascii="Arial" w:hAnsi="Arial" w:cs="Arial"/>
      <w:noProof/>
      <w:color w:val="000000"/>
      <w:szCs w:val="20"/>
    </w:rPr>
  </w:style>
  <w:style w:type="character" w:customStyle="1" w:styleId="Heading3Char">
    <w:name w:val="Heading 3 Char"/>
    <w:basedOn w:val="DefaultParagraphFont"/>
    <w:link w:val="Heading3"/>
    <w:rsid w:val="003F437C"/>
    <w:rPr>
      <w:rFonts w:cs="Arial"/>
      <w:b/>
      <w:bCs/>
      <w:iCs/>
      <w:color w:val="DC5827" w:themeColor="accent5"/>
      <w:kern w:val="28"/>
      <w:sz w:val="28"/>
      <w:szCs w:val="26"/>
    </w:rPr>
  </w:style>
  <w:style w:type="character" w:styleId="CommentReference">
    <w:name w:val="annotation reference"/>
    <w:basedOn w:val="DefaultParagraphFont"/>
    <w:uiPriority w:val="99"/>
    <w:unhideWhenUsed/>
    <w:locked/>
    <w:rsid w:val="00502A3D"/>
    <w:rPr>
      <w:sz w:val="16"/>
      <w:szCs w:val="16"/>
    </w:rPr>
  </w:style>
  <w:style w:type="paragraph" w:styleId="CommentText">
    <w:name w:val="annotation text"/>
    <w:basedOn w:val="Normal"/>
    <w:link w:val="CommentTextChar"/>
    <w:uiPriority w:val="99"/>
    <w:unhideWhenUsed/>
    <w:locked/>
    <w:rsid w:val="00502A3D"/>
    <w:pPr>
      <w:spacing w:after="240"/>
    </w:pPr>
    <w:rPr>
      <w:rFonts w:ascii="Times New Roman" w:hAnsi="Times New Roman"/>
      <w:color w:val="000000"/>
      <w:sz w:val="20"/>
      <w:szCs w:val="20"/>
    </w:rPr>
  </w:style>
  <w:style w:type="character" w:customStyle="1" w:styleId="CommentTextChar">
    <w:name w:val="Comment Text Char"/>
    <w:basedOn w:val="DefaultParagraphFont"/>
    <w:link w:val="CommentText"/>
    <w:uiPriority w:val="99"/>
    <w:rsid w:val="00502A3D"/>
    <w:rPr>
      <w:rFonts w:ascii="Times New Roman" w:hAnsi="Times New Roman"/>
      <w:color w:val="000000"/>
      <w:sz w:val="20"/>
      <w:szCs w:val="20"/>
    </w:rPr>
  </w:style>
  <w:style w:type="paragraph" w:customStyle="1" w:styleId="NumberList">
    <w:name w:val="NumberList"/>
    <w:basedOn w:val="Normal"/>
    <w:rsid w:val="00585293"/>
    <w:pPr>
      <w:tabs>
        <w:tab w:val="left" w:pos="360"/>
      </w:tabs>
      <w:spacing w:after="240"/>
      <w:ind w:left="360" w:hanging="360"/>
    </w:pPr>
    <w:rPr>
      <w:rFonts w:ascii="Times New Roman" w:hAnsi="Times New Roman"/>
      <w:color w:val="000000"/>
      <w:sz w:val="24"/>
      <w:szCs w:val="20"/>
    </w:rPr>
  </w:style>
  <w:style w:type="paragraph" w:styleId="CommentSubject">
    <w:name w:val="annotation subject"/>
    <w:basedOn w:val="CommentText"/>
    <w:next w:val="CommentText"/>
    <w:link w:val="CommentSubjectChar"/>
    <w:uiPriority w:val="98"/>
    <w:semiHidden/>
    <w:unhideWhenUsed/>
    <w:locked/>
    <w:rsid w:val="005F0307"/>
    <w:pPr>
      <w:spacing w:after="200"/>
    </w:pPr>
    <w:rPr>
      <w:rFonts w:asciiTheme="minorHAnsi" w:hAnsiTheme="minorHAnsi"/>
      <w:b/>
      <w:bCs/>
      <w:color w:val="auto"/>
    </w:rPr>
  </w:style>
  <w:style w:type="character" w:customStyle="1" w:styleId="CommentSubjectChar">
    <w:name w:val="Comment Subject Char"/>
    <w:basedOn w:val="CommentTextChar"/>
    <w:link w:val="CommentSubject"/>
    <w:uiPriority w:val="98"/>
    <w:semiHidden/>
    <w:rsid w:val="005F0307"/>
    <w:rPr>
      <w:rFonts w:ascii="Times New Roman" w:hAnsi="Times New Roman"/>
      <w:b/>
      <w:bCs/>
      <w:color w:val="000000"/>
      <w:sz w:val="20"/>
      <w:szCs w:val="20"/>
    </w:rPr>
  </w:style>
  <w:style w:type="character" w:styleId="UnresolvedMention">
    <w:name w:val="Unresolved Mention"/>
    <w:basedOn w:val="DefaultParagraphFont"/>
    <w:uiPriority w:val="99"/>
    <w:semiHidden/>
    <w:unhideWhenUsed/>
    <w:rsid w:val="004523CB"/>
    <w:rPr>
      <w:color w:val="605E5C"/>
      <w:shd w:val="clear" w:color="auto" w:fill="E1DFDD"/>
    </w:rPr>
  </w:style>
  <w:style w:type="character" w:customStyle="1" w:styleId="symbol">
    <w:name w:val="symbol"/>
    <w:basedOn w:val="DefaultParagraphFont"/>
    <w:rsid w:val="00BA07CC"/>
    <w:rPr>
      <w:rFonts w:ascii="Calibri" w:hAnsi="Calibri" w:hint="default"/>
      <w:b w:val="0"/>
      <w:bCs w:val="0"/>
      <w:i w:val="0"/>
      <w:iCs w:val="0"/>
    </w:rPr>
  </w:style>
  <w:style w:type="paragraph" w:customStyle="1" w:styleId="TableDash">
    <w:name w:val="TableDash"/>
    <w:basedOn w:val="TableText"/>
    <w:rsid w:val="00BA07CC"/>
    <w:pPr>
      <w:numPr>
        <w:numId w:val="11"/>
      </w:numPr>
      <w:tabs>
        <w:tab w:val="clear" w:pos="216"/>
      </w:tabs>
      <w:ind w:left="0" w:firstLine="0"/>
    </w:pPr>
  </w:style>
  <w:style w:type="character" w:customStyle="1" w:styleId="Heading4Char">
    <w:name w:val="Heading 4 Char"/>
    <w:basedOn w:val="DefaultParagraphFont"/>
    <w:link w:val="Heading4"/>
    <w:rsid w:val="005B1703"/>
    <w:rPr>
      <w:b/>
      <w:bCs/>
      <w:color w:val="404040" w:themeColor="text1" w:themeTint="BF"/>
      <w:sz w:val="26"/>
      <w:szCs w:val="26"/>
    </w:rPr>
  </w:style>
  <w:style w:type="table" w:customStyle="1" w:styleId="Commission1">
    <w:name w:val="Commission1"/>
    <w:basedOn w:val="TableNormal"/>
    <w:next w:val="TableGrid"/>
    <w:uiPriority w:val="59"/>
    <w:rsid w:val="00B178AD"/>
    <w:pPr>
      <w:spacing w:after="0"/>
    </w:pPr>
    <w:rPr>
      <w:rFonts w:ascii="Arial" w:hAnsi="Arial"/>
      <w:color w:val="000000"/>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center"/>
        <w:outlineLvl w:val="9"/>
      </w:pPr>
      <w:rPr>
        <w:rFonts w:ascii="Adobe Devanagari" w:hAnsi="Adobe Devanagari"/>
        <w:b/>
        <w:color w:val="000000"/>
        <w:sz w:val="18"/>
      </w:rPr>
      <w:tblPr/>
      <w:tcPr>
        <w:shd w:val="clear" w:color="auto" w:fill="86D3F2"/>
      </w:tcPr>
    </w:tblStylePr>
  </w:style>
  <w:style w:type="paragraph" w:customStyle="1" w:styleId="Tablecaption">
    <w:name w:val="Table caption"/>
    <w:basedOn w:val="Normal"/>
    <w:link w:val="TablecaptionChar"/>
    <w:qFormat/>
    <w:rsid w:val="00193F55"/>
    <w:pPr>
      <w:spacing w:before="60" w:after="60"/>
    </w:pPr>
    <w:rPr>
      <w:rFonts w:eastAsiaTheme="minorEastAsia" w:cstheme="minorBidi"/>
      <w:sz w:val="20"/>
      <w:szCs w:val="20"/>
      <w:lang w:eastAsia="en-US"/>
    </w:rPr>
  </w:style>
  <w:style w:type="character" w:customStyle="1" w:styleId="TablecaptionChar">
    <w:name w:val="Table caption Char"/>
    <w:basedOn w:val="DefaultParagraphFont"/>
    <w:link w:val="Tablecaption"/>
    <w:rsid w:val="00193F55"/>
    <w:rPr>
      <w:rFonts w:eastAsiaTheme="minorEastAsia" w:cstheme="minorBidi"/>
      <w:sz w:val="20"/>
      <w:szCs w:val="20"/>
      <w:lang w:eastAsia="en-US"/>
    </w:rPr>
  </w:style>
  <w:style w:type="paragraph" w:customStyle="1" w:styleId="EndNoteBibliographyTitle">
    <w:name w:val="EndNote Bibliography Title"/>
    <w:basedOn w:val="Normal"/>
    <w:link w:val="EndNoteBibliographyTitleChar"/>
    <w:rsid w:val="00A25B0C"/>
    <w:pPr>
      <w:spacing w:after="0"/>
      <w:jc w:val="center"/>
    </w:pPr>
    <w:rPr>
      <w:rFonts w:ascii="Arial" w:hAnsi="Arial" w:cs="Arial"/>
      <w:noProof/>
    </w:rPr>
  </w:style>
  <w:style w:type="character" w:customStyle="1" w:styleId="EndNoteBibliographyTitleChar">
    <w:name w:val="EndNote Bibliography Title Char"/>
    <w:basedOn w:val="DefaultParagraphFont"/>
    <w:link w:val="EndNoteBibliographyTitle"/>
    <w:rsid w:val="00A25B0C"/>
    <w:rPr>
      <w:rFonts w:ascii="Arial" w:hAnsi="Arial" w:cs="Arial"/>
      <w:noProof/>
    </w:rPr>
  </w:style>
  <w:style w:type="table" w:styleId="TableGridLight">
    <w:name w:val="Grid Table Light"/>
    <w:basedOn w:val="TableNormal"/>
    <w:uiPriority w:val="40"/>
    <w:rsid w:val="00355293"/>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1">
    <w:name w:val="No List1"/>
    <w:next w:val="NoList"/>
    <w:uiPriority w:val="99"/>
    <w:semiHidden/>
    <w:unhideWhenUsed/>
    <w:rsid w:val="0093641B"/>
  </w:style>
  <w:style w:type="table" w:customStyle="1" w:styleId="Commission2">
    <w:name w:val="Commission2"/>
    <w:basedOn w:val="TableNormal"/>
    <w:next w:val="TableGrid"/>
    <w:uiPriority w:val="59"/>
    <w:locked/>
    <w:rsid w:val="0093641B"/>
    <w:pPr>
      <w:spacing w:after="0"/>
    </w:pPr>
    <w:rPr>
      <w:rFonts w:ascii="Arial" w:hAnsi="Arial"/>
      <w:color w:val="000000" w:themeColor="text1"/>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center"/>
        <w:outlineLvl w:val="9"/>
      </w:pPr>
      <w:rPr>
        <w:rFonts w:ascii="Adobe Devanagari" w:hAnsi="Adobe Devanagari"/>
        <w:b/>
        <w:color w:val="000000" w:themeColor="text1"/>
        <w:sz w:val="18"/>
      </w:rPr>
      <w:tblPr/>
      <w:tcPr>
        <w:shd w:val="clear" w:color="auto" w:fill="86D3F2" w:themeFill="text2" w:themeFillTint="66"/>
      </w:tcPr>
    </w:tblStylePr>
  </w:style>
  <w:style w:type="table" w:customStyle="1" w:styleId="Commission11">
    <w:name w:val="Commission11"/>
    <w:basedOn w:val="TableNormal"/>
    <w:next w:val="TableGrid"/>
    <w:uiPriority w:val="59"/>
    <w:rsid w:val="0093641B"/>
    <w:pPr>
      <w:spacing w:after="0"/>
    </w:pPr>
    <w:rPr>
      <w:rFonts w:ascii="Arial" w:hAnsi="Arial"/>
      <w:color w:val="000000"/>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center"/>
        <w:outlineLvl w:val="9"/>
      </w:pPr>
      <w:rPr>
        <w:rFonts w:ascii="Adobe Devanagari" w:hAnsi="Adobe Devanagari"/>
        <w:b/>
        <w:color w:val="000000"/>
        <w:sz w:val="18"/>
      </w:rPr>
      <w:tblPr/>
      <w:tcPr>
        <w:shd w:val="clear" w:color="auto" w:fill="86D3F2"/>
      </w:tcPr>
    </w:tblStylePr>
  </w:style>
  <w:style w:type="table" w:customStyle="1" w:styleId="TableGridLight1">
    <w:name w:val="Table Grid Light1"/>
    <w:basedOn w:val="TableNormal"/>
    <w:next w:val="TableGridLight"/>
    <w:uiPriority w:val="40"/>
    <w:rsid w:val="0093641B"/>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7">
    <w:name w:val="A7"/>
    <w:uiPriority w:val="99"/>
    <w:rsid w:val="003D448C"/>
    <w:rPr>
      <w:rFonts w:cs="Gotham Book"/>
      <w:color w:val="3F3F41"/>
      <w:sz w:val="20"/>
      <w:szCs w:val="20"/>
      <w:u w:val="single"/>
    </w:rPr>
  </w:style>
  <w:style w:type="paragraph" w:customStyle="1" w:styleId="Pa30">
    <w:name w:val="Pa30"/>
    <w:basedOn w:val="Normal"/>
    <w:next w:val="Normal"/>
    <w:uiPriority w:val="99"/>
    <w:rsid w:val="0063319A"/>
    <w:pPr>
      <w:autoSpaceDE w:val="0"/>
      <w:autoSpaceDN w:val="0"/>
      <w:adjustRightInd w:val="0"/>
      <w:spacing w:after="0" w:line="151" w:lineRule="atLeast"/>
    </w:pPr>
    <w:rPr>
      <w:rFonts w:ascii="Gotham Book" w:hAnsi="Gotham Book"/>
      <w:sz w:val="24"/>
      <w:szCs w:val="24"/>
    </w:rPr>
  </w:style>
  <w:style w:type="paragraph" w:styleId="EndnoteText">
    <w:name w:val="endnote text"/>
    <w:basedOn w:val="Normal"/>
    <w:link w:val="EndnoteTextChar"/>
    <w:uiPriority w:val="98"/>
    <w:semiHidden/>
    <w:unhideWhenUsed/>
    <w:locked/>
    <w:rsid w:val="00DB5472"/>
    <w:pPr>
      <w:spacing w:after="0"/>
    </w:pPr>
    <w:rPr>
      <w:sz w:val="20"/>
      <w:szCs w:val="20"/>
    </w:rPr>
  </w:style>
  <w:style w:type="character" w:customStyle="1" w:styleId="EndnoteTextChar">
    <w:name w:val="Endnote Text Char"/>
    <w:basedOn w:val="DefaultParagraphFont"/>
    <w:link w:val="EndnoteText"/>
    <w:uiPriority w:val="98"/>
    <w:semiHidden/>
    <w:rsid w:val="00DB5472"/>
    <w:rPr>
      <w:sz w:val="20"/>
      <w:szCs w:val="20"/>
    </w:rPr>
  </w:style>
  <w:style w:type="character" w:styleId="EndnoteReference">
    <w:name w:val="endnote reference"/>
    <w:basedOn w:val="DefaultParagraphFont"/>
    <w:uiPriority w:val="98"/>
    <w:semiHidden/>
    <w:unhideWhenUsed/>
    <w:locked/>
    <w:rsid w:val="00DB5472"/>
    <w:rPr>
      <w:vertAlign w:val="superscript"/>
    </w:rPr>
  </w:style>
  <w:style w:type="paragraph" w:styleId="Revision">
    <w:name w:val="Revision"/>
    <w:hidden/>
    <w:uiPriority w:val="99"/>
    <w:semiHidden/>
    <w:rsid w:val="007E37FD"/>
    <w:pPr>
      <w:spacing w:after="0"/>
    </w:pPr>
  </w:style>
  <w:style w:type="table" w:styleId="PlainTable2">
    <w:name w:val="Plain Table 2"/>
    <w:basedOn w:val="TableNormal"/>
    <w:uiPriority w:val="42"/>
    <w:rsid w:val="00020E43"/>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C3F75"/>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odyText">
    <w:name w:val="Body Text"/>
    <w:basedOn w:val="Normal"/>
    <w:link w:val="BodyTextChar"/>
    <w:uiPriority w:val="1"/>
    <w:qFormat/>
    <w:locked/>
    <w:rsid w:val="00981E53"/>
    <w:pPr>
      <w:widowControl w:val="0"/>
      <w:autoSpaceDE w:val="0"/>
      <w:autoSpaceDN w:val="0"/>
      <w:spacing w:after="0"/>
    </w:pPr>
    <w:rPr>
      <w:rFonts w:ascii="Arial" w:eastAsia="Arial" w:hAnsi="Arial" w:cs="Arial"/>
      <w:lang w:val="en-US" w:eastAsia="en-US"/>
    </w:rPr>
  </w:style>
  <w:style w:type="character" w:customStyle="1" w:styleId="BodyTextChar">
    <w:name w:val="Body Text Char"/>
    <w:basedOn w:val="DefaultParagraphFont"/>
    <w:link w:val="BodyText"/>
    <w:uiPriority w:val="1"/>
    <w:rsid w:val="00981E53"/>
    <w:rPr>
      <w:rFonts w:ascii="Arial" w:eastAsia="Arial" w:hAnsi="Arial" w:cs="Arial"/>
      <w:lang w:val="en-US" w:eastAsia="en-US"/>
    </w:rPr>
  </w:style>
  <w:style w:type="character" w:customStyle="1" w:styleId="Heading5Char">
    <w:name w:val="Heading 5 Char"/>
    <w:basedOn w:val="DefaultParagraphFont"/>
    <w:link w:val="Heading5"/>
    <w:rsid w:val="008F1DE1"/>
    <w:rPr>
      <w:b/>
      <w:bCs/>
      <w:iCs/>
      <w:color w:val="404040" w:themeColor="text1" w:themeTint="BF"/>
      <w:sz w:val="24"/>
    </w:rPr>
  </w:style>
  <w:style w:type="paragraph" w:customStyle="1" w:styleId="Table">
    <w:name w:val="Table"/>
    <w:basedOn w:val="Normal"/>
    <w:qFormat/>
    <w:rsid w:val="00DD7BD6"/>
    <w:rPr>
      <w:b/>
      <w:bCs/>
    </w:rPr>
  </w:style>
  <w:style w:type="paragraph" w:customStyle="1" w:styleId="PTNormal">
    <w:name w:val="PT_Normal"/>
    <w:basedOn w:val="Normal"/>
    <w:link w:val="PTNormalChar"/>
    <w:qFormat/>
    <w:rsid w:val="002671B7"/>
    <w:pPr>
      <w:spacing w:before="120" w:after="120"/>
      <w:jc w:val="both"/>
    </w:pPr>
    <w:rPr>
      <w:rFonts w:ascii="Calibri" w:hAnsi="Calibri"/>
      <w:szCs w:val="24"/>
      <w:lang w:val="en-US" w:eastAsia="en-US"/>
    </w:rPr>
  </w:style>
  <w:style w:type="paragraph" w:styleId="TOC9">
    <w:name w:val="toc 9"/>
    <w:basedOn w:val="Normal"/>
    <w:next w:val="Normal"/>
    <w:autoRedefine/>
    <w:uiPriority w:val="98"/>
    <w:semiHidden/>
    <w:unhideWhenUsed/>
    <w:locked/>
    <w:rsid w:val="005741D2"/>
    <w:pPr>
      <w:spacing w:after="100"/>
      <w:ind w:left="1760"/>
    </w:pPr>
  </w:style>
  <w:style w:type="character" w:customStyle="1" w:styleId="PTNormalChar">
    <w:name w:val="PT_Normal Char"/>
    <w:link w:val="PTNormal"/>
    <w:rsid w:val="002671B7"/>
    <w:rPr>
      <w:rFonts w:ascii="Calibri" w:hAnsi="Calibri"/>
      <w:szCs w:val="24"/>
      <w:lang w:val="en-US" w:eastAsia="en-US"/>
    </w:rPr>
  </w:style>
  <w:style w:type="paragraph" w:customStyle="1" w:styleId="PTHTblFig">
    <w:name w:val="PT_H Tbl_Fig"/>
    <w:basedOn w:val="Heading2"/>
    <w:next w:val="PTNormal"/>
    <w:link w:val="PTHTblFigChar"/>
    <w:qFormat/>
    <w:rsid w:val="002671B7"/>
    <w:pPr>
      <w:keepLines/>
      <w:widowControl w:val="0"/>
      <w:tabs>
        <w:tab w:val="left" w:pos="180"/>
      </w:tabs>
      <w:spacing w:after="120"/>
    </w:pPr>
    <w:rPr>
      <w:rFonts w:ascii="Calibri" w:eastAsia="SimSun" w:hAnsi="Calibri" w:cs="Times New Roman"/>
      <w:iCs w:val="0"/>
      <w:snapToGrid w:val="0"/>
      <w:color w:val="auto"/>
      <w:kern w:val="0"/>
      <w:sz w:val="22"/>
      <w:szCs w:val="20"/>
      <w:lang w:val="en-US" w:eastAsia="en-US"/>
    </w:rPr>
  </w:style>
  <w:style w:type="character" w:customStyle="1" w:styleId="PTHTblFigChar">
    <w:name w:val="PT_H Tbl_Fig Char"/>
    <w:link w:val="PTHTblFig"/>
    <w:rsid w:val="002671B7"/>
    <w:rPr>
      <w:rFonts w:ascii="Calibri" w:eastAsia="SimSun" w:hAnsi="Calibri"/>
      <w:b/>
      <w:snapToGrid w:val="0"/>
      <w:szCs w:val="20"/>
      <w:lang w:val="en-US" w:eastAsia="en-US"/>
    </w:rPr>
  </w:style>
  <w:style w:type="paragraph" w:styleId="Caption">
    <w:name w:val="caption"/>
    <w:basedOn w:val="Normal"/>
    <w:next w:val="Normal"/>
    <w:uiPriority w:val="98"/>
    <w:unhideWhenUsed/>
    <w:qFormat/>
    <w:locked/>
    <w:rsid w:val="00625242"/>
    <w:rPr>
      <w:i/>
      <w:iCs/>
      <w:color w:val="1178A2" w:themeColor="text2"/>
      <w:sz w:val="18"/>
      <w:szCs w:val="18"/>
    </w:rPr>
  </w:style>
  <w:style w:type="paragraph" w:styleId="TableofFigures">
    <w:name w:val="table of figures"/>
    <w:basedOn w:val="Normal"/>
    <w:next w:val="Normal"/>
    <w:uiPriority w:val="99"/>
    <w:unhideWhenUsed/>
    <w:locked/>
    <w:rsid w:val="00625242"/>
    <w:pPr>
      <w:spacing w:after="0"/>
    </w:pPr>
  </w:style>
  <w:style w:type="paragraph" w:customStyle="1" w:styleId="Commissionbodytext">
    <w:name w:val="Commission body text"/>
    <w:basedOn w:val="Normal"/>
    <w:link w:val="CommissionbodytextChar"/>
    <w:qFormat/>
    <w:rsid w:val="00DE5D78"/>
    <w:pPr>
      <w:spacing w:after="0" w:line="276" w:lineRule="auto"/>
    </w:pPr>
    <w:rPr>
      <w:rFonts w:ascii="Arial" w:hAnsi="Arial" w:cs="Arial"/>
    </w:rPr>
  </w:style>
  <w:style w:type="character" w:customStyle="1" w:styleId="CommissionbodytextChar">
    <w:name w:val="Commission body text Char"/>
    <w:basedOn w:val="DefaultParagraphFont"/>
    <w:link w:val="Commissionbodytext"/>
    <w:rsid w:val="00DE5D78"/>
    <w:rPr>
      <w:rFonts w:ascii="Arial" w:hAnsi="Arial" w:cs="Arial"/>
    </w:rPr>
  </w:style>
  <w:style w:type="paragraph" w:styleId="Bibliography">
    <w:name w:val="Bibliography"/>
    <w:basedOn w:val="Normal"/>
    <w:next w:val="Normal"/>
    <w:uiPriority w:val="98"/>
    <w:semiHidden/>
    <w:unhideWhenUsed/>
    <w:locked/>
    <w:rsid w:val="00D77422"/>
  </w:style>
  <w:style w:type="paragraph" w:styleId="BlockText">
    <w:name w:val="Block Text"/>
    <w:basedOn w:val="Normal"/>
    <w:uiPriority w:val="98"/>
    <w:semiHidden/>
    <w:unhideWhenUsed/>
    <w:locked/>
    <w:rsid w:val="00D77422"/>
    <w:pPr>
      <w:pBdr>
        <w:top w:val="single" w:sz="2" w:space="10" w:color="1178A2" w:themeColor="accent1"/>
        <w:left w:val="single" w:sz="2" w:space="10" w:color="1178A2" w:themeColor="accent1"/>
        <w:bottom w:val="single" w:sz="2" w:space="10" w:color="1178A2" w:themeColor="accent1"/>
        <w:right w:val="single" w:sz="2" w:space="10" w:color="1178A2" w:themeColor="accent1"/>
      </w:pBdr>
      <w:ind w:left="1152" w:right="1152"/>
    </w:pPr>
    <w:rPr>
      <w:rFonts w:eastAsiaTheme="minorEastAsia" w:cstheme="minorBidi"/>
      <w:i/>
      <w:iCs/>
      <w:color w:val="1178A2" w:themeColor="accent1"/>
    </w:rPr>
  </w:style>
  <w:style w:type="paragraph" w:styleId="BodyText2">
    <w:name w:val="Body Text 2"/>
    <w:basedOn w:val="Normal"/>
    <w:link w:val="BodyText2Char"/>
    <w:uiPriority w:val="98"/>
    <w:semiHidden/>
    <w:unhideWhenUsed/>
    <w:locked/>
    <w:rsid w:val="00D77422"/>
    <w:pPr>
      <w:spacing w:after="120" w:line="480" w:lineRule="auto"/>
    </w:pPr>
  </w:style>
  <w:style w:type="character" w:customStyle="1" w:styleId="BodyText2Char">
    <w:name w:val="Body Text 2 Char"/>
    <w:basedOn w:val="DefaultParagraphFont"/>
    <w:link w:val="BodyText2"/>
    <w:uiPriority w:val="98"/>
    <w:semiHidden/>
    <w:rsid w:val="00D77422"/>
  </w:style>
  <w:style w:type="paragraph" w:styleId="BodyText3">
    <w:name w:val="Body Text 3"/>
    <w:basedOn w:val="Normal"/>
    <w:link w:val="BodyText3Char"/>
    <w:uiPriority w:val="98"/>
    <w:semiHidden/>
    <w:unhideWhenUsed/>
    <w:locked/>
    <w:rsid w:val="00D77422"/>
    <w:pPr>
      <w:spacing w:after="120"/>
    </w:pPr>
    <w:rPr>
      <w:sz w:val="16"/>
      <w:szCs w:val="16"/>
    </w:rPr>
  </w:style>
  <w:style w:type="character" w:customStyle="1" w:styleId="BodyText3Char">
    <w:name w:val="Body Text 3 Char"/>
    <w:basedOn w:val="DefaultParagraphFont"/>
    <w:link w:val="BodyText3"/>
    <w:uiPriority w:val="98"/>
    <w:semiHidden/>
    <w:rsid w:val="00D77422"/>
    <w:rPr>
      <w:sz w:val="16"/>
      <w:szCs w:val="16"/>
    </w:rPr>
  </w:style>
  <w:style w:type="paragraph" w:styleId="BodyTextFirstIndent">
    <w:name w:val="Body Text First Indent"/>
    <w:basedOn w:val="BodyText"/>
    <w:link w:val="BodyTextFirstIndentChar"/>
    <w:uiPriority w:val="98"/>
    <w:locked/>
    <w:rsid w:val="00D77422"/>
    <w:pPr>
      <w:widowControl/>
      <w:autoSpaceDE/>
      <w:autoSpaceDN/>
      <w:spacing w:after="200"/>
      <w:ind w:firstLine="360"/>
    </w:pPr>
    <w:rPr>
      <w:rFonts w:asciiTheme="minorHAnsi" w:eastAsia="Times New Roman" w:hAnsiTheme="minorHAnsi" w:cs="Times New Roman"/>
      <w:lang w:val="en-AU" w:eastAsia="en-AU"/>
    </w:rPr>
  </w:style>
  <w:style w:type="character" w:customStyle="1" w:styleId="BodyTextFirstIndentChar">
    <w:name w:val="Body Text First Indent Char"/>
    <w:basedOn w:val="BodyTextChar"/>
    <w:link w:val="BodyTextFirstIndent"/>
    <w:uiPriority w:val="98"/>
    <w:rsid w:val="00D77422"/>
    <w:rPr>
      <w:rFonts w:ascii="Arial" w:eastAsia="Arial" w:hAnsi="Arial" w:cs="Arial"/>
      <w:lang w:val="en-US" w:eastAsia="en-US"/>
    </w:rPr>
  </w:style>
  <w:style w:type="paragraph" w:styleId="BodyTextIndent">
    <w:name w:val="Body Text Indent"/>
    <w:basedOn w:val="Normal"/>
    <w:link w:val="BodyTextIndentChar"/>
    <w:uiPriority w:val="98"/>
    <w:semiHidden/>
    <w:unhideWhenUsed/>
    <w:locked/>
    <w:rsid w:val="00D77422"/>
    <w:pPr>
      <w:spacing w:after="120"/>
      <w:ind w:left="283"/>
    </w:pPr>
  </w:style>
  <w:style w:type="character" w:customStyle="1" w:styleId="BodyTextIndentChar">
    <w:name w:val="Body Text Indent Char"/>
    <w:basedOn w:val="DefaultParagraphFont"/>
    <w:link w:val="BodyTextIndent"/>
    <w:uiPriority w:val="98"/>
    <w:semiHidden/>
    <w:rsid w:val="00D77422"/>
  </w:style>
  <w:style w:type="paragraph" w:styleId="BodyTextFirstIndent2">
    <w:name w:val="Body Text First Indent 2"/>
    <w:basedOn w:val="BodyTextIndent"/>
    <w:link w:val="BodyTextFirstIndent2Char"/>
    <w:uiPriority w:val="98"/>
    <w:semiHidden/>
    <w:unhideWhenUsed/>
    <w:locked/>
    <w:rsid w:val="00D77422"/>
    <w:pPr>
      <w:spacing w:after="200"/>
      <w:ind w:left="360" w:firstLine="360"/>
    </w:pPr>
  </w:style>
  <w:style w:type="character" w:customStyle="1" w:styleId="BodyTextFirstIndent2Char">
    <w:name w:val="Body Text First Indent 2 Char"/>
    <w:basedOn w:val="BodyTextIndentChar"/>
    <w:link w:val="BodyTextFirstIndent2"/>
    <w:uiPriority w:val="98"/>
    <w:semiHidden/>
    <w:rsid w:val="00D77422"/>
  </w:style>
  <w:style w:type="paragraph" w:styleId="BodyTextIndent2">
    <w:name w:val="Body Text Indent 2"/>
    <w:basedOn w:val="Normal"/>
    <w:link w:val="BodyTextIndent2Char"/>
    <w:uiPriority w:val="98"/>
    <w:semiHidden/>
    <w:unhideWhenUsed/>
    <w:locked/>
    <w:rsid w:val="00D77422"/>
    <w:pPr>
      <w:spacing w:after="120" w:line="480" w:lineRule="auto"/>
      <w:ind w:left="283"/>
    </w:pPr>
  </w:style>
  <w:style w:type="character" w:customStyle="1" w:styleId="BodyTextIndent2Char">
    <w:name w:val="Body Text Indent 2 Char"/>
    <w:basedOn w:val="DefaultParagraphFont"/>
    <w:link w:val="BodyTextIndent2"/>
    <w:uiPriority w:val="98"/>
    <w:semiHidden/>
    <w:rsid w:val="00D77422"/>
  </w:style>
  <w:style w:type="paragraph" w:styleId="BodyTextIndent3">
    <w:name w:val="Body Text Indent 3"/>
    <w:basedOn w:val="Normal"/>
    <w:link w:val="BodyTextIndent3Char"/>
    <w:uiPriority w:val="98"/>
    <w:semiHidden/>
    <w:unhideWhenUsed/>
    <w:locked/>
    <w:rsid w:val="00D77422"/>
    <w:pPr>
      <w:spacing w:after="120"/>
      <w:ind w:left="283"/>
    </w:pPr>
    <w:rPr>
      <w:sz w:val="16"/>
      <w:szCs w:val="16"/>
    </w:rPr>
  </w:style>
  <w:style w:type="character" w:customStyle="1" w:styleId="BodyTextIndent3Char">
    <w:name w:val="Body Text Indent 3 Char"/>
    <w:basedOn w:val="DefaultParagraphFont"/>
    <w:link w:val="BodyTextIndent3"/>
    <w:uiPriority w:val="98"/>
    <w:semiHidden/>
    <w:rsid w:val="00D77422"/>
    <w:rPr>
      <w:sz w:val="16"/>
      <w:szCs w:val="16"/>
    </w:rPr>
  </w:style>
  <w:style w:type="paragraph" w:styleId="Closing">
    <w:name w:val="Closing"/>
    <w:basedOn w:val="Normal"/>
    <w:link w:val="ClosingChar"/>
    <w:uiPriority w:val="98"/>
    <w:semiHidden/>
    <w:unhideWhenUsed/>
    <w:locked/>
    <w:rsid w:val="00D77422"/>
    <w:pPr>
      <w:spacing w:after="0"/>
      <w:ind w:left="4252"/>
    </w:pPr>
  </w:style>
  <w:style w:type="character" w:customStyle="1" w:styleId="ClosingChar">
    <w:name w:val="Closing Char"/>
    <w:basedOn w:val="DefaultParagraphFont"/>
    <w:link w:val="Closing"/>
    <w:uiPriority w:val="98"/>
    <w:semiHidden/>
    <w:rsid w:val="00D77422"/>
  </w:style>
  <w:style w:type="paragraph" w:styleId="Date">
    <w:name w:val="Date"/>
    <w:basedOn w:val="Normal"/>
    <w:next w:val="Normal"/>
    <w:link w:val="DateChar"/>
    <w:uiPriority w:val="98"/>
    <w:locked/>
    <w:rsid w:val="00D77422"/>
  </w:style>
  <w:style w:type="character" w:customStyle="1" w:styleId="DateChar">
    <w:name w:val="Date Char"/>
    <w:basedOn w:val="DefaultParagraphFont"/>
    <w:link w:val="Date"/>
    <w:uiPriority w:val="98"/>
    <w:rsid w:val="00D77422"/>
  </w:style>
  <w:style w:type="paragraph" w:styleId="DocumentMap">
    <w:name w:val="Document Map"/>
    <w:basedOn w:val="Normal"/>
    <w:link w:val="DocumentMapChar"/>
    <w:uiPriority w:val="98"/>
    <w:semiHidden/>
    <w:unhideWhenUsed/>
    <w:locked/>
    <w:rsid w:val="00D77422"/>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8"/>
    <w:semiHidden/>
    <w:rsid w:val="00D77422"/>
    <w:rPr>
      <w:rFonts w:ascii="Segoe UI" w:hAnsi="Segoe UI" w:cs="Segoe UI"/>
      <w:sz w:val="16"/>
      <w:szCs w:val="16"/>
    </w:rPr>
  </w:style>
  <w:style w:type="paragraph" w:styleId="E-mailSignature">
    <w:name w:val="E-mail Signature"/>
    <w:basedOn w:val="Normal"/>
    <w:link w:val="E-mailSignatureChar"/>
    <w:uiPriority w:val="98"/>
    <w:semiHidden/>
    <w:unhideWhenUsed/>
    <w:locked/>
    <w:rsid w:val="00D77422"/>
    <w:pPr>
      <w:spacing w:after="0"/>
    </w:pPr>
  </w:style>
  <w:style w:type="character" w:customStyle="1" w:styleId="E-mailSignatureChar">
    <w:name w:val="E-mail Signature Char"/>
    <w:basedOn w:val="DefaultParagraphFont"/>
    <w:link w:val="E-mailSignature"/>
    <w:uiPriority w:val="98"/>
    <w:semiHidden/>
    <w:rsid w:val="00D77422"/>
  </w:style>
  <w:style w:type="paragraph" w:styleId="EnvelopeAddress">
    <w:name w:val="envelope address"/>
    <w:basedOn w:val="Normal"/>
    <w:uiPriority w:val="98"/>
    <w:semiHidden/>
    <w:unhideWhenUsed/>
    <w:locked/>
    <w:rsid w:val="00D77422"/>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8"/>
    <w:semiHidden/>
    <w:unhideWhenUsed/>
    <w:locked/>
    <w:rsid w:val="00D77422"/>
    <w:pPr>
      <w:spacing w:after="0"/>
    </w:pPr>
    <w:rPr>
      <w:rFonts w:asciiTheme="majorHAnsi" w:eastAsiaTheme="majorEastAsia" w:hAnsiTheme="majorHAnsi" w:cstheme="majorBidi"/>
      <w:sz w:val="20"/>
      <w:szCs w:val="20"/>
    </w:rPr>
  </w:style>
  <w:style w:type="character" w:customStyle="1" w:styleId="Heading7Char">
    <w:name w:val="Heading 7 Char"/>
    <w:basedOn w:val="DefaultParagraphFont"/>
    <w:link w:val="Heading7"/>
    <w:uiPriority w:val="98"/>
    <w:semiHidden/>
    <w:rsid w:val="00D77422"/>
    <w:rPr>
      <w:rFonts w:asciiTheme="majorHAnsi" w:eastAsiaTheme="majorEastAsia" w:hAnsiTheme="majorHAnsi" w:cstheme="majorBidi"/>
      <w:i/>
      <w:iCs/>
      <w:color w:val="083B50" w:themeColor="accent1" w:themeShade="7F"/>
    </w:rPr>
  </w:style>
  <w:style w:type="character" w:customStyle="1" w:styleId="Heading8Char">
    <w:name w:val="Heading 8 Char"/>
    <w:basedOn w:val="DefaultParagraphFont"/>
    <w:link w:val="Heading8"/>
    <w:uiPriority w:val="98"/>
    <w:semiHidden/>
    <w:rsid w:val="00D7742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8"/>
    <w:semiHidden/>
    <w:rsid w:val="00D77422"/>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8"/>
    <w:semiHidden/>
    <w:unhideWhenUsed/>
    <w:locked/>
    <w:rsid w:val="00D77422"/>
    <w:pPr>
      <w:spacing w:after="0"/>
    </w:pPr>
    <w:rPr>
      <w:i/>
      <w:iCs/>
    </w:rPr>
  </w:style>
  <w:style w:type="character" w:customStyle="1" w:styleId="HTMLAddressChar">
    <w:name w:val="HTML Address Char"/>
    <w:basedOn w:val="DefaultParagraphFont"/>
    <w:link w:val="HTMLAddress"/>
    <w:uiPriority w:val="98"/>
    <w:semiHidden/>
    <w:rsid w:val="00D77422"/>
    <w:rPr>
      <w:i/>
      <w:iCs/>
    </w:rPr>
  </w:style>
  <w:style w:type="paragraph" w:styleId="HTMLPreformatted">
    <w:name w:val="HTML Preformatted"/>
    <w:basedOn w:val="Normal"/>
    <w:link w:val="HTMLPreformattedChar"/>
    <w:uiPriority w:val="98"/>
    <w:semiHidden/>
    <w:unhideWhenUsed/>
    <w:locked/>
    <w:rsid w:val="00D77422"/>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8"/>
    <w:semiHidden/>
    <w:rsid w:val="00D77422"/>
    <w:rPr>
      <w:rFonts w:ascii="Consolas" w:hAnsi="Consolas"/>
      <w:sz w:val="20"/>
      <w:szCs w:val="20"/>
    </w:rPr>
  </w:style>
  <w:style w:type="paragraph" w:styleId="Index1">
    <w:name w:val="index 1"/>
    <w:basedOn w:val="Normal"/>
    <w:next w:val="Normal"/>
    <w:autoRedefine/>
    <w:uiPriority w:val="98"/>
    <w:semiHidden/>
    <w:unhideWhenUsed/>
    <w:locked/>
    <w:rsid w:val="00D77422"/>
    <w:pPr>
      <w:spacing w:after="0"/>
      <w:ind w:left="220" w:hanging="220"/>
    </w:pPr>
  </w:style>
  <w:style w:type="paragraph" w:styleId="Index2">
    <w:name w:val="index 2"/>
    <w:basedOn w:val="Normal"/>
    <w:next w:val="Normal"/>
    <w:autoRedefine/>
    <w:uiPriority w:val="98"/>
    <w:semiHidden/>
    <w:unhideWhenUsed/>
    <w:locked/>
    <w:rsid w:val="00D77422"/>
    <w:pPr>
      <w:spacing w:after="0"/>
      <w:ind w:left="440" w:hanging="220"/>
    </w:pPr>
  </w:style>
  <w:style w:type="paragraph" w:styleId="Index3">
    <w:name w:val="index 3"/>
    <w:basedOn w:val="Normal"/>
    <w:next w:val="Normal"/>
    <w:autoRedefine/>
    <w:uiPriority w:val="98"/>
    <w:semiHidden/>
    <w:unhideWhenUsed/>
    <w:locked/>
    <w:rsid w:val="00D77422"/>
    <w:pPr>
      <w:spacing w:after="0"/>
      <w:ind w:left="660" w:hanging="220"/>
    </w:pPr>
  </w:style>
  <w:style w:type="paragraph" w:styleId="Index4">
    <w:name w:val="index 4"/>
    <w:basedOn w:val="Normal"/>
    <w:next w:val="Normal"/>
    <w:autoRedefine/>
    <w:uiPriority w:val="98"/>
    <w:semiHidden/>
    <w:unhideWhenUsed/>
    <w:locked/>
    <w:rsid w:val="00D77422"/>
    <w:pPr>
      <w:spacing w:after="0"/>
      <w:ind w:left="880" w:hanging="220"/>
    </w:pPr>
  </w:style>
  <w:style w:type="paragraph" w:styleId="Index5">
    <w:name w:val="index 5"/>
    <w:basedOn w:val="Normal"/>
    <w:next w:val="Normal"/>
    <w:autoRedefine/>
    <w:uiPriority w:val="98"/>
    <w:semiHidden/>
    <w:unhideWhenUsed/>
    <w:locked/>
    <w:rsid w:val="00D77422"/>
    <w:pPr>
      <w:spacing w:after="0"/>
      <w:ind w:left="1100" w:hanging="220"/>
    </w:pPr>
  </w:style>
  <w:style w:type="paragraph" w:styleId="Index6">
    <w:name w:val="index 6"/>
    <w:basedOn w:val="Normal"/>
    <w:next w:val="Normal"/>
    <w:autoRedefine/>
    <w:uiPriority w:val="98"/>
    <w:semiHidden/>
    <w:unhideWhenUsed/>
    <w:locked/>
    <w:rsid w:val="00D77422"/>
    <w:pPr>
      <w:spacing w:after="0"/>
      <w:ind w:left="1320" w:hanging="220"/>
    </w:pPr>
  </w:style>
  <w:style w:type="paragraph" w:styleId="Index7">
    <w:name w:val="index 7"/>
    <w:basedOn w:val="Normal"/>
    <w:next w:val="Normal"/>
    <w:autoRedefine/>
    <w:uiPriority w:val="98"/>
    <w:semiHidden/>
    <w:unhideWhenUsed/>
    <w:locked/>
    <w:rsid w:val="00D77422"/>
    <w:pPr>
      <w:spacing w:after="0"/>
      <w:ind w:left="1540" w:hanging="220"/>
    </w:pPr>
  </w:style>
  <w:style w:type="paragraph" w:styleId="Index8">
    <w:name w:val="index 8"/>
    <w:basedOn w:val="Normal"/>
    <w:next w:val="Normal"/>
    <w:autoRedefine/>
    <w:uiPriority w:val="98"/>
    <w:semiHidden/>
    <w:unhideWhenUsed/>
    <w:locked/>
    <w:rsid w:val="00D77422"/>
    <w:pPr>
      <w:spacing w:after="0"/>
      <w:ind w:left="1760" w:hanging="220"/>
    </w:pPr>
  </w:style>
  <w:style w:type="paragraph" w:styleId="Index9">
    <w:name w:val="index 9"/>
    <w:basedOn w:val="Normal"/>
    <w:next w:val="Normal"/>
    <w:autoRedefine/>
    <w:uiPriority w:val="98"/>
    <w:semiHidden/>
    <w:unhideWhenUsed/>
    <w:locked/>
    <w:rsid w:val="00D77422"/>
    <w:pPr>
      <w:spacing w:after="0"/>
      <w:ind w:left="1980" w:hanging="220"/>
    </w:pPr>
  </w:style>
  <w:style w:type="paragraph" w:styleId="IndexHeading">
    <w:name w:val="index heading"/>
    <w:basedOn w:val="Normal"/>
    <w:next w:val="Index1"/>
    <w:uiPriority w:val="98"/>
    <w:semiHidden/>
    <w:unhideWhenUsed/>
    <w:locked/>
    <w:rsid w:val="00D77422"/>
    <w:rPr>
      <w:rFonts w:asciiTheme="majorHAnsi" w:eastAsiaTheme="majorEastAsia" w:hAnsiTheme="majorHAnsi" w:cstheme="majorBidi"/>
      <w:b/>
      <w:bCs/>
    </w:rPr>
  </w:style>
  <w:style w:type="paragraph" w:styleId="IntenseQuote">
    <w:name w:val="Intense Quote"/>
    <w:basedOn w:val="Normal"/>
    <w:next w:val="Normal"/>
    <w:link w:val="IntenseQuoteChar"/>
    <w:uiPriority w:val="98"/>
    <w:locked/>
    <w:rsid w:val="00D77422"/>
    <w:pPr>
      <w:pBdr>
        <w:top w:val="single" w:sz="4" w:space="10" w:color="1178A2" w:themeColor="accent1"/>
        <w:bottom w:val="single" w:sz="4" w:space="10" w:color="1178A2" w:themeColor="accent1"/>
      </w:pBdr>
      <w:spacing w:before="360" w:after="360"/>
      <w:ind w:left="864" w:right="864"/>
      <w:jc w:val="center"/>
    </w:pPr>
    <w:rPr>
      <w:i/>
      <w:iCs/>
      <w:color w:val="1178A2" w:themeColor="accent1"/>
    </w:rPr>
  </w:style>
  <w:style w:type="character" w:customStyle="1" w:styleId="IntenseQuoteChar">
    <w:name w:val="Intense Quote Char"/>
    <w:basedOn w:val="DefaultParagraphFont"/>
    <w:link w:val="IntenseQuote"/>
    <w:uiPriority w:val="98"/>
    <w:rsid w:val="00D77422"/>
    <w:rPr>
      <w:i/>
      <w:iCs/>
      <w:color w:val="1178A2" w:themeColor="accent1"/>
    </w:rPr>
  </w:style>
  <w:style w:type="paragraph" w:styleId="List">
    <w:name w:val="List"/>
    <w:basedOn w:val="Normal"/>
    <w:uiPriority w:val="98"/>
    <w:semiHidden/>
    <w:unhideWhenUsed/>
    <w:locked/>
    <w:rsid w:val="00D77422"/>
    <w:pPr>
      <w:ind w:left="283" w:hanging="283"/>
      <w:contextualSpacing/>
    </w:pPr>
  </w:style>
  <w:style w:type="paragraph" w:styleId="List2">
    <w:name w:val="List 2"/>
    <w:basedOn w:val="Normal"/>
    <w:uiPriority w:val="98"/>
    <w:semiHidden/>
    <w:unhideWhenUsed/>
    <w:locked/>
    <w:rsid w:val="00D77422"/>
    <w:pPr>
      <w:ind w:left="566" w:hanging="283"/>
      <w:contextualSpacing/>
    </w:pPr>
  </w:style>
  <w:style w:type="paragraph" w:styleId="List3">
    <w:name w:val="List 3"/>
    <w:basedOn w:val="Normal"/>
    <w:uiPriority w:val="98"/>
    <w:semiHidden/>
    <w:unhideWhenUsed/>
    <w:locked/>
    <w:rsid w:val="00D77422"/>
    <w:pPr>
      <w:ind w:left="849" w:hanging="283"/>
      <w:contextualSpacing/>
    </w:pPr>
  </w:style>
  <w:style w:type="paragraph" w:styleId="List4">
    <w:name w:val="List 4"/>
    <w:basedOn w:val="Normal"/>
    <w:uiPriority w:val="98"/>
    <w:locked/>
    <w:rsid w:val="00D77422"/>
    <w:pPr>
      <w:ind w:left="1132" w:hanging="283"/>
      <w:contextualSpacing/>
    </w:pPr>
  </w:style>
  <w:style w:type="paragraph" w:styleId="List5">
    <w:name w:val="List 5"/>
    <w:basedOn w:val="Normal"/>
    <w:uiPriority w:val="98"/>
    <w:locked/>
    <w:rsid w:val="00D77422"/>
    <w:pPr>
      <w:ind w:left="1415" w:hanging="283"/>
      <w:contextualSpacing/>
    </w:pPr>
  </w:style>
  <w:style w:type="paragraph" w:styleId="ListBullet">
    <w:name w:val="List Bullet"/>
    <w:basedOn w:val="Normal"/>
    <w:uiPriority w:val="98"/>
    <w:semiHidden/>
    <w:unhideWhenUsed/>
    <w:locked/>
    <w:rsid w:val="00D77422"/>
    <w:pPr>
      <w:numPr>
        <w:numId w:val="38"/>
      </w:numPr>
      <w:contextualSpacing/>
    </w:pPr>
  </w:style>
  <w:style w:type="paragraph" w:styleId="ListBullet2">
    <w:name w:val="List Bullet 2"/>
    <w:basedOn w:val="Normal"/>
    <w:uiPriority w:val="98"/>
    <w:semiHidden/>
    <w:unhideWhenUsed/>
    <w:locked/>
    <w:rsid w:val="00D77422"/>
    <w:pPr>
      <w:numPr>
        <w:numId w:val="39"/>
      </w:numPr>
      <w:contextualSpacing/>
    </w:pPr>
  </w:style>
  <w:style w:type="paragraph" w:styleId="ListBullet3">
    <w:name w:val="List Bullet 3"/>
    <w:basedOn w:val="Normal"/>
    <w:uiPriority w:val="98"/>
    <w:semiHidden/>
    <w:unhideWhenUsed/>
    <w:locked/>
    <w:rsid w:val="00D77422"/>
    <w:pPr>
      <w:numPr>
        <w:numId w:val="40"/>
      </w:numPr>
      <w:contextualSpacing/>
    </w:pPr>
  </w:style>
  <w:style w:type="paragraph" w:styleId="ListBullet4">
    <w:name w:val="List Bullet 4"/>
    <w:basedOn w:val="Normal"/>
    <w:uiPriority w:val="98"/>
    <w:semiHidden/>
    <w:unhideWhenUsed/>
    <w:locked/>
    <w:rsid w:val="00D77422"/>
    <w:pPr>
      <w:numPr>
        <w:numId w:val="41"/>
      </w:numPr>
      <w:contextualSpacing/>
    </w:pPr>
  </w:style>
  <w:style w:type="paragraph" w:styleId="ListBullet5">
    <w:name w:val="List Bullet 5"/>
    <w:basedOn w:val="Normal"/>
    <w:uiPriority w:val="98"/>
    <w:semiHidden/>
    <w:unhideWhenUsed/>
    <w:locked/>
    <w:rsid w:val="00D77422"/>
    <w:pPr>
      <w:numPr>
        <w:numId w:val="42"/>
      </w:numPr>
      <w:contextualSpacing/>
    </w:pPr>
  </w:style>
  <w:style w:type="paragraph" w:styleId="ListContinue">
    <w:name w:val="List Continue"/>
    <w:basedOn w:val="Normal"/>
    <w:uiPriority w:val="98"/>
    <w:semiHidden/>
    <w:unhideWhenUsed/>
    <w:locked/>
    <w:rsid w:val="00D77422"/>
    <w:pPr>
      <w:spacing w:after="120"/>
      <w:ind w:left="283"/>
      <w:contextualSpacing/>
    </w:pPr>
  </w:style>
  <w:style w:type="paragraph" w:styleId="ListContinue2">
    <w:name w:val="List Continue 2"/>
    <w:basedOn w:val="Normal"/>
    <w:uiPriority w:val="98"/>
    <w:semiHidden/>
    <w:unhideWhenUsed/>
    <w:locked/>
    <w:rsid w:val="00D77422"/>
    <w:pPr>
      <w:spacing w:after="120"/>
      <w:ind w:left="566"/>
      <w:contextualSpacing/>
    </w:pPr>
  </w:style>
  <w:style w:type="paragraph" w:styleId="ListContinue3">
    <w:name w:val="List Continue 3"/>
    <w:basedOn w:val="Normal"/>
    <w:uiPriority w:val="98"/>
    <w:semiHidden/>
    <w:unhideWhenUsed/>
    <w:locked/>
    <w:rsid w:val="00D77422"/>
    <w:pPr>
      <w:spacing w:after="120"/>
      <w:ind w:left="849"/>
      <w:contextualSpacing/>
    </w:pPr>
  </w:style>
  <w:style w:type="paragraph" w:styleId="ListContinue4">
    <w:name w:val="List Continue 4"/>
    <w:basedOn w:val="Normal"/>
    <w:uiPriority w:val="98"/>
    <w:semiHidden/>
    <w:unhideWhenUsed/>
    <w:locked/>
    <w:rsid w:val="00D77422"/>
    <w:pPr>
      <w:spacing w:after="120"/>
      <w:ind w:left="1132"/>
      <w:contextualSpacing/>
    </w:pPr>
  </w:style>
  <w:style w:type="paragraph" w:styleId="ListContinue5">
    <w:name w:val="List Continue 5"/>
    <w:basedOn w:val="Normal"/>
    <w:uiPriority w:val="98"/>
    <w:semiHidden/>
    <w:unhideWhenUsed/>
    <w:locked/>
    <w:rsid w:val="00D77422"/>
    <w:pPr>
      <w:spacing w:after="120"/>
      <w:ind w:left="1415"/>
      <w:contextualSpacing/>
    </w:pPr>
  </w:style>
  <w:style w:type="paragraph" w:styleId="ListNumber">
    <w:name w:val="List Number"/>
    <w:basedOn w:val="Normal"/>
    <w:uiPriority w:val="98"/>
    <w:locked/>
    <w:rsid w:val="00D77422"/>
    <w:pPr>
      <w:numPr>
        <w:numId w:val="43"/>
      </w:numPr>
      <w:contextualSpacing/>
    </w:pPr>
  </w:style>
  <w:style w:type="paragraph" w:styleId="ListNumber2">
    <w:name w:val="List Number 2"/>
    <w:basedOn w:val="Normal"/>
    <w:uiPriority w:val="98"/>
    <w:semiHidden/>
    <w:unhideWhenUsed/>
    <w:locked/>
    <w:rsid w:val="00D77422"/>
    <w:pPr>
      <w:numPr>
        <w:numId w:val="44"/>
      </w:numPr>
      <w:contextualSpacing/>
    </w:pPr>
  </w:style>
  <w:style w:type="paragraph" w:styleId="ListNumber3">
    <w:name w:val="List Number 3"/>
    <w:basedOn w:val="Normal"/>
    <w:uiPriority w:val="98"/>
    <w:semiHidden/>
    <w:unhideWhenUsed/>
    <w:locked/>
    <w:rsid w:val="00D77422"/>
    <w:pPr>
      <w:numPr>
        <w:numId w:val="45"/>
      </w:numPr>
      <w:contextualSpacing/>
    </w:pPr>
  </w:style>
  <w:style w:type="paragraph" w:styleId="ListNumber4">
    <w:name w:val="List Number 4"/>
    <w:basedOn w:val="Normal"/>
    <w:uiPriority w:val="98"/>
    <w:semiHidden/>
    <w:unhideWhenUsed/>
    <w:locked/>
    <w:rsid w:val="00D77422"/>
    <w:pPr>
      <w:numPr>
        <w:numId w:val="46"/>
      </w:numPr>
      <w:contextualSpacing/>
    </w:pPr>
  </w:style>
  <w:style w:type="paragraph" w:styleId="ListNumber5">
    <w:name w:val="List Number 5"/>
    <w:basedOn w:val="Normal"/>
    <w:uiPriority w:val="98"/>
    <w:semiHidden/>
    <w:unhideWhenUsed/>
    <w:locked/>
    <w:rsid w:val="00D77422"/>
    <w:pPr>
      <w:numPr>
        <w:numId w:val="47"/>
      </w:numPr>
      <w:contextualSpacing/>
    </w:pPr>
  </w:style>
  <w:style w:type="paragraph" w:styleId="MacroText">
    <w:name w:val="macro"/>
    <w:link w:val="MacroTextChar"/>
    <w:uiPriority w:val="98"/>
    <w:semiHidden/>
    <w:unhideWhenUsed/>
    <w:locked/>
    <w:rsid w:val="00D7742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8"/>
    <w:semiHidden/>
    <w:rsid w:val="00D77422"/>
    <w:rPr>
      <w:rFonts w:ascii="Consolas" w:hAnsi="Consolas"/>
      <w:sz w:val="20"/>
      <w:szCs w:val="20"/>
    </w:rPr>
  </w:style>
  <w:style w:type="paragraph" w:styleId="MessageHeader">
    <w:name w:val="Message Header"/>
    <w:basedOn w:val="Normal"/>
    <w:link w:val="MessageHeaderChar"/>
    <w:uiPriority w:val="98"/>
    <w:semiHidden/>
    <w:unhideWhenUsed/>
    <w:locked/>
    <w:rsid w:val="00D7742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8"/>
    <w:semiHidden/>
    <w:rsid w:val="00D77422"/>
    <w:rPr>
      <w:rFonts w:asciiTheme="majorHAnsi" w:eastAsiaTheme="majorEastAsia" w:hAnsiTheme="majorHAnsi" w:cstheme="majorBidi"/>
      <w:sz w:val="24"/>
      <w:szCs w:val="24"/>
      <w:shd w:val="pct20" w:color="auto" w:fill="auto"/>
    </w:rPr>
  </w:style>
  <w:style w:type="paragraph" w:styleId="NoSpacing">
    <w:name w:val="No Spacing"/>
    <w:uiPriority w:val="98"/>
    <w:locked/>
    <w:rsid w:val="00D77422"/>
    <w:pPr>
      <w:spacing w:after="0"/>
    </w:pPr>
  </w:style>
  <w:style w:type="paragraph" w:styleId="NormalWeb">
    <w:name w:val="Normal (Web)"/>
    <w:basedOn w:val="Normal"/>
    <w:uiPriority w:val="98"/>
    <w:semiHidden/>
    <w:unhideWhenUsed/>
    <w:locked/>
    <w:rsid w:val="00D77422"/>
    <w:rPr>
      <w:rFonts w:ascii="Times New Roman" w:hAnsi="Times New Roman"/>
      <w:sz w:val="24"/>
      <w:szCs w:val="24"/>
    </w:rPr>
  </w:style>
  <w:style w:type="paragraph" w:styleId="NormalIndent">
    <w:name w:val="Normal Indent"/>
    <w:basedOn w:val="Normal"/>
    <w:uiPriority w:val="98"/>
    <w:semiHidden/>
    <w:unhideWhenUsed/>
    <w:locked/>
    <w:rsid w:val="00D77422"/>
    <w:pPr>
      <w:ind w:left="720"/>
    </w:pPr>
  </w:style>
  <w:style w:type="paragraph" w:styleId="NoteHeading">
    <w:name w:val="Note Heading"/>
    <w:basedOn w:val="Normal"/>
    <w:next w:val="Normal"/>
    <w:link w:val="NoteHeadingChar"/>
    <w:uiPriority w:val="98"/>
    <w:semiHidden/>
    <w:unhideWhenUsed/>
    <w:locked/>
    <w:rsid w:val="00D77422"/>
    <w:pPr>
      <w:spacing w:after="0"/>
    </w:pPr>
  </w:style>
  <w:style w:type="character" w:customStyle="1" w:styleId="NoteHeadingChar">
    <w:name w:val="Note Heading Char"/>
    <w:basedOn w:val="DefaultParagraphFont"/>
    <w:link w:val="NoteHeading"/>
    <w:uiPriority w:val="98"/>
    <w:semiHidden/>
    <w:rsid w:val="00D77422"/>
  </w:style>
  <w:style w:type="paragraph" w:styleId="PlainText">
    <w:name w:val="Plain Text"/>
    <w:basedOn w:val="Normal"/>
    <w:link w:val="PlainTextChar"/>
    <w:uiPriority w:val="98"/>
    <w:semiHidden/>
    <w:unhideWhenUsed/>
    <w:locked/>
    <w:rsid w:val="00D77422"/>
    <w:pPr>
      <w:spacing w:after="0"/>
    </w:pPr>
    <w:rPr>
      <w:rFonts w:ascii="Consolas" w:hAnsi="Consolas"/>
      <w:sz w:val="21"/>
      <w:szCs w:val="21"/>
    </w:rPr>
  </w:style>
  <w:style w:type="character" w:customStyle="1" w:styleId="PlainTextChar">
    <w:name w:val="Plain Text Char"/>
    <w:basedOn w:val="DefaultParagraphFont"/>
    <w:link w:val="PlainText"/>
    <w:uiPriority w:val="98"/>
    <w:semiHidden/>
    <w:rsid w:val="00D77422"/>
    <w:rPr>
      <w:rFonts w:ascii="Consolas" w:hAnsi="Consolas"/>
      <w:sz w:val="21"/>
      <w:szCs w:val="21"/>
    </w:rPr>
  </w:style>
  <w:style w:type="paragraph" w:styleId="Salutation">
    <w:name w:val="Salutation"/>
    <w:basedOn w:val="Normal"/>
    <w:next w:val="Normal"/>
    <w:link w:val="SalutationChar"/>
    <w:uiPriority w:val="98"/>
    <w:locked/>
    <w:rsid w:val="00D77422"/>
  </w:style>
  <w:style w:type="character" w:customStyle="1" w:styleId="SalutationChar">
    <w:name w:val="Salutation Char"/>
    <w:basedOn w:val="DefaultParagraphFont"/>
    <w:link w:val="Salutation"/>
    <w:uiPriority w:val="98"/>
    <w:rsid w:val="00D77422"/>
  </w:style>
  <w:style w:type="paragraph" w:styleId="Signature">
    <w:name w:val="Signature"/>
    <w:basedOn w:val="Normal"/>
    <w:link w:val="SignatureChar"/>
    <w:uiPriority w:val="98"/>
    <w:semiHidden/>
    <w:unhideWhenUsed/>
    <w:locked/>
    <w:rsid w:val="00D77422"/>
    <w:pPr>
      <w:spacing w:after="0"/>
      <w:ind w:left="4252"/>
    </w:pPr>
  </w:style>
  <w:style w:type="character" w:customStyle="1" w:styleId="SignatureChar">
    <w:name w:val="Signature Char"/>
    <w:basedOn w:val="DefaultParagraphFont"/>
    <w:link w:val="Signature"/>
    <w:uiPriority w:val="98"/>
    <w:semiHidden/>
    <w:rsid w:val="00D77422"/>
  </w:style>
  <w:style w:type="paragraph" w:styleId="TableofAuthorities">
    <w:name w:val="table of authorities"/>
    <w:basedOn w:val="Normal"/>
    <w:next w:val="Normal"/>
    <w:uiPriority w:val="98"/>
    <w:semiHidden/>
    <w:unhideWhenUsed/>
    <w:locked/>
    <w:rsid w:val="00D77422"/>
    <w:pPr>
      <w:spacing w:after="0"/>
      <w:ind w:left="220" w:hanging="220"/>
    </w:pPr>
  </w:style>
  <w:style w:type="paragraph" w:styleId="TOAHeading">
    <w:name w:val="toa heading"/>
    <w:basedOn w:val="Normal"/>
    <w:next w:val="Normal"/>
    <w:uiPriority w:val="98"/>
    <w:semiHidden/>
    <w:unhideWhenUsed/>
    <w:locked/>
    <w:rsid w:val="00D77422"/>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98"/>
    <w:semiHidden/>
    <w:unhideWhenUsed/>
    <w:locked/>
    <w:rsid w:val="00D77422"/>
    <w:pPr>
      <w:spacing w:after="100"/>
      <w:ind w:left="880"/>
    </w:pPr>
  </w:style>
  <w:style w:type="paragraph" w:styleId="TOC6">
    <w:name w:val="toc 6"/>
    <w:basedOn w:val="Normal"/>
    <w:next w:val="Normal"/>
    <w:autoRedefine/>
    <w:uiPriority w:val="98"/>
    <w:semiHidden/>
    <w:unhideWhenUsed/>
    <w:locked/>
    <w:rsid w:val="00D77422"/>
    <w:pPr>
      <w:spacing w:after="100"/>
      <w:ind w:left="1100"/>
    </w:pPr>
  </w:style>
  <w:style w:type="paragraph" w:styleId="TOC7">
    <w:name w:val="toc 7"/>
    <w:basedOn w:val="Normal"/>
    <w:next w:val="Normal"/>
    <w:autoRedefine/>
    <w:uiPriority w:val="98"/>
    <w:semiHidden/>
    <w:unhideWhenUsed/>
    <w:locked/>
    <w:rsid w:val="00D77422"/>
    <w:pPr>
      <w:spacing w:after="100"/>
      <w:ind w:left="1320"/>
    </w:pPr>
  </w:style>
  <w:style w:type="paragraph" w:styleId="TOC8">
    <w:name w:val="toc 8"/>
    <w:basedOn w:val="Normal"/>
    <w:next w:val="Normal"/>
    <w:autoRedefine/>
    <w:uiPriority w:val="98"/>
    <w:semiHidden/>
    <w:unhideWhenUsed/>
    <w:locked/>
    <w:rsid w:val="00D77422"/>
    <w:pPr>
      <w:spacing w:after="100"/>
      <w:ind w:left="15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9273">
      <w:bodyDiv w:val="1"/>
      <w:marLeft w:val="0"/>
      <w:marRight w:val="0"/>
      <w:marTop w:val="0"/>
      <w:marBottom w:val="0"/>
      <w:divBdr>
        <w:top w:val="none" w:sz="0" w:space="0" w:color="auto"/>
        <w:left w:val="none" w:sz="0" w:space="0" w:color="auto"/>
        <w:bottom w:val="none" w:sz="0" w:space="0" w:color="auto"/>
        <w:right w:val="none" w:sz="0" w:space="0" w:color="auto"/>
      </w:divBdr>
    </w:div>
    <w:div w:id="59063649">
      <w:bodyDiv w:val="1"/>
      <w:marLeft w:val="0"/>
      <w:marRight w:val="0"/>
      <w:marTop w:val="0"/>
      <w:marBottom w:val="0"/>
      <w:divBdr>
        <w:top w:val="none" w:sz="0" w:space="0" w:color="auto"/>
        <w:left w:val="none" w:sz="0" w:space="0" w:color="auto"/>
        <w:bottom w:val="none" w:sz="0" w:space="0" w:color="auto"/>
        <w:right w:val="none" w:sz="0" w:space="0" w:color="auto"/>
      </w:divBdr>
    </w:div>
    <w:div w:id="100927598">
      <w:bodyDiv w:val="1"/>
      <w:marLeft w:val="0"/>
      <w:marRight w:val="0"/>
      <w:marTop w:val="0"/>
      <w:marBottom w:val="0"/>
      <w:divBdr>
        <w:top w:val="none" w:sz="0" w:space="0" w:color="auto"/>
        <w:left w:val="none" w:sz="0" w:space="0" w:color="auto"/>
        <w:bottom w:val="none" w:sz="0" w:space="0" w:color="auto"/>
        <w:right w:val="none" w:sz="0" w:space="0" w:color="auto"/>
      </w:divBdr>
    </w:div>
    <w:div w:id="122816227">
      <w:bodyDiv w:val="1"/>
      <w:marLeft w:val="0"/>
      <w:marRight w:val="0"/>
      <w:marTop w:val="0"/>
      <w:marBottom w:val="0"/>
      <w:divBdr>
        <w:top w:val="none" w:sz="0" w:space="0" w:color="auto"/>
        <w:left w:val="none" w:sz="0" w:space="0" w:color="auto"/>
        <w:bottom w:val="none" w:sz="0" w:space="0" w:color="auto"/>
        <w:right w:val="none" w:sz="0" w:space="0" w:color="auto"/>
      </w:divBdr>
    </w:div>
    <w:div w:id="153569193">
      <w:bodyDiv w:val="1"/>
      <w:marLeft w:val="0"/>
      <w:marRight w:val="0"/>
      <w:marTop w:val="0"/>
      <w:marBottom w:val="0"/>
      <w:divBdr>
        <w:top w:val="none" w:sz="0" w:space="0" w:color="auto"/>
        <w:left w:val="none" w:sz="0" w:space="0" w:color="auto"/>
        <w:bottom w:val="none" w:sz="0" w:space="0" w:color="auto"/>
        <w:right w:val="none" w:sz="0" w:space="0" w:color="auto"/>
      </w:divBdr>
    </w:div>
    <w:div w:id="172571572">
      <w:bodyDiv w:val="1"/>
      <w:marLeft w:val="0"/>
      <w:marRight w:val="0"/>
      <w:marTop w:val="0"/>
      <w:marBottom w:val="0"/>
      <w:divBdr>
        <w:top w:val="none" w:sz="0" w:space="0" w:color="auto"/>
        <w:left w:val="none" w:sz="0" w:space="0" w:color="auto"/>
        <w:bottom w:val="none" w:sz="0" w:space="0" w:color="auto"/>
        <w:right w:val="none" w:sz="0" w:space="0" w:color="auto"/>
      </w:divBdr>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203182599">
      <w:bodyDiv w:val="1"/>
      <w:marLeft w:val="0"/>
      <w:marRight w:val="0"/>
      <w:marTop w:val="0"/>
      <w:marBottom w:val="0"/>
      <w:divBdr>
        <w:top w:val="none" w:sz="0" w:space="0" w:color="auto"/>
        <w:left w:val="none" w:sz="0" w:space="0" w:color="auto"/>
        <w:bottom w:val="none" w:sz="0" w:space="0" w:color="auto"/>
        <w:right w:val="none" w:sz="0" w:space="0" w:color="auto"/>
      </w:divBdr>
    </w:div>
    <w:div w:id="226959622">
      <w:bodyDiv w:val="1"/>
      <w:marLeft w:val="0"/>
      <w:marRight w:val="0"/>
      <w:marTop w:val="0"/>
      <w:marBottom w:val="0"/>
      <w:divBdr>
        <w:top w:val="none" w:sz="0" w:space="0" w:color="auto"/>
        <w:left w:val="none" w:sz="0" w:space="0" w:color="auto"/>
        <w:bottom w:val="none" w:sz="0" w:space="0" w:color="auto"/>
        <w:right w:val="none" w:sz="0" w:space="0" w:color="auto"/>
      </w:divBdr>
    </w:div>
    <w:div w:id="244807847">
      <w:bodyDiv w:val="1"/>
      <w:marLeft w:val="0"/>
      <w:marRight w:val="0"/>
      <w:marTop w:val="0"/>
      <w:marBottom w:val="0"/>
      <w:divBdr>
        <w:top w:val="none" w:sz="0" w:space="0" w:color="auto"/>
        <w:left w:val="none" w:sz="0" w:space="0" w:color="auto"/>
        <w:bottom w:val="none" w:sz="0" w:space="0" w:color="auto"/>
        <w:right w:val="none" w:sz="0" w:space="0" w:color="auto"/>
      </w:divBdr>
    </w:div>
    <w:div w:id="252007043">
      <w:bodyDiv w:val="1"/>
      <w:marLeft w:val="0"/>
      <w:marRight w:val="0"/>
      <w:marTop w:val="0"/>
      <w:marBottom w:val="0"/>
      <w:divBdr>
        <w:top w:val="none" w:sz="0" w:space="0" w:color="auto"/>
        <w:left w:val="none" w:sz="0" w:space="0" w:color="auto"/>
        <w:bottom w:val="none" w:sz="0" w:space="0" w:color="auto"/>
        <w:right w:val="none" w:sz="0" w:space="0" w:color="auto"/>
      </w:divBdr>
    </w:div>
    <w:div w:id="260799388">
      <w:bodyDiv w:val="1"/>
      <w:marLeft w:val="0"/>
      <w:marRight w:val="0"/>
      <w:marTop w:val="0"/>
      <w:marBottom w:val="0"/>
      <w:divBdr>
        <w:top w:val="none" w:sz="0" w:space="0" w:color="auto"/>
        <w:left w:val="none" w:sz="0" w:space="0" w:color="auto"/>
        <w:bottom w:val="none" w:sz="0" w:space="0" w:color="auto"/>
        <w:right w:val="none" w:sz="0" w:space="0" w:color="auto"/>
      </w:divBdr>
    </w:div>
    <w:div w:id="299262039">
      <w:bodyDiv w:val="1"/>
      <w:marLeft w:val="0"/>
      <w:marRight w:val="0"/>
      <w:marTop w:val="0"/>
      <w:marBottom w:val="0"/>
      <w:divBdr>
        <w:top w:val="none" w:sz="0" w:space="0" w:color="auto"/>
        <w:left w:val="none" w:sz="0" w:space="0" w:color="auto"/>
        <w:bottom w:val="none" w:sz="0" w:space="0" w:color="auto"/>
        <w:right w:val="none" w:sz="0" w:space="0" w:color="auto"/>
      </w:divBdr>
    </w:div>
    <w:div w:id="306983741">
      <w:bodyDiv w:val="1"/>
      <w:marLeft w:val="0"/>
      <w:marRight w:val="0"/>
      <w:marTop w:val="0"/>
      <w:marBottom w:val="0"/>
      <w:divBdr>
        <w:top w:val="none" w:sz="0" w:space="0" w:color="auto"/>
        <w:left w:val="none" w:sz="0" w:space="0" w:color="auto"/>
        <w:bottom w:val="none" w:sz="0" w:space="0" w:color="auto"/>
        <w:right w:val="none" w:sz="0" w:space="0" w:color="auto"/>
      </w:divBdr>
    </w:div>
    <w:div w:id="311451392">
      <w:bodyDiv w:val="1"/>
      <w:marLeft w:val="0"/>
      <w:marRight w:val="0"/>
      <w:marTop w:val="0"/>
      <w:marBottom w:val="0"/>
      <w:divBdr>
        <w:top w:val="none" w:sz="0" w:space="0" w:color="auto"/>
        <w:left w:val="none" w:sz="0" w:space="0" w:color="auto"/>
        <w:bottom w:val="none" w:sz="0" w:space="0" w:color="auto"/>
        <w:right w:val="none" w:sz="0" w:space="0" w:color="auto"/>
      </w:divBdr>
    </w:div>
    <w:div w:id="339548380">
      <w:bodyDiv w:val="1"/>
      <w:marLeft w:val="0"/>
      <w:marRight w:val="0"/>
      <w:marTop w:val="0"/>
      <w:marBottom w:val="0"/>
      <w:divBdr>
        <w:top w:val="none" w:sz="0" w:space="0" w:color="auto"/>
        <w:left w:val="none" w:sz="0" w:space="0" w:color="auto"/>
        <w:bottom w:val="none" w:sz="0" w:space="0" w:color="auto"/>
        <w:right w:val="none" w:sz="0" w:space="0" w:color="auto"/>
      </w:divBdr>
    </w:div>
    <w:div w:id="347873823">
      <w:bodyDiv w:val="1"/>
      <w:marLeft w:val="0"/>
      <w:marRight w:val="0"/>
      <w:marTop w:val="0"/>
      <w:marBottom w:val="0"/>
      <w:divBdr>
        <w:top w:val="none" w:sz="0" w:space="0" w:color="auto"/>
        <w:left w:val="none" w:sz="0" w:space="0" w:color="auto"/>
        <w:bottom w:val="none" w:sz="0" w:space="0" w:color="auto"/>
        <w:right w:val="none" w:sz="0" w:space="0" w:color="auto"/>
      </w:divBdr>
    </w:div>
    <w:div w:id="355155663">
      <w:bodyDiv w:val="1"/>
      <w:marLeft w:val="0"/>
      <w:marRight w:val="0"/>
      <w:marTop w:val="0"/>
      <w:marBottom w:val="0"/>
      <w:divBdr>
        <w:top w:val="none" w:sz="0" w:space="0" w:color="auto"/>
        <w:left w:val="none" w:sz="0" w:space="0" w:color="auto"/>
        <w:bottom w:val="none" w:sz="0" w:space="0" w:color="auto"/>
        <w:right w:val="none" w:sz="0" w:space="0" w:color="auto"/>
      </w:divBdr>
    </w:div>
    <w:div w:id="355543367">
      <w:bodyDiv w:val="1"/>
      <w:marLeft w:val="0"/>
      <w:marRight w:val="0"/>
      <w:marTop w:val="0"/>
      <w:marBottom w:val="0"/>
      <w:divBdr>
        <w:top w:val="none" w:sz="0" w:space="0" w:color="auto"/>
        <w:left w:val="none" w:sz="0" w:space="0" w:color="auto"/>
        <w:bottom w:val="none" w:sz="0" w:space="0" w:color="auto"/>
        <w:right w:val="none" w:sz="0" w:space="0" w:color="auto"/>
      </w:divBdr>
    </w:div>
    <w:div w:id="369259773">
      <w:bodyDiv w:val="1"/>
      <w:marLeft w:val="0"/>
      <w:marRight w:val="0"/>
      <w:marTop w:val="0"/>
      <w:marBottom w:val="0"/>
      <w:divBdr>
        <w:top w:val="none" w:sz="0" w:space="0" w:color="auto"/>
        <w:left w:val="none" w:sz="0" w:space="0" w:color="auto"/>
        <w:bottom w:val="none" w:sz="0" w:space="0" w:color="auto"/>
        <w:right w:val="none" w:sz="0" w:space="0" w:color="auto"/>
      </w:divBdr>
    </w:div>
    <w:div w:id="372845356">
      <w:bodyDiv w:val="1"/>
      <w:marLeft w:val="0"/>
      <w:marRight w:val="0"/>
      <w:marTop w:val="0"/>
      <w:marBottom w:val="0"/>
      <w:divBdr>
        <w:top w:val="none" w:sz="0" w:space="0" w:color="auto"/>
        <w:left w:val="none" w:sz="0" w:space="0" w:color="auto"/>
        <w:bottom w:val="none" w:sz="0" w:space="0" w:color="auto"/>
        <w:right w:val="none" w:sz="0" w:space="0" w:color="auto"/>
      </w:divBdr>
    </w:div>
    <w:div w:id="394667329">
      <w:bodyDiv w:val="1"/>
      <w:marLeft w:val="0"/>
      <w:marRight w:val="0"/>
      <w:marTop w:val="0"/>
      <w:marBottom w:val="0"/>
      <w:divBdr>
        <w:top w:val="none" w:sz="0" w:space="0" w:color="auto"/>
        <w:left w:val="none" w:sz="0" w:space="0" w:color="auto"/>
        <w:bottom w:val="none" w:sz="0" w:space="0" w:color="auto"/>
        <w:right w:val="none" w:sz="0" w:space="0" w:color="auto"/>
      </w:divBdr>
    </w:div>
    <w:div w:id="396782768">
      <w:bodyDiv w:val="1"/>
      <w:marLeft w:val="0"/>
      <w:marRight w:val="0"/>
      <w:marTop w:val="0"/>
      <w:marBottom w:val="0"/>
      <w:divBdr>
        <w:top w:val="none" w:sz="0" w:space="0" w:color="auto"/>
        <w:left w:val="none" w:sz="0" w:space="0" w:color="auto"/>
        <w:bottom w:val="none" w:sz="0" w:space="0" w:color="auto"/>
        <w:right w:val="none" w:sz="0" w:space="0" w:color="auto"/>
      </w:divBdr>
    </w:div>
    <w:div w:id="401755946">
      <w:bodyDiv w:val="1"/>
      <w:marLeft w:val="0"/>
      <w:marRight w:val="0"/>
      <w:marTop w:val="0"/>
      <w:marBottom w:val="0"/>
      <w:divBdr>
        <w:top w:val="none" w:sz="0" w:space="0" w:color="auto"/>
        <w:left w:val="none" w:sz="0" w:space="0" w:color="auto"/>
        <w:bottom w:val="none" w:sz="0" w:space="0" w:color="auto"/>
        <w:right w:val="none" w:sz="0" w:space="0" w:color="auto"/>
      </w:divBdr>
    </w:div>
    <w:div w:id="419300808">
      <w:bodyDiv w:val="1"/>
      <w:marLeft w:val="0"/>
      <w:marRight w:val="0"/>
      <w:marTop w:val="0"/>
      <w:marBottom w:val="0"/>
      <w:divBdr>
        <w:top w:val="none" w:sz="0" w:space="0" w:color="auto"/>
        <w:left w:val="none" w:sz="0" w:space="0" w:color="auto"/>
        <w:bottom w:val="none" w:sz="0" w:space="0" w:color="auto"/>
        <w:right w:val="none" w:sz="0" w:space="0" w:color="auto"/>
      </w:divBdr>
    </w:div>
    <w:div w:id="423234287">
      <w:bodyDiv w:val="1"/>
      <w:marLeft w:val="0"/>
      <w:marRight w:val="0"/>
      <w:marTop w:val="0"/>
      <w:marBottom w:val="0"/>
      <w:divBdr>
        <w:top w:val="none" w:sz="0" w:space="0" w:color="auto"/>
        <w:left w:val="none" w:sz="0" w:space="0" w:color="auto"/>
        <w:bottom w:val="none" w:sz="0" w:space="0" w:color="auto"/>
        <w:right w:val="none" w:sz="0" w:space="0" w:color="auto"/>
      </w:divBdr>
    </w:div>
    <w:div w:id="428162655">
      <w:bodyDiv w:val="1"/>
      <w:marLeft w:val="0"/>
      <w:marRight w:val="0"/>
      <w:marTop w:val="0"/>
      <w:marBottom w:val="0"/>
      <w:divBdr>
        <w:top w:val="none" w:sz="0" w:space="0" w:color="auto"/>
        <w:left w:val="none" w:sz="0" w:space="0" w:color="auto"/>
        <w:bottom w:val="none" w:sz="0" w:space="0" w:color="auto"/>
        <w:right w:val="none" w:sz="0" w:space="0" w:color="auto"/>
      </w:divBdr>
    </w:div>
    <w:div w:id="429349718">
      <w:bodyDiv w:val="1"/>
      <w:marLeft w:val="0"/>
      <w:marRight w:val="0"/>
      <w:marTop w:val="0"/>
      <w:marBottom w:val="0"/>
      <w:divBdr>
        <w:top w:val="none" w:sz="0" w:space="0" w:color="auto"/>
        <w:left w:val="none" w:sz="0" w:space="0" w:color="auto"/>
        <w:bottom w:val="none" w:sz="0" w:space="0" w:color="auto"/>
        <w:right w:val="none" w:sz="0" w:space="0" w:color="auto"/>
      </w:divBdr>
    </w:div>
    <w:div w:id="432480400">
      <w:bodyDiv w:val="1"/>
      <w:marLeft w:val="0"/>
      <w:marRight w:val="0"/>
      <w:marTop w:val="0"/>
      <w:marBottom w:val="0"/>
      <w:divBdr>
        <w:top w:val="none" w:sz="0" w:space="0" w:color="auto"/>
        <w:left w:val="none" w:sz="0" w:space="0" w:color="auto"/>
        <w:bottom w:val="none" w:sz="0" w:space="0" w:color="auto"/>
        <w:right w:val="none" w:sz="0" w:space="0" w:color="auto"/>
      </w:divBdr>
    </w:div>
    <w:div w:id="438792328">
      <w:bodyDiv w:val="1"/>
      <w:marLeft w:val="0"/>
      <w:marRight w:val="0"/>
      <w:marTop w:val="0"/>
      <w:marBottom w:val="0"/>
      <w:divBdr>
        <w:top w:val="none" w:sz="0" w:space="0" w:color="auto"/>
        <w:left w:val="none" w:sz="0" w:space="0" w:color="auto"/>
        <w:bottom w:val="none" w:sz="0" w:space="0" w:color="auto"/>
        <w:right w:val="none" w:sz="0" w:space="0" w:color="auto"/>
      </w:divBdr>
    </w:div>
    <w:div w:id="444665312">
      <w:bodyDiv w:val="1"/>
      <w:marLeft w:val="0"/>
      <w:marRight w:val="0"/>
      <w:marTop w:val="0"/>
      <w:marBottom w:val="0"/>
      <w:divBdr>
        <w:top w:val="none" w:sz="0" w:space="0" w:color="auto"/>
        <w:left w:val="none" w:sz="0" w:space="0" w:color="auto"/>
        <w:bottom w:val="none" w:sz="0" w:space="0" w:color="auto"/>
        <w:right w:val="none" w:sz="0" w:space="0" w:color="auto"/>
      </w:divBdr>
    </w:div>
    <w:div w:id="446701748">
      <w:bodyDiv w:val="1"/>
      <w:marLeft w:val="0"/>
      <w:marRight w:val="0"/>
      <w:marTop w:val="0"/>
      <w:marBottom w:val="0"/>
      <w:divBdr>
        <w:top w:val="none" w:sz="0" w:space="0" w:color="auto"/>
        <w:left w:val="none" w:sz="0" w:space="0" w:color="auto"/>
        <w:bottom w:val="none" w:sz="0" w:space="0" w:color="auto"/>
        <w:right w:val="none" w:sz="0" w:space="0" w:color="auto"/>
      </w:divBdr>
    </w:div>
    <w:div w:id="460076286">
      <w:bodyDiv w:val="1"/>
      <w:marLeft w:val="0"/>
      <w:marRight w:val="0"/>
      <w:marTop w:val="0"/>
      <w:marBottom w:val="0"/>
      <w:divBdr>
        <w:top w:val="none" w:sz="0" w:space="0" w:color="auto"/>
        <w:left w:val="none" w:sz="0" w:space="0" w:color="auto"/>
        <w:bottom w:val="none" w:sz="0" w:space="0" w:color="auto"/>
        <w:right w:val="none" w:sz="0" w:space="0" w:color="auto"/>
      </w:divBdr>
    </w:div>
    <w:div w:id="471796627">
      <w:bodyDiv w:val="1"/>
      <w:marLeft w:val="0"/>
      <w:marRight w:val="0"/>
      <w:marTop w:val="0"/>
      <w:marBottom w:val="0"/>
      <w:divBdr>
        <w:top w:val="none" w:sz="0" w:space="0" w:color="auto"/>
        <w:left w:val="none" w:sz="0" w:space="0" w:color="auto"/>
        <w:bottom w:val="none" w:sz="0" w:space="0" w:color="auto"/>
        <w:right w:val="none" w:sz="0" w:space="0" w:color="auto"/>
      </w:divBdr>
    </w:div>
    <w:div w:id="473569798">
      <w:bodyDiv w:val="1"/>
      <w:marLeft w:val="0"/>
      <w:marRight w:val="0"/>
      <w:marTop w:val="0"/>
      <w:marBottom w:val="0"/>
      <w:divBdr>
        <w:top w:val="none" w:sz="0" w:space="0" w:color="auto"/>
        <w:left w:val="none" w:sz="0" w:space="0" w:color="auto"/>
        <w:bottom w:val="none" w:sz="0" w:space="0" w:color="auto"/>
        <w:right w:val="none" w:sz="0" w:space="0" w:color="auto"/>
      </w:divBdr>
    </w:div>
    <w:div w:id="490610056">
      <w:bodyDiv w:val="1"/>
      <w:marLeft w:val="0"/>
      <w:marRight w:val="0"/>
      <w:marTop w:val="0"/>
      <w:marBottom w:val="0"/>
      <w:divBdr>
        <w:top w:val="none" w:sz="0" w:space="0" w:color="auto"/>
        <w:left w:val="none" w:sz="0" w:space="0" w:color="auto"/>
        <w:bottom w:val="none" w:sz="0" w:space="0" w:color="auto"/>
        <w:right w:val="none" w:sz="0" w:space="0" w:color="auto"/>
      </w:divBdr>
    </w:div>
    <w:div w:id="513616707">
      <w:bodyDiv w:val="1"/>
      <w:marLeft w:val="0"/>
      <w:marRight w:val="0"/>
      <w:marTop w:val="0"/>
      <w:marBottom w:val="0"/>
      <w:divBdr>
        <w:top w:val="none" w:sz="0" w:space="0" w:color="auto"/>
        <w:left w:val="none" w:sz="0" w:space="0" w:color="auto"/>
        <w:bottom w:val="none" w:sz="0" w:space="0" w:color="auto"/>
        <w:right w:val="none" w:sz="0" w:space="0" w:color="auto"/>
      </w:divBdr>
    </w:div>
    <w:div w:id="514735777">
      <w:bodyDiv w:val="1"/>
      <w:marLeft w:val="0"/>
      <w:marRight w:val="0"/>
      <w:marTop w:val="0"/>
      <w:marBottom w:val="0"/>
      <w:divBdr>
        <w:top w:val="none" w:sz="0" w:space="0" w:color="auto"/>
        <w:left w:val="none" w:sz="0" w:space="0" w:color="auto"/>
        <w:bottom w:val="none" w:sz="0" w:space="0" w:color="auto"/>
        <w:right w:val="none" w:sz="0" w:space="0" w:color="auto"/>
      </w:divBdr>
    </w:div>
    <w:div w:id="519978855">
      <w:bodyDiv w:val="1"/>
      <w:marLeft w:val="0"/>
      <w:marRight w:val="0"/>
      <w:marTop w:val="0"/>
      <w:marBottom w:val="0"/>
      <w:divBdr>
        <w:top w:val="none" w:sz="0" w:space="0" w:color="auto"/>
        <w:left w:val="none" w:sz="0" w:space="0" w:color="auto"/>
        <w:bottom w:val="none" w:sz="0" w:space="0" w:color="auto"/>
        <w:right w:val="none" w:sz="0" w:space="0" w:color="auto"/>
      </w:divBdr>
    </w:div>
    <w:div w:id="524441963">
      <w:bodyDiv w:val="1"/>
      <w:marLeft w:val="0"/>
      <w:marRight w:val="0"/>
      <w:marTop w:val="0"/>
      <w:marBottom w:val="0"/>
      <w:divBdr>
        <w:top w:val="none" w:sz="0" w:space="0" w:color="auto"/>
        <w:left w:val="none" w:sz="0" w:space="0" w:color="auto"/>
        <w:bottom w:val="none" w:sz="0" w:space="0" w:color="auto"/>
        <w:right w:val="none" w:sz="0" w:space="0" w:color="auto"/>
      </w:divBdr>
    </w:div>
    <w:div w:id="540484516">
      <w:bodyDiv w:val="1"/>
      <w:marLeft w:val="0"/>
      <w:marRight w:val="0"/>
      <w:marTop w:val="0"/>
      <w:marBottom w:val="0"/>
      <w:divBdr>
        <w:top w:val="none" w:sz="0" w:space="0" w:color="auto"/>
        <w:left w:val="none" w:sz="0" w:space="0" w:color="auto"/>
        <w:bottom w:val="none" w:sz="0" w:space="0" w:color="auto"/>
        <w:right w:val="none" w:sz="0" w:space="0" w:color="auto"/>
      </w:divBdr>
    </w:div>
    <w:div w:id="561872252">
      <w:bodyDiv w:val="1"/>
      <w:marLeft w:val="0"/>
      <w:marRight w:val="0"/>
      <w:marTop w:val="0"/>
      <w:marBottom w:val="0"/>
      <w:divBdr>
        <w:top w:val="none" w:sz="0" w:space="0" w:color="auto"/>
        <w:left w:val="none" w:sz="0" w:space="0" w:color="auto"/>
        <w:bottom w:val="none" w:sz="0" w:space="0" w:color="auto"/>
        <w:right w:val="none" w:sz="0" w:space="0" w:color="auto"/>
      </w:divBdr>
    </w:div>
    <w:div w:id="593511079">
      <w:bodyDiv w:val="1"/>
      <w:marLeft w:val="0"/>
      <w:marRight w:val="0"/>
      <w:marTop w:val="0"/>
      <w:marBottom w:val="0"/>
      <w:divBdr>
        <w:top w:val="none" w:sz="0" w:space="0" w:color="auto"/>
        <w:left w:val="none" w:sz="0" w:space="0" w:color="auto"/>
        <w:bottom w:val="none" w:sz="0" w:space="0" w:color="auto"/>
        <w:right w:val="none" w:sz="0" w:space="0" w:color="auto"/>
      </w:divBdr>
    </w:div>
    <w:div w:id="608316437">
      <w:bodyDiv w:val="1"/>
      <w:marLeft w:val="0"/>
      <w:marRight w:val="0"/>
      <w:marTop w:val="0"/>
      <w:marBottom w:val="0"/>
      <w:divBdr>
        <w:top w:val="none" w:sz="0" w:space="0" w:color="auto"/>
        <w:left w:val="none" w:sz="0" w:space="0" w:color="auto"/>
        <w:bottom w:val="none" w:sz="0" w:space="0" w:color="auto"/>
        <w:right w:val="none" w:sz="0" w:space="0" w:color="auto"/>
      </w:divBdr>
    </w:div>
    <w:div w:id="617418739">
      <w:bodyDiv w:val="1"/>
      <w:marLeft w:val="0"/>
      <w:marRight w:val="0"/>
      <w:marTop w:val="0"/>
      <w:marBottom w:val="0"/>
      <w:divBdr>
        <w:top w:val="none" w:sz="0" w:space="0" w:color="auto"/>
        <w:left w:val="none" w:sz="0" w:space="0" w:color="auto"/>
        <w:bottom w:val="none" w:sz="0" w:space="0" w:color="auto"/>
        <w:right w:val="none" w:sz="0" w:space="0" w:color="auto"/>
      </w:divBdr>
    </w:div>
    <w:div w:id="635136338">
      <w:bodyDiv w:val="1"/>
      <w:marLeft w:val="0"/>
      <w:marRight w:val="0"/>
      <w:marTop w:val="0"/>
      <w:marBottom w:val="0"/>
      <w:divBdr>
        <w:top w:val="none" w:sz="0" w:space="0" w:color="auto"/>
        <w:left w:val="none" w:sz="0" w:space="0" w:color="auto"/>
        <w:bottom w:val="none" w:sz="0" w:space="0" w:color="auto"/>
        <w:right w:val="none" w:sz="0" w:space="0" w:color="auto"/>
      </w:divBdr>
    </w:div>
    <w:div w:id="639308345">
      <w:bodyDiv w:val="1"/>
      <w:marLeft w:val="0"/>
      <w:marRight w:val="0"/>
      <w:marTop w:val="0"/>
      <w:marBottom w:val="0"/>
      <w:divBdr>
        <w:top w:val="none" w:sz="0" w:space="0" w:color="auto"/>
        <w:left w:val="none" w:sz="0" w:space="0" w:color="auto"/>
        <w:bottom w:val="none" w:sz="0" w:space="0" w:color="auto"/>
        <w:right w:val="none" w:sz="0" w:space="0" w:color="auto"/>
      </w:divBdr>
    </w:div>
    <w:div w:id="649675909">
      <w:bodyDiv w:val="1"/>
      <w:marLeft w:val="0"/>
      <w:marRight w:val="0"/>
      <w:marTop w:val="0"/>
      <w:marBottom w:val="0"/>
      <w:divBdr>
        <w:top w:val="none" w:sz="0" w:space="0" w:color="auto"/>
        <w:left w:val="none" w:sz="0" w:space="0" w:color="auto"/>
        <w:bottom w:val="none" w:sz="0" w:space="0" w:color="auto"/>
        <w:right w:val="none" w:sz="0" w:space="0" w:color="auto"/>
      </w:divBdr>
    </w:div>
    <w:div w:id="690842025">
      <w:bodyDiv w:val="1"/>
      <w:marLeft w:val="0"/>
      <w:marRight w:val="0"/>
      <w:marTop w:val="0"/>
      <w:marBottom w:val="0"/>
      <w:divBdr>
        <w:top w:val="none" w:sz="0" w:space="0" w:color="auto"/>
        <w:left w:val="none" w:sz="0" w:space="0" w:color="auto"/>
        <w:bottom w:val="none" w:sz="0" w:space="0" w:color="auto"/>
        <w:right w:val="none" w:sz="0" w:space="0" w:color="auto"/>
      </w:divBdr>
    </w:div>
    <w:div w:id="704015209">
      <w:bodyDiv w:val="1"/>
      <w:marLeft w:val="0"/>
      <w:marRight w:val="0"/>
      <w:marTop w:val="0"/>
      <w:marBottom w:val="0"/>
      <w:divBdr>
        <w:top w:val="none" w:sz="0" w:space="0" w:color="auto"/>
        <w:left w:val="none" w:sz="0" w:space="0" w:color="auto"/>
        <w:bottom w:val="none" w:sz="0" w:space="0" w:color="auto"/>
        <w:right w:val="none" w:sz="0" w:space="0" w:color="auto"/>
      </w:divBdr>
    </w:div>
    <w:div w:id="754286086">
      <w:bodyDiv w:val="1"/>
      <w:marLeft w:val="0"/>
      <w:marRight w:val="0"/>
      <w:marTop w:val="0"/>
      <w:marBottom w:val="0"/>
      <w:divBdr>
        <w:top w:val="none" w:sz="0" w:space="0" w:color="auto"/>
        <w:left w:val="none" w:sz="0" w:space="0" w:color="auto"/>
        <w:bottom w:val="none" w:sz="0" w:space="0" w:color="auto"/>
        <w:right w:val="none" w:sz="0" w:space="0" w:color="auto"/>
      </w:divBdr>
    </w:div>
    <w:div w:id="766540546">
      <w:bodyDiv w:val="1"/>
      <w:marLeft w:val="0"/>
      <w:marRight w:val="0"/>
      <w:marTop w:val="0"/>
      <w:marBottom w:val="0"/>
      <w:divBdr>
        <w:top w:val="none" w:sz="0" w:space="0" w:color="auto"/>
        <w:left w:val="none" w:sz="0" w:space="0" w:color="auto"/>
        <w:bottom w:val="none" w:sz="0" w:space="0" w:color="auto"/>
        <w:right w:val="none" w:sz="0" w:space="0" w:color="auto"/>
      </w:divBdr>
    </w:div>
    <w:div w:id="802816016">
      <w:bodyDiv w:val="1"/>
      <w:marLeft w:val="0"/>
      <w:marRight w:val="0"/>
      <w:marTop w:val="0"/>
      <w:marBottom w:val="0"/>
      <w:divBdr>
        <w:top w:val="none" w:sz="0" w:space="0" w:color="auto"/>
        <w:left w:val="none" w:sz="0" w:space="0" w:color="auto"/>
        <w:bottom w:val="none" w:sz="0" w:space="0" w:color="auto"/>
        <w:right w:val="none" w:sz="0" w:space="0" w:color="auto"/>
      </w:divBdr>
    </w:div>
    <w:div w:id="805463923">
      <w:bodyDiv w:val="1"/>
      <w:marLeft w:val="0"/>
      <w:marRight w:val="0"/>
      <w:marTop w:val="0"/>
      <w:marBottom w:val="0"/>
      <w:divBdr>
        <w:top w:val="none" w:sz="0" w:space="0" w:color="auto"/>
        <w:left w:val="none" w:sz="0" w:space="0" w:color="auto"/>
        <w:bottom w:val="none" w:sz="0" w:space="0" w:color="auto"/>
        <w:right w:val="none" w:sz="0" w:space="0" w:color="auto"/>
      </w:divBdr>
    </w:div>
    <w:div w:id="806706558">
      <w:bodyDiv w:val="1"/>
      <w:marLeft w:val="0"/>
      <w:marRight w:val="0"/>
      <w:marTop w:val="0"/>
      <w:marBottom w:val="0"/>
      <w:divBdr>
        <w:top w:val="none" w:sz="0" w:space="0" w:color="auto"/>
        <w:left w:val="none" w:sz="0" w:space="0" w:color="auto"/>
        <w:bottom w:val="none" w:sz="0" w:space="0" w:color="auto"/>
        <w:right w:val="none" w:sz="0" w:space="0" w:color="auto"/>
      </w:divBdr>
    </w:div>
    <w:div w:id="815294168">
      <w:bodyDiv w:val="1"/>
      <w:marLeft w:val="0"/>
      <w:marRight w:val="0"/>
      <w:marTop w:val="0"/>
      <w:marBottom w:val="0"/>
      <w:divBdr>
        <w:top w:val="none" w:sz="0" w:space="0" w:color="auto"/>
        <w:left w:val="none" w:sz="0" w:space="0" w:color="auto"/>
        <w:bottom w:val="none" w:sz="0" w:space="0" w:color="auto"/>
        <w:right w:val="none" w:sz="0" w:space="0" w:color="auto"/>
      </w:divBdr>
    </w:div>
    <w:div w:id="819922699">
      <w:bodyDiv w:val="1"/>
      <w:marLeft w:val="0"/>
      <w:marRight w:val="0"/>
      <w:marTop w:val="0"/>
      <w:marBottom w:val="0"/>
      <w:divBdr>
        <w:top w:val="none" w:sz="0" w:space="0" w:color="auto"/>
        <w:left w:val="none" w:sz="0" w:space="0" w:color="auto"/>
        <w:bottom w:val="none" w:sz="0" w:space="0" w:color="auto"/>
        <w:right w:val="none" w:sz="0" w:space="0" w:color="auto"/>
      </w:divBdr>
    </w:div>
    <w:div w:id="859851538">
      <w:bodyDiv w:val="1"/>
      <w:marLeft w:val="0"/>
      <w:marRight w:val="0"/>
      <w:marTop w:val="0"/>
      <w:marBottom w:val="0"/>
      <w:divBdr>
        <w:top w:val="none" w:sz="0" w:space="0" w:color="auto"/>
        <w:left w:val="none" w:sz="0" w:space="0" w:color="auto"/>
        <w:bottom w:val="none" w:sz="0" w:space="0" w:color="auto"/>
        <w:right w:val="none" w:sz="0" w:space="0" w:color="auto"/>
      </w:divBdr>
    </w:div>
    <w:div w:id="873419137">
      <w:bodyDiv w:val="1"/>
      <w:marLeft w:val="0"/>
      <w:marRight w:val="0"/>
      <w:marTop w:val="0"/>
      <w:marBottom w:val="0"/>
      <w:divBdr>
        <w:top w:val="none" w:sz="0" w:space="0" w:color="auto"/>
        <w:left w:val="none" w:sz="0" w:space="0" w:color="auto"/>
        <w:bottom w:val="none" w:sz="0" w:space="0" w:color="auto"/>
        <w:right w:val="none" w:sz="0" w:space="0" w:color="auto"/>
      </w:divBdr>
    </w:div>
    <w:div w:id="919678032">
      <w:bodyDiv w:val="1"/>
      <w:marLeft w:val="0"/>
      <w:marRight w:val="0"/>
      <w:marTop w:val="0"/>
      <w:marBottom w:val="0"/>
      <w:divBdr>
        <w:top w:val="none" w:sz="0" w:space="0" w:color="auto"/>
        <w:left w:val="none" w:sz="0" w:space="0" w:color="auto"/>
        <w:bottom w:val="none" w:sz="0" w:space="0" w:color="auto"/>
        <w:right w:val="none" w:sz="0" w:space="0" w:color="auto"/>
      </w:divBdr>
    </w:div>
    <w:div w:id="930510591">
      <w:bodyDiv w:val="1"/>
      <w:marLeft w:val="0"/>
      <w:marRight w:val="0"/>
      <w:marTop w:val="0"/>
      <w:marBottom w:val="0"/>
      <w:divBdr>
        <w:top w:val="none" w:sz="0" w:space="0" w:color="auto"/>
        <w:left w:val="none" w:sz="0" w:space="0" w:color="auto"/>
        <w:bottom w:val="none" w:sz="0" w:space="0" w:color="auto"/>
        <w:right w:val="none" w:sz="0" w:space="0" w:color="auto"/>
      </w:divBdr>
    </w:div>
    <w:div w:id="952395120">
      <w:bodyDiv w:val="1"/>
      <w:marLeft w:val="0"/>
      <w:marRight w:val="0"/>
      <w:marTop w:val="0"/>
      <w:marBottom w:val="0"/>
      <w:divBdr>
        <w:top w:val="none" w:sz="0" w:space="0" w:color="auto"/>
        <w:left w:val="none" w:sz="0" w:space="0" w:color="auto"/>
        <w:bottom w:val="none" w:sz="0" w:space="0" w:color="auto"/>
        <w:right w:val="none" w:sz="0" w:space="0" w:color="auto"/>
      </w:divBdr>
    </w:div>
    <w:div w:id="972753635">
      <w:bodyDiv w:val="1"/>
      <w:marLeft w:val="0"/>
      <w:marRight w:val="0"/>
      <w:marTop w:val="0"/>
      <w:marBottom w:val="0"/>
      <w:divBdr>
        <w:top w:val="none" w:sz="0" w:space="0" w:color="auto"/>
        <w:left w:val="none" w:sz="0" w:space="0" w:color="auto"/>
        <w:bottom w:val="none" w:sz="0" w:space="0" w:color="auto"/>
        <w:right w:val="none" w:sz="0" w:space="0" w:color="auto"/>
      </w:divBdr>
    </w:div>
    <w:div w:id="997924073">
      <w:bodyDiv w:val="1"/>
      <w:marLeft w:val="0"/>
      <w:marRight w:val="0"/>
      <w:marTop w:val="0"/>
      <w:marBottom w:val="0"/>
      <w:divBdr>
        <w:top w:val="none" w:sz="0" w:space="0" w:color="auto"/>
        <w:left w:val="none" w:sz="0" w:space="0" w:color="auto"/>
        <w:bottom w:val="none" w:sz="0" w:space="0" w:color="auto"/>
        <w:right w:val="none" w:sz="0" w:space="0" w:color="auto"/>
      </w:divBdr>
    </w:div>
    <w:div w:id="1016928440">
      <w:bodyDiv w:val="1"/>
      <w:marLeft w:val="0"/>
      <w:marRight w:val="0"/>
      <w:marTop w:val="0"/>
      <w:marBottom w:val="0"/>
      <w:divBdr>
        <w:top w:val="none" w:sz="0" w:space="0" w:color="auto"/>
        <w:left w:val="none" w:sz="0" w:space="0" w:color="auto"/>
        <w:bottom w:val="none" w:sz="0" w:space="0" w:color="auto"/>
        <w:right w:val="none" w:sz="0" w:space="0" w:color="auto"/>
      </w:divBdr>
    </w:div>
    <w:div w:id="1019039379">
      <w:bodyDiv w:val="1"/>
      <w:marLeft w:val="0"/>
      <w:marRight w:val="0"/>
      <w:marTop w:val="0"/>
      <w:marBottom w:val="0"/>
      <w:divBdr>
        <w:top w:val="none" w:sz="0" w:space="0" w:color="auto"/>
        <w:left w:val="none" w:sz="0" w:space="0" w:color="auto"/>
        <w:bottom w:val="none" w:sz="0" w:space="0" w:color="auto"/>
        <w:right w:val="none" w:sz="0" w:space="0" w:color="auto"/>
      </w:divBdr>
    </w:div>
    <w:div w:id="1042170487">
      <w:bodyDiv w:val="1"/>
      <w:marLeft w:val="0"/>
      <w:marRight w:val="0"/>
      <w:marTop w:val="0"/>
      <w:marBottom w:val="0"/>
      <w:divBdr>
        <w:top w:val="none" w:sz="0" w:space="0" w:color="auto"/>
        <w:left w:val="none" w:sz="0" w:space="0" w:color="auto"/>
        <w:bottom w:val="none" w:sz="0" w:space="0" w:color="auto"/>
        <w:right w:val="none" w:sz="0" w:space="0" w:color="auto"/>
      </w:divBdr>
    </w:div>
    <w:div w:id="1045830759">
      <w:bodyDiv w:val="1"/>
      <w:marLeft w:val="0"/>
      <w:marRight w:val="0"/>
      <w:marTop w:val="0"/>
      <w:marBottom w:val="0"/>
      <w:divBdr>
        <w:top w:val="none" w:sz="0" w:space="0" w:color="auto"/>
        <w:left w:val="none" w:sz="0" w:space="0" w:color="auto"/>
        <w:bottom w:val="none" w:sz="0" w:space="0" w:color="auto"/>
        <w:right w:val="none" w:sz="0" w:space="0" w:color="auto"/>
      </w:divBdr>
    </w:div>
    <w:div w:id="1055351611">
      <w:bodyDiv w:val="1"/>
      <w:marLeft w:val="0"/>
      <w:marRight w:val="0"/>
      <w:marTop w:val="0"/>
      <w:marBottom w:val="0"/>
      <w:divBdr>
        <w:top w:val="none" w:sz="0" w:space="0" w:color="auto"/>
        <w:left w:val="none" w:sz="0" w:space="0" w:color="auto"/>
        <w:bottom w:val="none" w:sz="0" w:space="0" w:color="auto"/>
        <w:right w:val="none" w:sz="0" w:space="0" w:color="auto"/>
      </w:divBdr>
    </w:div>
    <w:div w:id="1082067335">
      <w:bodyDiv w:val="1"/>
      <w:marLeft w:val="0"/>
      <w:marRight w:val="0"/>
      <w:marTop w:val="0"/>
      <w:marBottom w:val="0"/>
      <w:divBdr>
        <w:top w:val="none" w:sz="0" w:space="0" w:color="auto"/>
        <w:left w:val="none" w:sz="0" w:space="0" w:color="auto"/>
        <w:bottom w:val="none" w:sz="0" w:space="0" w:color="auto"/>
        <w:right w:val="none" w:sz="0" w:space="0" w:color="auto"/>
      </w:divBdr>
    </w:div>
    <w:div w:id="1100569069">
      <w:bodyDiv w:val="1"/>
      <w:marLeft w:val="0"/>
      <w:marRight w:val="0"/>
      <w:marTop w:val="0"/>
      <w:marBottom w:val="0"/>
      <w:divBdr>
        <w:top w:val="none" w:sz="0" w:space="0" w:color="auto"/>
        <w:left w:val="none" w:sz="0" w:space="0" w:color="auto"/>
        <w:bottom w:val="none" w:sz="0" w:space="0" w:color="auto"/>
        <w:right w:val="none" w:sz="0" w:space="0" w:color="auto"/>
      </w:divBdr>
    </w:div>
    <w:div w:id="1120302395">
      <w:bodyDiv w:val="1"/>
      <w:marLeft w:val="0"/>
      <w:marRight w:val="0"/>
      <w:marTop w:val="0"/>
      <w:marBottom w:val="0"/>
      <w:divBdr>
        <w:top w:val="none" w:sz="0" w:space="0" w:color="auto"/>
        <w:left w:val="none" w:sz="0" w:space="0" w:color="auto"/>
        <w:bottom w:val="none" w:sz="0" w:space="0" w:color="auto"/>
        <w:right w:val="none" w:sz="0" w:space="0" w:color="auto"/>
      </w:divBdr>
    </w:div>
    <w:div w:id="1155294588">
      <w:bodyDiv w:val="1"/>
      <w:marLeft w:val="0"/>
      <w:marRight w:val="0"/>
      <w:marTop w:val="0"/>
      <w:marBottom w:val="0"/>
      <w:divBdr>
        <w:top w:val="none" w:sz="0" w:space="0" w:color="auto"/>
        <w:left w:val="none" w:sz="0" w:space="0" w:color="auto"/>
        <w:bottom w:val="none" w:sz="0" w:space="0" w:color="auto"/>
        <w:right w:val="none" w:sz="0" w:space="0" w:color="auto"/>
      </w:divBdr>
    </w:div>
    <w:div w:id="1155339601">
      <w:bodyDiv w:val="1"/>
      <w:marLeft w:val="0"/>
      <w:marRight w:val="0"/>
      <w:marTop w:val="0"/>
      <w:marBottom w:val="0"/>
      <w:divBdr>
        <w:top w:val="none" w:sz="0" w:space="0" w:color="auto"/>
        <w:left w:val="none" w:sz="0" w:space="0" w:color="auto"/>
        <w:bottom w:val="none" w:sz="0" w:space="0" w:color="auto"/>
        <w:right w:val="none" w:sz="0" w:space="0" w:color="auto"/>
      </w:divBdr>
    </w:div>
    <w:div w:id="1201939153">
      <w:bodyDiv w:val="1"/>
      <w:marLeft w:val="0"/>
      <w:marRight w:val="0"/>
      <w:marTop w:val="0"/>
      <w:marBottom w:val="0"/>
      <w:divBdr>
        <w:top w:val="none" w:sz="0" w:space="0" w:color="auto"/>
        <w:left w:val="none" w:sz="0" w:space="0" w:color="auto"/>
        <w:bottom w:val="none" w:sz="0" w:space="0" w:color="auto"/>
        <w:right w:val="none" w:sz="0" w:space="0" w:color="auto"/>
      </w:divBdr>
    </w:div>
    <w:div w:id="1208682006">
      <w:bodyDiv w:val="1"/>
      <w:marLeft w:val="0"/>
      <w:marRight w:val="0"/>
      <w:marTop w:val="0"/>
      <w:marBottom w:val="0"/>
      <w:divBdr>
        <w:top w:val="none" w:sz="0" w:space="0" w:color="auto"/>
        <w:left w:val="none" w:sz="0" w:space="0" w:color="auto"/>
        <w:bottom w:val="none" w:sz="0" w:space="0" w:color="auto"/>
        <w:right w:val="none" w:sz="0" w:space="0" w:color="auto"/>
      </w:divBdr>
    </w:div>
    <w:div w:id="1220751666">
      <w:bodyDiv w:val="1"/>
      <w:marLeft w:val="0"/>
      <w:marRight w:val="0"/>
      <w:marTop w:val="0"/>
      <w:marBottom w:val="0"/>
      <w:divBdr>
        <w:top w:val="none" w:sz="0" w:space="0" w:color="auto"/>
        <w:left w:val="none" w:sz="0" w:space="0" w:color="auto"/>
        <w:bottom w:val="none" w:sz="0" w:space="0" w:color="auto"/>
        <w:right w:val="none" w:sz="0" w:space="0" w:color="auto"/>
      </w:divBdr>
    </w:div>
    <w:div w:id="1224868778">
      <w:bodyDiv w:val="1"/>
      <w:marLeft w:val="0"/>
      <w:marRight w:val="0"/>
      <w:marTop w:val="0"/>
      <w:marBottom w:val="0"/>
      <w:divBdr>
        <w:top w:val="none" w:sz="0" w:space="0" w:color="auto"/>
        <w:left w:val="none" w:sz="0" w:space="0" w:color="auto"/>
        <w:bottom w:val="none" w:sz="0" w:space="0" w:color="auto"/>
        <w:right w:val="none" w:sz="0" w:space="0" w:color="auto"/>
      </w:divBdr>
    </w:div>
    <w:div w:id="1248802687">
      <w:bodyDiv w:val="1"/>
      <w:marLeft w:val="0"/>
      <w:marRight w:val="0"/>
      <w:marTop w:val="0"/>
      <w:marBottom w:val="0"/>
      <w:divBdr>
        <w:top w:val="none" w:sz="0" w:space="0" w:color="auto"/>
        <w:left w:val="none" w:sz="0" w:space="0" w:color="auto"/>
        <w:bottom w:val="none" w:sz="0" w:space="0" w:color="auto"/>
        <w:right w:val="none" w:sz="0" w:space="0" w:color="auto"/>
      </w:divBdr>
    </w:div>
    <w:div w:id="1281492023">
      <w:bodyDiv w:val="1"/>
      <w:marLeft w:val="0"/>
      <w:marRight w:val="0"/>
      <w:marTop w:val="0"/>
      <w:marBottom w:val="0"/>
      <w:divBdr>
        <w:top w:val="none" w:sz="0" w:space="0" w:color="auto"/>
        <w:left w:val="none" w:sz="0" w:space="0" w:color="auto"/>
        <w:bottom w:val="none" w:sz="0" w:space="0" w:color="auto"/>
        <w:right w:val="none" w:sz="0" w:space="0" w:color="auto"/>
      </w:divBdr>
    </w:div>
    <w:div w:id="1316101869">
      <w:bodyDiv w:val="1"/>
      <w:marLeft w:val="0"/>
      <w:marRight w:val="0"/>
      <w:marTop w:val="0"/>
      <w:marBottom w:val="0"/>
      <w:divBdr>
        <w:top w:val="none" w:sz="0" w:space="0" w:color="auto"/>
        <w:left w:val="none" w:sz="0" w:space="0" w:color="auto"/>
        <w:bottom w:val="none" w:sz="0" w:space="0" w:color="auto"/>
        <w:right w:val="none" w:sz="0" w:space="0" w:color="auto"/>
      </w:divBdr>
    </w:div>
    <w:div w:id="1321890706">
      <w:bodyDiv w:val="1"/>
      <w:marLeft w:val="0"/>
      <w:marRight w:val="0"/>
      <w:marTop w:val="0"/>
      <w:marBottom w:val="0"/>
      <w:divBdr>
        <w:top w:val="none" w:sz="0" w:space="0" w:color="auto"/>
        <w:left w:val="none" w:sz="0" w:space="0" w:color="auto"/>
        <w:bottom w:val="none" w:sz="0" w:space="0" w:color="auto"/>
        <w:right w:val="none" w:sz="0" w:space="0" w:color="auto"/>
      </w:divBdr>
    </w:div>
    <w:div w:id="1323310502">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425760994">
      <w:bodyDiv w:val="1"/>
      <w:marLeft w:val="0"/>
      <w:marRight w:val="0"/>
      <w:marTop w:val="0"/>
      <w:marBottom w:val="0"/>
      <w:divBdr>
        <w:top w:val="none" w:sz="0" w:space="0" w:color="auto"/>
        <w:left w:val="none" w:sz="0" w:space="0" w:color="auto"/>
        <w:bottom w:val="none" w:sz="0" w:space="0" w:color="auto"/>
        <w:right w:val="none" w:sz="0" w:space="0" w:color="auto"/>
      </w:divBdr>
    </w:div>
    <w:div w:id="1426073246">
      <w:bodyDiv w:val="1"/>
      <w:marLeft w:val="0"/>
      <w:marRight w:val="0"/>
      <w:marTop w:val="0"/>
      <w:marBottom w:val="0"/>
      <w:divBdr>
        <w:top w:val="none" w:sz="0" w:space="0" w:color="auto"/>
        <w:left w:val="none" w:sz="0" w:space="0" w:color="auto"/>
        <w:bottom w:val="none" w:sz="0" w:space="0" w:color="auto"/>
        <w:right w:val="none" w:sz="0" w:space="0" w:color="auto"/>
      </w:divBdr>
    </w:div>
    <w:div w:id="1449007069">
      <w:bodyDiv w:val="1"/>
      <w:marLeft w:val="0"/>
      <w:marRight w:val="0"/>
      <w:marTop w:val="0"/>
      <w:marBottom w:val="0"/>
      <w:divBdr>
        <w:top w:val="none" w:sz="0" w:space="0" w:color="auto"/>
        <w:left w:val="none" w:sz="0" w:space="0" w:color="auto"/>
        <w:bottom w:val="none" w:sz="0" w:space="0" w:color="auto"/>
        <w:right w:val="none" w:sz="0" w:space="0" w:color="auto"/>
      </w:divBdr>
    </w:div>
    <w:div w:id="1496534938">
      <w:bodyDiv w:val="1"/>
      <w:marLeft w:val="0"/>
      <w:marRight w:val="0"/>
      <w:marTop w:val="0"/>
      <w:marBottom w:val="0"/>
      <w:divBdr>
        <w:top w:val="none" w:sz="0" w:space="0" w:color="auto"/>
        <w:left w:val="none" w:sz="0" w:space="0" w:color="auto"/>
        <w:bottom w:val="none" w:sz="0" w:space="0" w:color="auto"/>
        <w:right w:val="none" w:sz="0" w:space="0" w:color="auto"/>
      </w:divBdr>
    </w:div>
    <w:div w:id="1498840723">
      <w:bodyDiv w:val="1"/>
      <w:marLeft w:val="0"/>
      <w:marRight w:val="0"/>
      <w:marTop w:val="0"/>
      <w:marBottom w:val="0"/>
      <w:divBdr>
        <w:top w:val="none" w:sz="0" w:space="0" w:color="auto"/>
        <w:left w:val="none" w:sz="0" w:space="0" w:color="auto"/>
        <w:bottom w:val="none" w:sz="0" w:space="0" w:color="auto"/>
        <w:right w:val="none" w:sz="0" w:space="0" w:color="auto"/>
      </w:divBdr>
    </w:div>
    <w:div w:id="1529946034">
      <w:bodyDiv w:val="1"/>
      <w:marLeft w:val="0"/>
      <w:marRight w:val="0"/>
      <w:marTop w:val="0"/>
      <w:marBottom w:val="0"/>
      <w:divBdr>
        <w:top w:val="none" w:sz="0" w:space="0" w:color="auto"/>
        <w:left w:val="none" w:sz="0" w:space="0" w:color="auto"/>
        <w:bottom w:val="none" w:sz="0" w:space="0" w:color="auto"/>
        <w:right w:val="none" w:sz="0" w:space="0" w:color="auto"/>
      </w:divBdr>
    </w:div>
    <w:div w:id="1530219503">
      <w:bodyDiv w:val="1"/>
      <w:marLeft w:val="0"/>
      <w:marRight w:val="0"/>
      <w:marTop w:val="0"/>
      <w:marBottom w:val="0"/>
      <w:divBdr>
        <w:top w:val="none" w:sz="0" w:space="0" w:color="auto"/>
        <w:left w:val="none" w:sz="0" w:space="0" w:color="auto"/>
        <w:bottom w:val="none" w:sz="0" w:space="0" w:color="auto"/>
        <w:right w:val="none" w:sz="0" w:space="0" w:color="auto"/>
      </w:divBdr>
    </w:div>
    <w:div w:id="1545943358">
      <w:bodyDiv w:val="1"/>
      <w:marLeft w:val="0"/>
      <w:marRight w:val="0"/>
      <w:marTop w:val="0"/>
      <w:marBottom w:val="0"/>
      <w:divBdr>
        <w:top w:val="none" w:sz="0" w:space="0" w:color="auto"/>
        <w:left w:val="none" w:sz="0" w:space="0" w:color="auto"/>
        <w:bottom w:val="none" w:sz="0" w:space="0" w:color="auto"/>
        <w:right w:val="none" w:sz="0" w:space="0" w:color="auto"/>
      </w:divBdr>
    </w:div>
    <w:div w:id="1556044224">
      <w:bodyDiv w:val="1"/>
      <w:marLeft w:val="0"/>
      <w:marRight w:val="0"/>
      <w:marTop w:val="0"/>
      <w:marBottom w:val="0"/>
      <w:divBdr>
        <w:top w:val="none" w:sz="0" w:space="0" w:color="auto"/>
        <w:left w:val="none" w:sz="0" w:space="0" w:color="auto"/>
        <w:bottom w:val="none" w:sz="0" w:space="0" w:color="auto"/>
        <w:right w:val="none" w:sz="0" w:space="0" w:color="auto"/>
      </w:divBdr>
    </w:div>
    <w:div w:id="1562204832">
      <w:bodyDiv w:val="1"/>
      <w:marLeft w:val="0"/>
      <w:marRight w:val="0"/>
      <w:marTop w:val="0"/>
      <w:marBottom w:val="0"/>
      <w:divBdr>
        <w:top w:val="none" w:sz="0" w:space="0" w:color="auto"/>
        <w:left w:val="none" w:sz="0" w:space="0" w:color="auto"/>
        <w:bottom w:val="none" w:sz="0" w:space="0" w:color="auto"/>
        <w:right w:val="none" w:sz="0" w:space="0" w:color="auto"/>
      </w:divBdr>
    </w:div>
    <w:div w:id="1565212393">
      <w:bodyDiv w:val="1"/>
      <w:marLeft w:val="0"/>
      <w:marRight w:val="0"/>
      <w:marTop w:val="0"/>
      <w:marBottom w:val="0"/>
      <w:divBdr>
        <w:top w:val="none" w:sz="0" w:space="0" w:color="auto"/>
        <w:left w:val="none" w:sz="0" w:space="0" w:color="auto"/>
        <w:bottom w:val="none" w:sz="0" w:space="0" w:color="auto"/>
        <w:right w:val="none" w:sz="0" w:space="0" w:color="auto"/>
      </w:divBdr>
    </w:div>
    <w:div w:id="1588268130">
      <w:bodyDiv w:val="1"/>
      <w:marLeft w:val="0"/>
      <w:marRight w:val="0"/>
      <w:marTop w:val="0"/>
      <w:marBottom w:val="0"/>
      <w:divBdr>
        <w:top w:val="none" w:sz="0" w:space="0" w:color="auto"/>
        <w:left w:val="none" w:sz="0" w:space="0" w:color="auto"/>
        <w:bottom w:val="none" w:sz="0" w:space="0" w:color="auto"/>
        <w:right w:val="none" w:sz="0" w:space="0" w:color="auto"/>
      </w:divBdr>
    </w:div>
    <w:div w:id="1588884028">
      <w:bodyDiv w:val="1"/>
      <w:marLeft w:val="0"/>
      <w:marRight w:val="0"/>
      <w:marTop w:val="0"/>
      <w:marBottom w:val="0"/>
      <w:divBdr>
        <w:top w:val="none" w:sz="0" w:space="0" w:color="auto"/>
        <w:left w:val="none" w:sz="0" w:space="0" w:color="auto"/>
        <w:bottom w:val="none" w:sz="0" w:space="0" w:color="auto"/>
        <w:right w:val="none" w:sz="0" w:space="0" w:color="auto"/>
      </w:divBdr>
    </w:div>
    <w:div w:id="1589772947">
      <w:bodyDiv w:val="1"/>
      <w:marLeft w:val="0"/>
      <w:marRight w:val="0"/>
      <w:marTop w:val="0"/>
      <w:marBottom w:val="0"/>
      <w:divBdr>
        <w:top w:val="none" w:sz="0" w:space="0" w:color="auto"/>
        <w:left w:val="none" w:sz="0" w:space="0" w:color="auto"/>
        <w:bottom w:val="none" w:sz="0" w:space="0" w:color="auto"/>
        <w:right w:val="none" w:sz="0" w:space="0" w:color="auto"/>
      </w:divBdr>
    </w:div>
    <w:div w:id="1599412546">
      <w:bodyDiv w:val="1"/>
      <w:marLeft w:val="0"/>
      <w:marRight w:val="0"/>
      <w:marTop w:val="0"/>
      <w:marBottom w:val="0"/>
      <w:divBdr>
        <w:top w:val="none" w:sz="0" w:space="0" w:color="auto"/>
        <w:left w:val="none" w:sz="0" w:space="0" w:color="auto"/>
        <w:bottom w:val="none" w:sz="0" w:space="0" w:color="auto"/>
        <w:right w:val="none" w:sz="0" w:space="0" w:color="auto"/>
      </w:divBdr>
    </w:div>
    <w:div w:id="1603799061">
      <w:bodyDiv w:val="1"/>
      <w:marLeft w:val="0"/>
      <w:marRight w:val="0"/>
      <w:marTop w:val="0"/>
      <w:marBottom w:val="0"/>
      <w:divBdr>
        <w:top w:val="none" w:sz="0" w:space="0" w:color="auto"/>
        <w:left w:val="none" w:sz="0" w:space="0" w:color="auto"/>
        <w:bottom w:val="none" w:sz="0" w:space="0" w:color="auto"/>
        <w:right w:val="none" w:sz="0" w:space="0" w:color="auto"/>
      </w:divBdr>
    </w:div>
    <w:div w:id="1606498234">
      <w:bodyDiv w:val="1"/>
      <w:marLeft w:val="0"/>
      <w:marRight w:val="0"/>
      <w:marTop w:val="0"/>
      <w:marBottom w:val="0"/>
      <w:divBdr>
        <w:top w:val="none" w:sz="0" w:space="0" w:color="auto"/>
        <w:left w:val="none" w:sz="0" w:space="0" w:color="auto"/>
        <w:bottom w:val="none" w:sz="0" w:space="0" w:color="auto"/>
        <w:right w:val="none" w:sz="0" w:space="0" w:color="auto"/>
      </w:divBdr>
    </w:div>
    <w:div w:id="1646273135">
      <w:bodyDiv w:val="1"/>
      <w:marLeft w:val="0"/>
      <w:marRight w:val="0"/>
      <w:marTop w:val="0"/>
      <w:marBottom w:val="0"/>
      <w:divBdr>
        <w:top w:val="none" w:sz="0" w:space="0" w:color="auto"/>
        <w:left w:val="none" w:sz="0" w:space="0" w:color="auto"/>
        <w:bottom w:val="none" w:sz="0" w:space="0" w:color="auto"/>
        <w:right w:val="none" w:sz="0" w:space="0" w:color="auto"/>
      </w:divBdr>
    </w:div>
    <w:div w:id="1653220433">
      <w:bodyDiv w:val="1"/>
      <w:marLeft w:val="0"/>
      <w:marRight w:val="0"/>
      <w:marTop w:val="0"/>
      <w:marBottom w:val="0"/>
      <w:divBdr>
        <w:top w:val="none" w:sz="0" w:space="0" w:color="auto"/>
        <w:left w:val="none" w:sz="0" w:space="0" w:color="auto"/>
        <w:bottom w:val="none" w:sz="0" w:space="0" w:color="auto"/>
        <w:right w:val="none" w:sz="0" w:space="0" w:color="auto"/>
      </w:divBdr>
    </w:div>
    <w:div w:id="1663317798">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 w:id="1715419817">
      <w:bodyDiv w:val="1"/>
      <w:marLeft w:val="0"/>
      <w:marRight w:val="0"/>
      <w:marTop w:val="0"/>
      <w:marBottom w:val="0"/>
      <w:divBdr>
        <w:top w:val="none" w:sz="0" w:space="0" w:color="auto"/>
        <w:left w:val="none" w:sz="0" w:space="0" w:color="auto"/>
        <w:bottom w:val="none" w:sz="0" w:space="0" w:color="auto"/>
        <w:right w:val="none" w:sz="0" w:space="0" w:color="auto"/>
      </w:divBdr>
    </w:div>
    <w:div w:id="1729764982">
      <w:bodyDiv w:val="1"/>
      <w:marLeft w:val="0"/>
      <w:marRight w:val="0"/>
      <w:marTop w:val="0"/>
      <w:marBottom w:val="0"/>
      <w:divBdr>
        <w:top w:val="none" w:sz="0" w:space="0" w:color="auto"/>
        <w:left w:val="none" w:sz="0" w:space="0" w:color="auto"/>
        <w:bottom w:val="none" w:sz="0" w:space="0" w:color="auto"/>
        <w:right w:val="none" w:sz="0" w:space="0" w:color="auto"/>
      </w:divBdr>
    </w:div>
    <w:div w:id="1737170318">
      <w:bodyDiv w:val="1"/>
      <w:marLeft w:val="0"/>
      <w:marRight w:val="0"/>
      <w:marTop w:val="0"/>
      <w:marBottom w:val="0"/>
      <w:divBdr>
        <w:top w:val="none" w:sz="0" w:space="0" w:color="auto"/>
        <w:left w:val="none" w:sz="0" w:space="0" w:color="auto"/>
        <w:bottom w:val="none" w:sz="0" w:space="0" w:color="auto"/>
        <w:right w:val="none" w:sz="0" w:space="0" w:color="auto"/>
      </w:divBdr>
    </w:div>
    <w:div w:id="1741369737">
      <w:bodyDiv w:val="1"/>
      <w:marLeft w:val="0"/>
      <w:marRight w:val="0"/>
      <w:marTop w:val="0"/>
      <w:marBottom w:val="0"/>
      <w:divBdr>
        <w:top w:val="none" w:sz="0" w:space="0" w:color="auto"/>
        <w:left w:val="none" w:sz="0" w:space="0" w:color="auto"/>
        <w:bottom w:val="none" w:sz="0" w:space="0" w:color="auto"/>
        <w:right w:val="none" w:sz="0" w:space="0" w:color="auto"/>
      </w:divBdr>
    </w:div>
    <w:div w:id="1742557498">
      <w:bodyDiv w:val="1"/>
      <w:marLeft w:val="0"/>
      <w:marRight w:val="0"/>
      <w:marTop w:val="0"/>
      <w:marBottom w:val="0"/>
      <w:divBdr>
        <w:top w:val="none" w:sz="0" w:space="0" w:color="auto"/>
        <w:left w:val="none" w:sz="0" w:space="0" w:color="auto"/>
        <w:bottom w:val="none" w:sz="0" w:space="0" w:color="auto"/>
        <w:right w:val="none" w:sz="0" w:space="0" w:color="auto"/>
      </w:divBdr>
    </w:div>
    <w:div w:id="1747532450">
      <w:bodyDiv w:val="1"/>
      <w:marLeft w:val="0"/>
      <w:marRight w:val="0"/>
      <w:marTop w:val="0"/>
      <w:marBottom w:val="0"/>
      <w:divBdr>
        <w:top w:val="none" w:sz="0" w:space="0" w:color="auto"/>
        <w:left w:val="none" w:sz="0" w:space="0" w:color="auto"/>
        <w:bottom w:val="none" w:sz="0" w:space="0" w:color="auto"/>
        <w:right w:val="none" w:sz="0" w:space="0" w:color="auto"/>
      </w:divBdr>
    </w:div>
    <w:div w:id="1769688895">
      <w:bodyDiv w:val="1"/>
      <w:marLeft w:val="0"/>
      <w:marRight w:val="0"/>
      <w:marTop w:val="0"/>
      <w:marBottom w:val="0"/>
      <w:divBdr>
        <w:top w:val="none" w:sz="0" w:space="0" w:color="auto"/>
        <w:left w:val="none" w:sz="0" w:space="0" w:color="auto"/>
        <w:bottom w:val="none" w:sz="0" w:space="0" w:color="auto"/>
        <w:right w:val="none" w:sz="0" w:space="0" w:color="auto"/>
      </w:divBdr>
    </w:div>
    <w:div w:id="1789008883">
      <w:bodyDiv w:val="1"/>
      <w:marLeft w:val="0"/>
      <w:marRight w:val="0"/>
      <w:marTop w:val="0"/>
      <w:marBottom w:val="0"/>
      <w:divBdr>
        <w:top w:val="none" w:sz="0" w:space="0" w:color="auto"/>
        <w:left w:val="none" w:sz="0" w:space="0" w:color="auto"/>
        <w:bottom w:val="none" w:sz="0" w:space="0" w:color="auto"/>
        <w:right w:val="none" w:sz="0" w:space="0" w:color="auto"/>
      </w:divBdr>
    </w:div>
    <w:div w:id="1817991978">
      <w:bodyDiv w:val="1"/>
      <w:marLeft w:val="0"/>
      <w:marRight w:val="0"/>
      <w:marTop w:val="0"/>
      <w:marBottom w:val="0"/>
      <w:divBdr>
        <w:top w:val="none" w:sz="0" w:space="0" w:color="auto"/>
        <w:left w:val="none" w:sz="0" w:space="0" w:color="auto"/>
        <w:bottom w:val="none" w:sz="0" w:space="0" w:color="auto"/>
        <w:right w:val="none" w:sz="0" w:space="0" w:color="auto"/>
      </w:divBdr>
    </w:div>
    <w:div w:id="1818301417">
      <w:bodyDiv w:val="1"/>
      <w:marLeft w:val="0"/>
      <w:marRight w:val="0"/>
      <w:marTop w:val="0"/>
      <w:marBottom w:val="0"/>
      <w:divBdr>
        <w:top w:val="none" w:sz="0" w:space="0" w:color="auto"/>
        <w:left w:val="none" w:sz="0" w:space="0" w:color="auto"/>
        <w:bottom w:val="none" w:sz="0" w:space="0" w:color="auto"/>
        <w:right w:val="none" w:sz="0" w:space="0" w:color="auto"/>
      </w:divBdr>
    </w:div>
    <w:div w:id="1837921021">
      <w:bodyDiv w:val="1"/>
      <w:marLeft w:val="0"/>
      <w:marRight w:val="0"/>
      <w:marTop w:val="0"/>
      <w:marBottom w:val="0"/>
      <w:divBdr>
        <w:top w:val="none" w:sz="0" w:space="0" w:color="auto"/>
        <w:left w:val="none" w:sz="0" w:space="0" w:color="auto"/>
        <w:bottom w:val="none" w:sz="0" w:space="0" w:color="auto"/>
        <w:right w:val="none" w:sz="0" w:space="0" w:color="auto"/>
      </w:divBdr>
    </w:div>
    <w:div w:id="1839273558">
      <w:bodyDiv w:val="1"/>
      <w:marLeft w:val="0"/>
      <w:marRight w:val="0"/>
      <w:marTop w:val="0"/>
      <w:marBottom w:val="0"/>
      <w:divBdr>
        <w:top w:val="none" w:sz="0" w:space="0" w:color="auto"/>
        <w:left w:val="none" w:sz="0" w:space="0" w:color="auto"/>
        <w:bottom w:val="none" w:sz="0" w:space="0" w:color="auto"/>
        <w:right w:val="none" w:sz="0" w:space="0" w:color="auto"/>
      </w:divBdr>
    </w:div>
    <w:div w:id="1849564856">
      <w:bodyDiv w:val="1"/>
      <w:marLeft w:val="0"/>
      <w:marRight w:val="0"/>
      <w:marTop w:val="0"/>
      <w:marBottom w:val="0"/>
      <w:divBdr>
        <w:top w:val="none" w:sz="0" w:space="0" w:color="auto"/>
        <w:left w:val="none" w:sz="0" w:space="0" w:color="auto"/>
        <w:bottom w:val="none" w:sz="0" w:space="0" w:color="auto"/>
        <w:right w:val="none" w:sz="0" w:space="0" w:color="auto"/>
      </w:divBdr>
    </w:div>
    <w:div w:id="1861814109">
      <w:bodyDiv w:val="1"/>
      <w:marLeft w:val="0"/>
      <w:marRight w:val="0"/>
      <w:marTop w:val="0"/>
      <w:marBottom w:val="0"/>
      <w:divBdr>
        <w:top w:val="none" w:sz="0" w:space="0" w:color="auto"/>
        <w:left w:val="none" w:sz="0" w:space="0" w:color="auto"/>
        <w:bottom w:val="none" w:sz="0" w:space="0" w:color="auto"/>
        <w:right w:val="none" w:sz="0" w:space="0" w:color="auto"/>
      </w:divBdr>
    </w:div>
    <w:div w:id="1875532900">
      <w:bodyDiv w:val="1"/>
      <w:marLeft w:val="0"/>
      <w:marRight w:val="0"/>
      <w:marTop w:val="0"/>
      <w:marBottom w:val="0"/>
      <w:divBdr>
        <w:top w:val="none" w:sz="0" w:space="0" w:color="auto"/>
        <w:left w:val="none" w:sz="0" w:space="0" w:color="auto"/>
        <w:bottom w:val="none" w:sz="0" w:space="0" w:color="auto"/>
        <w:right w:val="none" w:sz="0" w:space="0" w:color="auto"/>
      </w:divBdr>
    </w:div>
    <w:div w:id="1915698516">
      <w:bodyDiv w:val="1"/>
      <w:marLeft w:val="0"/>
      <w:marRight w:val="0"/>
      <w:marTop w:val="0"/>
      <w:marBottom w:val="0"/>
      <w:divBdr>
        <w:top w:val="none" w:sz="0" w:space="0" w:color="auto"/>
        <w:left w:val="none" w:sz="0" w:space="0" w:color="auto"/>
        <w:bottom w:val="none" w:sz="0" w:space="0" w:color="auto"/>
        <w:right w:val="none" w:sz="0" w:space="0" w:color="auto"/>
      </w:divBdr>
    </w:div>
    <w:div w:id="1917783679">
      <w:bodyDiv w:val="1"/>
      <w:marLeft w:val="0"/>
      <w:marRight w:val="0"/>
      <w:marTop w:val="0"/>
      <w:marBottom w:val="0"/>
      <w:divBdr>
        <w:top w:val="none" w:sz="0" w:space="0" w:color="auto"/>
        <w:left w:val="none" w:sz="0" w:space="0" w:color="auto"/>
        <w:bottom w:val="none" w:sz="0" w:space="0" w:color="auto"/>
        <w:right w:val="none" w:sz="0" w:space="0" w:color="auto"/>
      </w:divBdr>
    </w:div>
    <w:div w:id="1935699178">
      <w:bodyDiv w:val="1"/>
      <w:marLeft w:val="0"/>
      <w:marRight w:val="0"/>
      <w:marTop w:val="0"/>
      <w:marBottom w:val="0"/>
      <w:divBdr>
        <w:top w:val="none" w:sz="0" w:space="0" w:color="auto"/>
        <w:left w:val="none" w:sz="0" w:space="0" w:color="auto"/>
        <w:bottom w:val="none" w:sz="0" w:space="0" w:color="auto"/>
        <w:right w:val="none" w:sz="0" w:space="0" w:color="auto"/>
      </w:divBdr>
    </w:div>
    <w:div w:id="1944412230">
      <w:bodyDiv w:val="1"/>
      <w:marLeft w:val="0"/>
      <w:marRight w:val="0"/>
      <w:marTop w:val="0"/>
      <w:marBottom w:val="0"/>
      <w:divBdr>
        <w:top w:val="none" w:sz="0" w:space="0" w:color="auto"/>
        <w:left w:val="none" w:sz="0" w:space="0" w:color="auto"/>
        <w:bottom w:val="none" w:sz="0" w:space="0" w:color="auto"/>
        <w:right w:val="none" w:sz="0" w:space="0" w:color="auto"/>
      </w:divBdr>
    </w:div>
    <w:div w:id="1963687573">
      <w:bodyDiv w:val="1"/>
      <w:marLeft w:val="0"/>
      <w:marRight w:val="0"/>
      <w:marTop w:val="0"/>
      <w:marBottom w:val="0"/>
      <w:divBdr>
        <w:top w:val="none" w:sz="0" w:space="0" w:color="auto"/>
        <w:left w:val="none" w:sz="0" w:space="0" w:color="auto"/>
        <w:bottom w:val="none" w:sz="0" w:space="0" w:color="auto"/>
        <w:right w:val="none" w:sz="0" w:space="0" w:color="auto"/>
      </w:divBdr>
    </w:div>
    <w:div w:id="1974093302">
      <w:bodyDiv w:val="1"/>
      <w:marLeft w:val="0"/>
      <w:marRight w:val="0"/>
      <w:marTop w:val="0"/>
      <w:marBottom w:val="0"/>
      <w:divBdr>
        <w:top w:val="none" w:sz="0" w:space="0" w:color="auto"/>
        <w:left w:val="none" w:sz="0" w:space="0" w:color="auto"/>
        <w:bottom w:val="none" w:sz="0" w:space="0" w:color="auto"/>
        <w:right w:val="none" w:sz="0" w:space="0" w:color="auto"/>
      </w:divBdr>
    </w:div>
    <w:div w:id="1975791594">
      <w:bodyDiv w:val="1"/>
      <w:marLeft w:val="0"/>
      <w:marRight w:val="0"/>
      <w:marTop w:val="0"/>
      <w:marBottom w:val="0"/>
      <w:divBdr>
        <w:top w:val="none" w:sz="0" w:space="0" w:color="auto"/>
        <w:left w:val="none" w:sz="0" w:space="0" w:color="auto"/>
        <w:bottom w:val="none" w:sz="0" w:space="0" w:color="auto"/>
        <w:right w:val="none" w:sz="0" w:space="0" w:color="auto"/>
      </w:divBdr>
    </w:div>
    <w:div w:id="2013950405">
      <w:bodyDiv w:val="1"/>
      <w:marLeft w:val="0"/>
      <w:marRight w:val="0"/>
      <w:marTop w:val="0"/>
      <w:marBottom w:val="0"/>
      <w:divBdr>
        <w:top w:val="none" w:sz="0" w:space="0" w:color="auto"/>
        <w:left w:val="none" w:sz="0" w:space="0" w:color="auto"/>
        <w:bottom w:val="none" w:sz="0" w:space="0" w:color="auto"/>
        <w:right w:val="none" w:sz="0" w:space="0" w:color="auto"/>
      </w:divBdr>
    </w:div>
    <w:div w:id="2020883479">
      <w:bodyDiv w:val="1"/>
      <w:marLeft w:val="0"/>
      <w:marRight w:val="0"/>
      <w:marTop w:val="0"/>
      <w:marBottom w:val="0"/>
      <w:divBdr>
        <w:top w:val="none" w:sz="0" w:space="0" w:color="auto"/>
        <w:left w:val="none" w:sz="0" w:space="0" w:color="auto"/>
        <w:bottom w:val="none" w:sz="0" w:space="0" w:color="auto"/>
        <w:right w:val="none" w:sz="0" w:space="0" w:color="auto"/>
      </w:divBdr>
    </w:div>
    <w:div w:id="2058045223">
      <w:bodyDiv w:val="1"/>
      <w:marLeft w:val="0"/>
      <w:marRight w:val="0"/>
      <w:marTop w:val="0"/>
      <w:marBottom w:val="0"/>
      <w:divBdr>
        <w:top w:val="none" w:sz="0" w:space="0" w:color="auto"/>
        <w:left w:val="none" w:sz="0" w:space="0" w:color="auto"/>
        <w:bottom w:val="none" w:sz="0" w:space="0" w:color="auto"/>
        <w:right w:val="none" w:sz="0" w:space="0" w:color="auto"/>
      </w:divBdr>
    </w:div>
    <w:div w:id="2062122302">
      <w:bodyDiv w:val="1"/>
      <w:marLeft w:val="0"/>
      <w:marRight w:val="0"/>
      <w:marTop w:val="0"/>
      <w:marBottom w:val="0"/>
      <w:divBdr>
        <w:top w:val="none" w:sz="0" w:space="0" w:color="auto"/>
        <w:left w:val="none" w:sz="0" w:space="0" w:color="auto"/>
        <w:bottom w:val="none" w:sz="0" w:space="0" w:color="auto"/>
        <w:right w:val="none" w:sz="0" w:space="0" w:color="auto"/>
      </w:divBdr>
    </w:div>
    <w:div w:id="2072773974">
      <w:bodyDiv w:val="1"/>
      <w:marLeft w:val="0"/>
      <w:marRight w:val="0"/>
      <w:marTop w:val="0"/>
      <w:marBottom w:val="0"/>
      <w:divBdr>
        <w:top w:val="none" w:sz="0" w:space="0" w:color="auto"/>
        <w:left w:val="none" w:sz="0" w:space="0" w:color="auto"/>
        <w:bottom w:val="none" w:sz="0" w:space="0" w:color="auto"/>
        <w:right w:val="none" w:sz="0" w:space="0" w:color="auto"/>
      </w:divBdr>
    </w:div>
    <w:div w:id="2085451539">
      <w:bodyDiv w:val="1"/>
      <w:marLeft w:val="0"/>
      <w:marRight w:val="0"/>
      <w:marTop w:val="0"/>
      <w:marBottom w:val="0"/>
      <w:divBdr>
        <w:top w:val="none" w:sz="0" w:space="0" w:color="auto"/>
        <w:left w:val="none" w:sz="0" w:space="0" w:color="auto"/>
        <w:bottom w:val="none" w:sz="0" w:space="0" w:color="auto"/>
        <w:right w:val="none" w:sz="0" w:space="0" w:color="auto"/>
      </w:divBdr>
    </w:div>
    <w:div w:id="2099015852">
      <w:bodyDiv w:val="1"/>
      <w:marLeft w:val="0"/>
      <w:marRight w:val="0"/>
      <w:marTop w:val="0"/>
      <w:marBottom w:val="0"/>
      <w:divBdr>
        <w:top w:val="none" w:sz="0" w:space="0" w:color="auto"/>
        <w:left w:val="none" w:sz="0" w:space="0" w:color="auto"/>
        <w:bottom w:val="none" w:sz="0" w:space="0" w:color="auto"/>
        <w:right w:val="none" w:sz="0" w:space="0" w:color="auto"/>
      </w:divBdr>
    </w:div>
    <w:div w:id="2130780027">
      <w:bodyDiv w:val="1"/>
      <w:marLeft w:val="0"/>
      <w:marRight w:val="0"/>
      <w:marTop w:val="0"/>
      <w:marBottom w:val="0"/>
      <w:divBdr>
        <w:top w:val="none" w:sz="0" w:space="0" w:color="auto"/>
        <w:left w:val="none" w:sz="0" w:space="0" w:color="auto"/>
        <w:bottom w:val="none" w:sz="0" w:space="0" w:color="auto"/>
        <w:right w:val="none" w:sz="0" w:space="0" w:color="auto"/>
      </w:divBdr>
    </w:div>
    <w:div w:id="2146193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mmunications@safetyandquality.gov.au" TargetMode="External"/><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yperlink" Target="https://www.who.int/director-general/speeches/detail/who-director-general-s-opening-remarks-at-the-media-briefing-on-covid-19---11-march-2020" TargetMode="External"/><Relationship Id="rId50" Type="http://schemas.openxmlformats.org/officeDocument/2006/relationships/hyperlink" Target="http://www.mbsonline.gov.au/internet/mbsonline/publishing.nsf/Content/2211355D5611CA3DCA2587A70006FF09/$File/Factsheet-telehealth-GPs-OMP.v.13.04.22.pdf" TargetMode="External"/><Relationship Id="rId55" Type="http://schemas.openxmlformats.org/officeDocument/2006/relationships/hyperlink" Target="https://www.dva.gov.au/health-and-treatment/help-cover-healthcare-costs/manage-medicine-and-keep-costs-down/concessional"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hyperlink" Target="https://www.pbs.gov.au/info/about-the-pbs" TargetMode="Externa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nc-nd/4.0/" TargetMode="External"/><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s://www.nps.org.au/medicine-insight" TargetMode="External"/><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36" Type="http://schemas.openxmlformats.org/officeDocument/2006/relationships/image" Target="media/image28.png"/><Relationship Id="rId49" Type="http://schemas.openxmlformats.org/officeDocument/2006/relationships/hyperlink" Target="https://www.pbs.gov.au/news/2020/03/files/Antibiotics-factsheet-2020.pdf" TargetMode="External"/><Relationship Id="rId57" Type="http://schemas.openxmlformats.org/officeDocument/2006/relationships/image" Target="media/image39.png"/><Relationship Id="rId61" Type="http://schemas.openxmlformats.org/officeDocument/2006/relationships/image" Target="media/image41.png"/><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https://www.pbs.gov.au/pbs/home" TargetMode="External"/><Relationship Id="rId60"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yperlink" Target="https://www.health.gov.au/news/11-billion-to-support-more-mental-health-medicare-and-domestic-violence-services" TargetMode="External"/><Relationship Id="rId56" Type="http://schemas.openxmlformats.org/officeDocument/2006/relationships/image" Target="media/image38.png"/><Relationship Id="rId64"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hyperlink" Target="https://www.abs.gov.au/statistics/people/aboriginal-and-torres-strait-islander-peoples/estimates-aboriginal-and-torres-strait-islander-australians/latest-release" TargetMode="Externa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s://www.who.int/news-room/fact-sheets/detail/antimicrobial-resistance" TargetMode="External"/><Relationship Id="rId59" Type="http://schemas.openxmlformats.org/officeDocument/2006/relationships/footer" Target="footer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komoda\AppData\Roaming\Hewlett-Packard\HP%20TRIM\Offline%20Records%20(CP)\Handy%20Stuff%20TEMPLATE%20with%20COVER%20for%20Commission%20publications.dotx" TargetMode="External"/></Relationships>
</file>

<file path=word/theme/theme1.xml><?xml version="1.0" encoding="utf-8"?>
<a:theme xmlns:a="http://schemas.openxmlformats.org/drawingml/2006/main" name="Office Theme">
  <a:themeElements>
    <a:clrScheme name="Commission">
      <a:dk1>
        <a:sysClr val="windowText" lastClr="000000"/>
      </a:dk1>
      <a:lt1>
        <a:sysClr val="window" lastClr="FFFFFF"/>
      </a:lt1>
      <a:dk2>
        <a:srgbClr val="1178A2"/>
      </a:dk2>
      <a:lt2>
        <a:srgbClr val="EEECE1"/>
      </a:lt2>
      <a:accent1>
        <a:srgbClr val="1178A2"/>
      </a:accent1>
      <a:accent2>
        <a:srgbClr val="00A9DD"/>
      </a:accent2>
      <a:accent3>
        <a:srgbClr val="125370"/>
      </a:accent3>
      <a:accent4>
        <a:srgbClr val="119066"/>
      </a:accent4>
      <a:accent5>
        <a:srgbClr val="DC5827"/>
      </a:accent5>
      <a:accent6>
        <a:srgbClr val="8F278B"/>
      </a:accent6>
      <a:hlink>
        <a:srgbClr val="0000FF"/>
      </a:hlink>
      <a:folHlink>
        <a:srgbClr val="800080"/>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9525" cap="flat" cmpd="sng" algn="ctr">
          <a:solidFill>
            <a:schemeClr val="dk1"/>
          </a:solidFill>
          <a:prstDash val="dash"/>
          <a:round/>
          <a:headEnd type="none" w="med" len="med"/>
          <a:tailEnd type="none" w="med" len="med"/>
        </a:ln>
      </a:spPr>
      <a:bodyPr/>
      <a:lstStyle/>
      <a:style>
        <a:lnRef idx="0">
          <a:scrgbClr r="0" g="0" b="0"/>
        </a:lnRef>
        <a:fillRef idx="0">
          <a:scrgbClr r="0" g="0" b="0"/>
        </a:fillRef>
        <a:effectRef idx="0">
          <a:scrgbClr r="0" g="0" b="0"/>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Aus</b:Tag>
    <b:SourceType>Book</b:SourceType>
    <b:Guid>{A0736957-8689-4619-8DBA-E6EAC03381BA}</b:Guid>
    <b:Author>
      <b:Author>
        <b:NameList>
          <b:Person>
            <b:Last>ACSQHC</b:Last>
            <b:First>Australian</b:First>
            <b:Middle>Commission on Safety and Quality in Health Care. AURA 2021: fourth Australian report on antimicrobial use and resistance in human health. Sydney:</b:Middle>
          </b:Person>
          <b:Person>
            <b:Last>2021</b:Last>
          </b:Person>
        </b:NameList>
      </b:Author>
    </b:Author>
    <b:RefOrder>2</b:RefOrder>
  </b:Source>
</b:Sources>
</file>

<file path=customXml/itemProps1.xml><?xml version="1.0" encoding="utf-8"?>
<ds:datastoreItem xmlns:ds="http://schemas.openxmlformats.org/officeDocument/2006/customXml" ds:itemID="{506A2150-76D2-4773-AB0D-30532AD23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Handy Stuff TEMPLATE with COVER for Commission publications.dotx</Template>
  <TotalTime>46</TotalTime>
  <Pages>68</Pages>
  <Words>18660</Words>
  <Characters>199772</Characters>
  <Application>Microsoft Office Word</Application>
  <DocSecurity>0</DocSecurity>
  <Lines>1664</Lines>
  <Paragraphs>435</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217997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Komoder Andrew</dc:creator>
  <cp:keywords/>
  <dc:description/>
  <cp:lastModifiedBy>CAREY, Brighid</cp:lastModifiedBy>
  <cp:revision>7</cp:revision>
  <cp:lastPrinted>2022-12-14T22:28:00Z</cp:lastPrinted>
  <dcterms:created xsi:type="dcterms:W3CDTF">2023-03-20T04:35:00Z</dcterms:created>
  <dcterms:modified xsi:type="dcterms:W3CDTF">2023-03-22T04:08:00Z</dcterms:modified>
</cp:coreProperties>
</file>