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29E94C4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F0DAF71"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w:t>
      </w:r>
      <w:r w:rsidR="00C23361">
        <w:rPr>
          <w:rFonts w:ascii="Garamond" w:hAnsi="Garamond"/>
          <w:color w:val="000000" w:themeColor="text1"/>
          <w:lang w:val="en-AU"/>
        </w:rPr>
        <w:t>3</w:t>
      </w:r>
    </w:p>
    <w:p w14:paraId="5081D681" w14:textId="63D95CAB" w:rsidR="001A4346" w:rsidRDefault="00C23361" w:rsidP="00F738B5">
      <w:pPr>
        <w:rPr>
          <w:rFonts w:ascii="Garamond" w:hAnsi="Garamond"/>
          <w:lang w:val="en-AU"/>
        </w:rPr>
      </w:pPr>
      <w:r>
        <w:rPr>
          <w:rFonts w:ascii="Garamond" w:hAnsi="Garamond"/>
          <w:lang w:val="en-AU"/>
        </w:rPr>
        <w:t xml:space="preserve">6 March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08980C6A"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1809EA50" w14:textId="58630712" w:rsidR="00873536" w:rsidRDefault="00873536" w:rsidP="009525CC">
      <w:pPr>
        <w:rPr>
          <w:rFonts w:ascii="Garamond" w:hAnsi="Garamond"/>
          <w:bCs/>
          <w:lang w:val="en-AU"/>
        </w:rPr>
      </w:pPr>
    </w:p>
    <w:p w14:paraId="3A89A70F" w14:textId="4DDAC69C" w:rsidR="00ED588C" w:rsidRDefault="00ED588C" w:rsidP="009525CC">
      <w:pPr>
        <w:rPr>
          <w:rFonts w:ascii="Garamond" w:hAnsi="Garamond"/>
          <w:bCs/>
          <w:lang w:val="en-AU"/>
        </w:rPr>
      </w:pPr>
    </w:p>
    <w:p w14:paraId="5D02388B" w14:textId="77777777" w:rsidR="00ED588C" w:rsidRDefault="00ED588C" w:rsidP="009525CC">
      <w:pPr>
        <w:rPr>
          <w:rFonts w:ascii="Garamond" w:hAnsi="Garamond"/>
          <w:bCs/>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248B0D0C" w:rsidR="00D0490E" w:rsidRDefault="00D0490E" w:rsidP="00D0490E">
      <w:pPr>
        <w:keepNext/>
        <w:rPr>
          <w:rFonts w:ascii="Garamond" w:hAnsi="Garamond"/>
          <w:lang w:val="en-AU"/>
        </w:rPr>
      </w:pPr>
    </w:p>
    <w:p w14:paraId="6FACC339" w14:textId="77777777" w:rsidR="009535BB" w:rsidRPr="009535BB" w:rsidRDefault="009535BB" w:rsidP="00A949A0">
      <w:pPr>
        <w:keepNext/>
        <w:rPr>
          <w:rFonts w:ascii="Garamond" w:hAnsi="Garamond"/>
          <w:i/>
          <w:iCs/>
          <w:lang w:val="en-AU"/>
        </w:rPr>
      </w:pPr>
      <w:r w:rsidRPr="009535BB">
        <w:rPr>
          <w:rFonts w:ascii="Garamond" w:hAnsi="Garamond"/>
          <w:i/>
          <w:iCs/>
          <w:lang w:val="en-AU"/>
        </w:rPr>
        <w:t>Time for Better Care at the End of Life</w:t>
      </w:r>
    </w:p>
    <w:p w14:paraId="05803B89" w14:textId="2962F369" w:rsidR="009535BB" w:rsidRDefault="009535BB" w:rsidP="00A949A0">
      <w:pPr>
        <w:keepNext/>
        <w:rPr>
          <w:rFonts w:ascii="Garamond" w:hAnsi="Garamond"/>
          <w:lang w:val="en-AU"/>
        </w:rPr>
      </w:pPr>
      <w:r>
        <w:rPr>
          <w:rFonts w:ascii="Garamond" w:hAnsi="Garamond"/>
          <w:lang w:val="en-AU"/>
        </w:rPr>
        <w:t>OECD.</w:t>
      </w:r>
      <w:r w:rsidRPr="009535BB">
        <w:rPr>
          <w:rFonts w:ascii="Garamond" w:hAnsi="Garamond"/>
          <w:lang w:val="en-AU"/>
        </w:rPr>
        <w:t xml:space="preserve"> Paris: OECD Publishing; 2023.</w:t>
      </w:r>
      <w:r w:rsidR="000E6A98">
        <w:rPr>
          <w:rFonts w:ascii="Garamond" w:hAnsi="Garamond"/>
          <w:lang w:val="en-AU"/>
        </w:rPr>
        <w:t xml:space="preserve"> p.243.</w:t>
      </w:r>
    </w:p>
    <w:p w14:paraId="019526E2" w14:textId="3BA242D5" w:rsidR="00D03948" w:rsidRDefault="00D03948" w:rsidP="00A949A0">
      <w:pPr>
        <w:keepNext/>
        <w:keepLines/>
        <w:autoSpaceDE w:val="0"/>
        <w:autoSpaceDN w:val="0"/>
        <w:adjustRightInd w:val="0"/>
        <w:rPr>
          <w:rFonts w:ascii="Garamond" w:hAnsi="Garamond"/>
          <w:lang w:val="en-AU"/>
        </w:rPr>
      </w:pPr>
    </w:p>
    <w:p w14:paraId="21FB5784" w14:textId="77777777" w:rsidR="009535BB" w:rsidRPr="009535BB" w:rsidRDefault="009535BB" w:rsidP="00A949A0">
      <w:pPr>
        <w:keepNext/>
        <w:keepLines/>
        <w:autoSpaceDE w:val="0"/>
        <w:autoSpaceDN w:val="0"/>
        <w:adjustRightInd w:val="0"/>
        <w:rPr>
          <w:rFonts w:ascii="Garamond" w:hAnsi="Garamond"/>
          <w:i/>
          <w:iCs/>
          <w:lang w:val="en-AU"/>
        </w:rPr>
      </w:pPr>
      <w:r w:rsidRPr="009535BB">
        <w:rPr>
          <w:rFonts w:ascii="Garamond" w:hAnsi="Garamond"/>
          <w:i/>
          <w:iCs/>
          <w:lang w:val="en-AU"/>
        </w:rPr>
        <w:t>Dying well at home: Commissioning quality end-of-life care</w:t>
      </w:r>
    </w:p>
    <w:p w14:paraId="5C134C42" w14:textId="77777777" w:rsidR="009535BB" w:rsidRDefault="009535BB" w:rsidP="00A949A0">
      <w:pPr>
        <w:keepNext/>
        <w:keepLines/>
        <w:autoSpaceDE w:val="0"/>
        <w:autoSpaceDN w:val="0"/>
        <w:adjustRightInd w:val="0"/>
        <w:rPr>
          <w:rFonts w:ascii="Garamond" w:hAnsi="Garamond"/>
          <w:lang w:val="en-AU"/>
        </w:rPr>
      </w:pPr>
      <w:r w:rsidRPr="009535BB">
        <w:rPr>
          <w:rFonts w:ascii="Garamond" w:hAnsi="Garamond"/>
          <w:lang w:val="en-AU"/>
        </w:rPr>
        <w:t xml:space="preserve">Baylis A, Chikwira L, Robertson R, Tiratelli L. </w:t>
      </w:r>
    </w:p>
    <w:p w14:paraId="5AEAA990" w14:textId="6A5B1FAC" w:rsidR="009535BB" w:rsidRDefault="009535BB" w:rsidP="00A949A0">
      <w:pPr>
        <w:keepNext/>
        <w:keepLines/>
        <w:autoSpaceDE w:val="0"/>
        <w:autoSpaceDN w:val="0"/>
        <w:adjustRightInd w:val="0"/>
        <w:rPr>
          <w:rFonts w:ascii="Garamond" w:hAnsi="Garamond"/>
          <w:lang w:val="en-AU"/>
        </w:rPr>
      </w:pPr>
      <w:r w:rsidRPr="009535BB">
        <w:rPr>
          <w:rFonts w:ascii="Garamond" w:hAnsi="Garamond"/>
          <w:lang w:val="en-AU"/>
        </w:rPr>
        <w:t>London: The King's Fund; 2023. p. 66.</w:t>
      </w:r>
    </w:p>
    <w:tbl>
      <w:tblPr>
        <w:tblStyle w:val="TableGrid"/>
        <w:tblW w:w="9360" w:type="dxa"/>
        <w:tblInd w:w="288" w:type="dxa"/>
        <w:tblLayout w:type="fixed"/>
        <w:tblLook w:val="01E0" w:firstRow="1" w:lastRow="1" w:firstColumn="1" w:lastColumn="1" w:noHBand="0" w:noVBand="0"/>
      </w:tblPr>
      <w:tblGrid>
        <w:gridCol w:w="1080"/>
        <w:gridCol w:w="8280"/>
      </w:tblGrid>
      <w:tr w:rsidR="00D03948" w:rsidRPr="000170DA" w14:paraId="1B12C120"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52016559" w14:textId="06637699" w:rsidR="00D03948" w:rsidRPr="000170DA" w:rsidRDefault="00D03948" w:rsidP="00B1621B">
            <w:pPr>
              <w:keepNext/>
              <w:rPr>
                <w:rStyle w:val="Hyperlink"/>
                <w:rFonts w:ascii="Garamond" w:hAnsi="Garamond"/>
                <w:lang w:val="en-AU"/>
              </w:rPr>
            </w:pPr>
            <w:r>
              <w:rPr>
                <w:rFonts w:ascii="Garamond" w:hAnsi="Garamond"/>
                <w:lang w:val="en-AU"/>
              </w:rPr>
              <w:t>DOI</w:t>
            </w:r>
            <w:r w:rsidR="000E6A98">
              <w:rPr>
                <w:rFonts w:ascii="Garamond" w:hAnsi="Garamond"/>
                <w:lang w:val="en-AU"/>
              </w:rPr>
              <w:t xml:space="preserve"> / URL</w:t>
            </w:r>
          </w:p>
        </w:tc>
        <w:tc>
          <w:tcPr>
            <w:tcW w:w="8280" w:type="dxa"/>
            <w:tcBorders>
              <w:top w:val="single" w:sz="4" w:space="0" w:color="auto"/>
              <w:left w:val="single" w:sz="4" w:space="0" w:color="auto"/>
              <w:bottom w:val="single" w:sz="4" w:space="0" w:color="auto"/>
              <w:right w:val="single" w:sz="4" w:space="0" w:color="auto"/>
            </w:tcBorders>
            <w:vAlign w:val="center"/>
          </w:tcPr>
          <w:p w14:paraId="7EF89BBC" w14:textId="46C59963" w:rsidR="00D03948" w:rsidRDefault="009535BB" w:rsidP="00B1621B">
            <w:pPr>
              <w:keepNext/>
              <w:rPr>
                <w:rStyle w:val="Hyperlink"/>
                <w:rFonts w:ascii="Garamond" w:hAnsi="Garamond"/>
                <w:color w:val="auto"/>
                <w:u w:val="none"/>
                <w:lang w:val="en-AU"/>
              </w:rPr>
            </w:pPr>
            <w:r>
              <w:rPr>
                <w:rStyle w:val="Hyperlink"/>
                <w:rFonts w:ascii="Garamond" w:hAnsi="Garamond"/>
                <w:color w:val="auto"/>
                <w:u w:val="none"/>
                <w:lang w:val="en-AU"/>
              </w:rPr>
              <w:t xml:space="preserve">OECD </w:t>
            </w:r>
            <w:hyperlink r:id="rId15" w:history="1">
              <w:r w:rsidRPr="00E21486">
                <w:rPr>
                  <w:rStyle w:val="Hyperlink"/>
                  <w:rFonts w:ascii="Garamond" w:hAnsi="Garamond"/>
                  <w:lang w:val="en-AU"/>
                </w:rPr>
                <w:t>https://doi.org/10.1787/722b927a-en</w:t>
              </w:r>
            </w:hyperlink>
          </w:p>
          <w:p w14:paraId="1A99D87C" w14:textId="4F705C20" w:rsidR="009535BB" w:rsidRPr="000170DA" w:rsidRDefault="009535BB" w:rsidP="00B1621B">
            <w:pPr>
              <w:keepNext/>
              <w:rPr>
                <w:rStyle w:val="Hyperlink"/>
                <w:rFonts w:ascii="Garamond" w:hAnsi="Garamond"/>
                <w:color w:val="auto"/>
                <w:u w:val="none"/>
                <w:lang w:val="en-AU"/>
              </w:rPr>
            </w:pPr>
            <w:r>
              <w:rPr>
                <w:rStyle w:val="Hyperlink"/>
                <w:rFonts w:ascii="Garamond" w:hAnsi="Garamond"/>
                <w:color w:val="auto"/>
                <w:u w:val="none"/>
                <w:lang w:val="en-AU"/>
              </w:rPr>
              <w:t xml:space="preserve">Baylis et al </w:t>
            </w:r>
            <w:hyperlink r:id="rId16" w:history="1">
              <w:r w:rsidRPr="00E21486">
                <w:rPr>
                  <w:rStyle w:val="Hyperlink"/>
                  <w:rFonts w:ascii="Garamond" w:hAnsi="Garamond"/>
                  <w:lang w:val="en-AU"/>
                </w:rPr>
                <w:t>https://www.kingsfund.org.uk/publications/dying-well-home-commissioning-quality-end-life-care</w:t>
              </w:r>
            </w:hyperlink>
          </w:p>
        </w:tc>
      </w:tr>
      <w:tr w:rsidR="00D03948" w:rsidRPr="000170DA" w14:paraId="14C82FD8"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3987A551" w14:textId="77777777" w:rsidR="00D03948" w:rsidRPr="000170DA" w:rsidRDefault="00D03948" w:rsidP="00B1621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8F665C3" w14:textId="77777777" w:rsidR="00D03948" w:rsidRDefault="009535BB" w:rsidP="00B1621B">
            <w:pPr>
              <w:rPr>
                <w:rFonts w:ascii="Garamond" w:hAnsi="Garamond"/>
                <w:lang w:val="en-AU"/>
              </w:rPr>
            </w:pPr>
            <w:r>
              <w:rPr>
                <w:rFonts w:ascii="Garamond" w:hAnsi="Garamond"/>
                <w:lang w:val="en-AU"/>
              </w:rPr>
              <w:t>A pair of reports examining the quality of health care for patients at the end of life.</w:t>
            </w:r>
          </w:p>
          <w:p w14:paraId="4A7E500D" w14:textId="45D2727E" w:rsidR="009535BB" w:rsidRDefault="009535BB" w:rsidP="00A949A0">
            <w:pPr>
              <w:rPr>
                <w:rFonts w:ascii="Garamond" w:hAnsi="Garamond"/>
                <w:lang w:val="en-AU"/>
              </w:rPr>
            </w:pPr>
            <w:r>
              <w:rPr>
                <w:rFonts w:ascii="Garamond" w:hAnsi="Garamond"/>
                <w:lang w:val="en-AU"/>
              </w:rPr>
              <w:t>The OECD</w:t>
            </w:r>
            <w:r w:rsidR="00A949A0">
              <w:rPr>
                <w:rFonts w:ascii="Garamond" w:hAnsi="Garamond"/>
                <w:lang w:val="en-AU"/>
              </w:rPr>
              <w:t>’s report ‘</w:t>
            </w:r>
            <w:r w:rsidR="00A949A0" w:rsidRPr="00A949A0">
              <w:rPr>
                <w:rFonts w:ascii="Garamond" w:hAnsi="Garamond"/>
                <w:lang w:val="en-AU"/>
              </w:rPr>
              <w:t>reviews end-of-life care policies across OECD countries, along the following policy dimensions:</w:t>
            </w:r>
            <w:r w:rsidR="00A949A0">
              <w:rPr>
                <w:rFonts w:ascii="Garamond" w:hAnsi="Garamond"/>
                <w:lang w:val="en-AU"/>
              </w:rPr>
              <w:t xml:space="preserve"> </w:t>
            </w:r>
            <w:r w:rsidR="00A949A0" w:rsidRPr="00A949A0">
              <w:rPr>
                <w:rFonts w:ascii="Garamond" w:hAnsi="Garamond"/>
                <w:lang w:val="en-AU"/>
              </w:rPr>
              <w:t>accessibility, people-centredness, quality, financing, and governance.</w:t>
            </w:r>
            <w:r w:rsidR="00A949A0">
              <w:rPr>
                <w:rFonts w:ascii="Garamond" w:hAnsi="Garamond"/>
                <w:lang w:val="en-AU"/>
              </w:rPr>
              <w:t xml:space="preserve">’ The report’s key findings on </w:t>
            </w:r>
            <w:r w:rsidR="00BB43D6">
              <w:rPr>
                <w:rFonts w:ascii="Garamond" w:hAnsi="Garamond"/>
                <w:lang w:val="en-AU"/>
              </w:rPr>
              <w:t>end-of-life</w:t>
            </w:r>
            <w:r w:rsidR="00A949A0">
              <w:rPr>
                <w:rFonts w:ascii="Garamond" w:hAnsi="Garamond"/>
                <w:lang w:val="en-AU"/>
              </w:rPr>
              <w:t xml:space="preserve"> care across the OECD, include:</w:t>
            </w:r>
          </w:p>
          <w:p w14:paraId="6BFD0FBE" w14:textId="3836270E" w:rsidR="00A949A0" w:rsidRPr="00A949A0" w:rsidRDefault="00A949A0" w:rsidP="00C354AA">
            <w:pPr>
              <w:pStyle w:val="ListParagraph"/>
              <w:numPr>
                <w:ilvl w:val="0"/>
                <w:numId w:val="40"/>
              </w:numPr>
              <w:rPr>
                <w:rFonts w:ascii="Garamond" w:hAnsi="Garamond"/>
                <w:lang w:val="en-AU"/>
              </w:rPr>
            </w:pPr>
            <w:r>
              <w:rPr>
                <w:rFonts w:ascii="Garamond" w:hAnsi="Garamond"/>
                <w:lang w:val="en-AU"/>
              </w:rPr>
              <w:lastRenderedPageBreak/>
              <w:t>‘</w:t>
            </w:r>
            <w:r w:rsidRPr="00A949A0">
              <w:rPr>
                <w:rFonts w:ascii="Garamond" w:hAnsi="Garamond"/>
                <w:lang w:val="en-AU"/>
              </w:rPr>
              <w:t>Too many people receive sub-par care in their last days or months of life. Access to services is</w:t>
            </w:r>
            <w:r>
              <w:rPr>
                <w:rFonts w:ascii="Garamond" w:hAnsi="Garamond"/>
                <w:lang w:val="en-AU"/>
              </w:rPr>
              <w:t xml:space="preserve"> </w:t>
            </w:r>
            <w:r w:rsidRPr="00A949A0">
              <w:rPr>
                <w:rFonts w:ascii="Garamond" w:hAnsi="Garamond"/>
                <w:lang w:val="en-AU"/>
              </w:rPr>
              <w:t>often insufficient and unequal, especially at home.</w:t>
            </w:r>
          </w:p>
          <w:p w14:paraId="6FDA7F13" w14:textId="0F344290" w:rsidR="00A949A0" w:rsidRPr="00A949A0" w:rsidRDefault="00A949A0" w:rsidP="00FC27CD">
            <w:pPr>
              <w:pStyle w:val="ListParagraph"/>
              <w:numPr>
                <w:ilvl w:val="0"/>
                <w:numId w:val="40"/>
              </w:numPr>
              <w:rPr>
                <w:rFonts w:ascii="Garamond" w:hAnsi="Garamond"/>
                <w:lang w:val="en-AU"/>
              </w:rPr>
            </w:pPr>
            <w:r w:rsidRPr="00A949A0">
              <w:rPr>
                <w:rFonts w:ascii="Garamond" w:hAnsi="Garamond"/>
                <w:lang w:val="en-AU"/>
              </w:rPr>
              <w:t>Professionals often fail to discuss choices that provide people a dignified end of life, and their care</w:t>
            </w:r>
            <w:r>
              <w:rPr>
                <w:rFonts w:ascii="Garamond" w:hAnsi="Garamond"/>
                <w:lang w:val="en-AU"/>
              </w:rPr>
              <w:t xml:space="preserve"> </w:t>
            </w:r>
            <w:r w:rsidRPr="00A949A0">
              <w:rPr>
                <w:rFonts w:ascii="Garamond" w:hAnsi="Garamond"/>
                <w:lang w:val="en-AU"/>
              </w:rPr>
              <w:t>preferences are rarely recorded.</w:t>
            </w:r>
          </w:p>
          <w:p w14:paraId="29CFF238" w14:textId="540A4CA7" w:rsidR="00A949A0" w:rsidRPr="00A949A0" w:rsidRDefault="00A949A0" w:rsidP="002D482C">
            <w:pPr>
              <w:pStyle w:val="ListParagraph"/>
              <w:numPr>
                <w:ilvl w:val="0"/>
                <w:numId w:val="40"/>
              </w:numPr>
              <w:rPr>
                <w:rFonts w:ascii="Garamond" w:hAnsi="Garamond"/>
                <w:lang w:val="en-AU"/>
              </w:rPr>
            </w:pPr>
            <w:r w:rsidRPr="00A949A0">
              <w:rPr>
                <w:rFonts w:ascii="Garamond" w:hAnsi="Garamond"/>
                <w:lang w:val="en-AU"/>
              </w:rPr>
              <w:t>Care provided at the end of life often fails to alleviate people suffering and limit unnecessary</w:t>
            </w:r>
            <w:r>
              <w:rPr>
                <w:rFonts w:ascii="Garamond" w:hAnsi="Garamond"/>
                <w:lang w:val="en-AU"/>
              </w:rPr>
              <w:t xml:space="preserve"> </w:t>
            </w:r>
            <w:r w:rsidRPr="00A949A0">
              <w:rPr>
                <w:rFonts w:ascii="Garamond" w:hAnsi="Garamond"/>
                <w:lang w:val="en-AU"/>
              </w:rPr>
              <w:t>treatments.</w:t>
            </w:r>
          </w:p>
          <w:p w14:paraId="7E20FC81" w14:textId="0101AF47" w:rsidR="00A949A0" w:rsidRPr="00A949A0" w:rsidRDefault="00A949A0" w:rsidP="00C320F9">
            <w:pPr>
              <w:pStyle w:val="ListParagraph"/>
              <w:numPr>
                <w:ilvl w:val="0"/>
                <w:numId w:val="40"/>
              </w:numPr>
              <w:rPr>
                <w:rFonts w:ascii="Garamond" w:hAnsi="Garamond"/>
                <w:lang w:val="en-AU"/>
              </w:rPr>
            </w:pPr>
            <w:r w:rsidRPr="00A949A0">
              <w:rPr>
                <w:rFonts w:ascii="Garamond" w:hAnsi="Garamond"/>
                <w:lang w:val="en-AU"/>
              </w:rPr>
              <w:t>Costs at the end of life are high for both the public purse and families, while not necessarily delivering quality of life, and there are questions about, which different care models could improve</w:t>
            </w:r>
            <w:r>
              <w:rPr>
                <w:rFonts w:ascii="Garamond" w:hAnsi="Garamond"/>
                <w:lang w:val="en-AU"/>
              </w:rPr>
              <w:t xml:space="preserve"> </w:t>
            </w:r>
            <w:r w:rsidRPr="00A949A0">
              <w:rPr>
                <w:rFonts w:ascii="Garamond" w:hAnsi="Garamond"/>
                <w:lang w:val="en-AU"/>
              </w:rPr>
              <w:t>outcomes for patients while reducing costs.</w:t>
            </w:r>
          </w:p>
          <w:p w14:paraId="1676E64D" w14:textId="7C822C12" w:rsidR="00A949A0" w:rsidRPr="00A949A0" w:rsidRDefault="00A949A0" w:rsidP="00E17CD1">
            <w:pPr>
              <w:pStyle w:val="ListParagraph"/>
              <w:numPr>
                <w:ilvl w:val="0"/>
                <w:numId w:val="40"/>
              </w:numPr>
              <w:rPr>
                <w:rFonts w:ascii="Garamond" w:hAnsi="Garamond"/>
                <w:lang w:val="en-AU"/>
              </w:rPr>
            </w:pPr>
            <w:r w:rsidRPr="00A949A0">
              <w:rPr>
                <w:rFonts w:ascii="Garamond" w:hAnsi="Garamond"/>
                <w:lang w:val="en-AU"/>
              </w:rPr>
              <w:t>Putting end-of-life care higher in the policy agenda and implementing a more comprehensive set of policies would make the end of life a more meaningful and humane experience for people and</w:t>
            </w:r>
            <w:r>
              <w:rPr>
                <w:rFonts w:ascii="Garamond" w:hAnsi="Garamond"/>
                <w:lang w:val="en-AU"/>
              </w:rPr>
              <w:t xml:space="preserve"> </w:t>
            </w:r>
            <w:r w:rsidRPr="00A949A0">
              <w:rPr>
                <w:rFonts w:ascii="Garamond" w:hAnsi="Garamond"/>
                <w:lang w:val="en-AU"/>
              </w:rPr>
              <w:t>their relatives, and improve the outcomes achieved for the resources invested.</w:t>
            </w:r>
            <w:r>
              <w:rPr>
                <w:rFonts w:ascii="Garamond" w:hAnsi="Garamond"/>
                <w:lang w:val="en-AU"/>
              </w:rPr>
              <w:t>’</w:t>
            </w:r>
          </w:p>
          <w:p w14:paraId="23DDF336" w14:textId="3CAB6AA3" w:rsidR="009535BB" w:rsidRPr="00D0490E" w:rsidRDefault="009535BB" w:rsidP="00B1621B">
            <w:pPr>
              <w:rPr>
                <w:rFonts w:ascii="Garamond" w:hAnsi="Garamond"/>
                <w:lang w:val="en-AU"/>
              </w:rPr>
            </w:pPr>
            <w:r>
              <w:rPr>
                <w:rFonts w:ascii="Garamond" w:hAnsi="Garamond"/>
                <w:lang w:val="en-AU"/>
              </w:rPr>
              <w:t>In the UK, The King’s Fund (Baylis et al) has looked at the issue of how to commission and ensure high quality end of life care for the patient in their own home. While this report focuses on the UK context and some aspects, such as the role of local government</w:t>
            </w:r>
            <w:r w:rsidR="00E2531C">
              <w:rPr>
                <w:rFonts w:ascii="Garamond" w:hAnsi="Garamond"/>
                <w:lang w:val="en-AU"/>
              </w:rPr>
              <w:t xml:space="preserve"> and the creation of integrated care systems</w:t>
            </w:r>
            <w:r>
              <w:rPr>
                <w:rFonts w:ascii="Garamond" w:hAnsi="Garamond"/>
                <w:lang w:val="en-AU"/>
              </w:rPr>
              <w:t>, may be quite different to other locations, some of the issues are clearly applicable elsewhere.</w:t>
            </w:r>
          </w:p>
        </w:tc>
      </w:tr>
    </w:tbl>
    <w:p w14:paraId="5EE0210C" w14:textId="77777777" w:rsidR="00D03948" w:rsidRDefault="00D03948" w:rsidP="00D03948">
      <w:pPr>
        <w:keepLines/>
        <w:autoSpaceDE w:val="0"/>
        <w:autoSpaceDN w:val="0"/>
        <w:adjustRightInd w:val="0"/>
        <w:rPr>
          <w:rFonts w:ascii="Garamond" w:hAnsi="Garamond"/>
          <w:lang w:val="en-AU"/>
        </w:rPr>
      </w:pPr>
    </w:p>
    <w:p w14:paraId="5760B04F" w14:textId="375BE4EC" w:rsidR="00D03948" w:rsidRDefault="009535BB" w:rsidP="00D03948">
      <w:pPr>
        <w:keepLines/>
        <w:autoSpaceDE w:val="0"/>
        <w:autoSpaceDN w:val="0"/>
        <w:adjustRightInd w:val="0"/>
        <w:rPr>
          <w:rFonts w:ascii="Garamond" w:hAnsi="Garamond"/>
          <w:lang w:val="en-AU"/>
        </w:rPr>
      </w:pPr>
      <w:r>
        <w:rPr>
          <w:rFonts w:ascii="Garamond" w:hAnsi="Garamond"/>
          <w:lang w:val="en-AU"/>
        </w:rPr>
        <w:t>For information on the Commission’s work on end</w:t>
      </w:r>
      <w:r w:rsidR="00A949A0">
        <w:rPr>
          <w:rFonts w:ascii="Garamond" w:hAnsi="Garamond"/>
          <w:lang w:val="en-AU"/>
        </w:rPr>
        <w:t>-</w:t>
      </w:r>
      <w:r>
        <w:rPr>
          <w:rFonts w:ascii="Garamond" w:hAnsi="Garamond"/>
          <w:lang w:val="en-AU"/>
        </w:rPr>
        <w:t>of</w:t>
      </w:r>
      <w:r w:rsidR="00A949A0">
        <w:rPr>
          <w:rFonts w:ascii="Garamond" w:hAnsi="Garamond"/>
          <w:lang w:val="en-AU"/>
        </w:rPr>
        <w:t>-</w:t>
      </w:r>
      <w:r>
        <w:rPr>
          <w:rFonts w:ascii="Garamond" w:hAnsi="Garamond"/>
          <w:lang w:val="en-AU"/>
        </w:rPr>
        <w:t>life</w:t>
      </w:r>
      <w:r w:rsidR="00A949A0">
        <w:rPr>
          <w:rFonts w:ascii="Garamond" w:hAnsi="Garamond"/>
          <w:lang w:val="en-AU"/>
        </w:rPr>
        <w:t xml:space="preserve"> care</w:t>
      </w:r>
      <w:r>
        <w:rPr>
          <w:rFonts w:ascii="Garamond" w:hAnsi="Garamond"/>
          <w:lang w:val="en-AU"/>
        </w:rPr>
        <w:t xml:space="preserve">, </w:t>
      </w:r>
      <w:r w:rsidR="00A949A0">
        <w:rPr>
          <w:rFonts w:ascii="Garamond" w:hAnsi="Garamond"/>
          <w:lang w:val="en-AU"/>
        </w:rPr>
        <w:t xml:space="preserve">including </w:t>
      </w:r>
      <w:r w:rsidR="00A949A0" w:rsidRPr="00A949A0">
        <w:rPr>
          <w:rFonts w:ascii="Garamond" w:hAnsi="Garamond"/>
          <w:lang w:val="en-AU"/>
        </w:rPr>
        <w:t>a range of tools and resources to support health services to improve the safety and quality of end-of-life care</w:t>
      </w:r>
      <w:r w:rsidR="003B3CB5">
        <w:rPr>
          <w:rFonts w:ascii="Garamond" w:hAnsi="Garamond"/>
          <w:lang w:val="en-AU"/>
        </w:rPr>
        <w:t>,</w:t>
      </w:r>
      <w:r w:rsidR="00A949A0">
        <w:rPr>
          <w:rFonts w:ascii="Garamond" w:hAnsi="Garamond"/>
          <w:lang w:val="en-AU"/>
        </w:rPr>
        <w:t xml:space="preserve"> the </w:t>
      </w:r>
      <w:r w:rsidR="00A949A0" w:rsidRPr="00A949A0">
        <w:rPr>
          <w:rFonts w:ascii="Garamond" w:hAnsi="Garamond"/>
          <w:i/>
          <w:iCs/>
          <w:lang w:val="en-AU"/>
        </w:rPr>
        <w:t>National Consensus Statement: Essential elements for safe and high-quality end-of-life care</w:t>
      </w:r>
      <w:r w:rsidR="00A949A0">
        <w:rPr>
          <w:rFonts w:ascii="Garamond" w:hAnsi="Garamond"/>
          <w:lang w:val="en-AU"/>
        </w:rPr>
        <w:t xml:space="preserve"> and the </w:t>
      </w:r>
      <w:r w:rsidR="00A949A0" w:rsidRPr="00A949A0">
        <w:rPr>
          <w:rFonts w:ascii="Garamond" w:hAnsi="Garamond"/>
          <w:i/>
          <w:iCs/>
          <w:lang w:val="en-AU"/>
        </w:rPr>
        <w:t>National Consensus Statement: Essential elements for safe and high quality paediatric end-of-life care</w:t>
      </w:r>
      <w:r w:rsidR="00A949A0">
        <w:rPr>
          <w:rFonts w:ascii="Garamond" w:hAnsi="Garamond"/>
          <w:lang w:val="en-AU"/>
        </w:rPr>
        <w:t xml:space="preserve">, </w:t>
      </w:r>
      <w:r>
        <w:rPr>
          <w:rFonts w:ascii="Garamond" w:hAnsi="Garamond"/>
          <w:lang w:val="en-AU"/>
        </w:rPr>
        <w:t>see</w:t>
      </w:r>
      <w:r w:rsidR="00A949A0">
        <w:rPr>
          <w:rFonts w:ascii="Garamond" w:hAnsi="Garamond"/>
          <w:lang w:val="en-AU"/>
        </w:rPr>
        <w:t xml:space="preserve"> </w:t>
      </w:r>
      <w:hyperlink r:id="rId17" w:history="1">
        <w:r w:rsidR="00A949A0" w:rsidRPr="00E21486">
          <w:rPr>
            <w:rStyle w:val="Hyperlink"/>
            <w:rFonts w:ascii="Garamond" w:hAnsi="Garamond"/>
            <w:lang w:val="en-AU"/>
          </w:rPr>
          <w:t>https://www.safetyandquality.gov.au/our-work/end-life-care</w:t>
        </w:r>
      </w:hyperlink>
    </w:p>
    <w:p w14:paraId="746F8409" w14:textId="77777777" w:rsidR="00A949A0" w:rsidRDefault="00A949A0" w:rsidP="00D03948">
      <w:pPr>
        <w:keepLines/>
        <w:autoSpaceDE w:val="0"/>
        <w:autoSpaceDN w:val="0"/>
        <w:adjustRightInd w:val="0"/>
        <w:rPr>
          <w:rFonts w:ascii="Garamond" w:hAnsi="Garamond"/>
          <w:lang w:val="en-AU"/>
        </w:rPr>
      </w:pPr>
    </w:p>
    <w:p w14:paraId="70158712" w14:textId="77777777" w:rsidR="000D346A" w:rsidRPr="000D346A" w:rsidRDefault="000D346A" w:rsidP="000D346A">
      <w:pPr>
        <w:keepLines/>
        <w:autoSpaceDE w:val="0"/>
        <w:autoSpaceDN w:val="0"/>
        <w:adjustRightInd w:val="0"/>
        <w:rPr>
          <w:rFonts w:ascii="Garamond" w:hAnsi="Garamond"/>
          <w:i/>
          <w:iCs/>
          <w:lang w:val="en-AU"/>
        </w:rPr>
      </w:pPr>
      <w:r w:rsidRPr="000D346A">
        <w:rPr>
          <w:rFonts w:ascii="Garamond" w:hAnsi="Garamond"/>
          <w:i/>
          <w:iCs/>
          <w:lang w:val="en-AU"/>
        </w:rPr>
        <w:t>Ready for the Next Crisis? Investing in Health System Resilience</w:t>
      </w:r>
    </w:p>
    <w:p w14:paraId="43838497" w14:textId="77777777" w:rsidR="000D346A" w:rsidRDefault="000D346A" w:rsidP="00D03948">
      <w:pPr>
        <w:keepLines/>
        <w:autoSpaceDE w:val="0"/>
        <w:autoSpaceDN w:val="0"/>
        <w:adjustRightInd w:val="0"/>
        <w:rPr>
          <w:rFonts w:ascii="Garamond" w:hAnsi="Garamond"/>
          <w:lang w:val="en-AU"/>
        </w:rPr>
      </w:pPr>
      <w:r w:rsidRPr="000D346A">
        <w:rPr>
          <w:rFonts w:ascii="Garamond" w:hAnsi="Garamond"/>
          <w:lang w:val="en-AU"/>
        </w:rPr>
        <w:t>OECD</w:t>
      </w:r>
    </w:p>
    <w:p w14:paraId="65A9AD7D" w14:textId="60B9C95A" w:rsidR="009535BB" w:rsidRDefault="000D346A" w:rsidP="00D03948">
      <w:pPr>
        <w:keepLines/>
        <w:autoSpaceDE w:val="0"/>
        <w:autoSpaceDN w:val="0"/>
        <w:adjustRightInd w:val="0"/>
        <w:rPr>
          <w:rFonts w:ascii="Garamond" w:hAnsi="Garamond"/>
          <w:lang w:val="en-AU"/>
        </w:rPr>
      </w:pPr>
      <w:r w:rsidRPr="000D346A">
        <w:rPr>
          <w:rFonts w:ascii="Garamond" w:hAnsi="Garamond"/>
          <w:lang w:val="en-AU"/>
        </w:rPr>
        <w:t>Paris: OECD Publishing; 2023. p. 475.</w:t>
      </w:r>
    </w:p>
    <w:tbl>
      <w:tblPr>
        <w:tblStyle w:val="TableGrid"/>
        <w:tblW w:w="9360" w:type="dxa"/>
        <w:tblInd w:w="288" w:type="dxa"/>
        <w:tblLayout w:type="fixed"/>
        <w:tblLook w:val="01E0" w:firstRow="1" w:lastRow="1" w:firstColumn="1" w:lastColumn="1" w:noHBand="0" w:noVBand="0"/>
      </w:tblPr>
      <w:tblGrid>
        <w:gridCol w:w="1080"/>
        <w:gridCol w:w="8280"/>
      </w:tblGrid>
      <w:tr w:rsidR="00D03948" w:rsidRPr="000170DA" w14:paraId="32C41715"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3358B691" w14:textId="77777777" w:rsidR="00D03948" w:rsidRPr="000170DA" w:rsidRDefault="00D03948" w:rsidP="00B1621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D60B9C8" w14:textId="2E78F605" w:rsidR="00D03948" w:rsidRPr="000170DA" w:rsidRDefault="00460C14" w:rsidP="00B1621B">
            <w:pPr>
              <w:keepNext/>
              <w:rPr>
                <w:rStyle w:val="Hyperlink"/>
                <w:rFonts w:ascii="Garamond" w:hAnsi="Garamond"/>
                <w:color w:val="auto"/>
                <w:u w:val="none"/>
                <w:lang w:val="en-AU"/>
              </w:rPr>
            </w:pPr>
            <w:hyperlink r:id="rId18" w:history="1">
              <w:r w:rsidR="007D378E" w:rsidRPr="00E21486">
                <w:rPr>
                  <w:rStyle w:val="Hyperlink"/>
                  <w:rFonts w:ascii="Garamond" w:hAnsi="Garamond"/>
                  <w:lang w:val="en-AU"/>
                </w:rPr>
                <w:t>https://doi.org/https://doi.org/10.1787/1e53cf80-en</w:t>
              </w:r>
            </w:hyperlink>
          </w:p>
        </w:tc>
      </w:tr>
      <w:tr w:rsidR="00D03948" w:rsidRPr="000170DA" w14:paraId="37D12D26"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27B649FC" w14:textId="77777777" w:rsidR="00D03948" w:rsidRPr="000170DA" w:rsidRDefault="00D03948" w:rsidP="00B1621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7067D3" w14:textId="29FB9C2B" w:rsidR="00E2531C" w:rsidRPr="00E2531C" w:rsidRDefault="00E2531C" w:rsidP="00E2531C">
            <w:pPr>
              <w:rPr>
                <w:rFonts w:ascii="Garamond" w:hAnsi="Garamond"/>
                <w:lang w:val="en-AU"/>
              </w:rPr>
            </w:pPr>
            <w:r>
              <w:rPr>
                <w:rFonts w:ascii="Garamond" w:hAnsi="Garamond"/>
                <w:lang w:val="en-AU"/>
              </w:rPr>
              <w:t>The COVID-19 pandemic tested the capabilities and strengths of health systems around the world. This OECE report reviews the vulnerabilities exposed by the pandemic and ‘</w:t>
            </w:r>
            <w:r w:rsidRPr="00E2531C">
              <w:rPr>
                <w:rFonts w:ascii="Garamond" w:hAnsi="Garamond"/>
                <w:lang w:val="en-AU"/>
              </w:rPr>
              <w:t>Using a resilience lens, this report calls for major investment in the health workforce, alongside increased spending on prevention and digital infrastructure.</w:t>
            </w:r>
            <w:r>
              <w:rPr>
                <w:rFonts w:ascii="Garamond" w:hAnsi="Garamond"/>
                <w:lang w:val="en-AU"/>
              </w:rPr>
              <w:t xml:space="preserve">’ The report </w:t>
            </w:r>
            <w:r w:rsidRPr="00E2531C">
              <w:rPr>
                <w:rFonts w:ascii="Garamond" w:hAnsi="Garamond"/>
                <w:lang w:val="en-AU"/>
              </w:rPr>
              <w:t>makes six recommendations to improve health systems resilience and</w:t>
            </w:r>
            <w:r>
              <w:rPr>
                <w:rFonts w:ascii="Garamond" w:hAnsi="Garamond"/>
                <w:lang w:val="en-AU"/>
              </w:rPr>
              <w:t xml:space="preserve"> </w:t>
            </w:r>
            <w:r w:rsidRPr="00E2531C">
              <w:rPr>
                <w:rFonts w:ascii="Garamond" w:hAnsi="Garamond"/>
                <w:lang w:val="en-AU"/>
              </w:rPr>
              <w:t>to reduce the impact of future shocks:</w:t>
            </w:r>
          </w:p>
          <w:p w14:paraId="484BF4BA" w14:textId="69A62AED" w:rsidR="00E2531C" w:rsidRPr="00E2531C" w:rsidRDefault="00E2531C" w:rsidP="00E2531C">
            <w:pPr>
              <w:pStyle w:val="ListParagraph"/>
              <w:numPr>
                <w:ilvl w:val="0"/>
                <w:numId w:val="41"/>
              </w:numPr>
              <w:rPr>
                <w:rFonts w:ascii="Garamond" w:hAnsi="Garamond"/>
                <w:lang w:val="en-AU"/>
              </w:rPr>
            </w:pPr>
            <w:r w:rsidRPr="00E2531C">
              <w:rPr>
                <w:rFonts w:ascii="Garamond" w:hAnsi="Garamond"/>
                <w:lang w:val="en-AU"/>
              </w:rPr>
              <w:t>Promote population health: vulnerable populations make for vulnerable health systems</w:t>
            </w:r>
          </w:p>
          <w:p w14:paraId="24F84CB4" w14:textId="2478F8C7" w:rsidR="00E2531C" w:rsidRPr="00E2531C" w:rsidRDefault="00E2531C" w:rsidP="00E2531C">
            <w:pPr>
              <w:pStyle w:val="ListParagraph"/>
              <w:numPr>
                <w:ilvl w:val="0"/>
                <w:numId w:val="41"/>
              </w:numPr>
              <w:rPr>
                <w:rFonts w:ascii="Garamond" w:hAnsi="Garamond"/>
                <w:lang w:val="en-AU"/>
              </w:rPr>
            </w:pPr>
            <w:r w:rsidRPr="00E2531C">
              <w:rPr>
                <w:rFonts w:ascii="Garamond" w:hAnsi="Garamond"/>
                <w:lang w:val="en-AU"/>
              </w:rPr>
              <w:t>Promote workforce retention and recruitment: people are the key to making systems resilient</w:t>
            </w:r>
          </w:p>
          <w:p w14:paraId="64A353A7" w14:textId="46A09B61" w:rsidR="00E2531C" w:rsidRPr="00E2531C" w:rsidRDefault="00E2531C" w:rsidP="00E2531C">
            <w:pPr>
              <w:pStyle w:val="ListParagraph"/>
              <w:numPr>
                <w:ilvl w:val="0"/>
                <w:numId w:val="41"/>
              </w:numPr>
              <w:rPr>
                <w:rFonts w:ascii="Garamond" w:hAnsi="Garamond"/>
                <w:lang w:val="en-AU"/>
              </w:rPr>
            </w:pPr>
            <w:r w:rsidRPr="00E2531C">
              <w:rPr>
                <w:rFonts w:ascii="Garamond" w:hAnsi="Garamond"/>
                <w:lang w:val="en-AU"/>
              </w:rPr>
              <w:t>Promote data collection and use: without the right data, decision makers are flying blind</w:t>
            </w:r>
          </w:p>
          <w:p w14:paraId="68CD2BB2" w14:textId="3262823D" w:rsidR="00E2531C" w:rsidRPr="00E2531C" w:rsidRDefault="00E2531C" w:rsidP="00E2531C">
            <w:pPr>
              <w:pStyle w:val="ListParagraph"/>
              <w:numPr>
                <w:ilvl w:val="0"/>
                <w:numId w:val="41"/>
              </w:numPr>
              <w:rPr>
                <w:rFonts w:ascii="Garamond" w:hAnsi="Garamond"/>
                <w:lang w:val="en-AU"/>
              </w:rPr>
            </w:pPr>
            <w:r w:rsidRPr="00E2531C">
              <w:rPr>
                <w:rFonts w:ascii="Garamond" w:hAnsi="Garamond"/>
                <w:lang w:val="en-AU"/>
              </w:rPr>
              <w:t>Promote international co-operation: responses are better together than alone</w:t>
            </w:r>
          </w:p>
          <w:p w14:paraId="22123970" w14:textId="7A052CB7" w:rsidR="00E2531C" w:rsidRPr="00E2531C" w:rsidRDefault="00E2531C" w:rsidP="00E2531C">
            <w:pPr>
              <w:pStyle w:val="ListParagraph"/>
              <w:numPr>
                <w:ilvl w:val="0"/>
                <w:numId w:val="41"/>
              </w:numPr>
              <w:rPr>
                <w:rFonts w:ascii="Garamond" w:hAnsi="Garamond"/>
                <w:lang w:val="en-AU"/>
              </w:rPr>
            </w:pPr>
            <w:r w:rsidRPr="00E2531C">
              <w:rPr>
                <w:rFonts w:ascii="Garamond" w:hAnsi="Garamond"/>
                <w:lang w:val="en-AU"/>
              </w:rPr>
              <w:t>Promote supply chain resilience: getting products and services when and where they are needed</w:t>
            </w:r>
          </w:p>
          <w:p w14:paraId="17411BB8" w14:textId="6CFC6CCC" w:rsidR="00D03948" w:rsidRPr="00E2531C" w:rsidRDefault="00E2531C" w:rsidP="00E2531C">
            <w:pPr>
              <w:pStyle w:val="ListParagraph"/>
              <w:numPr>
                <w:ilvl w:val="0"/>
                <w:numId w:val="41"/>
              </w:numPr>
              <w:rPr>
                <w:rFonts w:ascii="Garamond" w:hAnsi="Garamond"/>
                <w:lang w:val="en-AU"/>
              </w:rPr>
            </w:pPr>
            <w:r w:rsidRPr="00E2531C">
              <w:rPr>
                <w:rFonts w:ascii="Garamond" w:hAnsi="Garamond"/>
                <w:lang w:val="en-AU"/>
              </w:rPr>
              <w:t>Promote governance and trust: without trust, whole-of-society responses are less effective.</w:t>
            </w:r>
          </w:p>
        </w:tc>
      </w:tr>
    </w:tbl>
    <w:p w14:paraId="6EBDD355" w14:textId="77777777" w:rsidR="00D03948" w:rsidRDefault="00D03948" w:rsidP="00D03948">
      <w:pPr>
        <w:keepLines/>
        <w:autoSpaceDE w:val="0"/>
        <w:autoSpaceDN w:val="0"/>
        <w:adjustRightInd w:val="0"/>
        <w:rPr>
          <w:rFonts w:ascii="Garamond" w:hAnsi="Garamond"/>
          <w:lang w:val="en-AU"/>
        </w:rPr>
      </w:pPr>
    </w:p>
    <w:p w14:paraId="68CA017A" w14:textId="77777777" w:rsidR="005D16B6" w:rsidRPr="005D16B6" w:rsidRDefault="005D16B6" w:rsidP="00CA1410">
      <w:pPr>
        <w:keepNext/>
        <w:keepLines/>
        <w:autoSpaceDE w:val="0"/>
        <w:autoSpaceDN w:val="0"/>
        <w:adjustRightInd w:val="0"/>
        <w:rPr>
          <w:rFonts w:ascii="Garamond" w:hAnsi="Garamond"/>
          <w:i/>
          <w:iCs/>
          <w:lang w:val="en-AU"/>
        </w:rPr>
      </w:pPr>
      <w:r w:rsidRPr="005D16B6">
        <w:rPr>
          <w:rFonts w:ascii="Garamond" w:hAnsi="Garamond"/>
          <w:i/>
          <w:iCs/>
          <w:lang w:val="en-AU"/>
        </w:rPr>
        <w:lastRenderedPageBreak/>
        <w:t>Digital maturity models for primary health care</w:t>
      </w:r>
    </w:p>
    <w:p w14:paraId="28A7A53A" w14:textId="77777777" w:rsidR="005D16B6" w:rsidRDefault="005D16B6" w:rsidP="00CA1410">
      <w:pPr>
        <w:keepNext/>
        <w:keepLines/>
        <w:autoSpaceDE w:val="0"/>
        <w:autoSpaceDN w:val="0"/>
        <w:adjustRightInd w:val="0"/>
        <w:rPr>
          <w:rFonts w:ascii="Garamond" w:hAnsi="Garamond"/>
          <w:lang w:val="en-AU"/>
        </w:rPr>
      </w:pPr>
      <w:r w:rsidRPr="005D16B6">
        <w:rPr>
          <w:rFonts w:ascii="Garamond" w:hAnsi="Garamond"/>
          <w:lang w:val="en-AU"/>
        </w:rPr>
        <w:t>Deeble Institute Perspectives Brief No. 26</w:t>
      </w:r>
    </w:p>
    <w:p w14:paraId="2EB38530" w14:textId="77777777" w:rsidR="005D16B6" w:rsidRDefault="005D16B6" w:rsidP="00CA1410">
      <w:pPr>
        <w:keepNext/>
        <w:keepLines/>
        <w:autoSpaceDE w:val="0"/>
        <w:autoSpaceDN w:val="0"/>
        <w:adjustRightInd w:val="0"/>
        <w:rPr>
          <w:rFonts w:ascii="Garamond" w:hAnsi="Garamond"/>
          <w:lang w:val="en-AU"/>
        </w:rPr>
      </w:pPr>
      <w:r w:rsidRPr="005D16B6">
        <w:rPr>
          <w:rFonts w:ascii="Garamond" w:hAnsi="Garamond"/>
          <w:lang w:val="en-AU"/>
        </w:rPr>
        <w:t>Reddy S, Nguyen L, Cooper P, Huggins K, Ugalde A, Peeters A, et al</w:t>
      </w:r>
    </w:p>
    <w:p w14:paraId="03615D7E" w14:textId="0E653B05" w:rsidR="00D03948" w:rsidRDefault="005D16B6" w:rsidP="00CA1410">
      <w:pPr>
        <w:keepNext/>
        <w:keepLines/>
        <w:autoSpaceDE w:val="0"/>
        <w:autoSpaceDN w:val="0"/>
        <w:adjustRightInd w:val="0"/>
        <w:rPr>
          <w:rFonts w:ascii="Garamond" w:hAnsi="Garamond"/>
          <w:lang w:val="en-AU"/>
        </w:rPr>
      </w:pPr>
      <w:r w:rsidRPr="005D16B6">
        <w:rPr>
          <w:rFonts w:ascii="Garamond" w:hAnsi="Garamond"/>
          <w:lang w:val="en-AU"/>
        </w:rPr>
        <w:t>Canberra: Australian Healthcare and Hospitals Association; 2023. p. 20.</w:t>
      </w:r>
    </w:p>
    <w:tbl>
      <w:tblPr>
        <w:tblStyle w:val="TableGrid"/>
        <w:tblW w:w="9360" w:type="dxa"/>
        <w:tblInd w:w="288" w:type="dxa"/>
        <w:tblLayout w:type="fixed"/>
        <w:tblLook w:val="01E0" w:firstRow="1" w:lastRow="1" w:firstColumn="1" w:lastColumn="1" w:noHBand="0" w:noVBand="0"/>
      </w:tblPr>
      <w:tblGrid>
        <w:gridCol w:w="1080"/>
        <w:gridCol w:w="8280"/>
      </w:tblGrid>
      <w:tr w:rsidR="00D03948" w:rsidRPr="000170DA" w14:paraId="429E700F"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494C56C2" w14:textId="46E23A57" w:rsidR="00D03948" w:rsidRPr="000170DA" w:rsidRDefault="005D16B6" w:rsidP="00B1621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A91BDC" w14:textId="74DC7703" w:rsidR="00D03948" w:rsidRPr="000170DA" w:rsidRDefault="00460C14" w:rsidP="00B1621B">
            <w:pPr>
              <w:keepNext/>
              <w:rPr>
                <w:rStyle w:val="Hyperlink"/>
                <w:rFonts w:ascii="Garamond" w:hAnsi="Garamond"/>
                <w:color w:val="auto"/>
                <w:u w:val="none"/>
                <w:lang w:val="en-AU"/>
              </w:rPr>
            </w:pPr>
            <w:hyperlink r:id="rId19" w:history="1">
              <w:r w:rsidR="005D16B6" w:rsidRPr="00A77568">
                <w:rPr>
                  <w:rStyle w:val="Hyperlink"/>
                  <w:rFonts w:ascii="Garamond" w:hAnsi="Garamond"/>
                  <w:lang w:val="en-AU"/>
                </w:rPr>
                <w:t>https://ahha.asn.au/sites/default/files/docs/policy-issue/perspectives_brief_no_26_digital_maturity_models.pdf</w:t>
              </w:r>
            </w:hyperlink>
          </w:p>
        </w:tc>
      </w:tr>
      <w:tr w:rsidR="00D03948" w:rsidRPr="000170DA" w14:paraId="55D4139C"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533DBE93" w14:textId="77777777" w:rsidR="00D03948" w:rsidRPr="000170DA" w:rsidRDefault="00D03948" w:rsidP="00B1621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C4E00D" w14:textId="32F2FB1D" w:rsidR="00D03948" w:rsidRPr="00D0490E" w:rsidRDefault="005D16B6" w:rsidP="00224595">
            <w:pPr>
              <w:rPr>
                <w:rFonts w:ascii="Garamond" w:hAnsi="Garamond"/>
                <w:lang w:val="en-AU"/>
              </w:rPr>
            </w:pPr>
            <w:r w:rsidRPr="005D16B6">
              <w:rPr>
                <w:rFonts w:ascii="Garamond" w:hAnsi="Garamond"/>
                <w:lang w:val="en-AU"/>
              </w:rPr>
              <w:t xml:space="preserve">This </w:t>
            </w:r>
            <w:r>
              <w:rPr>
                <w:rFonts w:ascii="Garamond" w:hAnsi="Garamond"/>
                <w:lang w:val="en-AU"/>
              </w:rPr>
              <w:t xml:space="preserve">perspectives </w:t>
            </w:r>
            <w:r w:rsidRPr="005D16B6">
              <w:rPr>
                <w:rFonts w:ascii="Garamond" w:hAnsi="Garamond"/>
                <w:lang w:val="en-AU"/>
              </w:rPr>
              <w:t>brief from the Australian Healthcare and Hospitals Association’s Deeble Institute</w:t>
            </w:r>
            <w:r>
              <w:rPr>
                <w:rFonts w:ascii="Garamond" w:hAnsi="Garamond"/>
                <w:lang w:val="en-AU"/>
              </w:rPr>
              <w:t xml:space="preserve"> </w:t>
            </w:r>
            <w:r w:rsidR="00224595">
              <w:rPr>
                <w:rFonts w:ascii="Garamond" w:hAnsi="Garamond"/>
                <w:lang w:val="en-AU"/>
              </w:rPr>
              <w:t>looks at ways of assessing the digital maturity of primary health care providers. The authors examine a couple of existing digital maturity assessment tools and also ‘</w:t>
            </w:r>
            <w:r w:rsidR="00224595" w:rsidRPr="00224595">
              <w:rPr>
                <w:rFonts w:ascii="Garamond" w:hAnsi="Garamond"/>
                <w:lang w:val="en-AU"/>
              </w:rPr>
              <w:t>a new model, the Digital</w:t>
            </w:r>
            <w:r w:rsidR="00224595">
              <w:rPr>
                <w:rFonts w:ascii="Garamond" w:hAnsi="Garamond"/>
                <w:lang w:val="en-AU"/>
              </w:rPr>
              <w:t xml:space="preserve"> </w:t>
            </w:r>
            <w:r w:rsidR="00224595" w:rsidRPr="00224595">
              <w:rPr>
                <w:rFonts w:ascii="Garamond" w:hAnsi="Garamond"/>
                <w:lang w:val="en-AU"/>
              </w:rPr>
              <w:t>Maturity Assessment of Primary Care Providers</w:t>
            </w:r>
            <w:r w:rsidR="00224595">
              <w:rPr>
                <w:rFonts w:ascii="Garamond" w:hAnsi="Garamond"/>
                <w:lang w:val="en-AU"/>
              </w:rPr>
              <w:t xml:space="preserve"> </w:t>
            </w:r>
            <w:r w:rsidR="00224595" w:rsidRPr="00224595">
              <w:rPr>
                <w:rFonts w:ascii="Garamond" w:hAnsi="Garamond"/>
                <w:lang w:val="en-AU"/>
              </w:rPr>
              <w:t>(DMAPP)</w:t>
            </w:r>
            <w:r w:rsidR="00224595">
              <w:rPr>
                <w:rFonts w:ascii="Garamond" w:hAnsi="Garamond"/>
                <w:lang w:val="en-AU"/>
              </w:rPr>
              <w:t>’.</w:t>
            </w:r>
          </w:p>
        </w:tc>
      </w:tr>
    </w:tbl>
    <w:p w14:paraId="44012D0D" w14:textId="77777777" w:rsidR="00D03948" w:rsidRDefault="00D03948" w:rsidP="00D03948">
      <w:pPr>
        <w:keepLines/>
        <w:autoSpaceDE w:val="0"/>
        <w:autoSpaceDN w:val="0"/>
        <w:adjustRightInd w:val="0"/>
        <w:rPr>
          <w:rFonts w:ascii="Garamond" w:hAnsi="Garamond"/>
          <w:lang w:val="en-AU"/>
        </w:rPr>
      </w:pPr>
    </w:p>
    <w:p w14:paraId="5A0EE43B" w14:textId="77777777" w:rsidR="00252617" w:rsidRDefault="00252617" w:rsidP="00252617">
      <w:pPr>
        <w:keepNext/>
        <w:rPr>
          <w:rFonts w:ascii="Garamond" w:hAnsi="Garamond"/>
          <w:i/>
          <w:lang w:val="en-AU"/>
        </w:rPr>
      </w:pPr>
      <w:r>
        <w:rPr>
          <w:rFonts w:ascii="Garamond" w:hAnsi="Garamond"/>
          <w:i/>
          <w:lang w:val="en-AU"/>
        </w:rPr>
        <w:t>BMJ Quality &amp; Safety</w:t>
      </w:r>
    </w:p>
    <w:p w14:paraId="085689B2" w14:textId="6EAE577C" w:rsidR="00252617" w:rsidRPr="00D65371" w:rsidRDefault="00252617" w:rsidP="00252617">
      <w:pPr>
        <w:keepNext/>
        <w:rPr>
          <w:rFonts w:ascii="Garamond" w:hAnsi="Garamond"/>
          <w:lang w:val="en-AU"/>
        </w:rPr>
      </w:pPr>
      <w:r>
        <w:rPr>
          <w:rFonts w:ascii="Garamond" w:hAnsi="Garamond"/>
          <w:lang w:val="en-AU"/>
        </w:rPr>
        <w:t>February 2023 Volume 32 Issue 3</w:t>
      </w:r>
    </w:p>
    <w:tbl>
      <w:tblPr>
        <w:tblStyle w:val="TableGrid"/>
        <w:tblW w:w="9360" w:type="dxa"/>
        <w:tblInd w:w="288" w:type="dxa"/>
        <w:tblLayout w:type="fixed"/>
        <w:tblLook w:val="01E0" w:firstRow="1" w:lastRow="1" w:firstColumn="1" w:lastColumn="1" w:noHBand="0" w:noVBand="0"/>
      </w:tblPr>
      <w:tblGrid>
        <w:gridCol w:w="1080"/>
        <w:gridCol w:w="8280"/>
      </w:tblGrid>
      <w:tr w:rsidR="00252617" w:rsidRPr="000170DA" w14:paraId="7B4501ED" w14:textId="77777777" w:rsidTr="009B2BC8">
        <w:tc>
          <w:tcPr>
            <w:tcW w:w="1080" w:type="dxa"/>
            <w:tcBorders>
              <w:top w:val="single" w:sz="4" w:space="0" w:color="auto"/>
              <w:left w:val="single" w:sz="4" w:space="0" w:color="auto"/>
              <w:bottom w:val="single" w:sz="4" w:space="0" w:color="auto"/>
              <w:right w:val="single" w:sz="4" w:space="0" w:color="auto"/>
            </w:tcBorders>
            <w:vAlign w:val="center"/>
          </w:tcPr>
          <w:p w14:paraId="7AED3878" w14:textId="77777777" w:rsidR="00252617" w:rsidRPr="000170DA" w:rsidRDefault="00252617" w:rsidP="009B2BC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99C4661" w14:textId="30FC7DBA" w:rsidR="00252617" w:rsidRPr="000170DA" w:rsidRDefault="00460C14" w:rsidP="009B2BC8">
            <w:pPr>
              <w:keepNext/>
              <w:rPr>
                <w:rStyle w:val="Hyperlink"/>
                <w:rFonts w:ascii="Garamond" w:hAnsi="Garamond"/>
                <w:color w:val="auto"/>
                <w:u w:val="none"/>
                <w:lang w:val="en-AU"/>
              </w:rPr>
            </w:pPr>
            <w:hyperlink r:id="rId20" w:history="1">
              <w:r w:rsidR="00252617" w:rsidRPr="00F41673">
                <w:rPr>
                  <w:rStyle w:val="Hyperlink"/>
                  <w:rFonts w:ascii="Garamond" w:hAnsi="Garamond"/>
                  <w:lang w:val="en-AU"/>
                </w:rPr>
                <w:t>https://qualitysafety.bmj.com/content/32/3</w:t>
              </w:r>
            </w:hyperlink>
          </w:p>
        </w:tc>
      </w:tr>
      <w:tr w:rsidR="00252617" w:rsidRPr="000170DA" w14:paraId="129DB98B" w14:textId="77777777" w:rsidTr="009B2BC8">
        <w:tc>
          <w:tcPr>
            <w:tcW w:w="1080" w:type="dxa"/>
            <w:tcBorders>
              <w:top w:val="single" w:sz="4" w:space="0" w:color="auto"/>
              <w:left w:val="single" w:sz="4" w:space="0" w:color="auto"/>
              <w:bottom w:val="single" w:sz="4" w:space="0" w:color="auto"/>
              <w:right w:val="single" w:sz="4" w:space="0" w:color="auto"/>
            </w:tcBorders>
            <w:vAlign w:val="center"/>
          </w:tcPr>
          <w:p w14:paraId="2167E9B2" w14:textId="77777777" w:rsidR="00252617" w:rsidRPr="000170DA" w:rsidRDefault="00252617" w:rsidP="009B2BC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A7D0A3D" w14:textId="77777777" w:rsidR="00252617" w:rsidRPr="007C3778" w:rsidRDefault="00252617" w:rsidP="009B2BC8">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7D01C2A8" w14:textId="72DCF4EF" w:rsidR="00252617" w:rsidRPr="00252617" w:rsidRDefault="00252617" w:rsidP="003123D4">
            <w:pPr>
              <w:pStyle w:val="ListParagraph"/>
              <w:numPr>
                <w:ilvl w:val="0"/>
                <w:numId w:val="17"/>
              </w:numPr>
              <w:rPr>
                <w:rFonts w:ascii="Garamond" w:hAnsi="Garamond"/>
                <w:lang w:val="en-AU"/>
              </w:rPr>
            </w:pPr>
            <w:r w:rsidRPr="00252617">
              <w:rPr>
                <w:rFonts w:ascii="Garamond" w:hAnsi="Garamond"/>
                <w:lang w:val="en-AU"/>
              </w:rPr>
              <w:t xml:space="preserve">Editorial: </w:t>
            </w:r>
            <w:r w:rsidRPr="00252617">
              <w:rPr>
                <w:rFonts w:ascii="Garamond" w:hAnsi="Garamond"/>
                <w:b/>
                <w:bCs/>
                <w:lang w:val="en-AU"/>
              </w:rPr>
              <w:t>Polypharmacy and continuity of care</w:t>
            </w:r>
            <w:r w:rsidRPr="00252617">
              <w:rPr>
                <w:rFonts w:ascii="Garamond" w:hAnsi="Garamond"/>
                <w:lang w:val="en-AU"/>
              </w:rPr>
              <w:t>: medicines optimisation in the era of multidisciplinary teams (Carolyn Tarrant, Rachel Lewis, Natalie Armstrong</w:t>
            </w:r>
            <w:r>
              <w:rPr>
                <w:rFonts w:ascii="Garamond" w:hAnsi="Garamond"/>
                <w:lang w:val="en-AU"/>
              </w:rPr>
              <w:t>)</w:t>
            </w:r>
          </w:p>
          <w:p w14:paraId="536E5845" w14:textId="61AC74F3" w:rsidR="00252617" w:rsidRPr="00252617" w:rsidRDefault="00252617" w:rsidP="005C0E10">
            <w:pPr>
              <w:pStyle w:val="ListParagraph"/>
              <w:numPr>
                <w:ilvl w:val="0"/>
                <w:numId w:val="17"/>
              </w:numPr>
              <w:rPr>
                <w:rFonts w:ascii="Garamond" w:hAnsi="Garamond"/>
                <w:lang w:val="en-AU"/>
              </w:rPr>
            </w:pPr>
            <w:r w:rsidRPr="00252617">
              <w:rPr>
                <w:rFonts w:ascii="Garamond" w:hAnsi="Garamond"/>
                <w:lang w:val="en-AU"/>
              </w:rPr>
              <w:t xml:space="preserve">Editorial: </w:t>
            </w:r>
            <w:r w:rsidRPr="00252617">
              <w:rPr>
                <w:rFonts w:ascii="Garamond" w:hAnsi="Garamond"/>
                <w:b/>
                <w:bCs/>
                <w:lang w:val="en-AU"/>
              </w:rPr>
              <w:t>The debrief imperative:</w:t>
            </w:r>
            <w:r w:rsidRPr="00252617">
              <w:rPr>
                <w:rFonts w:ascii="Garamond" w:hAnsi="Garamond"/>
                <w:lang w:val="en-AU"/>
              </w:rPr>
              <w:t xml:space="preserve"> building teaming competencies and team effectiveness (Scott I Tannenbaum, Philip E Greilich</w:t>
            </w:r>
            <w:r>
              <w:rPr>
                <w:rFonts w:ascii="Garamond" w:hAnsi="Garamond"/>
                <w:lang w:val="en-AU"/>
              </w:rPr>
              <w:t>)</w:t>
            </w:r>
          </w:p>
          <w:p w14:paraId="5DF947F4" w14:textId="3D13D8EB" w:rsidR="00252617" w:rsidRPr="00252617" w:rsidRDefault="00252617" w:rsidP="00067509">
            <w:pPr>
              <w:pStyle w:val="ListParagraph"/>
              <w:numPr>
                <w:ilvl w:val="0"/>
                <w:numId w:val="17"/>
              </w:numPr>
              <w:rPr>
                <w:rFonts w:ascii="Garamond" w:hAnsi="Garamond"/>
                <w:lang w:val="en-AU"/>
              </w:rPr>
            </w:pPr>
            <w:r w:rsidRPr="00252617">
              <w:rPr>
                <w:rFonts w:ascii="Garamond" w:hAnsi="Garamond"/>
                <w:lang w:val="en-AU"/>
              </w:rPr>
              <w:t xml:space="preserve">Beyond the equity project: grounding </w:t>
            </w:r>
            <w:r w:rsidRPr="00252617">
              <w:rPr>
                <w:rFonts w:ascii="Garamond" w:hAnsi="Garamond"/>
                <w:b/>
                <w:bCs/>
                <w:lang w:val="en-AU"/>
              </w:rPr>
              <w:t>equity in all quality improvement efforts</w:t>
            </w:r>
            <w:r w:rsidRPr="00252617">
              <w:rPr>
                <w:rFonts w:ascii="Garamond" w:hAnsi="Garamond"/>
                <w:lang w:val="en-AU"/>
              </w:rPr>
              <w:t xml:space="preserve"> (Wiljeana Glover, Tim Vogus</w:t>
            </w:r>
            <w:r>
              <w:rPr>
                <w:rFonts w:ascii="Garamond" w:hAnsi="Garamond"/>
                <w:lang w:val="en-AU"/>
              </w:rPr>
              <w:t>)</w:t>
            </w:r>
          </w:p>
          <w:p w14:paraId="1DDCE506" w14:textId="3AFF6DBF" w:rsidR="00252617" w:rsidRPr="00252617" w:rsidRDefault="00252617" w:rsidP="00846A1F">
            <w:pPr>
              <w:pStyle w:val="ListParagraph"/>
              <w:numPr>
                <w:ilvl w:val="0"/>
                <w:numId w:val="17"/>
              </w:numPr>
              <w:rPr>
                <w:rFonts w:ascii="Garamond" w:hAnsi="Garamond"/>
                <w:lang w:val="en-AU"/>
              </w:rPr>
            </w:pPr>
            <w:r w:rsidRPr="00252617">
              <w:rPr>
                <w:rFonts w:ascii="Garamond" w:hAnsi="Garamond"/>
                <w:lang w:val="en-AU"/>
              </w:rPr>
              <w:t xml:space="preserve">Incidence and characteristics of </w:t>
            </w:r>
            <w:r w:rsidRPr="00252617">
              <w:rPr>
                <w:rFonts w:ascii="Garamond" w:hAnsi="Garamond"/>
                <w:b/>
                <w:bCs/>
                <w:lang w:val="en-AU"/>
              </w:rPr>
              <w:t>adverse events in paediatric inpatient care</w:t>
            </w:r>
            <w:r w:rsidRPr="00252617">
              <w:rPr>
                <w:rFonts w:ascii="Garamond" w:hAnsi="Garamond"/>
                <w:lang w:val="en-AU"/>
              </w:rPr>
              <w:t>: a systematic review and meta-analysis (Pernilla Dillner, Luisa C Eggenschwiler, Anne W S Rutjes, Lena Berg, Sarah N Musy, Michael Simon, Giusi Moffa, Ulrika Förberg, Maria Unbeck</w:t>
            </w:r>
            <w:r>
              <w:rPr>
                <w:rFonts w:ascii="Garamond" w:hAnsi="Garamond"/>
                <w:lang w:val="en-AU"/>
              </w:rPr>
              <w:t>)</w:t>
            </w:r>
          </w:p>
          <w:p w14:paraId="10CBBF8E" w14:textId="2A4973E4" w:rsidR="00252617" w:rsidRPr="00252617" w:rsidRDefault="00252617" w:rsidP="00D92072">
            <w:pPr>
              <w:pStyle w:val="ListParagraph"/>
              <w:numPr>
                <w:ilvl w:val="0"/>
                <w:numId w:val="17"/>
              </w:numPr>
              <w:rPr>
                <w:rFonts w:ascii="Garamond" w:hAnsi="Garamond"/>
                <w:lang w:val="en-AU"/>
              </w:rPr>
            </w:pPr>
            <w:r w:rsidRPr="00252617">
              <w:rPr>
                <w:rFonts w:ascii="Garamond" w:hAnsi="Garamond"/>
                <w:b/>
                <w:bCs/>
                <w:lang w:val="en-AU"/>
              </w:rPr>
              <w:t>Negotiating the polypharmacy paradox</w:t>
            </w:r>
            <w:r w:rsidRPr="00252617">
              <w:rPr>
                <w:rFonts w:ascii="Garamond" w:hAnsi="Garamond"/>
                <w:lang w:val="en-AU"/>
              </w:rPr>
              <w:t>: a video-reflexive ethnography study of polypharmacy and its practices in primary care (Deborah Swinglehurst, Lucie Hogger, Nina Fudge</w:t>
            </w:r>
            <w:r>
              <w:rPr>
                <w:rFonts w:ascii="Garamond" w:hAnsi="Garamond"/>
                <w:lang w:val="en-AU"/>
              </w:rPr>
              <w:t>)</w:t>
            </w:r>
          </w:p>
          <w:p w14:paraId="1DF32581" w14:textId="1326B551" w:rsidR="00252617" w:rsidRPr="00252617" w:rsidRDefault="00252617" w:rsidP="008F0D7A">
            <w:pPr>
              <w:pStyle w:val="ListParagraph"/>
              <w:numPr>
                <w:ilvl w:val="0"/>
                <w:numId w:val="17"/>
              </w:numPr>
              <w:rPr>
                <w:rFonts w:ascii="Garamond" w:hAnsi="Garamond"/>
                <w:lang w:val="en-AU"/>
              </w:rPr>
            </w:pPr>
            <w:r w:rsidRPr="00252617">
              <w:rPr>
                <w:rFonts w:ascii="Garamond" w:hAnsi="Garamond"/>
                <w:lang w:val="en-AU"/>
              </w:rPr>
              <w:t xml:space="preserve">Helping </w:t>
            </w:r>
            <w:r w:rsidRPr="00252617">
              <w:rPr>
                <w:rFonts w:ascii="Garamond" w:hAnsi="Garamond"/>
                <w:b/>
                <w:bCs/>
                <w:lang w:val="en-AU"/>
              </w:rPr>
              <w:t>healthcare teams to debrief effectively</w:t>
            </w:r>
            <w:r w:rsidRPr="00252617">
              <w:rPr>
                <w:rFonts w:ascii="Garamond" w:hAnsi="Garamond"/>
                <w:lang w:val="en-AU"/>
              </w:rPr>
              <w:t>: associations of debriefers’ actions and participants’ reflections during team debriefings (Michaela Kolbe, Bastian Grande, Nale Lehmann-Willenbrock, Julia Carolin Seelandt</w:t>
            </w:r>
            <w:r>
              <w:rPr>
                <w:rFonts w:ascii="Garamond" w:hAnsi="Garamond"/>
                <w:lang w:val="en-AU"/>
              </w:rPr>
              <w:t>)</w:t>
            </w:r>
          </w:p>
          <w:p w14:paraId="4CC3E7BA" w14:textId="4C2C1D03" w:rsidR="00252617" w:rsidRPr="00292B57" w:rsidRDefault="00252617" w:rsidP="00252617">
            <w:pPr>
              <w:pStyle w:val="ListParagraph"/>
              <w:numPr>
                <w:ilvl w:val="0"/>
                <w:numId w:val="17"/>
              </w:numPr>
              <w:rPr>
                <w:rFonts w:ascii="Garamond" w:hAnsi="Garamond"/>
                <w:lang w:val="en-AU"/>
              </w:rPr>
            </w:pPr>
            <w:r w:rsidRPr="00252617">
              <w:rPr>
                <w:rFonts w:ascii="Garamond" w:hAnsi="Garamond"/>
                <w:lang w:val="en-AU"/>
              </w:rPr>
              <w:t xml:space="preserve">Grand rounds in methodology: when are </w:t>
            </w:r>
            <w:r w:rsidRPr="00252617">
              <w:rPr>
                <w:rFonts w:ascii="Garamond" w:hAnsi="Garamond"/>
                <w:b/>
                <w:bCs/>
                <w:lang w:val="en-AU"/>
              </w:rPr>
              <w:t>realist reviews</w:t>
            </w:r>
            <w:r w:rsidRPr="00252617">
              <w:rPr>
                <w:rFonts w:ascii="Garamond" w:hAnsi="Garamond"/>
                <w:lang w:val="en-AU"/>
              </w:rPr>
              <w:t xml:space="preserve"> useful, and what does a ‘good’ realist review look like? (Claire Duddy, Geoff Wong</w:t>
            </w:r>
            <w:r>
              <w:rPr>
                <w:rFonts w:ascii="Garamond" w:hAnsi="Garamond"/>
                <w:lang w:val="en-AU"/>
              </w:rPr>
              <w:t>)</w:t>
            </w:r>
          </w:p>
        </w:tc>
      </w:tr>
    </w:tbl>
    <w:p w14:paraId="396F8056" w14:textId="77777777" w:rsidR="00252617" w:rsidRDefault="00252617" w:rsidP="0051468F">
      <w:pPr>
        <w:keepLines/>
        <w:autoSpaceDE w:val="0"/>
        <w:autoSpaceDN w:val="0"/>
        <w:adjustRightInd w:val="0"/>
        <w:rPr>
          <w:rFonts w:ascii="Garamond" w:hAnsi="Garamond"/>
          <w:i/>
          <w:iCs/>
          <w:lang w:val="en-AU"/>
        </w:rPr>
      </w:pPr>
    </w:p>
    <w:p w14:paraId="7A242F36" w14:textId="77777777" w:rsidR="004D73CF" w:rsidRDefault="004D73CF" w:rsidP="004D73CF">
      <w:pPr>
        <w:keepLines/>
        <w:autoSpaceDE w:val="0"/>
        <w:autoSpaceDN w:val="0"/>
        <w:adjustRightInd w:val="0"/>
        <w:rPr>
          <w:rFonts w:ascii="Garamond" w:hAnsi="Garamond"/>
          <w:lang w:val="en-AU"/>
        </w:rPr>
      </w:pPr>
      <w:r w:rsidRPr="004D73CF">
        <w:rPr>
          <w:rFonts w:ascii="Garamond" w:hAnsi="Garamond"/>
          <w:i/>
          <w:iCs/>
          <w:lang w:val="en-AU"/>
        </w:rPr>
        <w:t>Journal of Patient Safety and Risk Management</w:t>
      </w:r>
    </w:p>
    <w:p w14:paraId="4A65EBE5" w14:textId="7C73C917" w:rsidR="005E4A15" w:rsidRPr="006E6650" w:rsidRDefault="004D73CF" w:rsidP="005E4A15">
      <w:pPr>
        <w:keepLines/>
        <w:autoSpaceDE w:val="0"/>
        <w:autoSpaceDN w:val="0"/>
        <w:adjustRightInd w:val="0"/>
        <w:rPr>
          <w:rFonts w:ascii="Garamond" w:hAnsi="Garamond"/>
          <w:lang w:val="en-AU"/>
        </w:rPr>
      </w:pPr>
      <w:r w:rsidRPr="004D73CF">
        <w:rPr>
          <w:rFonts w:ascii="Garamond" w:hAnsi="Garamond"/>
          <w:lang w:val="en-AU"/>
        </w:rPr>
        <w:t>Volume: 28, Number 1</w:t>
      </w:r>
      <w:r>
        <w:rPr>
          <w:rFonts w:ascii="Garamond" w:hAnsi="Garamond"/>
          <w:lang w:val="en-AU"/>
        </w:rPr>
        <w:t>,</w:t>
      </w:r>
      <w:r w:rsidRPr="004D73CF">
        <w:rPr>
          <w:rFonts w:ascii="Garamond" w:hAnsi="Garamond"/>
          <w:lang w:val="en-AU"/>
        </w:rPr>
        <w:t xml:space="preserve"> February 2023</w:t>
      </w:r>
    </w:p>
    <w:tbl>
      <w:tblPr>
        <w:tblStyle w:val="TableGrid"/>
        <w:tblW w:w="9360" w:type="dxa"/>
        <w:tblInd w:w="288" w:type="dxa"/>
        <w:tblLayout w:type="fixed"/>
        <w:tblLook w:val="01E0" w:firstRow="1" w:lastRow="1" w:firstColumn="1" w:lastColumn="1" w:noHBand="0" w:noVBand="0"/>
      </w:tblPr>
      <w:tblGrid>
        <w:gridCol w:w="1080"/>
        <w:gridCol w:w="8280"/>
      </w:tblGrid>
      <w:tr w:rsidR="005E4A15" w:rsidRPr="00E37911" w14:paraId="4D4E66A3"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4317822A" w14:textId="77777777" w:rsidR="005E4A15" w:rsidRPr="00E37911" w:rsidRDefault="005E4A15" w:rsidP="00A6355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7E95427" w14:textId="5EE93DBE" w:rsidR="005E4A15" w:rsidRPr="00E37911" w:rsidRDefault="00460C14" w:rsidP="00A6355B">
            <w:pPr>
              <w:rPr>
                <w:rStyle w:val="Hyperlink"/>
                <w:rFonts w:ascii="Garamond" w:hAnsi="Garamond"/>
                <w:color w:val="auto"/>
                <w:u w:val="none"/>
                <w:lang w:val="en-AU"/>
              </w:rPr>
            </w:pPr>
            <w:hyperlink r:id="rId21" w:history="1">
              <w:r w:rsidR="004D73CF" w:rsidRPr="00F41673">
                <w:rPr>
                  <w:rStyle w:val="Hyperlink"/>
                  <w:rFonts w:ascii="Garamond" w:hAnsi="Garamond"/>
                  <w:lang w:val="en-AU"/>
                </w:rPr>
                <w:t>https://journals.sagepub.com/toc/cric/28/1</w:t>
              </w:r>
            </w:hyperlink>
          </w:p>
        </w:tc>
      </w:tr>
      <w:tr w:rsidR="005E4A15" w:rsidRPr="00E37911" w14:paraId="73EB32CE"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53C44877" w14:textId="77777777" w:rsidR="005E4A15" w:rsidRPr="00E37911" w:rsidRDefault="005E4A15" w:rsidP="00A6355B">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C1CE17C" w14:textId="0784FFB1" w:rsidR="005E4A15" w:rsidRPr="007C3778" w:rsidRDefault="005E4A15" w:rsidP="00A6355B">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4D73CF" w:rsidRPr="004D73CF">
              <w:rPr>
                <w:rFonts w:ascii="Garamond" w:hAnsi="Garamond"/>
                <w:i/>
                <w:iCs/>
                <w:lang w:val="en-AU"/>
              </w:rPr>
              <w:t>Journal of Patient Safety and Risk Management</w:t>
            </w:r>
            <w:r w:rsidR="004D73CF">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the</w:t>
            </w:r>
            <w:r w:rsidRPr="00B440ED">
              <w:rPr>
                <w:rFonts w:ascii="Garamond" w:hAnsi="Garamond"/>
                <w:lang w:val="en-AU"/>
              </w:rPr>
              <w:t xml:space="preserve"> </w:t>
            </w:r>
            <w:r w:rsidR="004D73CF" w:rsidRPr="004D73CF">
              <w:rPr>
                <w:rFonts w:ascii="Garamond" w:hAnsi="Garamond"/>
                <w:i/>
                <w:iCs/>
                <w:lang w:val="en-AU"/>
              </w:rPr>
              <w:t>Journal of Patient Safety and Risk Management</w:t>
            </w:r>
            <w:r w:rsidR="004D73CF" w:rsidRPr="00B440ED">
              <w:rPr>
                <w:rFonts w:ascii="Garamond" w:hAnsi="Garamond"/>
                <w:lang w:val="en-AU"/>
              </w:rPr>
              <w:t xml:space="preserve"> </w:t>
            </w:r>
            <w:r w:rsidRPr="00B440ED">
              <w:rPr>
                <w:rFonts w:ascii="Garamond" w:hAnsi="Garamond"/>
                <w:lang w:val="en-AU"/>
              </w:rPr>
              <w:t>include:</w:t>
            </w:r>
          </w:p>
          <w:p w14:paraId="34F8F28E" w14:textId="78874E12" w:rsidR="004D73CF" w:rsidRPr="004D73CF" w:rsidRDefault="004D73CF" w:rsidP="00702694">
            <w:pPr>
              <w:pStyle w:val="ListParagraph"/>
              <w:numPr>
                <w:ilvl w:val="0"/>
                <w:numId w:val="21"/>
              </w:numPr>
              <w:rPr>
                <w:rFonts w:ascii="Garamond" w:hAnsi="Garamond"/>
                <w:lang w:val="en-AU"/>
              </w:rPr>
            </w:pPr>
            <w:r w:rsidRPr="004D73CF">
              <w:rPr>
                <w:rFonts w:ascii="Garamond" w:hAnsi="Garamond"/>
                <w:lang w:val="en-AU"/>
              </w:rPr>
              <w:t xml:space="preserve">Editorial: Getting better: </w:t>
            </w:r>
            <w:r w:rsidRPr="004D73CF">
              <w:rPr>
                <w:rFonts w:ascii="Garamond" w:hAnsi="Garamond"/>
                <w:b/>
                <w:bCs/>
                <w:lang w:val="en-AU"/>
              </w:rPr>
              <w:t>Staying ahead of the curve on patient safety</w:t>
            </w:r>
            <w:r w:rsidRPr="004D73CF">
              <w:rPr>
                <w:rFonts w:ascii="Garamond" w:hAnsi="Garamond"/>
                <w:lang w:val="en-AU"/>
              </w:rPr>
              <w:t xml:space="preserve"> (Albert W Wu</w:t>
            </w:r>
            <w:r>
              <w:rPr>
                <w:rFonts w:ascii="Garamond" w:hAnsi="Garamond"/>
                <w:lang w:val="en-AU"/>
              </w:rPr>
              <w:t>)</w:t>
            </w:r>
          </w:p>
          <w:p w14:paraId="48FEF80F" w14:textId="619D621D" w:rsidR="004D73CF" w:rsidRPr="004D73CF" w:rsidRDefault="004D73CF" w:rsidP="009E087D">
            <w:pPr>
              <w:pStyle w:val="ListParagraph"/>
              <w:numPr>
                <w:ilvl w:val="0"/>
                <w:numId w:val="21"/>
              </w:numPr>
              <w:rPr>
                <w:rFonts w:ascii="Garamond" w:hAnsi="Garamond"/>
                <w:lang w:val="en-AU"/>
              </w:rPr>
            </w:pPr>
            <w:r w:rsidRPr="004D73CF">
              <w:rPr>
                <w:rFonts w:ascii="Garamond" w:hAnsi="Garamond"/>
                <w:b/>
                <w:bCs/>
                <w:lang w:val="en-AU"/>
              </w:rPr>
              <w:t>Comparing caesarean birth rates</w:t>
            </w:r>
            <w:r w:rsidRPr="004D73CF">
              <w:rPr>
                <w:rFonts w:ascii="Garamond" w:hAnsi="Garamond"/>
                <w:lang w:val="en-AU"/>
              </w:rPr>
              <w:t>: An institutionalized habit that is hard to break (Pauline McDonagh Hull</w:t>
            </w:r>
            <w:r>
              <w:rPr>
                <w:rFonts w:ascii="Garamond" w:hAnsi="Garamond"/>
                <w:lang w:val="en-AU"/>
              </w:rPr>
              <w:t>)</w:t>
            </w:r>
          </w:p>
          <w:p w14:paraId="4687DB85" w14:textId="7B41F8CB" w:rsidR="004D73CF" w:rsidRPr="004D73CF" w:rsidRDefault="004D73CF" w:rsidP="00103818">
            <w:pPr>
              <w:pStyle w:val="ListParagraph"/>
              <w:numPr>
                <w:ilvl w:val="0"/>
                <w:numId w:val="21"/>
              </w:numPr>
              <w:rPr>
                <w:rFonts w:ascii="Garamond" w:hAnsi="Garamond"/>
                <w:lang w:val="en-AU"/>
              </w:rPr>
            </w:pPr>
            <w:r w:rsidRPr="004D73CF">
              <w:rPr>
                <w:rFonts w:ascii="Garamond" w:hAnsi="Garamond"/>
                <w:lang w:val="en-AU"/>
              </w:rPr>
              <w:t xml:space="preserve">Root cause analysis to identify major </w:t>
            </w:r>
            <w:r w:rsidRPr="004D73CF">
              <w:rPr>
                <w:rFonts w:ascii="Garamond" w:hAnsi="Garamond"/>
                <w:b/>
                <w:bCs/>
                <w:lang w:val="en-AU"/>
              </w:rPr>
              <w:t>barriers to the promotion of patient safety</w:t>
            </w:r>
            <w:r w:rsidRPr="004D73CF">
              <w:rPr>
                <w:rFonts w:ascii="Garamond" w:hAnsi="Garamond"/>
                <w:lang w:val="en-AU"/>
              </w:rPr>
              <w:t xml:space="preserve"> in Japan (Masaru Kurihara, Takashi Watari, Shintaro Kosaka, Kiichi Enomoto, Toru Kimura, Kaori Taniguchi</w:t>
            </w:r>
            <w:r>
              <w:rPr>
                <w:rFonts w:ascii="Garamond" w:hAnsi="Garamond"/>
                <w:lang w:val="en-AU"/>
              </w:rPr>
              <w:t>)</w:t>
            </w:r>
          </w:p>
          <w:p w14:paraId="38FDB18B" w14:textId="43BBB82E" w:rsidR="004D73CF" w:rsidRPr="004D73CF" w:rsidRDefault="004D73CF" w:rsidP="00577C36">
            <w:pPr>
              <w:pStyle w:val="ListParagraph"/>
              <w:numPr>
                <w:ilvl w:val="0"/>
                <w:numId w:val="21"/>
              </w:numPr>
              <w:rPr>
                <w:rFonts w:ascii="Garamond" w:hAnsi="Garamond"/>
                <w:lang w:val="en-AU"/>
              </w:rPr>
            </w:pPr>
            <w:r w:rsidRPr="004D73CF">
              <w:rPr>
                <w:rFonts w:ascii="Garamond" w:hAnsi="Garamond"/>
                <w:lang w:val="en-AU"/>
              </w:rPr>
              <w:lastRenderedPageBreak/>
              <w:t xml:space="preserve">Strengths and weaknesses of the </w:t>
            </w:r>
            <w:r w:rsidRPr="004D73CF">
              <w:rPr>
                <w:rFonts w:ascii="Garamond" w:hAnsi="Garamond"/>
                <w:b/>
                <w:bCs/>
                <w:lang w:val="en-AU"/>
              </w:rPr>
              <w:t>incident reporting system</w:t>
            </w:r>
            <w:r w:rsidRPr="004D73CF">
              <w:rPr>
                <w:rFonts w:ascii="Garamond" w:hAnsi="Garamond"/>
                <w:lang w:val="en-AU"/>
              </w:rPr>
              <w:t>: An Italian experience (Marcello Benevento, Simona Nicolì, Gabriele Mandarelli, Davide Ferorelli, Giancarlo Cicolini</w:t>
            </w:r>
            <w:r>
              <w:rPr>
                <w:rFonts w:ascii="Garamond" w:hAnsi="Garamond"/>
                <w:lang w:val="en-AU"/>
              </w:rPr>
              <w:t>)</w:t>
            </w:r>
          </w:p>
          <w:p w14:paraId="4884016F" w14:textId="38CC58E9" w:rsidR="004D73CF" w:rsidRPr="004D73CF" w:rsidRDefault="004D73CF" w:rsidP="00FA1225">
            <w:pPr>
              <w:pStyle w:val="ListParagraph"/>
              <w:numPr>
                <w:ilvl w:val="0"/>
                <w:numId w:val="21"/>
              </w:numPr>
              <w:rPr>
                <w:rFonts w:ascii="Garamond" w:hAnsi="Garamond"/>
                <w:lang w:val="en-AU"/>
              </w:rPr>
            </w:pPr>
            <w:r w:rsidRPr="004D73CF">
              <w:rPr>
                <w:rFonts w:ascii="Garamond" w:hAnsi="Garamond"/>
                <w:lang w:val="en-AU"/>
              </w:rPr>
              <w:t xml:space="preserve">Development of </w:t>
            </w:r>
            <w:r w:rsidRPr="004D73CF">
              <w:rPr>
                <w:rFonts w:ascii="Garamond" w:hAnsi="Garamond"/>
                <w:b/>
                <w:bCs/>
                <w:lang w:val="en-AU"/>
              </w:rPr>
              <w:t>risk inventory for hospitals in India</w:t>
            </w:r>
            <w:r w:rsidRPr="004D73CF">
              <w:rPr>
                <w:rFonts w:ascii="Garamond" w:hAnsi="Garamond"/>
                <w:lang w:val="en-AU"/>
              </w:rPr>
              <w:t xml:space="preserve"> (Joseph S Fidelis</w:t>
            </w:r>
            <w:r>
              <w:rPr>
                <w:rFonts w:ascii="Garamond" w:hAnsi="Garamond"/>
                <w:lang w:val="en-AU"/>
              </w:rPr>
              <w:t>)</w:t>
            </w:r>
          </w:p>
          <w:p w14:paraId="70B81E77" w14:textId="7B583170" w:rsidR="004D73CF" w:rsidRPr="004D73CF" w:rsidRDefault="004D73CF" w:rsidP="00237E85">
            <w:pPr>
              <w:pStyle w:val="ListParagraph"/>
              <w:numPr>
                <w:ilvl w:val="0"/>
                <w:numId w:val="21"/>
              </w:numPr>
              <w:rPr>
                <w:rFonts w:ascii="Garamond" w:hAnsi="Garamond"/>
                <w:lang w:val="en-AU"/>
              </w:rPr>
            </w:pPr>
            <w:r w:rsidRPr="004D73CF">
              <w:rPr>
                <w:rFonts w:ascii="Garamond" w:hAnsi="Garamond"/>
                <w:b/>
                <w:bCs/>
                <w:lang w:val="en-AU"/>
              </w:rPr>
              <w:t>Perioperative safety determinants</w:t>
            </w:r>
            <w:r w:rsidRPr="004D73CF">
              <w:rPr>
                <w:rFonts w:ascii="Garamond" w:hAnsi="Garamond"/>
                <w:lang w:val="en-AU"/>
              </w:rPr>
              <w:t xml:space="preserve"> in ethnic patient groups (Gerrit Bloo, Hiske Calsbeek, Gert Westert, Wim Dekkers, George Akkersdijk</w:t>
            </w:r>
            <w:r>
              <w:rPr>
                <w:rFonts w:ascii="Garamond" w:hAnsi="Garamond"/>
                <w:lang w:val="en-AU"/>
              </w:rPr>
              <w:t>)</w:t>
            </w:r>
          </w:p>
          <w:p w14:paraId="6B032D3B" w14:textId="143D3ABB" w:rsidR="005E4A15" w:rsidRPr="00546F5E" w:rsidRDefault="004D73CF" w:rsidP="004D73CF">
            <w:pPr>
              <w:pStyle w:val="ListParagraph"/>
              <w:numPr>
                <w:ilvl w:val="0"/>
                <w:numId w:val="21"/>
              </w:numPr>
              <w:rPr>
                <w:rFonts w:ascii="Garamond" w:hAnsi="Garamond"/>
                <w:lang w:val="en-AU"/>
              </w:rPr>
            </w:pPr>
            <w:r w:rsidRPr="004D73CF">
              <w:rPr>
                <w:rFonts w:ascii="Garamond" w:hAnsi="Garamond"/>
                <w:b/>
                <w:bCs/>
                <w:lang w:val="en-AU"/>
              </w:rPr>
              <w:t>Glaucoma-related malpractice litigation</w:t>
            </w:r>
            <w:r w:rsidRPr="004D73CF">
              <w:rPr>
                <w:rFonts w:ascii="Garamond" w:hAnsi="Garamond"/>
                <w:lang w:val="en-AU"/>
              </w:rPr>
              <w:t xml:space="preserve"> in the United States: A review of the WestLaw database (Jae-Chiang Wong, Nikki A Mehran, Mark Andriola, Daniel Lee, Jonathan S Myers</w:t>
            </w:r>
            <w:r>
              <w:rPr>
                <w:rFonts w:ascii="Garamond" w:hAnsi="Garamond"/>
                <w:lang w:val="en-AU"/>
              </w:rPr>
              <w:t xml:space="preserve">, </w:t>
            </w:r>
            <w:r w:rsidRPr="004D73CF">
              <w:rPr>
                <w:rFonts w:ascii="Garamond" w:hAnsi="Garamond"/>
                <w:lang w:val="en-AU"/>
              </w:rPr>
              <w:t>Natasha Nayak Kolomeyer</w:t>
            </w:r>
            <w:r>
              <w:rPr>
                <w:rFonts w:ascii="Garamond" w:hAnsi="Garamond"/>
                <w:lang w:val="en-AU"/>
              </w:rPr>
              <w:t>)</w:t>
            </w:r>
          </w:p>
        </w:tc>
      </w:tr>
    </w:tbl>
    <w:p w14:paraId="7110F634" w14:textId="77777777" w:rsidR="005E4A15" w:rsidRDefault="005E4A15" w:rsidP="005E4A15">
      <w:pPr>
        <w:keepLines/>
        <w:autoSpaceDE w:val="0"/>
        <w:autoSpaceDN w:val="0"/>
        <w:adjustRightInd w:val="0"/>
        <w:rPr>
          <w:rFonts w:ascii="Garamond" w:hAnsi="Garamond"/>
          <w:i/>
          <w:lang w:val="en-AU"/>
        </w:rPr>
      </w:pPr>
    </w:p>
    <w:p w14:paraId="3D3627E5" w14:textId="4FAE5CAF"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460C14" w:rsidP="00B13BCF">
            <w:pPr>
              <w:keepNext/>
              <w:rPr>
                <w:rFonts w:ascii="Garamond" w:hAnsi="Garamond"/>
                <w:lang w:val="en-AU"/>
              </w:rPr>
            </w:pPr>
            <w:hyperlink r:id="rId22"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C386F5C" w14:textId="00E0F978" w:rsidR="00871809" w:rsidRPr="00E37911" w:rsidRDefault="007D378E" w:rsidP="007D378E">
            <w:pPr>
              <w:pStyle w:val="ListParagraph"/>
              <w:numPr>
                <w:ilvl w:val="0"/>
                <w:numId w:val="16"/>
              </w:numPr>
              <w:rPr>
                <w:rFonts w:ascii="Garamond" w:hAnsi="Garamond"/>
                <w:lang w:val="en-AU"/>
              </w:rPr>
            </w:pPr>
            <w:r w:rsidRPr="007D378E">
              <w:rPr>
                <w:rFonts w:ascii="Garamond" w:hAnsi="Garamond"/>
                <w:lang w:val="en-AU"/>
              </w:rPr>
              <w:t xml:space="preserve">Editorial: Improving risk stratification and decision support for </w:t>
            </w:r>
            <w:r w:rsidRPr="007D378E">
              <w:rPr>
                <w:rFonts w:ascii="Garamond" w:hAnsi="Garamond"/>
                <w:b/>
                <w:bCs/>
                <w:lang w:val="en-AU"/>
              </w:rPr>
              <w:t>deteriorating hospital patients</w:t>
            </w:r>
            <w:r w:rsidRPr="007D378E">
              <w:rPr>
                <w:rFonts w:ascii="Garamond" w:hAnsi="Garamond"/>
                <w:lang w:val="en-AU"/>
              </w:rPr>
              <w:t xml:space="preserve"> </w:t>
            </w:r>
            <w:r>
              <w:rPr>
                <w:rFonts w:ascii="Garamond" w:hAnsi="Garamond"/>
                <w:lang w:val="en-AU"/>
              </w:rPr>
              <w:t>(</w:t>
            </w:r>
            <w:r w:rsidRPr="007D378E">
              <w:rPr>
                <w:rFonts w:ascii="Garamond" w:hAnsi="Garamond"/>
                <w:lang w:val="en-AU"/>
              </w:rPr>
              <w:t>Judit Orosz, Daryl A Jones</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460C14" w:rsidP="00A6355B">
            <w:pPr>
              <w:keepNext/>
              <w:rPr>
                <w:rFonts w:ascii="Garamond" w:hAnsi="Garamond"/>
                <w:lang w:val="en-AU"/>
              </w:rPr>
            </w:pPr>
            <w:hyperlink r:id="rId23"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A6355B">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692E5950" w14:textId="1582D937" w:rsidR="001B4CB1" w:rsidRPr="001B4CB1" w:rsidRDefault="001B4CB1" w:rsidP="001F3014">
            <w:pPr>
              <w:pStyle w:val="ListParagraph"/>
              <w:numPr>
                <w:ilvl w:val="0"/>
                <w:numId w:val="14"/>
              </w:numPr>
              <w:rPr>
                <w:rFonts w:ascii="Garamond" w:hAnsi="Garamond"/>
                <w:lang w:val="en-AU"/>
              </w:rPr>
            </w:pPr>
            <w:r w:rsidRPr="001B4CB1">
              <w:rPr>
                <w:rFonts w:ascii="Garamond" w:hAnsi="Garamond"/>
                <w:lang w:val="en-AU"/>
              </w:rPr>
              <w:t xml:space="preserve">Reducing </w:t>
            </w:r>
            <w:r w:rsidRPr="001B4CB1">
              <w:rPr>
                <w:rFonts w:ascii="Garamond" w:hAnsi="Garamond"/>
                <w:b/>
                <w:bCs/>
                <w:lang w:val="en-AU"/>
              </w:rPr>
              <w:t>last-minute cancellations of elective urological surgery</w:t>
            </w:r>
            <w:r w:rsidRPr="001B4CB1">
              <w:rPr>
                <w:rFonts w:ascii="Garamond" w:hAnsi="Garamond"/>
                <w:lang w:val="en-AU"/>
              </w:rPr>
              <w:t xml:space="preserve"> - effectiveness of specialist nurse pre-operative assessment (Martina Spazzapan, Pinky Javier, Yasmin Abu-Ghanem, David Dryhurst, Nicholas Faure Walker, Rahul Lunawat, Nkwam Nkwam, Ali Tasleem</w:t>
            </w:r>
            <w:r>
              <w:rPr>
                <w:rFonts w:ascii="Garamond" w:hAnsi="Garamond"/>
                <w:lang w:val="en-AU"/>
              </w:rPr>
              <w:t>)</w:t>
            </w:r>
          </w:p>
          <w:p w14:paraId="22D3B49F" w14:textId="2FEE6F3E" w:rsidR="003A06BD" w:rsidRPr="003A06BD" w:rsidRDefault="003A06BD" w:rsidP="00EC5044">
            <w:pPr>
              <w:pStyle w:val="ListParagraph"/>
              <w:numPr>
                <w:ilvl w:val="0"/>
                <w:numId w:val="14"/>
              </w:numPr>
              <w:rPr>
                <w:rFonts w:ascii="Garamond" w:hAnsi="Garamond"/>
                <w:lang w:val="en-AU"/>
              </w:rPr>
            </w:pPr>
            <w:r w:rsidRPr="003A06BD">
              <w:rPr>
                <w:rFonts w:ascii="Garamond" w:hAnsi="Garamond"/>
                <w:b/>
                <w:bCs/>
                <w:lang w:val="en-AU"/>
              </w:rPr>
              <w:t>Community Pantries</w:t>
            </w:r>
            <w:r w:rsidRPr="003A06BD">
              <w:rPr>
                <w:rFonts w:ascii="Garamond" w:hAnsi="Garamond"/>
                <w:lang w:val="en-AU"/>
              </w:rPr>
              <w:t>: A Health Service of Great Quality for the Most Affected Ones (Dalmacito A Cordero Jr</w:t>
            </w:r>
            <w:r>
              <w:rPr>
                <w:rFonts w:ascii="Garamond" w:hAnsi="Garamond"/>
                <w:lang w:val="en-AU"/>
              </w:rPr>
              <w:t>)</w:t>
            </w:r>
          </w:p>
          <w:p w14:paraId="730B1CCA" w14:textId="0E0CF9B1" w:rsidR="00F6604A" w:rsidRPr="009C237F" w:rsidRDefault="007D378E" w:rsidP="007D378E">
            <w:pPr>
              <w:pStyle w:val="ListParagraph"/>
              <w:numPr>
                <w:ilvl w:val="0"/>
                <w:numId w:val="14"/>
              </w:numPr>
              <w:rPr>
                <w:rFonts w:ascii="Garamond" w:hAnsi="Garamond"/>
                <w:lang w:val="en-AU"/>
              </w:rPr>
            </w:pPr>
            <w:r w:rsidRPr="007D378E">
              <w:rPr>
                <w:rFonts w:ascii="Garamond" w:hAnsi="Garamond"/>
                <w:lang w:val="en-AU"/>
              </w:rPr>
              <w:t xml:space="preserve">The accuracy of the </w:t>
            </w:r>
            <w:r w:rsidRPr="007D378E">
              <w:rPr>
                <w:rFonts w:ascii="Garamond" w:hAnsi="Garamond"/>
                <w:b/>
                <w:bCs/>
                <w:lang w:val="en-AU"/>
              </w:rPr>
              <w:t>Global Trigger Tool</w:t>
            </w:r>
            <w:r w:rsidRPr="007D378E">
              <w:rPr>
                <w:rFonts w:ascii="Garamond" w:hAnsi="Garamond"/>
                <w:lang w:val="en-AU"/>
              </w:rPr>
              <w:t xml:space="preserve"> is higher for the identification of adverse events of greater harm: a diagnostic test study </w:t>
            </w:r>
            <w:r>
              <w:rPr>
                <w:rFonts w:ascii="Garamond" w:hAnsi="Garamond"/>
                <w:lang w:val="en-AU"/>
              </w:rPr>
              <w:t>(</w:t>
            </w:r>
            <w:r w:rsidRPr="007D378E">
              <w:rPr>
                <w:rFonts w:ascii="Garamond" w:hAnsi="Garamond"/>
                <w:lang w:val="en-AU"/>
              </w:rPr>
              <w:t>Sara Monteiro Moraes, Teresa Cristina Abreu Ferrari, Alline Beleigoli</w:t>
            </w:r>
            <w:r>
              <w:rPr>
                <w:rFonts w:ascii="Garamond" w:hAnsi="Garamond"/>
                <w:lang w:val="en-AU"/>
              </w:rPr>
              <w:t>)</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61FDCD2D" w:rsidR="004B3A08" w:rsidRDefault="004B3A08">
      <w:pPr>
        <w:rPr>
          <w:rFonts w:ascii="Garamond" w:hAnsi="Garamond"/>
          <w:b/>
          <w:lang w:val="en-AU"/>
        </w:rPr>
      </w:pPr>
    </w:p>
    <w:p w14:paraId="60B51ED2" w14:textId="3EB06F02" w:rsidR="003A06BD" w:rsidRPr="003A06BD" w:rsidRDefault="003A06BD">
      <w:pPr>
        <w:rPr>
          <w:rFonts w:ascii="Garamond" w:hAnsi="Garamond"/>
          <w:b/>
          <w:i/>
          <w:iCs/>
          <w:lang w:val="en-AU"/>
        </w:rPr>
      </w:pPr>
      <w:r w:rsidRPr="003A06BD">
        <w:rPr>
          <w:rFonts w:ascii="Garamond" w:hAnsi="Garamond"/>
          <w:b/>
          <w:i/>
          <w:iCs/>
          <w:lang w:val="en-AU"/>
        </w:rPr>
        <w:t>Health Innovation Series - e-Medication Safety</w:t>
      </w:r>
    </w:p>
    <w:p w14:paraId="119F718D" w14:textId="7EA1DFDD" w:rsidR="003A06BD" w:rsidRPr="003A06BD" w:rsidRDefault="00460C14">
      <w:pPr>
        <w:rPr>
          <w:rFonts w:ascii="Garamond" w:hAnsi="Garamond"/>
          <w:bCs/>
          <w:lang w:val="en-AU"/>
        </w:rPr>
      </w:pPr>
      <w:hyperlink r:id="rId24" w:history="1">
        <w:r w:rsidR="003A06BD" w:rsidRPr="003A06BD">
          <w:rPr>
            <w:rStyle w:val="Hyperlink"/>
            <w:rFonts w:ascii="Garamond" w:hAnsi="Garamond"/>
            <w:bCs/>
            <w:lang w:val="en-AU"/>
          </w:rPr>
          <w:t>https://www.mq.edu.au/research/research-centres-groups-and-facilities/healthy-people/centres/australian-institute-of-health-innovation/our-projects/Health-Innovation-Series/health-innovation-series-e-medication-safety</w:t>
        </w:r>
      </w:hyperlink>
    </w:p>
    <w:p w14:paraId="457ABB77" w14:textId="7E9D8A87" w:rsidR="003A06BD" w:rsidRDefault="003A06BD" w:rsidP="003A06BD">
      <w:pPr>
        <w:rPr>
          <w:rFonts w:ascii="Garamond" w:hAnsi="Garamond"/>
          <w:bCs/>
          <w:lang w:val="en-AU"/>
        </w:rPr>
      </w:pPr>
      <w:r>
        <w:rPr>
          <w:rFonts w:ascii="Garamond" w:hAnsi="Garamond"/>
          <w:bCs/>
          <w:lang w:val="en-AU"/>
        </w:rPr>
        <w:t xml:space="preserve">The Health Innovation Series from the </w:t>
      </w:r>
      <w:r w:rsidRPr="003A06BD">
        <w:rPr>
          <w:rFonts w:ascii="Garamond" w:hAnsi="Garamond"/>
          <w:bCs/>
          <w:lang w:val="en-AU"/>
        </w:rPr>
        <w:t xml:space="preserve">Australian Institute of Health Innovation </w:t>
      </w:r>
      <w:r>
        <w:rPr>
          <w:rFonts w:ascii="Garamond" w:hAnsi="Garamond"/>
          <w:bCs/>
          <w:lang w:val="en-AU"/>
        </w:rPr>
        <w:t>at Macquarie University has had a number of recent issues, including:</w:t>
      </w:r>
    </w:p>
    <w:p w14:paraId="5CA3552A" w14:textId="77777777" w:rsidR="003A06BD" w:rsidRPr="003A06BD" w:rsidRDefault="003A06BD" w:rsidP="003A06BD">
      <w:pPr>
        <w:pStyle w:val="ListParagraph"/>
        <w:numPr>
          <w:ilvl w:val="0"/>
          <w:numId w:val="42"/>
        </w:numPr>
        <w:rPr>
          <w:rFonts w:ascii="Garamond" w:hAnsi="Garamond"/>
          <w:bCs/>
          <w:lang w:val="en-AU"/>
        </w:rPr>
      </w:pPr>
      <w:r w:rsidRPr="003A06BD">
        <w:rPr>
          <w:rFonts w:ascii="Garamond" w:hAnsi="Garamond"/>
          <w:bCs/>
          <w:lang w:val="en-AU"/>
        </w:rPr>
        <w:t>Pre-operative medication frequencies matter</w:t>
      </w:r>
    </w:p>
    <w:p w14:paraId="3A1BC03E" w14:textId="77777777" w:rsidR="003A06BD" w:rsidRPr="003A06BD" w:rsidRDefault="003A06BD" w:rsidP="003A06BD">
      <w:pPr>
        <w:pStyle w:val="ListParagraph"/>
        <w:numPr>
          <w:ilvl w:val="0"/>
          <w:numId w:val="42"/>
        </w:numPr>
        <w:rPr>
          <w:rFonts w:ascii="Garamond" w:hAnsi="Garamond"/>
          <w:bCs/>
          <w:lang w:val="en-AU"/>
        </w:rPr>
      </w:pPr>
      <w:r w:rsidRPr="003A06BD">
        <w:rPr>
          <w:rFonts w:ascii="Garamond" w:hAnsi="Garamond"/>
          <w:bCs/>
          <w:lang w:val="en-AU"/>
        </w:rPr>
        <w:t>Accidental prescribing of extended-release opioids</w:t>
      </w:r>
    </w:p>
    <w:p w14:paraId="7396781F" w14:textId="77777777" w:rsidR="003A06BD" w:rsidRPr="003A06BD" w:rsidRDefault="003A06BD" w:rsidP="003A06BD">
      <w:pPr>
        <w:pStyle w:val="ListParagraph"/>
        <w:numPr>
          <w:ilvl w:val="0"/>
          <w:numId w:val="42"/>
        </w:numPr>
        <w:rPr>
          <w:rFonts w:ascii="Garamond" w:hAnsi="Garamond"/>
          <w:bCs/>
          <w:lang w:val="en-AU"/>
        </w:rPr>
      </w:pPr>
      <w:r w:rsidRPr="003A06BD">
        <w:rPr>
          <w:rFonts w:ascii="Garamond" w:hAnsi="Garamond"/>
          <w:bCs/>
          <w:lang w:val="en-AU"/>
        </w:rPr>
        <w:t>Dose calculator missing in action</w:t>
      </w:r>
    </w:p>
    <w:p w14:paraId="357F64A2" w14:textId="77777777" w:rsidR="003A06BD" w:rsidRPr="003A06BD" w:rsidRDefault="003A06BD" w:rsidP="003A06BD">
      <w:pPr>
        <w:pStyle w:val="ListParagraph"/>
        <w:numPr>
          <w:ilvl w:val="0"/>
          <w:numId w:val="42"/>
        </w:numPr>
        <w:rPr>
          <w:rFonts w:ascii="Garamond" w:hAnsi="Garamond"/>
          <w:bCs/>
          <w:lang w:val="en-AU"/>
        </w:rPr>
      </w:pPr>
      <w:r w:rsidRPr="003A06BD">
        <w:rPr>
          <w:rFonts w:ascii="Garamond" w:hAnsi="Garamond"/>
          <w:bCs/>
          <w:lang w:val="en-AU"/>
        </w:rPr>
        <w:t>Can’t find a medication in the electronic medication system? How to prevent errors and user frustration</w:t>
      </w:r>
    </w:p>
    <w:p w14:paraId="7CD84C4F" w14:textId="33F2DDEF" w:rsidR="003A06BD" w:rsidRPr="003A06BD" w:rsidRDefault="003A06BD" w:rsidP="003A06BD">
      <w:pPr>
        <w:pStyle w:val="ListParagraph"/>
        <w:numPr>
          <w:ilvl w:val="0"/>
          <w:numId w:val="42"/>
        </w:numPr>
        <w:rPr>
          <w:rFonts w:ascii="Garamond" w:hAnsi="Garamond"/>
          <w:bCs/>
          <w:lang w:val="en-AU"/>
        </w:rPr>
      </w:pPr>
      <w:r w:rsidRPr="003A06BD">
        <w:rPr>
          <w:rFonts w:ascii="Garamond" w:hAnsi="Garamond"/>
          <w:bCs/>
          <w:lang w:val="en-AU"/>
        </w:rPr>
        <w:t>Is the rounding rule in your dose calculator causing dose errors in children?</w:t>
      </w:r>
    </w:p>
    <w:p w14:paraId="598BCA6B" w14:textId="2EBDEC28" w:rsidR="003A06BD" w:rsidRDefault="003A06BD">
      <w:pPr>
        <w:rPr>
          <w:rFonts w:ascii="Garamond" w:hAnsi="Garamond"/>
          <w:b/>
          <w:lang w:val="en-AU"/>
        </w:rPr>
      </w:pPr>
    </w:p>
    <w:p w14:paraId="1447CEBD" w14:textId="77777777" w:rsidR="008A7101" w:rsidRPr="00913086" w:rsidRDefault="008A7101" w:rsidP="008A7101">
      <w:pPr>
        <w:keepNext/>
        <w:rPr>
          <w:rFonts w:ascii="Garamond" w:hAnsi="Garamond"/>
          <w:b/>
          <w:bCs/>
          <w:i/>
          <w:lang w:val="en-AU"/>
        </w:rPr>
      </w:pPr>
      <w:r w:rsidRPr="00913086">
        <w:rPr>
          <w:rFonts w:ascii="Garamond" w:hAnsi="Garamond"/>
          <w:b/>
          <w:bCs/>
          <w:i/>
          <w:lang w:val="en-AU"/>
        </w:rPr>
        <w:lastRenderedPageBreak/>
        <w:t>[UK] NICE Guidelines and Quality Standards</w:t>
      </w:r>
    </w:p>
    <w:p w14:paraId="21D2E6DA" w14:textId="77777777" w:rsidR="008A7101" w:rsidRPr="008F3909" w:rsidRDefault="00460C14" w:rsidP="008A7101">
      <w:pPr>
        <w:keepNext/>
        <w:rPr>
          <w:rFonts w:ascii="Garamond" w:hAnsi="Garamond"/>
          <w:lang w:val="en-AU"/>
        </w:rPr>
      </w:pPr>
      <w:hyperlink r:id="rId25" w:history="1">
        <w:r w:rsidR="008A7101" w:rsidRPr="00B91B4F">
          <w:rPr>
            <w:rStyle w:val="Hyperlink"/>
            <w:rFonts w:ascii="Garamond" w:hAnsi="Garamond"/>
            <w:lang w:val="en-AU"/>
          </w:rPr>
          <w:t>https://www.nice.org.uk/guidance</w:t>
        </w:r>
      </w:hyperlink>
    </w:p>
    <w:p w14:paraId="32EF09E5" w14:textId="77777777" w:rsidR="008A7101" w:rsidRDefault="008A7101" w:rsidP="008A7101">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175B61B9" w14:textId="77777777" w:rsidR="008A7101" w:rsidRDefault="008A7101" w:rsidP="008A7101">
      <w:pPr>
        <w:pStyle w:val="ListParagraph"/>
        <w:numPr>
          <w:ilvl w:val="0"/>
          <w:numId w:val="14"/>
        </w:numPr>
        <w:rPr>
          <w:rFonts w:ascii="Garamond" w:hAnsi="Garamond"/>
          <w:iCs/>
          <w:lang w:val="en-AU"/>
        </w:rPr>
      </w:pPr>
      <w:r>
        <w:rPr>
          <w:rFonts w:ascii="Garamond" w:hAnsi="Garamond"/>
          <w:iCs/>
          <w:lang w:val="en-AU"/>
        </w:rPr>
        <w:t xml:space="preserve">Quality Standard QS208 </w:t>
      </w:r>
      <w:r w:rsidRPr="008A7101">
        <w:rPr>
          <w:rFonts w:ascii="Garamond" w:hAnsi="Garamond"/>
          <w:b/>
          <w:bCs/>
          <w:i/>
          <w:lang w:val="en-AU"/>
        </w:rPr>
        <w:t>Type 1 diabetes</w:t>
      </w:r>
      <w:r w:rsidRPr="008A7101">
        <w:rPr>
          <w:rFonts w:ascii="Garamond" w:hAnsi="Garamond"/>
          <w:i/>
          <w:lang w:val="en-AU"/>
        </w:rPr>
        <w:t xml:space="preserve"> in adults</w:t>
      </w:r>
      <w:r>
        <w:rPr>
          <w:rFonts w:ascii="Garamond" w:hAnsi="Garamond"/>
          <w:iCs/>
          <w:lang w:val="en-AU"/>
        </w:rPr>
        <w:t xml:space="preserve"> </w:t>
      </w:r>
      <w:hyperlink r:id="rId26" w:history="1">
        <w:r w:rsidRPr="00A77568">
          <w:rPr>
            <w:rStyle w:val="Hyperlink"/>
            <w:rFonts w:ascii="Garamond" w:hAnsi="Garamond"/>
            <w:iCs/>
            <w:lang w:val="en-AU"/>
          </w:rPr>
          <w:t>https://www.nice.org.uk/guidance/qs208</w:t>
        </w:r>
      </w:hyperlink>
    </w:p>
    <w:p w14:paraId="27C0AD48" w14:textId="77777777" w:rsidR="008A7101" w:rsidRDefault="008A7101" w:rsidP="008A7101">
      <w:pPr>
        <w:pStyle w:val="ListParagraph"/>
        <w:numPr>
          <w:ilvl w:val="0"/>
          <w:numId w:val="14"/>
        </w:numPr>
        <w:rPr>
          <w:rFonts w:ascii="Garamond" w:hAnsi="Garamond"/>
          <w:iCs/>
          <w:lang w:val="en-AU"/>
        </w:rPr>
      </w:pPr>
      <w:r>
        <w:rPr>
          <w:rFonts w:ascii="Garamond" w:hAnsi="Garamond"/>
          <w:iCs/>
          <w:lang w:val="en-AU"/>
        </w:rPr>
        <w:t xml:space="preserve">Quality Standard QS209 </w:t>
      </w:r>
      <w:r w:rsidRPr="008A7101">
        <w:rPr>
          <w:rFonts w:ascii="Garamond" w:hAnsi="Garamond"/>
          <w:b/>
          <w:bCs/>
          <w:i/>
          <w:lang w:val="en-AU"/>
        </w:rPr>
        <w:t>Type 2 diabetes</w:t>
      </w:r>
      <w:r w:rsidRPr="008A7101">
        <w:rPr>
          <w:rFonts w:ascii="Garamond" w:hAnsi="Garamond"/>
          <w:i/>
          <w:lang w:val="en-AU"/>
        </w:rPr>
        <w:t xml:space="preserve"> in adults</w:t>
      </w:r>
      <w:r>
        <w:rPr>
          <w:rFonts w:ascii="Garamond" w:hAnsi="Garamond"/>
          <w:iCs/>
          <w:lang w:val="en-AU"/>
        </w:rPr>
        <w:t xml:space="preserve"> </w:t>
      </w:r>
      <w:hyperlink r:id="rId27" w:history="1">
        <w:r w:rsidRPr="00A77568">
          <w:rPr>
            <w:rStyle w:val="Hyperlink"/>
            <w:rFonts w:ascii="Garamond" w:hAnsi="Garamond"/>
            <w:iCs/>
            <w:lang w:val="en-AU"/>
          </w:rPr>
          <w:t>https://www.nice.org.uk/guidance/qs209</w:t>
        </w:r>
      </w:hyperlink>
    </w:p>
    <w:p w14:paraId="4F0D4DC0" w14:textId="77777777" w:rsidR="008A7101" w:rsidRDefault="008A7101" w:rsidP="008A7101">
      <w:pPr>
        <w:rPr>
          <w:rFonts w:ascii="Garamond" w:hAnsi="Garamond"/>
          <w:b/>
          <w:lang w:val="en-AU"/>
        </w:rPr>
      </w:pPr>
    </w:p>
    <w:p w14:paraId="3A835C03" w14:textId="77777777" w:rsidR="00641F2D" w:rsidRPr="0061608A" w:rsidRDefault="00641F2D" w:rsidP="00641F2D">
      <w:pPr>
        <w:keepNext/>
        <w:rPr>
          <w:rFonts w:ascii="Garamond" w:hAnsi="Garamond"/>
          <w:b/>
          <w:bCs/>
          <w:i/>
          <w:lang w:val="en-AU"/>
        </w:rPr>
      </w:pPr>
      <w:r w:rsidRPr="0061608A">
        <w:rPr>
          <w:rFonts w:ascii="Garamond" w:hAnsi="Garamond"/>
          <w:b/>
          <w:bCs/>
          <w:i/>
          <w:lang w:val="en-AU"/>
        </w:rPr>
        <w:t>[UK] NIHR Evidence alerts</w:t>
      </w:r>
    </w:p>
    <w:p w14:paraId="5C6DBEC6" w14:textId="77777777" w:rsidR="00641F2D" w:rsidRPr="00EA3D86" w:rsidRDefault="00460C14" w:rsidP="00641F2D">
      <w:pPr>
        <w:keepNext/>
        <w:rPr>
          <w:rFonts w:ascii="Garamond" w:hAnsi="Garamond"/>
          <w:lang w:val="en-AU"/>
        </w:rPr>
      </w:pPr>
      <w:hyperlink r:id="rId28" w:history="1">
        <w:r w:rsidR="00641F2D" w:rsidRPr="00EA3D86">
          <w:rPr>
            <w:rStyle w:val="Hyperlink"/>
            <w:rFonts w:ascii="Garamond" w:hAnsi="Garamond"/>
            <w:lang w:val="en-AU"/>
          </w:rPr>
          <w:t>https://evidence.nihr.ac.uk/</w:t>
        </w:r>
      </w:hyperlink>
    </w:p>
    <w:p w14:paraId="793C8A0B" w14:textId="77777777" w:rsidR="00641F2D" w:rsidRDefault="00641F2D" w:rsidP="00641F2D">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2FF2461D" w14:textId="21129EF0" w:rsidR="00641F2D" w:rsidRPr="00641F2D" w:rsidRDefault="00641F2D" w:rsidP="00641F2D">
      <w:pPr>
        <w:pStyle w:val="ListParagraph"/>
        <w:numPr>
          <w:ilvl w:val="0"/>
          <w:numId w:val="20"/>
        </w:numPr>
        <w:rPr>
          <w:rFonts w:ascii="Garamond" w:hAnsi="Garamond"/>
          <w:lang w:val="en-AU"/>
        </w:rPr>
      </w:pPr>
      <w:r w:rsidRPr="00641F2D">
        <w:rPr>
          <w:rFonts w:ascii="Garamond" w:hAnsi="Garamond"/>
          <w:lang w:val="en-AU"/>
        </w:rPr>
        <w:t xml:space="preserve">Online CBT for </w:t>
      </w:r>
      <w:r w:rsidRPr="00641F2D">
        <w:rPr>
          <w:rFonts w:ascii="Garamond" w:hAnsi="Garamond"/>
          <w:b/>
          <w:bCs/>
          <w:lang w:val="en-AU"/>
        </w:rPr>
        <w:t>post-traumatic stress disorder</w:t>
      </w:r>
      <w:r w:rsidRPr="00641F2D">
        <w:rPr>
          <w:rFonts w:ascii="Garamond" w:hAnsi="Garamond"/>
          <w:lang w:val="en-AU"/>
        </w:rPr>
        <w:t xml:space="preserve"> is as effective as face-to-face therapy</w:t>
      </w:r>
    </w:p>
    <w:p w14:paraId="398B5667" w14:textId="09CD390F" w:rsidR="00641F2D" w:rsidRPr="00641F2D" w:rsidRDefault="00641F2D" w:rsidP="00641F2D">
      <w:pPr>
        <w:pStyle w:val="ListParagraph"/>
        <w:numPr>
          <w:ilvl w:val="0"/>
          <w:numId w:val="20"/>
        </w:numPr>
        <w:rPr>
          <w:rFonts w:ascii="Garamond" w:hAnsi="Garamond"/>
          <w:lang w:val="en-AU"/>
        </w:rPr>
      </w:pPr>
      <w:r w:rsidRPr="00641F2D">
        <w:rPr>
          <w:rFonts w:ascii="Garamond" w:hAnsi="Garamond"/>
          <w:lang w:val="en-AU"/>
        </w:rPr>
        <w:t xml:space="preserve">Research provides reassurance about the safety of </w:t>
      </w:r>
      <w:r w:rsidRPr="00641F2D">
        <w:rPr>
          <w:rFonts w:ascii="Garamond" w:hAnsi="Garamond"/>
          <w:b/>
          <w:bCs/>
          <w:lang w:val="en-AU"/>
        </w:rPr>
        <w:t>testosterone treatment</w:t>
      </w:r>
    </w:p>
    <w:p w14:paraId="6D48B0BB" w14:textId="62681049" w:rsidR="00641F2D" w:rsidRPr="00641F2D" w:rsidRDefault="00641F2D" w:rsidP="00641F2D">
      <w:pPr>
        <w:pStyle w:val="ListParagraph"/>
        <w:numPr>
          <w:ilvl w:val="0"/>
          <w:numId w:val="20"/>
        </w:numPr>
        <w:rPr>
          <w:rFonts w:ascii="Garamond" w:hAnsi="Garamond"/>
          <w:lang w:val="en-AU"/>
        </w:rPr>
      </w:pPr>
      <w:r w:rsidRPr="00641F2D">
        <w:rPr>
          <w:rFonts w:ascii="Garamond" w:hAnsi="Garamond"/>
          <w:lang w:val="en-AU"/>
        </w:rPr>
        <w:t xml:space="preserve">Decision aid helps </w:t>
      </w:r>
      <w:r w:rsidRPr="00641F2D">
        <w:rPr>
          <w:rFonts w:ascii="Garamond" w:hAnsi="Garamond"/>
          <w:b/>
          <w:bCs/>
          <w:lang w:val="en-AU"/>
        </w:rPr>
        <w:t>pregnant women with high blood pressure</w:t>
      </w:r>
    </w:p>
    <w:p w14:paraId="74554286" w14:textId="4D45BC13" w:rsidR="00641F2D" w:rsidRPr="00641F2D" w:rsidRDefault="00641F2D" w:rsidP="00641F2D">
      <w:pPr>
        <w:pStyle w:val="ListParagraph"/>
        <w:numPr>
          <w:ilvl w:val="0"/>
          <w:numId w:val="20"/>
        </w:numPr>
        <w:rPr>
          <w:rFonts w:ascii="Garamond" w:hAnsi="Garamond"/>
          <w:lang w:val="en-AU"/>
        </w:rPr>
      </w:pPr>
      <w:r w:rsidRPr="00641F2D">
        <w:rPr>
          <w:rFonts w:ascii="Garamond" w:hAnsi="Garamond"/>
          <w:lang w:val="en-AU"/>
        </w:rPr>
        <w:t xml:space="preserve">What information do people need about their </w:t>
      </w:r>
      <w:r w:rsidRPr="00641F2D">
        <w:rPr>
          <w:rFonts w:ascii="Garamond" w:hAnsi="Garamond"/>
          <w:b/>
          <w:bCs/>
          <w:lang w:val="en-AU"/>
        </w:rPr>
        <w:t>blood tests</w:t>
      </w:r>
      <w:r w:rsidRPr="00641F2D">
        <w:rPr>
          <w:rFonts w:ascii="Garamond" w:hAnsi="Garamond"/>
          <w:lang w:val="en-AU"/>
        </w:rPr>
        <w:t>?</w:t>
      </w:r>
    </w:p>
    <w:p w14:paraId="59DA24BC" w14:textId="75113EDF" w:rsidR="00E87C6E" w:rsidRDefault="00E87C6E">
      <w:pPr>
        <w:rPr>
          <w:rFonts w:ascii="Garamond" w:hAnsi="Garamond"/>
          <w:b/>
          <w:lang w:val="en-AU"/>
        </w:rPr>
      </w:pPr>
    </w:p>
    <w:p w14:paraId="31A5E41A" w14:textId="442C9349" w:rsidR="00CA1410" w:rsidRDefault="00CA1410">
      <w:pPr>
        <w:rPr>
          <w:rFonts w:ascii="Garamond" w:hAnsi="Garamond"/>
          <w:b/>
          <w:lang w:val="en-AU"/>
        </w:rPr>
      </w:pPr>
    </w:p>
    <w:p w14:paraId="7D1B2930" w14:textId="16081631" w:rsidR="00CA1410" w:rsidRDefault="00CA1410">
      <w:pPr>
        <w:rPr>
          <w:rFonts w:ascii="Garamond" w:hAnsi="Garamond"/>
          <w:b/>
          <w:lang w:val="en-AU"/>
        </w:rPr>
      </w:pPr>
    </w:p>
    <w:p w14:paraId="4F48241A" w14:textId="1D9DCC2B" w:rsidR="00CA1410" w:rsidRDefault="00CA1410">
      <w:pPr>
        <w:rPr>
          <w:rFonts w:ascii="Garamond" w:hAnsi="Garamond"/>
          <w:b/>
          <w:lang w:val="en-AU"/>
        </w:rPr>
      </w:pPr>
    </w:p>
    <w:p w14:paraId="49AE557A" w14:textId="40120A94" w:rsidR="00CA1410" w:rsidRDefault="00CA1410">
      <w:pPr>
        <w:rPr>
          <w:rFonts w:ascii="Garamond" w:hAnsi="Garamond"/>
          <w:b/>
          <w:lang w:val="en-AU"/>
        </w:rPr>
      </w:pPr>
    </w:p>
    <w:p w14:paraId="0F2CA0C4" w14:textId="27252AF7" w:rsidR="00CA1410" w:rsidRDefault="00CA1410">
      <w:pPr>
        <w:rPr>
          <w:rFonts w:ascii="Garamond" w:hAnsi="Garamond"/>
          <w:b/>
          <w:lang w:val="en-AU"/>
        </w:rPr>
      </w:pPr>
    </w:p>
    <w:p w14:paraId="57EE0CB0" w14:textId="6269964D" w:rsidR="00CA1410" w:rsidRDefault="00CA1410">
      <w:pPr>
        <w:rPr>
          <w:rFonts w:ascii="Garamond" w:hAnsi="Garamond"/>
          <w:b/>
          <w:lang w:val="en-AU"/>
        </w:rPr>
      </w:pPr>
    </w:p>
    <w:p w14:paraId="07B7E410" w14:textId="34B4F65B" w:rsidR="00CA1410" w:rsidRDefault="00CA1410">
      <w:pPr>
        <w:rPr>
          <w:rFonts w:ascii="Garamond" w:hAnsi="Garamond"/>
          <w:b/>
          <w:lang w:val="en-AU"/>
        </w:rPr>
      </w:pPr>
    </w:p>
    <w:p w14:paraId="1D5BD1E9" w14:textId="66908ABE" w:rsidR="00CA1410" w:rsidRDefault="00CA1410">
      <w:pPr>
        <w:rPr>
          <w:rFonts w:ascii="Garamond" w:hAnsi="Garamond"/>
          <w:b/>
          <w:lang w:val="en-AU"/>
        </w:rPr>
      </w:pPr>
    </w:p>
    <w:p w14:paraId="52279694" w14:textId="53C899C2" w:rsidR="00CA1410" w:rsidRDefault="00CA1410">
      <w:pPr>
        <w:rPr>
          <w:rFonts w:ascii="Garamond" w:hAnsi="Garamond"/>
          <w:b/>
          <w:lang w:val="en-AU"/>
        </w:rPr>
      </w:pPr>
    </w:p>
    <w:p w14:paraId="51BF9A31" w14:textId="3E8B2729" w:rsidR="00CA1410" w:rsidRDefault="00CA1410">
      <w:pPr>
        <w:rPr>
          <w:rFonts w:ascii="Garamond" w:hAnsi="Garamond"/>
          <w:b/>
          <w:lang w:val="en-AU"/>
        </w:rPr>
      </w:pPr>
    </w:p>
    <w:p w14:paraId="7B6A362B" w14:textId="34AD0D80" w:rsidR="00CA1410" w:rsidRDefault="00CA1410">
      <w:pPr>
        <w:rPr>
          <w:rFonts w:ascii="Garamond" w:hAnsi="Garamond"/>
          <w:b/>
          <w:lang w:val="en-AU"/>
        </w:rPr>
      </w:pPr>
    </w:p>
    <w:p w14:paraId="6DEBC755" w14:textId="094AEDEF" w:rsidR="00CA1410" w:rsidRDefault="00CA1410">
      <w:pPr>
        <w:rPr>
          <w:rFonts w:ascii="Garamond" w:hAnsi="Garamond"/>
          <w:b/>
          <w:lang w:val="en-AU"/>
        </w:rPr>
      </w:pPr>
    </w:p>
    <w:p w14:paraId="1A96AC97" w14:textId="2167CA44" w:rsidR="00CA1410" w:rsidRDefault="00CA1410">
      <w:pPr>
        <w:rPr>
          <w:rFonts w:ascii="Garamond" w:hAnsi="Garamond"/>
          <w:b/>
          <w:lang w:val="en-AU"/>
        </w:rPr>
      </w:pPr>
    </w:p>
    <w:p w14:paraId="25C74907" w14:textId="77777777" w:rsidR="00CA1410" w:rsidRDefault="00CA1410">
      <w:pPr>
        <w:rPr>
          <w:rFonts w:ascii="Garamond" w:hAnsi="Garamond"/>
          <w:b/>
          <w:lang w:val="en-AU"/>
        </w:rPr>
      </w:pPr>
    </w:p>
    <w:p w14:paraId="764D5779" w14:textId="1021ABB4" w:rsidR="00CA1410" w:rsidRDefault="00CA1410">
      <w:pPr>
        <w:rPr>
          <w:rFonts w:ascii="Garamond" w:hAnsi="Garamond"/>
          <w:b/>
          <w:lang w:val="en-AU"/>
        </w:rPr>
      </w:pPr>
    </w:p>
    <w:p w14:paraId="76C4DDD9" w14:textId="797FB647" w:rsidR="00CA1410" w:rsidRDefault="00CA1410">
      <w:pPr>
        <w:rPr>
          <w:rFonts w:ascii="Garamond" w:hAnsi="Garamond"/>
          <w:b/>
          <w:lang w:val="en-AU"/>
        </w:rPr>
      </w:pPr>
    </w:p>
    <w:p w14:paraId="3380CA17" w14:textId="6ED5976A" w:rsidR="00CA1410" w:rsidRDefault="00CA1410">
      <w:pPr>
        <w:rPr>
          <w:rFonts w:ascii="Garamond" w:hAnsi="Garamond"/>
          <w:b/>
          <w:lang w:val="en-AU"/>
        </w:rPr>
      </w:pPr>
    </w:p>
    <w:p w14:paraId="131EAD27" w14:textId="1AE57D86" w:rsidR="00CA1410" w:rsidRDefault="00CA1410">
      <w:pPr>
        <w:rPr>
          <w:rFonts w:ascii="Garamond" w:hAnsi="Garamond"/>
          <w:b/>
          <w:lang w:val="en-AU"/>
        </w:rPr>
      </w:pPr>
    </w:p>
    <w:p w14:paraId="710D34AD" w14:textId="77777777" w:rsidR="00CA1410" w:rsidRDefault="00CA1410">
      <w:pPr>
        <w:rPr>
          <w:rFonts w:ascii="Garamond" w:hAnsi="Garamond"/>
          <w:b/>
          <w:lang w:val="en-AU"/>
        </w:rPr>
      </w:pPr>
    </w:p>
    <w:p w14:paraId="68EA62D3" w14:textId="77777777" w:rsidR="00D1061B" w:rsidRDefault="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9"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0"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CA1410">
      <w:pPr>
        <w:pStyle w:val="ListParagraph"/>
        <w:keepNext/>
        <w:keepLines/>
        <w:numPr>
          <w:ilvl w:val="0"/>
          <w:numId w:val="15"/>
        </w:numPr>
        <w:autoSpaceDE w:val="0"/>
        <w:autoSpaceDN w:val="0"/>
        <w:adjustRightInd w:val="0"/>
        <w:ind w:left="714" w:hanging="357"/>
        <w:rPr>
          <w:rFonts w:ascii="Garamond" w:hAnsi="Garamond"/>
          <w:lang w:val="en-AU"/>
        </w:rPr>
      </w:pPr>
      <w:r w:rsidRPr="00747390">
        <w:rPr>
          <w:rFonts w:ascii="Garamond" w:hAnsi="Garamond"/>
          <w:b/>
          <w:i/>
          <w:lang w:val="en-AU"/>
        </w:rPr>
        <w:lastRenderedPageBreak/>
        <w:t xml:space="preserve">Poster – Combined contact and droplet precautions </w:t>
      </w:r>
      <w:hyperlink r:id="rId31"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1F9261D">
            <wp:extent cx="5849471" cy="8326073"/>
            <wp:effectExtent l="0" t="0" r="0" b="0"/>
            <wp:docPr id="8" name="Picture 8" descr="COVID-19 poster – Combined contact and drople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1231" cy="8399748"/>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3"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5"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6"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7"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460C14" w:rsidP="00D574D3">
      <w:pPr>
        <w:keepNext/>
        <w:keepLines/>
        <w:rPr>
          <w:rFonts w:ascii="Garamond" w:hAnsi="Garamond"/>
          <w:lang w:val="en-AU"/>
        </w:rPr>
      </w:pPr>
      <w:hyperlink r:id="rId4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460C14" w:rsidP="00D574D3">
      <w:pPr>
        <w:keepNext/>
        <w:keepLines/>
        <w:rPr>
          <w:rFonts w:ascii="Garamond" w:hAnsi="Garamond"/>
          <w:lang w:val="en-AU"/>
        </w:rPr>
      </w:pPr>
      <w:hyperlink r:id="rId44"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C41928B"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FC37" w14:textId="77777777" w:rsidR="00E02089" w:rsidRDefault="00E02089">
      <w:r>
        <w:separator/>
      </w:r>
    </w:p>
  </w:endnote>
  <w:endnote w:type="continuationSeparator" w:id="0">
    <w:p w14:paraId="1F47322A" w14:textId="77777777" w:rsidR="00E02089" w:rsidRDefault="00E0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C3EBBE5"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C23361">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D185272"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C23361">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5F93" w14:textId="77777777" w:rsidR="00E02089" w:rsidRDefault="00E02089">
      <w:r>
        <w:separator/>
      </w:r>
    </w:p>
  </w:footnote>
  <w:footnote w:type="continuationSeparator" w:id="0">
    <w:p w14:paraId="727CFC47" w14:textId="77777777" w:rsidR="00E02089" w:rsidRDefault="00E0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672C9"/>
    <w:multiLevelType w:val="hybridMultilevel"/>
    <w:tmpl w:val="D26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DD04D5"/>
    <w:multiLevelType w:val="hybridMultilevel"/>
    <w:tmpl w:val="42F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6C1042"/>
    <w:multiLevelType w:val="hybridMultilevel"/>
    <w:tmpl w:val="CB2A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7"/>
  </w:num>
  <w:num w:numId="15">
    <w:abstractNumId w:val="30"/>
  </w:num>
  <w:num w:numId="16">
    <w:abstractNumId w:val="17"/>
  </w:num>
  <w:num w:numId="17">
    <w:abstractNumId w:val="18"/>
  </w:num>
  <w:num w:numId="18">
    <w:abstractNumId w:val="40"/>
  </w:num>
  <w:num w:numId="19">
    <w:abstractNumId w:val="24"/>
  </w:num>
  <w:num w:numId="20">
    <w:abstractNumId w:val="15"/>
  </w:num>
  <w:num w:numId="21">
    <w:abstractNumId w:val="34"/>
  </w:num>
  <w:num w:numId="22">
    <w:abstractNumId w:val="37"/>
  </w:num>
  <w:num w:numId="23">
    <w:abstractNumId w:val="39"/>
  </w:num>
  <w:num w:numId="24">
    <w:abstractNumId w:val="32"/>
  </w:num>
  <w:num w:numId="25">
    <w:abstractNumId w:val="29"/>
  </w:num>
  <w:num w:numId="26">
    <w:abstractNumId w:val="25"/>
  </w:num>
  <w:num w:numId="27">
    <w:abstractNumId w:val="35"/>
  </w:num>
  <w:num w:numId="28">
    <w:abstractNumId w:val="28"/>
  </w:num>
  <w:num w:numId="29">
    <w:abstractNumId w:val="11"/>
  </w:num>
  <w:num w:numId="30">
    <w:abstractNumId w:val="20"/>
  </w:num>
  <w:num w:numId="31">
    <w:abstractNumId w:val="12"/>
  </w:num>
  <w:num w:numId="32">
    <w:abstractNumId w:val="22"/>
  </w:num>
  <w:num w:numId="33">
    <w:abstractNumId w:val="41"/>
  </w:num>
  <w:num w:numId="34">
    <w:abstractNumId w:val="23"/>
  </w:num>
  <w:num w:numId="35">
    <w:abstractNumId w:val="33"/>
  </w:num>
  <w:num w:numId="36">
    <w:abstractNumId w:val="13"/>
  </w:num>
  <w:num w:numId="37">
    <w:abstractNumId w:val="10"/>
  </w:num>
  <w:num w:numId="38">
    <w:abstractNumId w:val="16"/>
  </w:num>
  <w:num w:numId="39">
    <w:abstractNumId w:val="21"/>
  </w:num>
  <w:num w:numId="40">
    <w:abstractNumId w:val="36"/>
  </w:num>
  <w:num w:numId="41">
    <w:abstractNumId w:val="19"/>
  </w:num>
  <w:num w:numId="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595"/>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3CB5"/>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C14"/>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6"/>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1FC"/>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EC2"/>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101"/>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A7"/>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3D6"/>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410"/>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089"/>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https://doi.org/10.1787/1e53cf80-en" TargetMode="External"/><Relationship Id="rId26" Type="http://schemas.openxmlformats.org/officeDocument/2006/relationships/hyperlink" Target="https://www.nice.org.uk/guidance/qs208"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journals.sagepub.com/toc/cric/28/1" TargetMode="External"/><Relationship Id="rId34" Type="http://schemas.openxmlformats.org/officeDocument/2006/relationships/image" Target="media/image3.PNG"/><Relationship Id="rId42" Type="http://schemas.openxmlformats.org/officeDocument/2006/relationships/image" Target="media/image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end-life-care" TargetMode="External"/><Relationship Id="rId25" Type="http://schemas.openxmlformats.org/officeDocument/2006/relationships/hyperlink" Target="https://www.nice.org.uk/guidance" TargetMode="External"/><Relationship Id="rId33" Type="http://schemas.openxmlformats.org/officeDocument/2006/relationships/hyperlink" Target="https://www.safetyandquality.gov.au/publications-and-resources/resource-library/poster-combined-airborne-and-contact-precautions" TargetMode="External"/><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ingsfund.org.uk/publications/dying-well-home-commissioning-quality-end-life-care" TargetMode="External"/><Relationship Id="rId20" Type="http://schemas.openxmlformats.org/officeDocument/2006/relationships/hyperlink" Target="https://qualitysafety.bmj.com/content/32/3" TargetMode="External"/><Relationship Id="rId29" Type="http://schemas.openxmlformats.org/officeDocument/2006/relationships/hyperlink" Target="https://www.safetyandquality.gov.au/covid-19" TargetMode="External"/><Relationship Id="rId41"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mq.edu.au/research/research-centres-groups-and-facilities/healthy-people/centres/australian-institute-of-health-innovation/our-projects/Health-Innovation-Series/health-innovation-series-e-medication-safety" TargetMode="External"/><Relationship Id="rId32" Type="http://schemas.openxmlformats.org/officeDocument/2006/relationships/image" Target="media/image2.png"/><Relationship Id="rId37" Type="http://schemas.openxmlformats.org/officeDocument/2006/relationships/hyperlink" Target="https://www.safetyandquality.gov.au/our-work/cognitive-impairment/cognitive-impairment-and-covid-19" TargetMode="External"/><Relationship Id="rId40" Type="http://schemas.openxmlformats.org/officeDocument/2006/relationships/hyperlink" Target="https://www.safetyandquality.gov.au/publications-and-resources/resource-library/covid-19-and-face-masks-information-consumer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787/722b927a-en" TargetMode="External"/><Relationship Id="rId23" Type="http://schemas.openxmlformats.org/officeDocument/2006/relationships/hyperlink" Target="https://academic.oup.com/intqhc/advance-articles" TargetMode="External"/><Relationship Id="rId28" Type="http://schemas.openxmlformats.org/officeDocument/2006/relationships/hyperlink" Target="https://evidence.nihr.ac.uk/" TargetMode="External"/><Relationship Id="rId36" Type="http://schemas.openxmlformats.org/officeDocument/2006/relationships/hyperlink" Target="https://www.safetyandquality.gov.au/publications-and-resources/resource-library/covid-19-infection-prevention-and-control-risk-management-guidance"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ahha.asn.au/sites/default/files/docs/policy-issue/perspectives_brief_no_26_digital_maturity_models.pdf" TargetMode="External"/><Relationship Id="rId31" Type="http://schemas.openxmlformats.org/officeDocument/2006/relationships/hyperlink" Target="https://www.safetyandquality.gov.au/publications-and-resources/resource-library/infection-prevention-and-control-poster-combined-contact-and-droplet-precautions" TargetMode="External"/><Relationship Id="rId44"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qualitysafety.bmj.com/content/early/recent" TargetMode="External"/><Relationship Id="rId27" Type="http://schemas.openxmlformats.org/officeDocument/2006/relationships/hyperlink" Target="https://www.nice.org.uk/guidance/qs209" TargetMode="External"/><Relationship Id="rId30" Type="http://schemas.openxmlformats.org/officeDocument/2006/relationships/hyperlink" Target="https://www.safetyandquality.gov.au/publications-and-resources/resource-library/covid-19-infection-prevention-and-control-risk-management-guidance" TargetMode="External"/><Relationship Id="rId35" Type="http://schemas.openxmlformats.org/officeDocument/2006/relationships/hyperlink" Target="http://www.safetyandquality.gov.au/environmental-cleaning" TargetMode="External"/><Relationship Id="rId43" Type="http://schemas.openxmlformats.org/officeDocument/2006/relationships/hyperlink" Target="https://covid19evidence.net.a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11</Pages>
  <Words>2926</Words>
  <Characters>19373</Characters>
  <Application>Microsoft Office Word</Application>
  <DocSecurity>0</DocSecurity>
  <Lines>421</Lines>
  <Paragraphs>206</Paragraphs>
  <ScaleCrop>false</ScaleCrop>
  <HeadingPairs>
    <vt:vector size="2" baseType="variant">
      <vt:variant>
        <vt:lpstr>Title</vt:lpstr>
      </vt:variant>
      <vt:variant>
        <vt:i4>1</vt:i4>
      </vt:variant>
    </vt:vector>
  </HeadingPairs>
  <TitlesOfParts>
    <vt:vector size="1" baseType="lpstr">
      <vt:lpstr>Draft On the Radar Issue 593</vt:lpstr>
    </vt:vector>
  </TitlesOfParts>
  <Company>ACSQHC</Company>
  <LinksUpToDate>false</LinksUpToDate>
  <CharactersWithSpaces>22093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593</dc:title>
  <dc:subject/>
  <dc:creator>Dr Niall Johnson</dc:creator>
  <cp:keywords>On the Radar</cp:keywords>
  <dc:description/>
  <cp:lastModifiedBy>JOHNSON, Niall</cp:lastModifiedBy>
  <cp:revision>16</cp:revision>
  <cp:lastPrinted>2018-03-02T02:34:00Z</cp:lastPrinted>
  <dcterms:created xsi:type="dcterms:W3CDTF">2023-02-27T01:57:00Z</dcterms:created>
  <dcterms:modified xsi:type="dcterms:W3CDTF">2023-03-02T22:34:00Z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