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1BF12076" w:rsidR="00B160EF" w:rsidRPr="00DD7416" w:rsidRDefault="00824B99" w:rsidP="004D6F78">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61808EBF">
            <wp:simplePos x="0" y="0"/>
            <wp:positionH relativeFrom="column">
              <wp:posOffset>149860</wp:posOffset>
            </wp:positionH>
            <wp:positionV relativeFrom="paragraph">
              <wp:posOffset>85202</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5623E2D5"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76103D">
        <w:rPr>
          <w:rFonts w:ascii="Garamond" w:hAnsi="Garamond"/>
          <w:color w:val="000000" w:themeColor="text1"/>
          <w:lang w:val="en-AU"/>
        </w:rPr>
        <w:t>5</w:t>
      </w:r>
      <w:r w:rsidR="00D03948">
        <w:rPr>
          <w:rFonts w:ascii="Garamond" w:hAnsi="Garamond"/>
          <w:color w:val="000000" w:themeColor="text1"/>
          <w:lang w:val="en-AU"/>
        </w:rPr>
        <w:t>9</w:t>
      </w:r>
      <w:r w:rsidR="00900EA3">
        <w:rPr>
          <w:rFonts w:ascii="Garamond" w:hAnsi="Garamond"/>
          <w:color w:val="000000" w:themeColor="text1"/>
          <w:lang w:val="en-AU"/>
        </w:rPr>
        <w:t>6</w:t>
      </w:r>
    </w:p>
    <w:p w14:paraId="5081D681" w14:textId="60CAB46A" w:rsidR="001A4346" w:rsidRDefault="0098125B" w:rsidP="00F738B5">
      <w:pPr>
        <w:rPr>
          <w:rFonts w:ascii="Garamond" w:hAnsi="Garamond"/>
          <w:lang w:val="en-AU"/>
        </w:rPr>
      </w:pPr>
      <w:r>
        <w:rPr>
          <w:rFonts w:ascii="Garamond" w:hAnsi="Garamond"/>
          <w:lang w:val="en-AU"/>
        </w:rPr>
        <w:t>2</w:t>
      </w:r>
      <w:r w:rsidR="00900EA3">
        <w:rPr>
          <w:rFonts w:ascii="Garamond" w:hAnsi="Garamond"/>
          <w:lang w:val="en-AU"/>
        </w:rPr>
        <w:t>7</w:t>
      </w:r>
      <w:r w:rsidR="00C23361">
        <w:rPr>
          <w:rFonts w:ascii="Garamond" w:hAnsi="Garamond"/>
          <w:lang w:val="en-AU"/>
        </w:rPr>
        <w:t xml:space="preserve"> March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380EE71"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hyperlink>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0C47B536" w14:textId="58CEBE36" w:rsidR="00904AFF"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0001ED">
        <w:rPr>
          <w:rFonts w:ascii="Garamond" w:hAnsi="Garamond"/>
          <w:bCs/>
          <w:lang w:val="en-AU"/>
        </w:rPr>
        <w:t xml:space="preserve">, </w:t>
      </w:r>
      <w:r w:rsidR="00106440">
        <w:rPr>
          <w:rFonts w:ascii="Garamond" w:hAnsi="Garamond"/>
          <w:bCs/>
          <w:lang w:val="en-AU"/>
        </w:rPr>
        <w:t xml:space="preserve">Kristin Xenos, </w:t>
      </w:r>
      <w:r w:rsidR="000001ED">
        <w:rPr>
          <w:rFonts w:ascii="Garamond" w:hAnsi="Garamond"/>
          <w:bCs/>
          <w:lang w:val="en-AU"/>
        </w:rPr>
        <w:t>Bernadette Aliprandi-Costa, Alice Bhasale</w:t>
      </w:r>
    </w:p>
    <w:p w14:paraId="1809EA50" w14:textId="0CC0DCDC" w:rsidR="00873536" w:rsidRDefault="00873536" w:rsidP="009525CC">
      <w:pPr>
        <w:rPr>
          <w:rFonts w:ascii="Garamond" w:hAnsi="Garamond"/>
          <w:bCs/>
          <w:lang w:val="en-AU"/>
        </w:rPr>
      </w:pPr>
    </w:p>
    <w:p w14:paraId="5DE59E70" w14:textId="11021215" w:rsidR="00106440" w:rsidRDefault="00106440" w:rsidP="009525CC">
      <w:pPr>
        <w:rPr>
          <w:rFonts w:ascii="Garamond" w:hAnsi="Garamond"/>
          <w:bCs/>
          <w:lang w:val="en-AU"/>
        </w:rPr>
      </w:pPr>
    </w:p>
    <w:p w14:paraId="177C6C53" w14:textId="13284C34" w:rsidR="00106440" w:rsidRPr="00106440" w:rsidRDefault="00106440" w:rsidP="009525CC">
      <w:pPr>
        <w:rPr>
          <w:rFonts w:ascii="Garamond" w:hAnsi="Garamond"/>
          <w:b/>
          <w:i/>
          <w:iCs/>
          <w:lang w:val="en-AU"/>
        </w:rPr>
      </w:pPr>
      <w:r w:rsidRPr="00106440">
        <w:rPr>
          <w:rFonts w:ascii="Garamond" w:hAnsi="Garamond"/>
          <w:b/>
          <w:i/>
          <w:iCs/>
          <w:lang w:val="en-AU"/>
        </w:rPr>
        <w:t>Antimicrobial Shortages Guidance</w:t>
      </w:r>
    </w:p>
    <w:p w14:paraId="55E2654A" w14:textId="27DAD3F4" w:rsidR="00106440" w:rsidRPr="00106440" w:rsidRDefault="00106440" w:rsidP="00106440">
      <w:pPr>
        <w:rPr>
          <w:rFonts w:ascii="Garamond" w:hAnsi="Garamond"/>
          <w:bCs/>
          <w:lang w:val="en-AU"/>
        </w:rPr>
      </w:pPr>
      <w:r w:rsidRPr="00106440">
        <w:rPr>
          <w:rFonts w:ascii="Garamond" w:hAnsi="Garamond"/>
          <w:bCs/>
          <w:lang w:val="en-AU"/>
        </w:rPr>
        <w:t xml:space="preserve">The Commission has published </w:t>
      </w:r>
      <w:r>
        <w:rPr>
          <w:rFonts w:ascii="Garamond" w:hAnsi="Garamond"/>
          <w:bCs/>
          <w:lang w:val="en-AU"/>
        </w:rPr>
        <w:t xml:space="preserve">two </w:t>
      </w:r>
      <w:r w:rsidRPr="00106440">
        <w:rPr>
          <w:rFonts w:ascii="Garamond" w:hAnsi="Garamond"/>
          <w:bCs/>
          <w:lang w:val="en-AU"/>
        </w:rPr>
        <w:t xml:space="preserve">general guidance resources for clinicians and consumers about antimicrobial shortages in both primary and acute care settings. </w:t>
      </w:r>
    </w:p>
    <w:p w14:paraId="6954B44D" w14:textId="77777777" w:rsidR="00106440" w:rsidRPr="00106440" w:rsidRDefault="00106440" w:rsidP="00106440">
      <w:pPr>
        <w:rPr>
          <w:rFonts w:ascii="Garamond" w:hAnsi="Garamond"/>
          <w:bCs/>
          <w:lang w:val="en-AU"/>
        </w:rPr>
      </w:pPr>
    </w:p>
    <w:p w14:paraId="7195E7CE" w14:textId="3259633C" w:rsidR="00106440" w:rsidRPr="00106440" w:rsidRDefault="00106440" w:rsidP="00106440">
      <w:pPr>
        <w:rPr>
          <w:rFonts w:ascii="Garamond" w:hAnsi="Garamond"/>
          <w:bCs/>
          <w:lang w:val="en-AU"/>
        </w:rPr>
      </w:pPr>
      <w:r w:rsidRPr="00106440">
        <w:rPr>
          <w:rFonts w:ascii="Garamond" w:hAnsi="Garamond"/>
          <w:bCs/>
          <w:lang w:val="en-AU"/>
        </w:rPr>
        <w:t>The consumer resource</w:t>
      </w:r>
      <w:r>
        <w:rPr>
          <w:rFonts w:ascii="Garamond" w:hAnsi="Garamond"/>
          <w:bCs/>
          <w:lang w:val="en-AU"/>
        </w:rPr>
        <w:t xml:space="preserve"> (</w:t>
      </w:r>
      <w:hyperlink r:id="rId15" w:history="1">
        <w:r w:rsidRPr="00AB54AC">
          <w:rPr>
            <w:rStyle w:val="Hyperlink"/>
            <w:rFonts w:ascii="Garamond" w:hAnsi="Garamond"/>
            <w:bCs/>
            <w:lang w:val="en-AU"/>
          </w:rPr>
          <w:t>https://www.safetyandquality.gov.au/publications-and-resources/resource-library/antimicrobial-shortages-consumer-guidance</w:t>
        </w:r>
      </w:hyperlink>
      <w:r>
        <w:rPr>
          <w:rFonts w:ascii="Garamond" w:hAnsi="Garamond"/>
          <w:bCs/>
          <w:lang w:val="en-AU"/>
        </w:rPr>
        <w:t>)</w:t>
      </w:r>
      <w:r w:rsidRPr="00106440">
        <w:rPr>
          <w:rFonts w:ascii="Garamond" w:hAnsi="Garamond"/>
          <w:bCs/>
          <w:lang w:val="en-AU"/>
        </w:rPr>
        <w:t xml:space="preserve"> covers</w:t>
      </w:r>
      <w:r>
        <w:rPr>
          <w:rFonts w:ascii="Garamond" w:hAnsi="Garamond"/>
          <w:bCs/>
          <w:lang w:val="en-AU"/>
        </w:rPr>
        <w:t>:</w:t>
      </w:r>
    </w:p>
    <w:p w14:paraId="1EEAB104" w14:textId="70569DD9" w:rsidR="00106440" w:rsidRPr="00106440" w:rsidRDefault="00106440" w:rsidP="00106440">
      <w:pPr>
        <w:pStyle w:val="ListParagraph"/>
        <w:numPr>
          <w:ilvl w:val="0"/>
          <w:numId w:val="45"/>
        </w:numPr>
        <w:rPr>
          <w:rFonts w:ascii="Garamond" w:hAnsi="Garamond"/>
          <w:bCs/>
          <w:lang w:val="en-AU"/>
        </w:rPr>
      </w:pPr>
      <w:r w:rsidRPr="00106440">
        <w:rPr>
          <w:rFonts w:ascii="Garamond" w:hAnsi="Garamond"/>
          <w:bCs/>
          <w:lang w:val="en-AU"/>
        </w:rPr>
        <w:t>What to do if your medicine is out of stock and how prescribers and pharmacists can work with consumers</w:t>
      </w:r>
    </w:p>
    <w:p w14:paraId="2C959E93" w14:textId="45F28DBC" w:rsidR="00106440" w:rsidRPr="00106440" w:rsidRDefault="00106440" w:rsidP="00106440">
      <w:pPr>
        <w:pStyle w:val="ListParagraph"/>
        <w:numPr>
          <w:ilvl w:val="0"/>
          <w:numId w:val="45"/>
        </w:numPr>
        <w:rPr>
          <w:rFonts w:ascii="Garamond" w:hAnsi="Garamond"/>
          <w:bCs/>
          <w:lang w:val="en-AU"/>
        </w:rPr>
      </w:pPr>
      <w:r w:rsidRPr="00106440">
        <w:rPr>
          <w:rFonts w:ascii="Garamond" w:hAnsi="Garamond"/>
          <w:bCs/>
          <w:lang w:val="en-AU"/>
        </w:rPr>
        <w:t>Particular advice for shortages of liquid antibiotics and tips for taking different forms of antibiotics</w:t>
      </w:r>
    </w:p>
    <w:p w14:paraId="02F1491E" w14:textId="4FFD137B" w:rsidR="00106440" w:rsidRPr="00106440" w:rsidRDefault="00106440" w:rsidP="00106440">
      <w:pPr>
        <w:pStyle w:val="ListParagraph"/>
        <w:numPr>
          <w:ilvl w:val="0"/>
          <w:numId w:val="45"/>
        </w:numPr>
        <w:rPr>
          <w:rFonts w:ascii="Garamond" w:hAnsi="Garamond"/>
          <w:bCs/>
          <w:lang w:val="en-AU"/>
        </w:rPr>
      </w:pPr>
      <w:r w:rsidRPr="00106440">
        <w:rPr>
          <w:rFonts w:ascii="Garamond" w:hAnsi="Garamond"/>
          <w:bCs/>
          <w:lang w:val="en-AU"/>
        </w:rPr>
        <w:t>Information about imported medications from other countries.</w:t>
      </w:r>
    </w:p>
    <w:p w14:paraId="7D8EC3F5" w14:textId="77777777" w:rsidR="00106440" w:rsidRPr="00106440" w:rsidRDefault="00106440" w:rsidP="00106440">
      <w:pPr>
        <w:rPr>
          <w:rFonts w:ascii="Garamond" w:hAnsi="Garamond"/>
          <w:bCs/>
          <w:lang w:val="en-AU"/>
        </w:rPr>
      </w:pPr>
    </w:p>
    <w:p w14:paraId="690099D2" w14:textId="76F4A98C" w:rsidR="00106440" w:rsidRPr="00106440" w:rsidRDefault="00106440" w:rsidP="00106440">
      <w:pPr>
        <w:rPr>
          <w:rFonts w:ascii="Garamond" w:hAnsi="Garamond"/>
          <w:bCs/>
          <w:lang w:val="en-AU"/>
        </w:rPr>
      </w:pPr>
      <w:r w:rsidRPr="00106440">
        <w:rPr>
          <w:rFonts w:ascii="Garamond" w:hAnsi="Garamond"/>
          <w:bCs/>
          <w:lang w:val="en-AU"/>
        </w:rPr>
        <w:t>The clinician resource</w:t>
      </w:r>
      <w:r>
        <w:rPr>
          <w:rFonts w:ascii="Garamond" w:hAnsi="Garamond"/>
          <w:bCs/>
          <w:lang w:val="en-AU"/>
        </w:rPr>
        <w:t xml:space="preserve"> (</w:t>
      </w:r>
      <w:hyperlink r:id="rId16" w:history="1">
        <w:r w:rsidRPr="00AB54AC">
          <w:rPr>
            <w:rStyle w:val="Hyperlink"/>
            <w:rFonts w:ascii="Garamond" w:hAnsi="Garamond"/>
            <w:bCs/>
            <w:lang w:val="en-AU"/>
          </w:rPr>
          <w:t>https://www.safetyandquality.gov.au/publications-and-resources/resource-library/antimicrobial-shortages-clinician-guidance</w:t>
        </w:r>
      </w:hyperlink>
      <w:r>
        <w:rPr>
          <w:rFonts w:ascii="Garamond" w:hAnsi="Garamond"/>
          <w:bCs/>
          <w:lang w:val="en-AU"/>
        </w:rPr>
        <w:t xml:space="preserve">) </w:t>
      </w:r>
      <w:r w:rsidRPr="00106440">
        <w:rPr>
          <w:rFonts w:ascii="Garamond" w:hAnsi="Garamond"/>
          <w:bCs/>
          <w:lang w:val="en-AU"/>
        </w:rPr>
        <w:t xml:space="preserve"> covers</w:t>
      </w:r>
      <w:r>
        <w:rPr>
          <w:rFonts w:ascii="Garamond" w:hAnsi="Garamond"/>
          <w:bCs/>
          <w:lang w:val="en-AU"/>
        </w:rPr>
        <w:t>:</w:t>
      </w:r>
    </w:p>
    <w:p w14:paraId="5719FBF5" w14:textId="0DBAC03A" w:rsidR="00106440" w:rsidRPr="00106440" w:rsidRDefault="00106440" w:rsidP="00106440">
      <w:pPr>
        <w:pStyle w:val="ListParagraph"/>
        <w:numPr>
          <w:ilvl w:val="0"/>
          <w:numId w:val="46"/>
        </w:numPr>
        <w:rPr>
          <w:rFonts w:ascii="Garamond" w:hAnsi="Garamond"/>
          <w:bCs/>
          <w:lang w:val="en-AU"/>
        </w:rPr>
      </w:pPr>
      <w:r w:rsidRPr="00106440">
        <w:rPr>
          <w:rFonts w:ascii="Garamond" w:hAnsi="Garamond"/>
          <w:bCs/>
          <w:lang w:val="en-AU"/>
        </w:rPr>
        <w:t>How clinicians are informed about shortages</w:t>
      </w:r>
    </w:p>
    <w:p w14:paraId="1AE3CAB6" w14:textId="613CEEE7" w:rsidR="00106440" w:rsidRPr="00106440" w:rsidRDefault="00106440" w:rsidP="00106440">
      <w:pPr>
        <w:pStyle w:val="ListParagraph"/>
        <w:numPr>
          <w:ilvl w:val="0"/>
          <w:numId w:val="46"/>
        </w:numPr>
        <w:rPr>
          <w:rFonts w:ascii="Garamond" w:hAnsi="Garamond"/>
          <w:bCs/>
          <w:lang w:val="en-AU"/>
        </w:rPr>
      </w:pPr>
      <w:r w:rsidRPr="00106440">
        <w:rPr>
          <w:rFonts w:ascii="Garamond" w:hAnsi="Garamond"/>
          <w:bCs/>
          <w:lang w:val="en-AU"/>
        </w:rPr>
        <w:t>What actions pharmacists and prescribers can take to manage a shortage</w:t>
      </w:r>
    </w:p>
    <w:p w14:paraId="1372AF40" w14:textId="77777777" w:rsidR="00106440" w:rsidRDefault="00106440" w:rsidP="00F50A77">
      <w:pPr>
        <w:pStyle w:val="ListParagraph"/>
        <w:numPr>
          <w:ilvl w:val="0"/>
          <w:numId w:val="46"/>
        </w:numPr>
        <w:rPr>
          <w:rFonts w:ascii="Garamond" w:hAnsi="Garamond"/>
          <w:bCs/>
          <w:lang w:val="en-AU"/>
        </w:rPr>
      </w:pPr>
      <w:r w:rsidRPr="00106440">
        <w:rPr>
          <w:rFonts w:ascii="Garamond" w:hAnsi="Garamond"/>
          <w:bCs/>
          <w:lang w:val="en-AU"/>
        </w:rPr>
        <w:lastRenderedPageBreak/>
        <w:t>General advice on encouraging administration of oral tablets or capsules if a liquid antibiotic is out of stock</w:t>
      </w:r>
    </w:p>
    <w:p w14:paraId="4770D1B7" w14:textId="77777777" w:rsidR="00106440" w:rsidRDefault="00106440" w:rsidP="007D6B9A">
      <w:pPr>
        <w:pStyle w:val="ListParagraph"/>
        <w:numPr>
          <w:ilvl w:val="0"/>
          <w:numId w:val="46"/>
        </w:numPr>
        <w:rPr>
          <w:rFonts w:ascii="Garamond" w:hAnsi="Garamond"/>
          <w:bCs/>
          <w:lang w:val="en-AU"/>
        </w:rPr>
      </w:pPr>
      <w:r w:rsidRPr="00106440">
        <w:rPr>
          <w:rFonts w:ascii="Garamond" w:hAnsi="Garamond"/>
          <w:bCs/>
          <w:lang w:val="en-AU"/>
        </w:rPr>
        <w:t>TGA instruments that can assist with stock management including Serious Scarcity Substitution Instruments (SSSIs); Section 19A stock; Special Access Scheme (SAS)</w:t>
      </w:r>
    </w:p>
    <w:p w14:paraId="00D39BB0" w14:textId="3D7F28DB" w:rsidR="00106440" w:rsidRPr="00106440" w:rsidRDefault="00106440" w:rsidP="007D6B9A">
      <w:pPr>
        <w:pStyle w:val="ListParagraph"/>
        <w:numPr>
          <w:ilvl w:val="0"/>
          <w:numId w:val="46"/>
        </w:numPr>
        <w:rPr>
          <w:rFonts w:ascii="Garamond" w:hAnsi="Garamond"/>
          <w:bCs/>
          <w:lang w:val="en-AU"/>
        </w:rPr>
      </w:pPr>
      <w:r w:rsidRPr="00106440">
        <w:rPr>
          <w:rFonts w:ascii="Garamond" w:hAnsi="Garamond"/>
          <w:bCs/>
          <w:lang w:val="en-AU"/>
        </w:rPr>
        <w:t>Links to other useful resources</w:t>
      </w:r>
      <w:r>
        <w:rPr>
          <w:rFonts w:ascii="Garamond" w:hAnsi="Garamond"/>
          <w:bCs/>
          <w:lang w:val="en-AU"/>
        </w:rPr>
        <w:t>.</w:t>
      </w:r>
    </w:p>
    <w:p w14:paraId="3A890F04" w14:textId="77777777" w:rsidR="00106440" w:rsidRDefault="00106440" w:rsidP="009525CC">
      <w:pPr>
        <w:rPr>
          <w:rFonts w:ascii="Garamond" w:hAnsi="Garamond"/>
          <w:bCs/>
          <w:lang w:val="en-AU"/>
        </w:rPr>
      </w:pPr>
    </w:p>
    <w:p w14:paraId="15B7AE71" w14:textId="77777777" w:rsidR="00106440" w:rsidRDefault="00106440" w:rsidP="009525CC">
      <w:pPr>
        <w:rPr>
          <w:rFonts w:ascii="Garamond" w:hAnsi="Garamond"/>
          <w:bCs/>
          <w:lang w:val="en-AU"/>
        </w:rPr>
      </w:pPr>
    </w:p>
    <w:p w14:paraId="03B800DF" w14:textId="77777777" w:rsidR="00106440" w:rsidRDefault="00106440" w:rsidP="009525CC">
      <w:pPr>
        <w:rPr>
          <w:rFonts w:ascii="Garamond" w:hAnsi="Garamond"/>
          <w:bCs/>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2F265929" w14:textId="54C8E621" w:rsidR="00C23361" w:rsidRDefault="00C23361" w:rsidP="00C23361">
      <w:pPr>
        <w:keepLines/>
        <w:autoSpaceDE w:val="0"/>
        <w:autoSpaceDN w:val="0"/>
        <w:adjustRightInd w:val="0"/>
        <w:rPr>
          <w:rFonts w:ascii="Garamond" w:hAnsi="Garamond"/>
          <w:lang w:val="en-AU"/>
        </w:rPr>
      </w:pPr>
    </w:p>
    <w:p w14:paraId="66CA7F21" w14:textId="77777777" w:rsidR="009B16C8" w:rsidRPr="009B16C8" w:rsidRDefault="009B16C8" w:rsidP="009B16C8">
      <w:pPr>
        <w:keepLines/>
        <w:autoSpaceDE w:val="0"/>
        <w:autoSpaceDN w:val="0"/>
        <w:adjustRightInd w:val="0"/>
        <w:rPr>
          <w:rFonts w:ascii="Garamond" w:hAnsi="Garamond"/>
          <w:i/>
          <w:iCs/>
          <w:lang w:val="en-AU"/>
        </w:rPr>
      </w:pPr>
      <w:r w:rsidRPr="009B16C8">
        <w:rPr>
          <w:rFonts w:ascii="Garamond" w:hAnsi="Garamond"/>
          <w:i/>
          <w:iCs/>
          <w:lang w:val="en-AU"/>
        </w:rPr>
        <w:t>Embracing carers: when will adult hospitals fully adopt the same practices as children’s hospitals?</w:t>
      </w:r>
    </w:p>
    <w:p w14:paraId="017BF6B3" w14:textId="77777777" w:rsidR="009B16C8" w:rsidRDefault="009B16C8" w:rsidP="009B16C8">
      <w:pPr>
        <w:keepLines/>
        <w:autoSpaceDE w:val="0"/>
        <w:autoSpaceDN w:val="0"/>
        <w:adjustRightInd w:val="0"/>
        <w:rPr>
          <w:rFonts w:ascii="Garamond" w:hAnsi="Garamond"/>
          <w:lang w:val="en-AU"/>
        </w:rPr>
      </w:pPr>
      <w:r w:rsidRPr="009B16C8">
        <w:rPr>
          <w:rFonts w:ascii="Garamond" w:hAnsi="Garamond"/>
          <w:lang w:val="en-AU"/>
        </w:rPr>
        <w:t>Williams MV, Li J</w:t>
      </w:r>
    </w:p>
    <w:p w14:paraId="0BB3DF1D" w14:textId="6B3622FD" w:rsidR="009B16C8" w:rsidRDefault="00873488" w:rsidP="009B16C8">
      <w:pPr>
        <w:keepLines/>
        <w:autoSpaceDE w:val="0"/>
        <w:autoSpaceDN w:val="0"/>
        <w:adjustRightInd w:val="0"/>
        <w:rPr>
          <w:rFonts w:ascii="Garamond" w:hAnsi="Garamond"/>
          <w:lang w:val="en-AU"/>
        </w:rPr>
      </w:pPr>
      <w:r>
        <w:rPr>
          <w:rFonts w:ascii="Garamond" w:hAnsi="Garamond"/>
          <w:lang w:val="en-AU"/>
        </w:rPr>
        <w:t>B</w:t>
      </w:r>
      <w:r w:rsidR="009B16C8" w:rsidRPr="009B16C8">
        <w:rPr>
          <w:rFonts w:ascii="Garamond" w:hAnsi="Garamond"/>
          <w:lang w:val="en-AU"/>
        </w:rPr>
        <w:t>MJ Quality &amp; Safety. 2023</w:t>
      </w:r>
      <w:r>
        <w:rPr>
          <w:rFonts w:ascii="Garamond" w:hAnsi="Garamond"/>
          <w:lang w:val="en-AU"/>
        </w:rPr>
        <w:t xml:space="preserve"> [epub]</w:t>
      </w:r>
      <w:r w:rsidR="009B16C8" w:rsidRPr="009B16C8">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9B16C8" w:rsidRPr="000170DA" w14:paraId="11CB27AC" w14:textId="77777777" w:rsidTr="001761F0">
        <w:tc>
          <w:tcPr>
            <w:tcW w:w="1080" w:type="dxa"/>
            <w:tcBorders>
              <w:top w:val="single" w:sz="4" w:space="0" w:color="auto"/>
              <w:left w:val="single" w:sz="4" w:space="0" w:color="auto"/>
              <w:bottom w:val="single" w:sz="4" w:space="0" w:color="auto"/>
              <w:right w:val="single" w:sz="4" w:space="0" w:color="auto"/>
            </w:tcBorders>
            <w:vAlign w:val="center"/>
          </w:tcPr>
          <w:p w14:paraId="0E8303DA" w14:textId="77777777" w:rsidR="009B16C8" w:rsidRPr="000170DA" w:rsidRDefault="009B16C8" w:rsidP="001761F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3377688" w14:textId="77777777" w:rsidR="009B16C8" w:rsidRPr="000170DA" w:rsidRDefault="00C33F77" w:rsidP="001761F0">
            <w:pPr>
              <w:keepNext/>
              <w:rPr>
                <w:rStyle w:val="Hyperlink"/>
                <w:rFonts w:ascii="Garamond" w:hAnsi="Garamond"/>
                <w:color w:val="auto"/>
                <w:u w:val="none"/>
                <w:lang w:val="en-AU"/>
              </w:rPr>
            </w:pPr>
            <w:hyperlink r:id="rId17" w:history="1">
              <w:r w:rsidR="009B16C8" w:rsidRPr="009D1579">
                <w:rPr>
                  <w:rStyle w:val="Hyperlink"/>
                  <w:rFonts w:ascii="Garamond" w:hAnsi="Garamond"/>
                  <w:lang w:val="en-AU"/>
                </w:rPr>
                <w:t>http://dx.doi.org/10.1136/bmjqs-2022-015425</w:t>
              </w:r>
            </w:hyperlink>
          </w:p>
        </w:tc>
      </w:tr>
      <w:tr w:rsidR="009B16C8" w:rsidRPr="000170DA" w14:paraId="218A0BEC" w14:textId="77777777" w:rsidTr="001761F0">
        <w:tc>
          <w:tcPr>
            <w:tcW w:w="1080" w:type="dxa"/>
            <w:tcBorders>
              <w:top w:val="single" w:sz="4" w:space="0" w:color="auto"/>
              <w:left w:val="single" w:sz="4" w:space="0" w:color="auto"/>
              <w:bottom w:val="single" w:sz="4" w:space="0" w:color="auto"/>
              <w:right w:val="single" w:sz="4" w:space="0" w:color="auto"/>
            </w:tcBorders>
            <w:vAlign w:val="center"/>
          </w:tcPr>
          <w:p w14:paraId="39BDAEA0" w14:textId="77777777" w:rsidR="009B16C8" w:rsidRPr="000170DA" w:rsidRDefault="009B16C8" w:rsidP="001761F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04CC2AA" w14:textId="398FFAFE" w:rsidR="009B16C8" w:rsidRDefault="00873488" w:rsidP="001761F0">
            <w:pPr>
              <w:rPr>
                <w:rFonts w:ascii="Garamond" w:hAnsi="Garamond"/>
                <w:lang w:val="en-AU"/>
              </w:rPr>
            </w:pPr>
            <w:r>
              <w:rPr>
                <w:rFonts w:ascii="Garamond" w:hAnsi="Garamond"/>
                <w:lang w:val="en-AU"/>
              </w:rPr>
              <w:t>This editorial in B</w:t>
            </w:r>
            <w:r w:rsidRPr="009B16C8">
              <w:rPr>
                <w:rFonts w:ascii="Garamond" w:hAnsi="Garamond"/>
                <w:lang w:val="en-AU"/>
              </w:rPr>
              <w:t>MJ Quality &amp; Safety</w:t>
            </w:r>
            <w:r>
              <w:rPr>
                <w:rFonts w:ascii="Garamond" w:hAnsi="Garamond"/>
                <w:lang w:val="en-AU"/>
              </w:rPr>
              <w:t xml:space="preserve"> reflects on how some of the aspects of care that hospitalised children and their families receive in hospital and why they are not also routine in adult hospitals. This includes medical teams meeting with patients and their families or ‘’family centred rounds (FCRs)’, family centred communications, etc. The transitions of care, including intrahospital transfers and discharge, are key times </w:t>
            </w:r>
            <w:r w:rsidR="00176082">
              <w:rPr>
                <w:rFonts w:ascii="Garamond" w:hAnsi="Garamond"/>
                <w:lang w:val="en-AU"/>
              </w:rPr>
              <w:t xml:space="preserve">for the sharing of information. </w:t>
            </w:r>
          </w:p>
          <w:p w14:paraId="1213FB6C" w14:textId="77777777" w:rsidR="00176082" w:rsidRDefault="00176082" w:rsidP="001761F0">
            <w:pPr>
              <w:rPr>
                <w:rFonts w:ascii="Garamond" w:hAnsi="Garamond"/>
                <w:lang w:val="en-AU"/>
              </w:rPr>
            </w:pPr>
            <w:r>
              <w:rPr>
                <w:rFonts w:ascii="Garamond" w:hAnsi="Garamond"/>
                <w:lang w:val="en-AU"/>
              </w:rPr>
              <w:t xml:space="preserve">The editorial notes a US study (Project ACHIEVE) that examined </w:t>
            </w:r>
            <w:r w:rsidRPr="00176082">
              <w:rPr>
                <w:rFonts w:ascii="Garamond" w:hAnsi="Garamond"/>
                <w:lang w:val="en-AU"/>
              </w:rPr>
              <w:t>factors affecting discharge readiness and utilisation of FCRs.</w:t>
            </w:r>
            <w:r>
              <w:rPr>
                <w:rFonts w:ascii="Garamond" w:hAnsi="Garamond"/>
                <w:lang w:val="en-AU"/>
              </w:rPr>
              <w:t xml:space="preserve"> The participants in that study ‘</w:t>
            </w:r>
            <w:r w:rsidRPr="00176082">
              <w:rPr>
                <w:rFonts w:ascii="Garamond" w:hAnsi="Garamond"/>
                <w:lang w:val="en-AU"/>
              </w:rPr>
              <w:t>clearly communicated what they want when leaving the hospital and how healthcare providers can help achieve their goals</w:t>
            </w:r>
            <w:r>
              <w:rPr>
                <w:rFonts w:ascii="Garamond" w:hAnsi="Garamond"/>
                <w:lang w:val="en-AU"/>
              </w:rPr>
              <w:t>’:</w:t>
            </w:r>
          </w:p>
          <w:p w14:paraId="4AD4DBE9" w14:textId="3D461B3D" w:rsidR="00176082" w:rsidRPr="00176082" w:rsidRDefault="00176082" w:rsidP="00176082">
            <w:pPr>
              <w:rPr>
                <w:rFonts w:ascii="Garamond" w:hAnsi="Garamond"/>
                <w:b/>
                <w:bCs/>
                <w:lang w:val="en-AU"/>
              </w:rPr>
            </w:pPr>
            <w:r w:rsidRPr="00176082">
              <w:rPr>
                <w:rFonts w:ascii="Garamond" w:hAnsi="Garamond"/>
                <w:b/>
                <w:bCs/>
                <w:lang w:val="en-AU"/>
              </w:rPr>
              <w:t>Achieving healthcare that delivers what matters most to patients in care transitions</w:t>
            </w:r>
          </w:p>
          <w:p w14:paraId="63055ECC" w14:textId="77777777" w:rsidR="00176082" w:rsidRPr="00176082" w:rsidRDefault="00176082" w:rsidP="00176082">
            <w:pPr>
              <w:rPr>
                <w:rFonts w:ascii="Garamond" w:hAnsi="Garamond"/>
                <w:lang w:val="en-AU"/>
              </w:rPr>
            </w:pPr>
            <w:r w:rsidRPr="00176082">
              <w:rPr>
                <w:rFonts w:ascii="Garamond" w:hAnsi="Garamond"/>
                <w:lang w:val="en-AU"/>
              </w:rPr>
              <w:t>What matters most to patients and carers (family caregivers) when transitioning from hospital to home</w:t>
            </w:r>
          </w:p>
          <w:p w14:paraId="44B21AB9" w14:textId="77777777" w:rsidR="00176082" w:rsidRPr="00176082" w:rsidRDefault="00176082" w:rsidP="00176082">
            <w:pPr>
              <w:pStyle w:val="ListParagraph"/>
              <w:numPr>
                <w:ilvl w:val="0"/>
                <w:numId w:val="47"/>
              </w:numPr>
              <w:rPr>
                <w:rFonts w:ascii="Garamond" w:hAnsi="Garamond"/>
                <w:lang w:val="en-AU"/>
              </w:rPr>
            </w:pPr>
            <w:r w:rsidRPr="00176082">
              <w:rPr>
                <w:rFonts w:ascii="Garamond" w:hAnsi="Garamond"/>
                <w:lang w:val="en-AU"/>
              </w:rPr>
              <w:t>To feel prepared and capable; they want:</w:t>
            </w:r>
          </w:p>
          <w:p w14:paraId="52A363A6" w14:textId="77777777" w:rsidR="00176082" w:rsidRPr="00176082" w:rsidRDefault="00176082" w:rsidP="00176082">
            <w:pPr>
              <w:pStyle w:val="ListParagraph"/>
              <w:numPr>
                <w:ilvl w:val="0"/>
                <w:numId w:val="48"/>
              </w:numPr>
              <w:rPr>
                <w:rFonts w:ascii="Garamond" w:hAnsi="Garamond"/>
                <w:lang w:val="en-AU"/>
              </w:rPr>
            </w:pPr>
            <w:r w:rsidRPr="00176082">
              <w:rPr>
                <w:rFonts w:ascii="Garamond" w:hAnsi="Garamond"/>
                <w:lang w:val="en-AU"/>
              </w:rPr>
              <w:t>Hospital providers to tell them what to expect when they leave the hospital.</w:t>
            </w:r>
          </w:p>
          <w:p w14:paraId="73DC066B" w14:textId="77777777" w:rsidR="00176082" w:rsidRPr="00176082" w:rsidRDefault="00176082" w:rsidP="00176082">
            <w:pPr>
              <w:pStyle w:val="ListParagraph"/>
              <w:numPr>
                <w:ilvl w:val="0"/>
                <w:numId w:val="48"/>
              </w:numPr>
              <w:rPr>
                <w:rFonts w:ascii="Garamond" w:hAnsi="Garamond"/>
                <w:lang w:val="en-AU"/>
              </w:rPr>
            </w:pPr>
            <w:r w:rsidRPr="00176082">
              <w:rPr>
                <w:rFonts w:ascii="Garamond" w:hAnsi="Garamond"/>
                <w:lang w:val="en-AU"/>
              </w:rPr>
              <w:t>To be shown what to do and be given tools to care for themselves.</w:t>
            </w:r>
          </w:p>
          <w:p w14:paraId="2255115D" w14:textId="77777777" w:rsidR="00176082" w:rsidRPr="00176082" w:rsidRDefault="00176082" w:rsidP="00176082">
            <w:pPr>
              <w:pStyle w:val="ListParagraph"/>
              <w:numPr>
                <w:ilvl w:val="0"/>
                <w:numId w:val="48"/>
              </w:numPr>
              <w:rPr>
                <w:rFonts w:ascii="Garamond" w:hAnsi="Garamond"/>
                <w:lang w:val="en-AU"/>
              </w:rPr>
            </w:pPr>
            <w:r w:rsidRPr="00176082">
              <w:rPr>
                <w:rFonts w:ascii="Garamond" w:hAnsi="Garamond"/>
                <w:lang w:val="en-AU"/>
              </w:rPr>
              <w:t>To be prepared for potential issues and know what to do if they occur.</w:t>
            </w:r>
          </w:p>
          <w:p w14:paraId="5C0DAC53" w14:textId="77777777" w:rsidR="00176082" w:rsidRPr="00176082" w:rsidRDefault="00176082" w:rsidP="00176082">
            <w:pPr>
              <w:pStyle w:val="ListParagraph"/>
              <w:numPr>
                <w:ilvl w:val="0"/>
                <w:numId w:val="47"/>
              </w:numPr>
              <w:rPr>
                <w:rFonts w:ascii="Garamond" w:hAnsi="Garamond"/>
                <w:lang w:val="en-AU"/>
              </w:rPr>
            </w:pPr>
            <w:r w:rsidRPr="00176082">
              <w:rPr>
                <w:rFonts w:ascii="Garamond" w:hAnsi="Garamond"/>
                <w:lang w:val="en-AU"/>
              </w:rPr>
              <w:t>Clear accountability; they want:</w:t>
            </w:r>
          </w:p>
          <w:p w14:paraId="6ACA6696" w14:textId="77777777" w:rsidR="00176082" w:rsidRPr="00176082" w:rsidRDefault="00176082" w:rsidP="00176082">
            <w:pPr>
              <w:pStyle w:val="ListParagraph"/>
              <w:numPr>
                <w:ilvl w:val="0"/>
                <w:numId w:val="48"/>
              </w:numPr>
              <w:rPr>
                <w:rFonts w:ascii="Garamond" w:hAnsi="Garamond"/>
                <w:lang w:val="en-AU"/>
              </w:rPr>
            </w:pPr>
            <w:r w:rsidRPr="00176082">
              <w:rPr>
                <w:rFonts w:ascii="Garamond" w:hAnsi="Garamond"/>
                <w:lang w:val="en-AU"/>
              </w:rPr>
              <w:t>Clear understanding of who is responsible for different aspects of their care when they leave the hospital.</w:t>
            </w:r>
          </w:p>
          <w:p w14:paraId="1670FF1D" w14:textId="77777777" w:rsidR="00176082" w:rsidRPr="00176082" w:rsidRDefault="00176082" w:rsidP="00176082">
            <w:pPr>
              <w:pStyle w:val="ListParagraph"/>
              <w:numPr>
                <w:ilvl w:val="0"/>
                <w:numId w:val="48"/>
              </w:numPr>
              <w:rPr>
                <w:rFonts w:ascii="Garamond" w:hAnsi="Garamond"/>
                <w:lang w:val="en-AU"/>
              </w:rPr>
            </w:pPr>
            <w:r w:rsidRPr="00176082">
              <w:rPr>
                <w:rFonts w:ascii="Garamond" w:hAnsi="Garamond"/>
                <w:lang w:val="en-AU"/>
              </w:rPr>
              <w:t>To know who I can contact if there are any problems.</w:t>
            </w:r>
          </w:p>
          <w:p w14:paraId="44DC4DEF" w14:textId="77777777" w:rsidR="00176082" w:rsidRPr="00176082" w:rsidRDefault="00176082" w:rsidP="00176082">
            <w:pPr>
              <w:pStyle w:val="ListParagraph"/>
              <w:numPr>
                <w:ilvl w:val="0"/>
                <w:numId w:val="47"/>
              </w:numPr>
              <w:rPr>
                <w:rFonts w:ascii="Garamond" w:hAnsi="Garamond"/>
                <w:lang w:val="en-AU"/>
              </w:rPr>
            </w:pPr>
            <w:r w:rsidRPr="00176082">
              <w:rPr>
                <w:rFonts w:ascii="Garamond" w:hAnsi="Garamond"/>
                <w:lang w:val="en-AU"/>
              </w:rPr>
              <w:t>To feel cared for and cared about; they want:</w:t>
            </w:r>
          </w:p>
          <w:p w14:paraId="5CDECE11" w14:textId="77777777" w:rsidR="00176082" w:rsidRPr="00176082" w:rsidRDefault="00176082" w:rsidP="00176082">
            <w:pPr>
              <w:pStyle w:val="ListParagraph"/>
              <w:numPr>
                <w:ilvl w:val="0"/>
                <w:numId w:val="48"/>
              </w:numPr>
              <w:rPr>
                <w:rFonts w:ascii="Garamond" w:hAnsi="Garamond"/>
                <w:lang w:val="en-AU"/>
              </w:rPr>
            </w:pPr>
            <w:r w:rsidRPr="00176082">
              <w:rPr>
                <w:rFonts w:ascii="Garamond" w:hAnsi="Garamond"/>
                <w:lang w:val="en-AU"/>
              </w:rPr>
              <w:t>To be confident that their healthcare providers are taking care of them and care about them as individuals.</w:t>
            </w:r>
          </w:p>
          <w:p w14:paraId="57950BAC" w14:textId="77777777" w:rsidR="00176082" w:rsidRPr="00176082" w:rsidRDefault="00176082" w:rsidP="00176082">
            <w:pPr>
              <w:rPr>
                <w:rFonts w:ascii="Garamond" w:hAnsi="Garamond"/>
                <w:lang w:val="en-AU"/>
              </w:rPr>
            </w:pPr>
            <w:r w:rsidRPr="00176082">
              <w:rPr>
                <w:rFonts w:ascii="Garamond" w:hAnsi="Garamond"/>
                <w:lang w:val="en-AU"/>
              </w:rPr>
              <w:t>Five behaviours healthcare providers can perform</w:t>
            </w:r>
          </w:p>
          <w:p w14:paraId="356ACBCF" w14:textId="77777777" w:rsidR="00176082" w:rsidRPr="00176082" w:rsidRDefault="00176082" w:rsidP="005736FE">
            <w:pPr>
              <w:pStyle w:val="ListParagraph"/>
              <w:numPr>
                <w:ilvl w:val="0"/>
                <w:numId w:val="49"/>
              </w:numPr>
              <w:rPr>
                <w:rFonts w:ascii="Garamond" w:hAnsi="Garamond"/>
                <w:lang w:val="en-AU"/>
              </w:rPr>
            </w:pPr>
            <w:r w:rsidRPr="00176082">
              <w:rPr>
                <w:rFonts w:ascii="Garamond" w:hAnsi="Garamond"/>
                <w:lang w:val="en-AU"/>
              </w:rPr>
              <w:t>Include patients and carers in discharge planning and provide actionable information that is tailored and understandable with confirmed comprehension (ie, ‘teach back’).</w:t>
            </w:r>
          </w:p>
          <w:p w14:paraId="399A4546" w14:textId="77777777" w:rsidR="00176082" w:rsidRPr="00176082" w:rsidRDefault="00176082" w:rsidP="005736FE">
            <w:pPr>
              <w:pStyle w:val="ListParagraph"/>
              <w:numPr>
                <w:ilvl w:val="0"/>
                <w:numId w:val="49"/>
              </w:numPr>
              <w:rPr>
                <w:rFonts w:ascii="Garamond" w:hAnsi="Garamond"/>
                <w:lang w:val="en-AU"/>
              </w:rPr>
            </w:pPr>
            <w:r w:rsidRPr="00176082">
              <w:rPr>
                <w:rFonts w:ascii="Garamond" w:hAnsi="Garamond"/>
                <w:lang w:val="en-AU"/>
              </w:rPr>
              <w:t>Provide timely information about the patient’s diagnosis and treatment.</w:t>
            </w:r>
          </w:p>
          <w:p w14:paraId="01314BE7" w14:textId="77777777" w:rsidR="00176082" w:rsidRPr="00176082" w:rsidRDefault="00176082" w:rsidP="005736FE">
            <w:pPr>
              <w:pStyle w:val="ListParagraph"/>
              <w:numPr>
                <w:ilvl w:val="0"/>
                <w:numId w:val="49"/>
              </w:numPr>
              <w:rPr>
                <w:rFonts w:ascii="Garamond" w:hAnsi="Garamond"/>
                <w:lang w:val="en-AU"/>
              </w:rPr>
            </w:pPr>
            <w:r w:rsidRPr="00176082">
              <w:rPr>
                <w:rFonts w:ascii="Garamond" w:hAnsi="Garamond"/>
                <w:lang w:val="en-AU"/>
              </w:rPr>
              <w:t>Show they care with language and gestures that communicate compassion and empathy.</w:t>
            </w:r>
          </w:p>
          <w:p w14:paraId="47CA625E" w14:textId="77777777" w:rsidR="00176082" w:rsidRPr="00176082" w:rsidRDefault="00176082" w:rsidP="005736FE">
            <w:pPr>
              <w:pStyle w:val="ListParagraph"/>
              <w:numPr>
                <w:ilvl w:val="0"/>
                <w:numId w:val="49"/>
              </w:numPr>
              <w:rPr>
                <w:rFonts w:ascii="Garamond" w:hAnsi="Garamond"/>
                <w:lang w:val="en-AU"/>
              </w:rPr>
            </w:pPr>
            <w:r w:rsidRPr="00176082">
              <w:rPr>
                <w:rFonts w:ascii="Garamond" w:hAnsi="Garamond"/>
                <w:lang w:val="en-AU"/>
              </w:rPr>
              <w:t>Anticipate patients’ needs to support self-care at home.</w:t>
            </w:r>
          </w:p>
          <w:p w14:paraId="3CE1125B" w14:textId="5AEA12BE" w:rsidR="009B16C8" w:rsidRPr="00176082" w:rsidRDefault="00176082" w:rsidP="005736FE">
            <w:pPr>
              <w:pStyle w:val="ListParagraph"/>
              <w:numPr>
                <w:ilvl w:val="0"/>
                <w:numId w:val="49"/>
              </w:numPr>
              <w:rPr>
                <w:rFonts w:ascii="Garamond" w:hAnsi="Garamond"/>
                <w:lang w:val="en-AU"/>
              </w:rPr>
            </w:pPr>
            <w:r w:rsidRPr="00176082">
              <w:rPr>
                <w:rFonts w:ascii="Garamond" w:hAnsi="Garamond"/>
                <w:lang w:val="en-AU"/>
              </w:rPr>
              <w:t>Provide uninterrupted care with minimal handoffs between providers.</w:t>
            </w:r>
          </w:p>
        </w:tc>
      </w:tr>
    </w:tbl>
    <w:p w14:paraId="47F80E90" w14:textId="77777777" w:rsidR="009B16C8" w:rsidRDefault="009B16C8" w:rsidP="009B16C8">
      <w:pPr>
        <w:keepLines/>
        <w:autoSpaceDE w:val="0"/>
        <w:autoSpaceDN w:val="0"/>
        <w:adjustRightInd w:val="0"/>
        <w:rPr>
          <w:rFonts w:ascii="Garamond" w:hAnsi="Garamond"/>
          <w:lang w:val="en-AU"/>
        </w:rPr>
      </w:pPr>
    </w:p>
    <w:p w14:paraId="5D497997" w14:textId="77777777" w:rsidR="009B16C8" w:rsidRDefault="009B16C8" w:rsidP="00C23361">
      <w:pPr>
        <w:keepLines/>
        <w:autoSpaceDE w:val="0"/>
        <w:autoSpaceDN w:val="0"/>
        <w:adjustRightInd w:val="0"/>
        <w:rPr>
          <w:rFonts w:ascii="Garamond" w:hAnsi="Garamond"/>
          <w:lang w:val="en-AU"/>
        </w:rPr>
      </w:pPr>
    </w:p>
    <w:p w14:paraId="2B3D61DD" w14:textId="77777777" w:rsidR="001233CD" w:rsidRPr="001233CD" w:rsidRDefault="001233CD" w:rsidP="001233CD">
      <w:pPr>
        <w:keepLines/>
        <w:autoSpaceDE w:val="0"/>
        <w:autoSpaceDN w:val="0"/>
        <w:adjustRightInd w:val="0"/>
        <w:rPr>
          <w:rFonts w:ascii="Garamond" w:hAnsi="Garamond"/>
          <w:i/>
          <w:iCs/>
          <w:lang w:val="en-AU"/>
        </w:rPr>
      </w:pPr>
      <w:r w:rsidRPr="001233CD">
        <w:rPr>
          <w:rFonts w:ascii="Garamond" w:hAnsi="Garamond"/>
          <w:i/>
          <w:iCs/>
          <w:lang w:val="en-AU"/>
        </w:rPr>
        <w:lastRenderedPageBreak/>
        <w:t>Analysis of the nature and contributory factors of medication safety incidents following hospital discharge using National Reporting and Learning System (NRLS) data from England and Wales: a multi-method study</w:t>
      </w:r>
    </w:p>
    <w:p w14:paraId="60948733" w14:textId="77777777" w:rsidR="001233CD" w:rsidRDefault="001233CD" w:rsidP="00555EE0">
      <w:pPr>
        <w:keepLines/>
        <w:autoSpaceDE w:val="0"/>
        <w:autoSpaceDN w:val="0"/>
        <w:adjustRightInd w:val="0"/>
        <w:rPr>
          <w:rFonts w:ascii="Garamond" w:hAnsi="Garamond"/>
          <w:lang w:val="en-AU"/>
        </w:rPr>
      </w:pPr>
      <w:r w:rsidRPr="001233CD">
        <w:rPr>
          <w:rFonts w:ascii="Garamond" w:hAnsi="Garamond"/>
          <w:lang w:val="en-AU"/>
        </w:rPr>
        <w:t>Alqenae FA, Steinke D, Carson-Stevens A, Keers RN</w:t>
      </w:r>
    </w:p>
    <w:p w14:paraId="01B96AA0" w14:textId="7F0A2CE9" w:rsidR="00555EE0" w:rsidRDefault="001233CD" w:rsidP="00555EE0">
      <w:pPr>
        <w:keepLines/>
        <w:autoSpaceDE w:val="0"/>
        <w:autoSpaceDN w:val="0"/>
        <w:adjustRightInd w:val="0"/>
        <w:rPr>
          <w:rFonts w:ascii="Garamond" w:hAnsi="Garamond"/>
          <w:lang w:val="en-AU"/>
        </w:rPr>
      </w:pPr>
      <w:r w:rsidRPr="001233CD">
        <w:rPr>
          <w:rFonts w:ascii="Garamond" w:hAnsi="Garamond"/>
          <w:lang w:val="en-AU"/>
        </w:rPr>
        <w:t>Therapeutic Advances in Drug Safety. 2023;14.</w:t>
      </w:r>
    </w:p>
    <w:tbl>
      <w:tblPr>
        <w:tblStyle w:val="TableGrid"/>
        <w:tblW w:w="9360" w:type="dxa"/>
        <w:tblInd w:w="288" w:type="dxa"/>
        <w:tblLayout w:type="fixed"/>
        <w:tblLook w:val="01E0" w:firstRow="1" w:lastRow="1" w:firstColumn="1" w:lastColumn="1" w:noHBand="0" w:noVBand="0"/>
      </w:tblPr>
      <w:tblGrid>
        <w:gridCol w:w="1080"/>
        <w:gridCol w:w="8280"/>
      </w:tblGrid>
      <w:tr w:rsidR="00555EE0" w:rsidRPr="000170DA" w14:paraId="3C1B403F" w14:textId="77777777" w:rsidTr="006B57CE">
        <w:tc>
          <w:tcPr>
            <w:tcW w:w="1080" w:type="dxa"/>
            <w:tcBorders>
              <w:top w:val="single" w:sz="4" w:space="0" w:color="auto"/>
              <w:left w:val="single" w:sz="4" w:space="0" w:color="auto"/>
              <w:bottom w:val="single" w:sz="4" w:space="0" w:color="auto"/>
              <w:right w:val="single" w:sz="4" w:space="0" w:color="auto"/>
            </w:tcBorders>
            <w:vAlign w:val="center"/>
          </w:tcPr>
          <w:p w14:paraId="413C34C5" w14:textId="77777777" w:rsidR="00555EE0" w:rsidRPr="000170DA" w:rsidRDefault="00555EE0" w:rsidP="006B57C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DC14FB2" w14:textId="77777777" w:rsidR="00555EE0" w:rsidRPr="000170DA" w:rsidRDefault="00C33F77" w:rsidP="006B57CE">
            <w:pPr>
              <w:keepNext/>
              <w:rPr>
                <w:rStyle w:val="Hyperlink"/>
                <w:rFonts w:ascii="Garamond" w:hAnsi="Garamond"/>
                <w:color w:val="auto"/>
                <w:u w:val="none"/>
                <w:lang w:val="en-AU"/>
              </w:rPr>
            </w:pPr>
            <w:hyperlink r:id="rId18" w:history="1">
              <w:r w:rsidR="00555EE0" w:rsidRPr="004B309A">
                <w:rPr>
                  <w:rStyle w:val="Hyperlink"/>
                  <w:rFonts w:ascii="Garamond" w:hAnsi="Garamond"/>
                  <w:lang w:val="en-AU"/>
                </w:rPr>
                <w:t>https://doi.org/10.1177/20420986231154365</w:t>
              </w:r>
            </w:hyperlink>
            <w:r w:rsidR="00555EE0">
              <w:rPr>
                <w:rStyle w:val="Hyperlink"/>
                <w:rFonts w:ascii="Garamond" w:hAnsi="Garamond"/>
                <w:color w:val="auto"/>
                <w:u w:val="none"/>
                <w:lang w:val="en-AU"/>
              </w:rPr>
              <w:t xml:space="preserve"> </w:t>
            </w:r>
          </w:p>
        </w:tc>
      </w:tr>
      <w:tr w:rsidR="00555EE0" w:rsidRPr="000170DA" w14:paraId="61C95571" w14:textId="77777777" w:rsidTr="006B57CE">
        <w:tc>
          <w:tcPr>
            <w:tcW w:w="1080" w:type="dxa"/>
            <w:tcBorders>
              <w:top w:val="single" w:sz="4" w:space="0" w:color="auto"/>
              <w:left w:val="single" w:sz="4" w:space="0" w:color="auto"/>
              <w:bottom w:val="single" w:sz="4" w:space="0" w:color="auto"/>
              <w:right w:val="single" w:sz="4" w:space="0" w:color="auto"/>
            </w:tcBorders>
            <w:vAlign w:val="center"/>
          </w:tcPr>
          <w:p w14:paraId="7C7C8FE4" w14:textId="77777777" w:rsidR="00555EE0" w:rsidRPr="000170DA" w:rsidRDefault="00555EE0" w:rsidP="006B57C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1A92A51" w14:textId="6A7F7BF3" w:rsidR="00CC17C4" w:rsidRPr="00D0490E" w:rsidRDefault="00555EE0" w:rsidP="001233CD">
            <w:pPr>
              <w:rPr>
                <w:rFonts w:ascii="Garamond" w:hAnsi="Garamond"/>
                <w:lang w:val="en-AU"/>
              </w:rPr>
            </w:pPr>
            <w:r>
              <w:rPr>
                <w:rFonts w:ascii="Garamond" w:hAnsi="Garamond"/>
                <w:lang w:val="en-AU"/>
              </w:rPr>
              <w:t xml:space="preserve">Safety and quality of care at transitions of care is a known issue. Also well-recognised is that medication-related incidents are among the most common of safety and quality issues. This study used a </w:t>
            </w:r>
            <w:r w:rsidRPr="00555EE0">
              <w:rPr>
                <w:rFonts w:ascii="Garamond" w:hAnsi="Garamond"/>
                <w:lang w:val="en-AU"/>
              </w:rPr>
              <w:t>retrospective analysis of medication incidents reported to the National Reporting and Learning System (NRLS) in England and Wales between 2015 and 2019</w:t>
            </w:r>
            <w:r>
              <w:rPr>
                <w:rFonts w:ascii="Garamond" w:hAnsi="Garamond"/>
                <w:lang w:val="en-AU"/>
              </w:rPr>
              <w:t xml:space="preserve"> to examine </w:t>
            </w:r>
            <w:r w:rsidRPr="00555EE0">
              <w:rPr>
                <w:rFonts w:ascii="Garamond" w:hAnsi="Garamond"/>
                <w:lang w:val="en-AU"/>
              </w:rPr>
              <w:t>the nature and contributory factors of medication-related incidents during transition of care from secondary to primary care.</w:t>
            </w:r>
            <w:r w:rsidR="001233CD">
              <w:rPr>
                <w:rFonts w:ascii="Garamond" w:hAnsi="Garamond"/>
                <w:lang w:val="en-AU"/>
              </w:rPr>
              <w:t xml:space="preserve"> From the 1121 medication-related incident reports studied, the authors report that ‘</w:t>
            </w:r>
            <w:r w:rsidR="001233CD" w:rsidRPr="001233CD">
              <w:rPr>
                <w:rFonts w:ascii="Garamond" w:hAnsi="Garamond"/>
                <w:lang w:val="en-AU"/>
              </w:rPr>
              <w:t>Most incidents involved patients over 65 years old (55%, n</w:t>
            </w:r>
            <w:r w:rsidR="001233CD" w:rsidRPr="001233CD">
              <w:rPr>
                <w:lang w:val="en-AU"/>
              </w:rPr>
              <w:t> </w:t>
            </w:r>
            <w:r w:rsidR="001233CD" w:rsidRPr="001233CD">
              <w:rPr>
                <w:rFonts w:ascii="Garamond" w:hAnsi="Garamond"/>
                <w:lang w:val="en-AU"/>
              </w:rPr>
              <w:t>=</w:t>
            </w:r>
            <w:r w:rsidR="001233CD" w:rsidRPr="001233CD">
              <w:rPr>
                <w:lang w:val="en-AU"/>
              </w:rPr>
              <w:t> </w:t>
            </w:r>
            <w:r w:rsidR="001233CD" w:rsidRPr="001233CD">
              <w:rPr>
                <w:rFonts w:ascii="Garamond" w:hAnsi="Garamond"/>
                <w:lang w:val="en-AU"/>
              </w:rPr>
              <w:t>626/1121). More than one in 10 (12.6%, n</w:t>
            </w:r>
            <w:r w:rsidR="001233CD" w:rsidRPr="001233CD">
              <w:rPr>
                <w:lang w:val="en-AU"/>
              </w:rPr>
              <w:t> </w:t>
            </w:r>
            <w:r w:rsidR="001233CD" w:rsidRPr="001233CD">
              <w:rPr>
                <w:rFonts w:ascii="Garamond" w:hAnsi="Garamond"/>
                <w:lang w:val="en-AU"/>
              </w:rPr>
              <w:t>=</w:t>
            </w:r>
            <w:r w:rsidR="001233CD" w:rsidRPr="001233CD">
              <w:rPr>
                <w:lang w:val="en-AU"/>
              </w:rPr>
              <w:t> </w:t>
            </w:r>
            <w:r w:rsidR="001233CD" w:rsidRPr="001233CD">
              <w:rPr>
                <w:rFonts w:ascii="Garamond" w:hAnsi="Garamond"/>
                <w:lang w:val="en-AU"/>
              </w:rPr>
              <w:t>142/1121) incidents were associated with patient harm. The drug monitoring (17%) and administration stages (15%) were associated with a higher proportion of harmful incidents than any other drug use stages. Common medication classes associated with incidents were the cardiovascular (n</w:t>
            </w:r>
            <w:r w:rsidR="001233CD" w:rsidRPr="001233CD">
              <w:rPr>
                <w:lang w:val="en-AU"/>
              </w:rPr>
              <w:t> </w:t>
            </w:r>
            <w:r w:rsidR="001233CD" w:rsidRPr="001233CD">
              <w:rPr>
                <w:rFonts w:ascii="Garamond" w:hAnsi="Garamond"/>
                <w:lang w:val="en-AU"/>
              </w:rPr>
              <w:t>=</w:t>
            </w:r>
            <w:r w:rsidR="001233CD" w:rsidRPr="001233CD">
              <w:rPr>
                <w:lang w:val="en-AU"/>
              </w:rPr>
              <w:t> </w:t>
            </w:r>
            <w:r w:rsidR="001233CD" w:rsidRPr="001233CD">
              <w:rPr>
                <w:rFonts w:ascii="Garamond" w:hAnsi="Garamond"/>
                <w:lang w:val="en-AU"/>
              </w:rPr>
              <w:t>734) and central nervous (n</w:t>
            </w:r>
            <w:r w:rsidR="001233CD" w:rsidRPr="001233CD">
              <w:rPr>
                <w:lang w:val="en-AU"/>
              </w:rPr>
              <w:t> </w:t>
            </w:r>
            <w:r w:rsidR="001233CD" w:rsidRPr="001233CD">
              <w:rPr>
                <w:rFonts w:ascii="Garamond" w:hAnsi="Garamond"/>
                <w:lang w:val="en-AU"/>
              </w:rPr>
              <w:t>=</w:t>
            </w:r>
            <w:r w:rsidR="001233CD" w:rsidRPr="001233CD">
              <w:rPr>
                <w:lang w:val="en-AU"/>
              </w:rPr>
              <w:t> </w:t>
            </w:r>
            <w:r w:rsidR="001233CD" w:rsidRPr="001233CD">
              <w:rPr>
                <w:rFonts w:ascii="Garamond" w:hAnsi="Garamond"/>
                <w:lang w:val="en-AU"/>
              </w:rPr>
              <w:t>273) systems.</w:t>
            </w:r>
            <w:r w:rsidR="001233CD">
              <w:rPr>
                <w:rFonts w:ascii="Garamond" w:hAnsi="Garamond"/>
                <w:lang w:val="en-AU"/>
              </w:rPr>
              <w:t xml:space="preserve">  The authors suggest that targets for interventions may include ‘</w:t>
            </w:r>
            <w:r w:rsidR="001233CD" w:rsidRPr="001233CD">
              <w:rPr>
                <w:rFonts w:ascii="Garamond" w:hAnsi="Garamond"/>
                <w:lang w:val="en-AU"/>
              </w:rPr>
              <w:t>commonly observed medication classes, older adults, increase patient engagement, and improve shared care agreement for medication monitoring post hospital discharge.</w:t>
            </w:r>
            <w:r w:rsidR="001233CD">
              <w:rPr>
                <w:rFonts w:ascii="Garamond" w:hAnsi="Garamond"/>
                <w:lang w:val="en-AU"/>
              </w:rPr>
              <w:t>’</w:t>
            </w:r>
          </w:p>
        </w:tc>
      </w:tr>
    </w:tbl>
    <w:p w14:paraId="03DFBF19" w14:textId="77777777" w:rsidR="00555EE0" w:rsidRDefault="00555EE0" w:rsidP="00555EE0">
      <w:pPr>
        <w:keepLines/>
        <w:autoSpaceDE w:val="0"/>
        <w:autoSpaceDN w:val="0"/>
        <w:adjustRightInd w:val="0"/>
        <w:rPr>
          <w:rFonts w:ascii="Garamond" w:hAnsi="Garamond"/>
          <w:lang w:val="en-AU"/>
        </w:rPr>
      </w:pPr>
    </w:p>
    <w:p w14:paraId="39B2DCE7" w14:textId="77777777" w:rsidR="00555EE0" w:rsidRDefault="00555EE0" w:rsidP="00555EE0">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see </w:t>
      </w:r>
      <w:hyperlink r:id="rId19" w:history="1">
        <w:r w:rsidRPr="004B309A">
          <w:rPr>
            <w:rStyle w:val="Hyperlink"/>
            <w:rFonts w:ascii="Garamond" w:hAnsi="Garamond"/>
            <w:lang w:val="en-AU"/>
          </w:rPr>
          <w:t>https://www.safetyandquality.gov.au/our-work/medication-safety</w:t>
        </w:r>
      </w:hyperlink>
    </w:p>
    <w:p w14:paraId="1DD153F3" w14:textId="4D6D620B" w:rsidR="00555EE0" w:rsidRDefault="00555EE0" w:rsidP="00555EE0">
      <w:pPr>
        <w:keepLines/>
        <w:autoSpaceDE w:val="0"/>
        <w:autoSpaceDN w:val="0"/>
        <w:adjustRightInd w:val="0"/>
        <w:rPr>
          <w:rFonts w:ascii="Garamond" w:hAnsi="Garamond"/>
          <w:lang w:val="en-AU"/>
        </w:rPr>
      </w:pPr>
    </w:p>
    <w:p w14:paraId="3F6D4517" w14:textId="2C777BB2" w:rsidR="005B5ED9" w:rsidRDefault="005B5ED9" w:rsidP="008C1BAD">
      <w:pPr>
        <w:keepNext/>
        <w:keepLines/>
        <w:autoSpaceDE w:val="0"/>
        <w:autoSpaceDN w:val="0"/>
        <w:adjustRightInd w:val="0"/>
        <w:rPr>
          <w:rFonts w:ascii="Garamond" w:hAnsi="Garamond"/>
          <w:i/>
          <w:iCs/>
          <w:lang w:val="en-AU"/>
        </w:rPr>
      </w:pPr>
      <w:r w:rsidRPr="005B5ED9">
        <w:rPr>
          <w:rFonts w:ascii="Garamond" w:hAnsi="Garamond"/>
          <w:i/>
          <w:iCs/>
          <w:lang w:val="en-AU"/>
        </w:rPr>
        <w:t>What works in medication reconciliation: an on-treatment and site analysis of the MARQUIS2 study</w:t>
      </w:r>
    </w:p>
    <w:p w14:paraId="0A454189" w14:textId="77777777" w:rsidR="008C1BAD" w:rsidRDefault="008C1BAD" w:rsidP="008C1BAD">
      <w:pPr>
        <w:keepNext/>
        <w:keepLines/>
        <w:autoSpaceDE w:val="0"/>
        <w:autoSpaceDN w:val="0"/>
        <w:adjustRightInd w:val="0"/>
        <w:rPr>
          <w:rFonts w:ascii="Garamond" w:hAnsi="Garamond"/>
          <w:lang w:val="en-AU"/>
        </w:rPr>
      </w:pPr>
      <w:r w:rsidRPr="008C1BAD">
        <w:rPr>
          <w:rFonts w:ascii="Garamond" w:hAnsi="Garamond"/>
          <w:lang w:val="en-AU"/>
        </w:rPr>
        <w:t>Schnipper JL, Reyes Nieva H, Yoon C, Mallouk M, Mixon AS, Rennke S, et al</w:t>
      </w:r>
    </w:p>
    <w:p w14:paraId="7ED12577" w14:textId="38FAE0FD" w:rsidR="005B5ED9" w:rsidRPr="008C1BAD" w:rsidRDefault="008C1BAD" w:rsidP="008C1BAD">
      <w:pPr>
        <w:keepNext/>
        <w:keepLines/>
        <w:autoSpaceDE w:val="0"/>
        <w:autoSpaceDN w:val="0"/>
        <w:adjustRightInd w:val="0"/>
        <w:rPr>
          <w:rFonts w:ascii="Garamond" w:hAnsi="Garamond"/>
          <w:lang w:val="en-AU"/>
        </w:rPr>
      </w:pPr>
      <w:r w:rsidRPr="008C1BAD">
        <w:rPr>
          <w:rFonts w:ascii="Garamond" w:hAnsi="Garamond"/>
          <w:lang w:val="en-AU"/>
        </w:rPr>
        <w:t>BMJ Quality &amp; Safety. 2023</w:t>
      </w:r>
      <w:r>
        <w:rPr>
          <w:rFonts w:ascii="Garamond" w:hAnsi="Garamond"/>
          <w:lang w:val="en-AU"/>
        </w:rPr>
        <w:t xml:space="preserve"> [epub]</w:t>
      </w:r>
    </w:p>
    <w:tbl>
      <w:tblPr>
        <w:tblStyle w:val="TableGrid"/>
        <w:tblW w:w="9360" w:type="dxa"/>
        <w:tblInd w:w="288" w:type="dxa"/>
        <w:tblLayout w:type="fixed"/>
        <w:tblLook w:val="01E0" w:firstRow="1" w:lastRow="1" w:firstColumn="1" w:lastColumn="1" w:noHBand="0" w:noVBand="0"/>
      </w:tblPr>
      <w:tblGrid>
        <w:gridCol w:w="1080"/>
        <w:gridCol w:w="8280"/>
      </w:tblGrid>
      <w:tr w:rsidR="005B5ED9" w:rsidRPr="000170DA" w14:paraId="17030E40" w14:textId="77777777" w:rsidTr="001761F0">
        <w:tc>
          <w:tcPr>
            <w:tcW w:w="1080" w:type="dxa"/>
            <w:tcBorders>
              <w:top w:val="single" w:sz="4" w:space="0" w:color="auto"/>
              <w:left w:val="single" w:sz="4" w:space="0" w:color="auto"/>
              <w:bottom w:val="single" w:sz="4" w:space="0" w:color="auto"/>
              <w:right w:val="single" w:sz="4" w:space="0" w:color="auto"/>
            </w:tcBorders>
            <w:vAlign w:val="center"/>
          </w:tcPr>
          <w:p w14:paraId="5E004A9C" w14:textId="77777777" w:rsidR="005B5ED9" w:rsidRPr="000170DA" w:rsidRDefault="005B5ED9" w:rsidP="001761F0">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C3B38E9" w14:textId="77777777" w:rsidR="005B5ED9" w:rsidRPr="000170DA" w:rsidRDefault="00C33F77" w:rsidP="001761F0">
            <w:pPr>
              <w:keepNext/>
              <w:rPr>
                <w:rStyle w:val="Hyperlink"/>
                <w:rFonts w:ascii="Garamond" w:hAnsi="Garamond"/>
                <w:color w:val="auto"/>
                <w:u w:val="none"/>
                <w:lang w:val="en-AU"/>
              </w:rPr>
            </w:pPr>
            <w:hyperlink r:id="rId20" w:history="1">
              <w:r w:rsidR="005B5ED9" w:rsidRPr="009D1579">
                <w:rPr>
                  <w:rStyle w:val="Hyperlink"/>
                  <w:rFonts w:ascii="Garamond" w:hAnsi="Garamond"/>
                  <w:lang w:val="en-AU"/>
                </w:rPr>
                <w:t>http://dx.doi.org/10.1136/bmjqs-2022-014806</w:t>
              </w:r>
            </w:hyperlink>
          </w:p>
        </w:tc>
      </w:tr>
      <w:tr w:rsidR="005B5ED9" w:rsidRPr="000170DA" w14:paraId="0F0E2393" w14:textId="77777777" w:rsidTr="001761F0">
        <w:tc>
          <w:tcPr>
            <w:tcW w:w="1080" w:type="dxa"/>
            <w:tcBorders>
              <w:top w:val="single" w:sz="4" w:space="0" w:color="auto"/>
              <w:left w:val="single" w:sz="4" w:space="0" w:color="auto"/>
              <w:bottom w:val="single" w:sz="4" w:space="0" w:color="auto"/>
              <w:right w:val="single" w:sz="4" w:space="0" w:color="auto"/>
            </w:tcBorders>
            <w:vAlign w:val="center"/>
          </w:tcPr>
          <w:p w14:paraId="6B466B4A" w14:textId="77777777" w:rsidR="005B5ED9" w:rsidRPr="000170DA" w:rsidRDefault="005B5ED9" w:rsidP="001761F0">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203B316" w14:textId="51436073" w:rsidR="008C1BAD" w:rsidRDefault="00176082" w:rsidP="00CC17C4">
            <w:pPr>
              <w:rPr>
                <w:rFonts w:ascii="Garamond" w:hAnsi="Garamond"/>
                <w:lang w:val="en-AU"/>
              </w:rPr>
            </w:pPr>
            <w:r>
              <w:rPr>
                <w:rFonts w:ascii="Garamond" w:hAnsi="Garamond"/>
                <w:lang w:val="en-AU"/>
              </w:rPr>
              <w:t>Medication reconciliation, particularly at transitions of care, has been considered an important mechanism in preventing and reducing medication</w:t>
            </w:r>
            <w:r w:rsidR="008C1BAD">
              <w:rPr>
                <w:rFonts w:ascii="Garamond" w:hAnsi="Garamond"/>
                <w:lang w:val="en-AU"/>
              </w:rPr>
              <w:t xml:space="preserve"> issues. This paper stems from the s</w:t>
            </w:r>
            <w:r w:rsidR="008C1BAD" w:rsidRPr="008C1BAD">
              <w:rPr>
                <w:rFonts w:ascii="Garamond" w:hAnsi="Garamond"/>
                <w:lang w:val="en-AU"/>
              </w:rPr>
              <w:t xml:space="preserve">econd Multicenter Medication Reconciliation Quality Improvement Study </w:t>
            </w:r>
            <w:r w:rsidR="008C1BAD">
              <w:rPr>
                <w:rFonts w:ascii="Garamond" w:hAnsi="Garamond"/>
                <w:lang w:val="en-AU"/>
              </w:rPr>
              <w:t xml:space="preserve">that had </w:t>
            </w:r>
            <w:r w:rsidR="008C1BAD" w:rsidRPr="008C1BAD">
              <w:rPr>
                <w:rFonts w:ascii="Garamond" w:hAnsi="Garamond"/>
                <w:lang w:val="en-AU"/>
              </w:rPr>
              <w:t>demonstrated a marked reduction in medication discrepancies per patient</w:t>
            </w:r>
            <w:r w:rsidR="008C1BAD">
              <w:rPr>
                <w:rFonts w:ascii="Garamond" w:hAnsi="Garamond"/>
                <w:lang w:val="en-AU"/>
              </w:rPr>
              <w:t>. The focus here is ‘</w:t>
            </w:r>
            <w:r w:rsidR="008C1BAD" w:rsidRPr="008C1BAD">
              <w:rPr>
                <w:rFonts w:ascii="Garamond" w:hAnsi="Garamond"/>
                <w:lang w:val="en-AU"/>
              </w:rPr>
              <w:t>the association of patient exposure to each system-level intervention and receipt of each patient-level intervention on these results</w:t>
            </w:r>
            <w:r w:rsidR="008C1BAD">
              <w:rPr>
                <w:rFonts w:ascii="Garamond" w:hAnsi="Garamond"/>
                <w:lang w:val="en-AU"/>
              </w:rPr>
              <w:t>’. The authors report that:</w:t>
            </w:r>
            <w:r w:rsidR="008C1BAD">
              <w:rPr>
                <w:rFonts w:ascii="Garamond" w:hAnsi="Garamond"/>
                <w:lang w:val="en-AU"/>
              </w:rPr>
              <w:br/>
              <w:t>‘</w:t>
            </w:r>
            <w:r w:rsidR="008C1BAD" w:rsidRPr="008C1BAD">
              <w:rPr>
                <w:rFonts w:ascii="Garamond" w:hAnsi="Garamond"/>
                <w:lang w:val="en-AU"/>
              </w:rPr>
              <w:t xml:space="preserve">Patient-level interventions most associated with reductions in discrepancies were receipt of a BPMH </w:t>
            </w:r>
            <w:r w:rsidR="008C1BAD">
              <w:rPr>
                <w:rFonts w:ascii="Garamond" w:hAnsi="Garamond"/>
                <w:lang w:val="en-AU"/>
              </w:rPr>
              <w:t xml:space="preserve">[best practice medical history] </w:t>
            </w:r>
            <w:r w:rsidR="008C1BAD" w:rsidRPr="008C1BAD">
              <w:rPr>
                <w:rFonts w:ascii="Garamond" w:hAnsi="Garamond"/>
                <w:lang w:val="en-AU"/>
              </w:rPr>
              <w:t>of admitted patients in the ED</w:t>
            </w:r>
            <w:r w:rsidR="008C1BAD">
              <w:rPr>
                <w:rFonts w:ascii="Garamond" w:hAnsi="Garamond"/>
                <w:lang w:val="en-AU"/>
              </w:rPr>
              <w:t xml:space="preserve"> [emergency department]</w:t>
            </w:r>
            <w:r w:rsidR="008C1BAD" w:rsidRPr="008C1BAD">
              <w:rPr>
                <w:rFonts w:ascii="Garamond" w:hAnsi="Garamond"/>
                <w:lang w:val="en-AU"/>
              </w:rPr>
              <w:t xml:space="preserve"> and admission and discharge medication reconciliation by a trained clinician. </w:t>
            </w:r>
          </w:p>
          <w:p w14:paraId="078EDF03" w14:textId="1BADF544" w:rsidR="005B5ED9" w:rsidRPr="00D0490E" w:rsidRDefault="008C1BAD" w:rsidP="008C1BAD">
            <w:pPr>
              <w:rPr>
                <w:rFonts w:ascii="Garamond" w:hAnsi="Garamond"/>
                <w:lang w:val="en-AU"/>
              </w:rPr>
            </w:pPr>
            <w:r w:rsidRPr="008C1BAD">
              <w:rPr>
                <w:rFonts w:ascii="Garamond" w:hAnsi="Garamond"/>
                <w:lang w:val="en-AU"/>
              </w:rPr>
              <w:t xml:space="preserve">System-level interventions were associated with modest reduction in discrepancies for the average patient but are likely important to support patient-level interventions and may reach more patients. </w:t>
            </w:r>
            <w:r>
              <w:rPr>
                <w:rFonts w:ascii="Garamond" w:hAnsi="Garamond"/>
                <w:lang w:val="en-AU"/>
              </w:rPr>
              <w:br/>
            </w:r>
            <w:r w:rsidRPr="008C1BAD">
              <w:rPr>
                <w:rFonts w:ascii="Garamond" w:hAnsi="Garamond"/>
                <w:lang w:val="en-AU"/>
              </w:rPr>
              <w:t>These findings can be used to help hospitals and health systems prioritise interventions to improve medication safety during care transitions.</w:t>
            </w:r>
            <w:r>
              <w:rPr>
                <w:rFonts w:ascii="Garamond" w:hAnsi="Garamond"/>
                <w:lang w:val="en-AU"/>
              </w:rPr>
              <w:t>’</w:t>
            </w:r>
          </w:p>
        </w:tc>
      </w:tr>
    </w:tbl>
    <w:p w14:paraId="7857127D" w14:textId="2E08B47D" w:rsidR="005B5ED9" w:rsidRDefault="005B5ED9" w:rsidP="00555EE0">
      <w:pPr>
        <w:keepLines/>
        <w:autoSpaceDE w:val="0"/>
        <w:autoSpaceDN w:val="0"/>
        <w:adjustRightInd w:val="0"/>
        <w:rPr>
          <w:rFonts w:ascii="Garamond" w:hAnsi="Garamond"/>
          <w:lang w:val="en-AU"/>
        </w:rPr>
      </w:pPr>
    </w:p>
    <w:p w14:paraId="0028234D" w14:textId="42DF52B3" w:rsidR="00176082" w:rsidRDefault="00176082" w:rsidP="00176082">
      <w:pPr>
        <w:keepLines/>
        <w:autoSpaceDE w:val="0"/>
        <w:autoSpaceDN w:val="0"/>
        <w:adjustRightInd w:val="0"/>
        <w:rPr>
          <w:rFonts w:ascii="Garamond" w:hAnsi="Garamond"/>
          <w:lang w:val="en-AU"/>
        </w:rPr>
      </w:pPr>
      <w:r>
        <w:rPr>
          <w:rFonts w:ascii="Garamond" w:hAnsi="Garamond"/>
          <w:lang w:val="en-AU"/>
        </w:rPr>
        <w:t xml:space="preserve">For information on the Commission’s work on medication safety, including medication reconciliation, see </w:t>
      </w:r>
      <w:hyperlink r:id="rId21" w:history="1">
        <w:r w:rsidRPr="004B309A">
          <w:rPr>
            <w:rStyle w:val="Hyperlink"/>
            <w:rFonts w:ascii="Garamond" w:hAnsi="Garamond"/>
            <w:lang w:val="en-AU"/>
          </w:rPr>
          <w:t>https://www.safetyandquality.gov.au/our-work/medication-safety</w:t>
        </w:r>
      </w:hyperlink>
    </w:p>
    <w:p w14:paraId="1F00E399" w14:textId="77777777" w:rsidR="00176082" w:rsidRDefault="00176082" w:rsidP="00555EE0">
      <w:pPr>
        <w:keepLines/>
        <w:autoSpaceDE w:val="0"/>
        <w:autoSpaceDN w:val="0"/>
        <w:adjustRightInd w:val="0"/>
        <w:rPr>
          <w:rFonts w:ascii="Garamond" w:hAnsi="Garamond"/>
          <w:lang w:val="en-AU"/>
        </w:rPr>
      </w:pPr>
    </w:p>
    <w:p w14:paraId="5D88A372" w14:textId="77777777" w:rsidR="00C23361" w:rsidRDefault="00C23361" w:rsidP="00C23361">
      <w:pPr>
        <w:keepLines/>
        <w:autoSpaceDE w:val="0"/>
        <w:autoSpaceDN w:val="0"/>
        <w:adjustRightInd w:val="0"/>
        <w:rPr>
          <w:rFonts w:ascii="Garamond" w:hAnsi="Garamond"/>
          <w:lang w:val="en-AU"/>
        </w:rPr>
      </w:pPr>
    </w:p>
    <w:p w14:paraId="16B29375" w14:textId="77777777" w:rsidR="00432EC8" w:rsidRDefault="00432EC8">
      <w:pPr>
        <w:rPr>
          <w:rFonts w:ascii="Garamond" w:hAnsi="Garamond"/>
          <w:i/>
          <w:iCs/>
          <w:lang w:val="en-AU"/>
        </w:rPr>
      </w:pPr>
      <w:r>
        <w:rPr>
          <w:rFonts w:ascii="Garamond" w:hAnsi="Garamond"/>
          <w:i/>
          <w:iCs/>
          <w:lang w:val="en-AU"/>
        </w:rPr>
        <w:br w:type="page"/>
      </w:r>
    </w:p>
    <w:p w14:paraId="5DF34280" w14:textId="06E19234" w:rsidR="00C23361" w:rsidRPr="00555EE0" w:rsidRDefault="00555EE0" w:rsidP="00C23361">
      <w:pPr>
        <w:keepLines/>
        <w:autoSpaceDE w:val="0"/>
        <w:autoSpaceDN w:val="0"/>
        <w:adjustRightInd w:val="0"/>
        <w:rPr>
          <w:rFonts w:ascii="Garamond" w:hAnsi="Garamond"/>
          <w:i/>
          <w:iCs/>
          <w:lang w:val="en-AU"/>
        </w:rPr>
      </w:pPr>
      <w:r w:rsidRPr="00555EE0">
        <w:rPr>
          <w:rFonts w:ascii="Garamond" w:hAnsi="Garamond"/>
          <w:i/>
          <w:iCs/>
          <w:lang w:val="en-AU"/>
        </w:rPr>
        <w:lastRenderedPageBreak/>
        <w:t>Building health service management workforce capacity in the era of health informatics and digital health - A scoping review</w:t>
      </w:r>
    </w:p>
    <w:p w14:paraId="3195928C" w14:textId="04423605" w:rsidR="00555EE0" w:rsidRDefault="001233CD" w:rsidP="00C23361">
      <w:pPr>
        <w:keepLines/>
        <w:autoSpaceDE w:val="0"/>
        <w:autoSpaceDN w:val="0"/>
        <w:adjustRightInd w:val="0"/>
        <w:rPr>
          <w:rFonts w:ascii="Garamond" w:hAnsi="Garamond"/>
          <w:lang w:val="en-AU"/>
        </w:rPr>
      </w:pPr>
      <w:r w:rsidRPr="001233CD">
        <w:rPr>
          <w:rFonts w:ascii="Garamond" w:hAnsi="Garamond"/>
          <w:lang w:val="en-AU"/>
        </w:rPr>
        <w:t>Brommeyer M, Whittaker M, Mackay M, Ng F, Liang ZInternational Journal of Medical Informatics. 2023;169:104909.</w:t>
      </w:r>
    </w:p>
    <w:p w14:paraId="352D81FE" w14:textId="77777777" w:rsidR="001233CD" w:rsidRDefault="001233CD" w:rsidP="00C23361">
      <w:pPr>
        <w:keepLines/>
        <w:autoSpaceDE w:val="0"/>
        <w:autoSpaceDN w:val="0"/>
        <w:adjustRightInd w:val="0"/>
        <w:rPr>
          <w:rFonts w:ascii="Garamond" w:hAnsi="Garamond"/>
          <w:lang w:val="en-AU"/>
        </w:rPr>
      </w:pPr>
    </w:p>
    <w:p w14:paraId="3934244F" w14:textId="3ED21EC3" w:rsidR="00555EE0" w:rsidRPr="00555EE0" w:rsidRDefault="00555EE0" w:rsidP="00C23361">
      <w:pPr>
        <w:keepLines/>
        <w:autoSpaceDE w:val="0"/>
        <w:autoSpaceDN w:val="0"/>
        <w:adjustRightInd w:val="0"/>
        <w:rPr>
          <w:rFonts w:ascii="Garamond" w:hAnsi="Garamond"/>
          <w:i/>
          <w:iCs/>
          <w:lang w:val="en-AU"/>
        </w:rPr>
      </w:pPr>
      <w:r w:rsidRPr="00555EE0">
        <w:rPr>
          <w:rFonts w:ascii="Garamond" w:hAnsi="Garamond"/>
          <w:i/>
          <w:iCs/>
          <w:lang w:val="en-AU"/>
        </w:rPr>
        <w:t>A Systematic Approach in Developing Management Workforce Readiness for Digital Health Transformation in Healthcare</w:t>
      </w:r>
    </w:p>
    <w:p w14:paraId="305B47F6" w14:textId="77777777" w:rsidR="001233CD" w:rsidRDefault="001233CD" w:rsidP="00C23361">
      <w:pPr>
        <w:keepLines/>
        <w:autoSpaceDE w:val="0"/>
        <w:autoSpaceDN w:val="0"/>
        <w:adjustRightInd w:val="0"/>
        <w:rPr>
          <w:rFonts w:ascii="Garamond" w:hAnsi="Garamond"/>
          <w:lang w:val="en-AU"/>
        </w:rPr>
      </w:pPr>
      <w:r w:rsidRPr="001233CD">
        <w:rPr>
          <w:rFonts w:ascii="Garamond" w:hAnsi="Garamond"/>
          <w:lang w:val="en-AU"/>
        </w:rPr>
        <w:t>Brommeyer M, Liang Z</w:t>
      </w:r>
    </w:p>
    <w:p w14:paraId="1DF2FAA1" w14:textId="38E46D4D" w:rsidR="00555EE0" w:rsidRDefault="001233CD" w:rsidP="00C23361">
      <w:pPr>
        <w:keepLines/>
        <w:autoSpaceDE w:val="0"/>
        <w:autoSpaceDN w:val="0"/>
        <w:adjustRightInd w:val="0"/>
        <w:rPr>
          <w:rFonts w:ascii="Garamond" w:hAnsi="Garamond"/>
          <w:lang w:val="en-AU"/>
        </w:rPr>
      </w:pPr>
      <w:r w:rsidRPr="001233CD">
        <w:rPr>
          <w:rFonts w:ascii="Garamond" w:hAnsi="Garamond"/>
          <w:lang w:val="en-AU"/>
        </w:rPr>
        <w:t>International Journal of Environmental Research and Public Health. 2022; 19(21).</w:t>
      </w:r>
    </w:p>
    <w:tbl>
      <w:tblPr>
        <w:tblStyle w:val="TableGrid"/>
        <w:tblW w:w="9360" w:type="dxa"/>
        <w:tblInd w:w="288" w:type="dxa"/>
        <w:tblLayout w:type="fixed"/>
        <w:tblLook w:val="01E0" w:firstRow="1" w:lastRow="1" w:firstColumn="1" w:lastColumn="1" w:noHBand="0" w:noVBand="0"/>
      </w:tblPr>
      <w:tblGrid>
        <w:gridCol w:w="1080"/>
        <w:gridCol w:w="8280"/>
      </w:tblGrid>
      <w:tr w:rsidR="00C23361" w:rsidRPr="000170DA" w14:paraId="10C4DF51"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584B0C87" w14:textId="77777777" w:rsidR="00C23361" w:rsidRPr="000170DA" w:rsidRDefault="00C23361" w:rsidP="00793E3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E2B04A6" w14:textId="77777777" w:rsidR="00C23361" w:rsidRDefault="00C33F77" w:rsidP="00793E34">
            <w:pPr>
              <w:keepNext/>
              <w:rPr>
                <w:rStyle w:val="Hyperlink"/>
                <w:rFonts w:ascii="Garamond" w:hAnsi="Garamond"/>
                <w:color w:val="auto"/>
                <w:u w:val="none"/>
                <w:lang w:val="en-AU"/>
              </w:rPr>
            </w:pPr>
            <w:hyperlink r:id="rId22" w:history="1">
              <w:r w:rsidR="00555EE0" w:rsidRPr="004B309A">
                <w:rPr>
                  <w:rStyle w:val="Hyperlink"/>
                  <w:rFonts w:ascii="Garamond" w:hAnsi="Garamond"/>
                  <w:lang w:val="en-AU"/>
                </w:rPr>
                <w:t>https://doi.org/10.1016/j.ijmedinf.2022.104909</w:t>
              </w:r>
            </w:hyperlink>
          </w:p>
          <w:p w14:paraId="522C83B0" w14:textId="3FF1D714" w:rsidR="00555EE0" w:rsidRPr="000170DA" w:rsidRDefault="00C33F77" w:rsidP="00793E34">
            <w:pPr>
              <w:keepNext/>
              <w:rPr>
                <w:rStyle w:val="Hyperlink"/>
                <w:rFonts w:ascii="Garamond" w:hAnsi="Garamond"/>
                <w:color w:val="auto"/>
                <w:u w:val="none"/>
                <w:lang w:val="en-AU"/>
              </w:rPr>
            </w:pPr>
            <w:hyperlink r:id="rId23" w:history="1">
              <w:r w:rsidR="00555EE0" w:rsidRPr="004B309A">
                <w:rPr>
                  <w:rStyle w:val="Hyperlink"/>
                  <w:rFonts w:ascii="Garamond" w:hAnsi="Garamond"/>
                  <w:lang w:val="en-AU"/>
                </w:rPr>
                <w:t>https://doi.org/10.3390%2Fijerph192113843</w:t>
              </w:r>
            </w:hyperlink>
          </w:p>
        </w:tc>
      </w:tr>
      <w:tr w:rsidR="00C23361" w:rsidRPr="000170DA" w14:paraId="54FA8EE6" w14:textId="77777777" w:rsidTr="00793E34">
        <w:tc>
          <w:tcPr>
            <w:tcW w:w="1080" w:type="dxa"/>
            <w:tcBorders>
              <w:top w:val="single" w:sz="4" w:space="0" w:color="auto"/>
              <w:left w:val="single" w:sz="4" w:space="0" w:color="auto"/>
              <w:bottom w:val="single" w:sz="4" w:space="0" w:color="auto"/>
              <w:right w:val="single" w:sz="4" w:space="0" w:color="auto"/>
            </w:tcBorders>
            <w:vAlign w:val="center"/>
          </w:tcPr>
          <w:p w14:paraId="6BB7DAE0" w14:textId="77777777" w:rsidR="00C23361" w:rsidRPr="000170DA" w:rsidRDefault="00C23361" w:rsidP="00793E3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12A0899" w14:textId="4F7EBBCB" w:rsidR="00555EE0" w:rsidRDefault="00555EE0" w:rsidP="00793E34">
            <w:pPr>
              <w:rPr>
                <w:rFonts w:ascii="Garamond" w:hAnsi="Garamond"/>
                <w:lang w:val="en-AU"/>
              </w:rPr>
            </w:pPr>
            <w:r>
              <w:rPr>
                <w:rFonts w:ascii="Garamond" w:hAnsi="Garamond"/>
                <w:lang w:val="en-AU"/>
              </w:rPr>
              <w:t xml:space="preserve">A pair of papers stemming from a research project looking at digital health and health service management. </w:t>
            </w:r>
            <w:r w:rsidR="001233CD">
              <w:rPr>
                <w:rFonts w:ascii="Garamond" w:hAnsi="Garamond"/>
                <w:lang w:val="en-AU"/>
              </w:rPr>
              <w:t xml:space="preserve">With the increasing uptake and implementation of digital health </w:t>
            </w:r>
            <w:r w:rsidR="00B31862">
              <w:rPr>
                <w:rFonts w:ascii="Garamond" w:hAnsi="Garamond"/>
                <w:lang w:val="en-AU"/>
              </w:rPr>
              <w:t xml:space="preserve">and health informatics </w:t>
            </w:r>
            <w:r w:rsidR="001233CD">
              <w:rPr>
                <w:rFonts w:ascii="Garamond" w:hAnsi="Garamond"/>
                <w:lang w:val="en-AU"/>
              </w:rPr>
              <w:t>there is need for workforce development and readiness, including among the health service management workforce.</w:t>
            </w:r>
          </w:p>
          <w:p w14:paraId="714ECD0C" w14:textId="669A22EA" w:rsidR="001233CD" w:rsidRDefault="00B31862" w:rsidP="00793E34">
            <w:pPr>
              <w:rPr>
                <w:rFonts w:ascii="Garamond" w:hAnsi="Garamond"/>
                <w:lang w:val="en-AU"/>
              </w:rPr>
            </w:pPr>
            <w:r>
              <w:rPr>
                <w:rFonts w:ascii="Garamond" w:hAnsi="Garamond"/>
                <w:lang w:val="en-AU"/>
              </w:rPr>
              <w:t xml:space="preserve">The scoping review sought to identify the </w:t>
            </w:r>
            <w:r w:rsidRPr="00B31862">
              <w:rPr>
                <w:rFonts w:ascii="Garamond" w:hAnsi="Garamond"/>
                <w:lang w:val="en-AU"/>
              </w:rPr>
              <w:t xml:space="preserve">competencies required for health service managers leading the implementation and transformation of informatics and digital technology </w:t>
            </w:r>
            <w:r>
              <w:rPr>
                <w:rFonts w:ascii="Garamond" w:hAnsi="Garamond"/>
                <w:lang w:val="en-AU"/>
              </w:rPr>
              <w:t xml:space="preserve">and the </w:t>
            </w:r>
            <w:r w:rsidRPr="00B31862">
              <w:rPr>
                <w:rFonts w:ascii="Garamond" w:hAnsi="Garamond"/>
                <w:lang w:val="en-AU"/>
              </w:rPr>
              <w:t>factors that are critical to building th</w:t>
            </w:r>
            <w:r>
              <w:rPr>
                <w:rFonts w:ascii="Garamond" w:hAnsi="Garamond"/>
                <w:lang w:val="en-AU"/>
              </w:rPr>
              <w:t xml:space="preserve">at </w:t>
            </w:r>
            <w:r w:rsidRPr="00B31862">
              <w:rPr>
                <w:rFonts w:ascii="Garamond" w:hAnsi="Garamond"/>
                <w:lang w:val="en-AU"/>
              </w:rPr>
              <w:t>management workforce capacity.</w:t>
            </w:r>
            <w:r>
              <w:rPr>
                <w:rFonts w:ascii="Garamond" w:hAnsi="Garamond"/>
                <w:lang w:val="en-AU"/>
              </w:rPr>
              <w:t xml:space="preserve"> The competencies identified include </w:t>
            </w:r>
            <w:r w:rsidRPr="00B31862">
              <w:rPr>
                <w:rFonts w:ascii="Garamond" w:hAnsi="Garamond"/>
                <w:lang w:val="en-AU"/>
              </w:rPr>
              <w:t>information and data management</w:t>
            </w:r>
            <w:r>
              <w:rPr>
                <w:rFonts w:ascii="Garamond" w:hAnsi="Garamond"/>
                <w:lang w:val="en-AU"/>
              </w:rPr>
              <w:t xml:space="preserve">, </w:t>
            </w:r>
            <w:r w:rsidRPr="00B31862">
              <w:rPr>
                <w:rFonts w:ascii="Garamond" w:hAnsi="Garamond"/>
                <w:lang w:val="en-AU"/>
              </w:rPr>
              <w:t>leadership</w:t>
            </w:r>
            <w:r>
              <w:rPr>
                <w:rFonts w:ascii="Garamond" w:hAnsi="Garamond"/>
                <w:lang w:val="en-AU"/>
              </w:rPr>
              <w:t xml:space="preserve">, </w:t>
            </w:r>
            <w:r w:rsidRPr="00B31862">
              <w:rPr>
                <w:rFonts w:ascii="Garamond" w:hAnsi="Garamond"/>
                <w:lang w:val="en-AU"/>
              </w:rPr>
              <w:t>operational and resource management; personal, interpersonal and professional qualities and understanding the industry and environmen</w:t>
            </w:r>
            <w:r>
              <w:rPr>
                <w:rFonts w:ascii="Garamond" w:hAnsi="Garamond"/>
                <w:lang w:val="en-AU"/>
              </w:rPr>
              <w:t xml:space="preserve">t. The enabling factors identified fell into three categories, </w:t>
            </w:r>
            <w:r w:rsidRPr="00B31862">
              <w:rPr>
                <w:rFonts w:ascii="Garamond" w:hAnsi="Garamond"/>
                <w:lang w:val="en-AU"/>
              </w:rPr>
              <w:t>policy/system</w:t>
            </w:r>
            <w:r>
              <w:rPr>
                <w:rFonts w:ascii="Garamond" w:hAnsi="Garamond"/>
                <w:lang w:val="en-AU"/>
              </w:rPr>
              <w:t>,</w:t>
            </w:r>
            <w:r w:rsidRPr="00B31862">
              <w:rPr>
                <w:rFonts w:ascii="Garamond" w:hAnsi="Garamond"/>
                <w:lang w:val="en-AU"/>
              </w:rPr>
              <w:t xml:space="preserve"> organizational structure and processes and people factors.</w:t>
            </w:r>
          </w:p>
          <w:p w14:paraId="0754A2EA" w14:textId="44F7B1DE" w:rsidR="00CC17C4" w:rsidRPr="00D0490E" w:rsidRDefault="00B31862" w:rsidP="00B31862">
            <w:pPr>
              <w:rPr>
                <w:rFonts w:ascii="Garamond" w:hAnsi="Garamond"/>
                <w:lang w:val="en-AU"/>
              </w:rPr>
            </w:pPr>
            <w:r>
              <w:rPr>
                <w:rFonts w:ascii="Garamond" w:hAnsi="Garamond"/>
                <w:lang w:val="en-AU"/>
              </w:rPr>
              <w:t xml:space="preserve">The second paper proposes an approach or framework </w:t>
            </w:r>
            <w:r w:rsidRPr="00B31862">
              <w:rPr>
                <w:rFonts w:ascii="Garamond" w:hAnsi="Garamond"/>
                <w:lang w:val="en-AU"/>
              </w:rPr>
              <w:t xml:space="preserve">for </w:t>
            </w:r>
            <w:r>
              <w:rPr>
                <w:rFonts w:ascii="Garamond" w:hAnsi="Garamond"/>
                <w:lang w:val="en-AU"/>
              </w:rPr>
              <w:t>‘</w:t>
            </w:r>
            <w:r w:rsidRPr="00B31862">
              <w:rPr>
                <w:rFonts w:ascii="Garamond" w:hAnsi="Garamond"/>
                <w:lang w:val="en-AU"/>
              </w:rPr>
              <w:t>overall health management workforce development in the digital health era</w:t>
            </w:r>
            <w:r>
              <w:rPr>
                <w:rFonts w:ascii="Garamond" w:hAnsi="Garamond"/>
                <w:lang w:val="en-AU"/>
              </w:rPr>
              <w:t>’. This framework</w:t>
            </w:r>
            <w:r w:rsidRPr="00B31862">
              <w:rPr>
                <w:rFonts w:ascii="Garamond" w:hAnsi="Garamond"/>
                <w:lang w:val="en-AU"/>
              </w:rPr>
              <w:t xml:space="preserve"> </w:t>
            </w:r>
            <w:r>
              <w:rPr>
                <w:rFonts w:ascii="Garamond" w:hAnsi="Garamond"/>
                <w:lang w:val="en-AU"/>
              </w:rPr>
              <w:t>‘</w:t>
            </w:r>
            <w:r w:rsidRPr="00B31862">
              <w:rPr>
                <w:rFonts w:ascii="Garamond" w:hAnsi="Garamond"/>
                <w:lang w:val="en-AU"/>
              </w:rPr>
              <w:t>suggests that national collaboration is necessary to articulate a more coordinated, consistent, and coherent set of policy guidelines and the system, policy, educational, and professional organizational enablers that drive a digital health focused approach across all the healthcare sectors, in a coordinated and contextual manner.</w:t>
            </w:r>
            <w:r>
              <w:rPr>
                <w:rFonts w:ascii="Garamond" w:hAnsi="Garamond"/>
                <w:lang w:val="en-AU"/>
              </w:rPr>
              <w:t>’</w:t>
            </w:r>
          </w:p>
        </w:tc>
      </w:tr>
    </w:tbl>
    <w:p w14:paraId="2B48E79F" w14:textId="77777777" w:rsidR="00C23361" w:rsidRDefault="00C23361" w:rsidP="00C23361">
      <w:pPr>
        <w:keepLines/>
        <w:autoSpaceDE w:val="0"/>
        <w:autoSpaceDN w:val="0"/>
        <w:adjustRightInd w:val="0"/>
        <w:rPr>
          <w:rFonts w:ascii="Garamond" w:hAnsi="Garamond"/>
          <w:lang w:val="en-AU"/>
        </w:rPr>
      </w:pPr>
    </w:p>
    <w:p w14:paraId="45AB72DB" w14:textId="0FF33549" w:rsidR="0029303C" w:rsidRPr="005B5ED9" w:rsidRDefault="005B5ED9" w:rsidP="0029303C">
      <w:pPr>
        <w:keepLines/>
        <w:autoSpaceDE w:val="0"/>
        <w:autoSpaceDN w:val="0"/>
        <w:adjustRightInd w:val="0"/>
        <w:rPr>
          <w:rFonts w:ascii="Garamond" w:hAnsi="Garamond"/>
          <w:i/>
          <w:iCs/>
          <w:lang w:val="en-AU"/>
        </w:rPr>
      </w:pPr>
      <w:r w:rsidRPr="005B5ED9">
        <w:rPr>
          <w:rFonts w:ascii="Garamond" w:hAnsi="Garamond"/>
          <w:i/>
          <w:iCs/>
          <w:lang w:val="en-AU"/>
        </w:rPr>
        <w:t>Outcome differences between surgeons performing first and subsequent coronary artery bypass grafting procedures in a day: a retrospective comparative cohort study</w:t>
      </w:r>
    </w:p>
    <w:p w14:paraId="3208B200" w14:textId="77777777" w:rsidR="00B97B27" w:rsidRDefault="00B97B27" w:rsidP="0029303C">
      <w:pPr>
        <w:keepLines/>
        <w:autoSpaceDE w:val="0"/>
        <w:autoSpaceDN w:val="0"/>
        <w:adjustRightInd w:val="0"/>
        <w:rPr>
          <w:rFonts w:ascii="Garamond" w:hAnsi="Garamond"/>
          <w:lang w:val="en-AU"/>
        </w:rPr>
      </w:pPr>
      <w:r w:rsidRPr="00B97B27">
        <w:rPr>
          <w:rFonts w:ascii="Garamond" w:hAnsi="Garamond"/>
          <w:lang w:val="en-AU"/>
        </w:rPr>
        <w:t>Zhang D, Gu D, Rao C, Zhang H, Su X, Chen S, et al.</w:t>
      </w:r>
    </w:p>
    <w:p w14:paraId="5D621FBC" w14:textId="2DD66C47" w:rsidR="0029303C" w:rsidRDefault="00B97B27" w:rsidP="0029303C">
      <w:pPr>
        <w:keepLines/>
        <w:autoSpaceDE w:val="0"/>
        <w:autoSpaceDN w:val="0"/>
        <w:adjustRightInd w:val="0"/>
        <w:rPr>
          <w:rFonts w:ascii="Garamond" w:hAnsi="Garamond"/>
          <w:lang w:val="en-AU"/>
        </w:rPr>
      </w:pPr>
      <w:r w:rsidRPr="00B97B27">
        <w:rPr>
          <w:rFonts w:ascii="Garamond" w:hAnsi="Garamond"/>
          <w:lang w:val="en-AU"/>
        </w:rPr>
        <w:t>BMJ Quality &amp; Safety. 2023;32(4):192-201.</w:t>
      </w:r>
    </w:p>
    <w:tbl>
      <w:tblPr>
        <w:tblStyle w:val="TableGrid"/>
        <w:tblW w:w="9360" w:type="dxa"/>
        <w:tblInd w:w="288" w:type="dxa"/>
        <w:tblLayout w:type="fixed"/>
        <w:tblLook w:val="01E0" w:firstRow="1" w:lastRow="1" w:firstColumn="1" w:lastColumn="1" w:noHBand="0" w:noVBand="0"/>
      </w:tblPr>
      <w:tblGrid>
        <w:gridCol w:w="1080"/>
        <w:gridCol w:w="8280"/>
      </w:tblGrid>
      <w:tr w:rsidR="0029303C" w:rsidRPr="000170DA" w14:paraId="7C049292" w14:textId="77777777" w:rsidTr="00AE4741">
        <w:tc>
          <w:tcPr>
            <w:tcW w:w="1080" w:type="dxa"/>
            <w:tcBorders>
              <w:top w:val="single" w:sz="4" w:space="0" w:color="auto"/>
              <w:left w:val="single" w:sz="4" w:space="0" w:color="auto"/>
              <w:bottom w:val="single" w:sz="4" w:space="0" w:color="auto"/>
              <w:right w:val="single" w:sz="4" w:space="0" w:color="auto"/>
            </w:tcBorders>
            <w:vAlign w:val="center"/>
          </w:tcPr>
          <w:p w14:paraId="186869E2" w14:textId="77777777" w:rsidR="0029303C" w:rsidRPr="000170DA" w:rsidRDefault="0029303C" w:rsidP="00AE4741">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8B2BCDE" w14:textId="07389F64" w:rsidR="0029303C" w:rsidRPr="000170DA" w:rsidRDefault="00C33F77" w:rsidP="00AE4741">
            <w:pPr>
              <w:keepNext/>
              <w:rPr>
                <w:rStyle w:val="Hyperlink"/>
                <w:rFonts w:ascii="Garamond" w:hAnsi="Garamond"/>
                <w:color w:val="auto"/>
                <w:u w:val="none"/>
                <w:lang w:val="en-AU"/>
              </w:rPr>
            </w:pPr>
            <w:hyperlink r:id="rId24" w:history="1">
              <w:r w:rsidR="005B5ED9" w:rsidRPr="009D1579">
                <w:rPr>
                  <w:rStyle w:val="Hyperlink"/>
                  <w:rFonts w:ascii="Garamond" w:hAnsi="Garamond"/>
                  <w:lang w:val="en-AU"/>
                </w:rPr>
                <w:t>http://dx.doi.org/10.1136/bmjqs-2021-014244</w:t>
              </w:r>
            </w:hyperlink>
          </w:p>
        </w:tc>
      </w:tr>
      <w:tr w:rsidR="0029303C" w:rsidRPr="000170DA" w14:paraId="1787482D" w14:textId="77777777" w:rsidTr="00AE4741">
        <w:tc>
          <w:tcPr>
            <w:tcW w:w="1080" w:type="dxa"/>
            <w:tcBorders>
              <w:top w:val="single" w:sz="4" w:space="0" w:color="auto"/>
              <w:left w:val="single" w:sz="4" w:space="0" w:color="auto"/>
              <w:bottom w:val="single" w:sz="4" w:space="0" w:color="auto"/>
              <w:right w:val="single" w:sz="4" w:space="0" w:color="auto"/>
            </w:tcBorders>
            <w:vAlign w:val="center"/>
          </w:tcPr>
          <w:p w14:paraId="5677EA0B" w14:textId="77777777" w:rsidR="0029303C" w:rsidRPr="000170DA" w:rsidRDefault="0029303C" w:rsidP="00AE474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15A7D57" w14:textId="0149C2B1" w:rsidR="008C1BAD" w:rsidRPr="00D0490E" w:rsidRDefault="008C1BAD" w:rsidP="00B97B27">
            <w:pPr>
              <w:rPr>
                <w:rFonts w:ascii="Garamond" w:hAnsi="Garamond"/>
                <w:lang w:val="en-AU"/>
              </w:rPr>
            </w:pPr>
            <w:r>
              <w:rPr>
                <w:rFonts w:ascii="Garamond" w:hAnsi="Garamond"/>
                <w:lang w:val="en-AU"/>
              </w:rPr>
              <w:t xml:space="preserve">There is a belief that its preferable to be earlier on a surgical list. This study was a </w:t>
            </w:r>
            <w:r w:rsidRPr="008C1BAD">
              <w:rPr>
                <w:rFonts w:ascii="Garamond" w:hAnsi="Garamond"/>
                <w:lang w:val="en-AU"/>
              </w:rPr>
              <w:t xml:space="preserve">retrospective cohort study of </w:t>
            </w:r>
            <w:r>
              <w:rPr>
                <w:rFonts w:ascii="Garamond" w:hAnsi="Garamond"/>
                <w:lang w:val="en-AU"/>
              </w:rPr>
              <w:t xml:space="preserve">21,866 </w:t>
            </w:r>
            <w:r w:rsidRPr="008C1BAD">
              <w:rPr>
                <w:rFonts w:ascii="Garamond" w:hAnsi="Garamond"/>
                <w:lang w:val="en-AU"/>
              </w:rPr>
              <w:t>patients undergoing isolated coronary artery bypass grafting</w:t>
            </w:r>
            <w:r>
              <w:rPr>
                <w:rFonts w:ascii="Garamond" w:hAnsi="Garamond"/>
                <w:lang w:val="en-AU"/>
              </w:rPr>
              <w:t xml:space="preserve"> (</w:t>
            </w:r>
            <w:r w:rsidRPr="008C1BAD">
              <w:rPr>
                <w:rFonts w:ascii="Garamond" w:hAnsi="Garamond"/>
                <w:lang w:val="en-AU"/>
              </w:rPr>
              <w:t>CABG</w:t>
            </w:r>
            <w:r>
              <w:rPr>
                <w:rFonts w:ascii="Garamond" w:hAnsi="Garamond"/>
                <w:lang w:val="en-AU"/>
              </w:rPr>
              <w:t>)</w:t>
            </w:r>
            <w:r w:rsidRPr="008C1BAD">
              <w:rPr>
                <w:rFonts w:ascii="Garamond" w:hAnsi="Garamond"/>
                <w:lang w:val="en-AU"/>
              </w:rPr>
              <w:t xml:space="preserve"> in China from January 2013 to December 2018</w:t>
            </w:r>
            <w:r>
              <w:rPr>
                <w:rFonts w:ascii="Garamond" w:hAnsi="Garamond"/>
                <w:lang w:val="en-AU"/>
              </w:rPr>
              <w:t xml:space="preserve"> with the aim of examining w</w:t>
            </w:r>
            <w:r w:rsidRPr="008C1BAD">
              <w:rPr>
                <w:rFonts w:ascii="Garamond" w:hAnsi="Garamond"/>
                <w:lang w:val="en-AU"/>
              </w:rPr>
              <w:t>hether prior procedures performed by the surgeon impact the outcomes</w:t>
            </w:r>
            <w:r>
              <w:rPr>
                <w:rFonts w:ascii="Garamond" w:hAnsi="Garamond"/>
                <w:lang w:val="en-AU"/>
              </w:rPr>
              <w:t>. The study ‘</w:t>
            </w:r>
            <w:r w:rsidRPr="008C1BAD">
              <w:rPr>
                <w:rFonts w:ascii="Garamond" w:hAnsi="Garamond"/>
                <w:lang w:val="en-AU"/>
              </w:rPr>
              <w:t>compared the outcomes between CABGs performed first versus those performed after prior procedures, separately for on-pump and off-pump CABGs as they differed in technical complexity.</w:t>
            </w:r>
            <w:r>
              <w:rPr>
                <w:rFonts w:ascii="Garamond" w:hAnsi="Garamond"/>
                <w:lang w:val="en-AU"/>
              </w:rPr>
              <w:t>’ The authors report that ‘</w:t>
            </w:r>
            <w:r w:rsidRPr="008C1BAD">
              <w:rPr>
                <w:rFonts w:ascii="Garamond" w:hAnsi="Garamond"/>
                <w:lang w:val="en-AU"/>
              </w:rPr>
              <w:t>In the on-pump cohort, there was no significant association between procedure order and the outcome</w:t>
            </w:r>
            <w:r>
              <w:rPr>
                <w:rFonts w:ascii="Garamond" w:hAnsi="Garamond"/>
                <w:lang w:val="en-AU"/>
              </w:rPr>
              <w:t>’.</w:t>
            </w:r>
            <w:r w:rsidR="00B97B27">
              <w:rPr>
                <w:rFonts w:ascii="Garamond" w:hAnsi="Garamond"/>
                <w:lang w:val="en-AU"/>
              </w:rPr>
              <w:t xml:space="preserve"> However, they also found that ‘</w:t>
            </w:r>
            <w:r w:rsidR="00B97B27" w:rsidRPr="00B97B27">
              <w:rPr>
                <w:rFonts w:ascii="Garamond" w:hAnsi="Garamond"/>
                <w:lang w:val="en-AU"/>
              </w:rPr>
              <w:t xml:space="preserve">In the off-pump cohort, non-first procedures were associated with an increased number of AEC </w:t>
            </w:r>
            <w:r w:rsidR="00B97B27">
              <w:rPr>
                <w:rFonts w:ascii="Garamond" w:hAnsi="Garamond"/>
                <w:lang w:val="en-AU"/>
              </w:rPr>
              <w:t xml:space="preserve">[Adverse Events Composite] </w:t>
            </w:r>
            <w:r w:rsidR="00B97B27" w:rsidRPr="00B97B27">
              <w:rPr>
                <w:rFonts w:ascii="Garamond" w:hAnsi="Garamond"/>
                <w:lang w:val="en-AU"/>
              </w:rPr>
              <w:t>(adjusted rate ratio 1.29, 95% CI 1.13 to 1.47, p&lt;0.001), myocardial infarction (adjusted OR (ORadj) 1.43, 95% CI 1.13 to 1.81, p=0.003) and stroke (ORadj 1.73, 95% CI 1.18 to 2.53, p=0.005) compared with first procedures. These increases were only found to be statistically significant when the procedure was performed by surgeons with &lt;20 years’ practice or surgeons with a preindex volume &lt;700 cases.</w:t>
            </w:r>
            <w:r w:rsidR="00B97B27">
              <w:rPr>
                <w:rFonts w:ascii="Garamond" w:hAnsi="Garamond"/>
                <w:lang w:val="en-AU"/>
              </w:rPr>
              <w:t>’</w:t>
            </w:r>
          </w:p>
        </w:tc>
      </w:tr>
    </w:tbl>
    <w:p w14:paraId="6E0E3DF7" w14:textId="00ECD408" w:rsidR="00D03948" w:rsidRDefault="00D03948" w:rsidP="00D03948">
      <w:pPr>
        <w:keepLines/>
        <w:autoSpaceDE w:val="0"/>
        <w:autoSpaceDN w:val="0"/>
        <w:adjustRightInd w:val="0"/>
        <w:rPr>
          <w:rFonts w:ascii="Garamond" w:hAnsi="Garamond"/>
          <w:lang w:val="en-AU"/>
        </w:rPr>
      </w:pPr>
    </w:p>
    <w:p w14:paraId="121DDF38" w14:textId="77777777" w:rsidR="002B6593" w:rsidRPr="00555EE0" w:rsidRDefault="002B6593" w:rsidP="002B6593">
      <w:pPr>
        <w:keepLines/>
        <w:autoSpaceDE w:val="0"/>
        <w:autoSpaceDN w:val="0"/>
        <w:adjustRightInd w:val="0"/>
        <w:rPr>
          <w:rFonts w:ascii="Garamond" w:hAnsi="Garamond"/>
          <w:i/>
          <w:iCs/>
          <w:lang w:val="en-AU"/>
        </w:rPr>
      </w:pPr>
      <w:r w:rsidRPr="00555EE0">
        <w:rPr>
          <w:rFonts w:ascii="Garamond" w:hAnsi="Garamond"/>
          <w:i/>
          <w:iCs/>
          <w:lang w:val="en-AU"/>
        </w:rPr>
        <w:lastRenderedPageBreak/>
        <w:t>Defining avoidable healthcare-associated harm in prisons: A mixed-method development study</w:t>
      </w:r>
    </w:p>
    <w:p w14:paraId="1F092CA8" w14:textId="77777777" w:rsidR="002B6593" w:rsidRDefault="002B6593" w:rsidP="002B6593">
      <w:pPr>
        <w:keepLines/>
        <w:autoSpaceDE w:val="0"/>
        <w:autoSpaceDN w:val="0"/>
        <w:adjustRightInd w:val="0"/>
        <w:rPr>
          <w:rFonts w:ascii="Garamond" w:hAnsi="Garamond"/>
          <w:lang w:val="en-AU"/>
        </w:rPr>
      </w:pPr>
      <w:r w:rsidRPr="00432EC8">
        <w:rPr>
          <w:rFonts w:ascii="Garamond" w:hAnsi="Garamond"/>
          <w:lang w:val="en-AU"/>
        </w:rPr>
        <w:t>Keers RN, Wainwright V, McFadzean J, Davies K, Campbell SM, Stevenson C, et al</w:t>
      </w:r>
    </w:p>
    <w:p w14:paraId="3E02DD2F" w14:textId="77777777" w:rsidR="002B6593" w:rsidRDefault="002B6593" w:rsidP="002B6593">
      <w:pPr>
        <w:keepLines/>
        <w:autoSpaceDE w:val="0"/>
        <w:autoSpaceDN w:val="0"/>
        <w:adjustRightInd w:val="0"/>
        <w:rPr>
          <w:rFonts w:ascii="Garamond" w:hAnsi="Garamond"/>
          <w:lang w:val="en-AU"/>
        </w:rPr>
      </w:pPr>
      <w:r w:rsidRPr="00432EC8">
        <w:rPr>
          <w:rFonts w:ascii="Garamond" w:hAnsi="Garamond"/>
          <w:lang w:val="en-AU"/>
        </w:rPr>
        <w:t>PLOS ONE. 2023;18(3):e0282021.</w:t>
      </w:r>
    </w:p>
    <w:tbl>
      <w:tblPr>
        <w:tblStyle w:val="TableGrid"/>
        <w:tblW w:w="9360" w:type="dxa"/>
        <w:tblInd w:w="288" w:type="dxa"/>
        <w:tblLayout w:type="fixed"/>
        <w:tblLook w:val="01E0" w:firstRow="1" w:lastRow="1" w:firstColumn="1" w:lastColumn="1" w:noHBand="0" w:noVBand="0"/>
      </w:tblPr>
      <w:tblGrid>
        <w:gridCol w:w="1080"/>
        <w:gridCol w:w="8280"/>
      </w:tblGrid>
      <w:tr w:rsidR="002B6593" w:rsidRPr="000170DA" w14:paraId="3D55EBF7" w14:textId="77777777" w:rsidTr="00203BCC">
        <w:tc>
          <w:tcPr>
            <w:tcW w:w="1080" w:type="dxa"/>
            <w:tcBorders>
              <w:top w:val="single" w:sz="4" w:space="0" w:color="auto"/>
              <w:left w:val="single" w:sz="4" w:space="0" w:color="auto"/>
              <w:bottom w:val="single" w:sz="4" w:space="0" w:color="auto"/>
              <w:right w:val="single" w:sz="4" w:space="0" w:color="auto"/>
            </w:tcBorders>
            <w:vAlign w:val="center"/>
          </w:tcPr>
          <w:p w14:paraId="0EEC17BD" w14:textId="77777777" w:rsidR="002B6593" w:rsidRPr="000170DA" w:rsidRDefault="002B6593" w:rsidP="00203BCC">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25761F7" w14:textId="77777777" w:rsidR="002B6593" w:rsidRPr="000170DA" w:rsidRDefault="00C33F77" w:rsidP="00203BCC">
            <w:pPr>
              <w:keepNext/>
              <w:rPr>
                <w:rStyle w:val="Hyperlink"/>
                <w:rFonts w:ascii="Garamond" w:hAnsi="Garamond"/>
                <w:color w:val="auto"/>
                <w:u w:val="none"/>
                <w:lang w:val="en-AU"/>
              </w:rPr>
            </w:pPr>
            <w:hyperlink r:id="rId25" w:history="1">
              <w:r w:rsidR="002B6593" w:rsidRPr="004B309A">
                <w:rPr>
                  <w:rStyle w:val="Hyperlink"/>
                  <w:rFonts w:ascii="Garamond" w:hAnsi="Garamond"/>
                  <w:lang w:val="en-AU"/>
                </w:rPr>
                <w:t>https://doi.org/10.1371/journal.pone.0282021</w:t>
              </w:r>
            </w:hyperlink>
          </w:p>
        </w:tc>
      </w:tr>
      <w:tr w:rsidR="002B6593" w:rsidRPr="000170DA" w14:paraId="0888F256" w14:textId="77777777" w:rsidTr="00203BCC">
        <w:tc>
          <w:tcPr>
            <w:tcW w:w="1080" w:type="dxa"/>
            <w:tcBorders>
              <w:top w:val="single" w:sz="4" w:space="0" w:color="auto"/>
              <w:left w:val="single" w:sz="4" w:space="0" w:color="auto"/>
              <w:bottom w:val="single" w:sz="4" w:space="0" w:color="auto"/>
              <w:right w:val="single" w:sz="4" w:space="0" w:color="auto"/>
            </w:tcBorders>
            <w:vAlign w:val="center"/>
          </w:tcPr>
          <w:p w14:paraId="244A3527" w14:textId="77777777" w:rsidR="002B6593" w:rsidRPr="000170DA" w:rsidRDefault="002B6593" w:rsidP="00203BC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DE5EB83" w14:textId="77777777" w:rsidR="002B6593" w:rsidRPr="00D0490E" w:rsidRDefault="002B6593" w:rsidP="00203BCC">
            <w:pPr>
              <w:rPr>
                <w:rFonts w:ascii="Garamond" w:hAnsi="Garamond"/>
                <w:lang w:val="en-AU"/>
              </w:rPr>
            </w:pPr>
            <w:r>
              <w:rPr>
                <w:rFonts w:ascii="Garamond" w:hAnsi="Garamond"/>
                <w:lang w:val="en-AU"/>
              </w:rPr>
              <w:t xml:space="preserve">Some populations and some particular settings present particular safety and quality challenges. One such is people incarcerated in correctional facilities. This paper reports on an effort to understand </w:t>
            </w:r>
            <w:r w:rsidRPr="00555EE0">
              <w:rPr>
                <w:rFonts w:ascii="Garamond" w:hAnsi="Garamond"/>
                <w:lang w:val="en-AU"/>
              </w:rPr>
              <w:t>the burden and aetiology of avoidable harm in prisons</w:t>
            </w:r>
            <w:r>
              <w:rPr>
                <w:rFonts w:ascii="Garamond" w:hAnsi="Garamond"/>
                <w:lang w:val="en-AU"/>
              </w:rPr>
              <w:t xml:space="preserve"> using </w:t>
            </w:r>
            <w:r w:rsidRPr="002B6593">
              <w:rPr>
                <w:rFonts w:ascii="Garamond" w:hAnsi="Garamond"/>
                <w:lang w:val="en-AU"/>
              </w:rPr>
              <w:t xml:space="preserve">prison patient safety incident report data derived from the </w:t>
            </w:r>
            <w:r>
              <w:rPr>
                <w:rFonts w:ascii="Garamond" w:hAnsi="Garamond"/>
                <w:lang w:val="en-AU"/>
              </w:rPr>
              <w:t xml:space="preserve">UK’s </w:t>
            </w:r>
            <w:r w:rsidRPr="002B6593">
              <w:rPr>
                <w:rFonts w:ascii="Garamond" w:hAnsi="Garamond"/>
                <w:lang w:val="en-AU"/>
              </w:rPr>
              <w:t>National Reporting and Learning System (NRLS).</w:t>
            </w:r>
            <w:r>
              <w:rPr>
                <w:rFonts w:ascii="Garamond" w:hAnsi="Garamond"/>
                <w:lang w:val="en-AU"/>
              </w:rPr>
              <w:t xml:space="preserve"> The work focussed on the development of ‘</w:t>
            </w:r>
            <w:r w:rsidRPr="00555EE0">
              <w:rPr>
                <w:rFonts w:ascii="Garamond" w:hAnsi="Garamond"/>
                <w:lang w:val="en-AU"/>
              </w:rPr>
              <w:t>a working definition of avoidable harm in prison health care that enables consideration of caveats associated with prison environments and systems. Our definition enables future studies of the safety of prison healthcare to standardise outcome measurement.</w:t>
            </w:r>
            <w:r>
              <w:rPr>
                <w:rFonts w:ascii="Garamond" w:hAnsi="Garamond"/>
                <w:lang w:val="en-AU"/>
              </w:rPr>
              <w:t>’</w:t>
            </w:r>
          </w:p>
        </w:tc>
      </w:tr>
    </w:tbl>
    <w:p w14:paraId="08C57662" w14:textId="77777777" w:rsidR="002B6593" w:rsidRDefault="002B6593" w:rsidP="002B6593">
      <w:pPr>
        <w:keepLines/>
        <w:autoSpaceDE w:val="0"/>
        <w:autoSpaceDN w:val="0"/>
        <w:adjustRightInd w:val="0"/>
        <w:rPr>
          <w:rFonts w:ascii="Garamond" w:hAnsi="Garamond"/>
          <w:lang w:val="en-AU"/>
        </w:rPr>
      </w:pPr>
    </w:p>
    <w:p w14:paraId="6D745323" w14:textId="77777777" w:rsidR="007E3A34" w:rsidRDefault="007E3A34" w:rsidP="007E3A34">
      <w:pPr>
        <w:keepNext/>
        <w:rPr>
          <w:rFonts w:ascii="Garamond" w:hAnsi="Garamond"/>
          <w:i/>
          <w:lang w:val="en-AU"/>
        </w:rPr>
      </w:pPr>
      <w:r>
        <w:rPr>
          <w:rFonts w:ascii="Garamond" w:hAnsi="Garamond"/>
          <w:i/>
          <w:lang w:val="en-AU"/>
        </w:rPr>
        <w:t>BMJ Quality &amp; Safety</w:t>
      </w:r>
    </w:p>
    <w:p w14:paraId="22A64D6B" w14:textId="5ED600AD" w:rsidR="007E3A34" w:rsidRPr="00D65371" w:rsidRDefault="007E3A34" w:rsidP="007E3A34">
      <w:pPr>
        <w:keepNext/>
        <w:rPr>
          <w:rFonts w:ascii="Garamond" w:hAnsi="Garamond"/>
          <w:lang w:val="en-AU"/>
        </w:rPr>
      </w:pPr>
      <w:r>
        <w:rPr>
          <w:rFonts w:ascii="Garamond" w:hAnsi="Garamond"/>
          <w:lang w:val="en-AU"/>
        </w:rPr>
        <w:t>Volume 32 Issue 4 April 2023</w:t>
      </w:r>
    </w:p>
    <w:tbl>
      <w:tblPr>
        <w:tblStyle w:val="TableGrid"/>
        <w:tblW w:w="9360" w:type="dxa"/>
        <w:tblInd w:w="288" w:type="dxa"/>
        <w:tblLayout w:type="fixed"/>
        <w:tblLook w:val="01E0" w:firstRow="1" w:lastRow="1" w:firstColumn="1" w:lastColumn="1" w:noHBand="0" w:noVBand="0"/>
      </w:tblPr>
      <w:tblGrid>
        <w:gridCol w:w="1080"/>
        <w:gridCol w:w="8280"/>
      </w:tblGrid>
      <w:tr w:rsidR="007E3A34" w:rsidRPr="000170DA" w14:paraId="51435EE2" w14:textId="77777777" w:rsidTr="00662725">
        <w:tc>
          <w:tcPr>
            <w:tcW w:w="1080" w:type="dxa"/>
            <w:tcBorders>
              <w:top w:val="single" w:sz="4" w:space="0" w:color="auto"/>
              <w:left w:val="single" w:sz="4" w:space="0" w:color="auto"/>
              <w:bottom w:val="single" w:sz="4" w:space="0" w:color="auto"/>
              <w:right w:val="single" w:sz="4" w:space="0" w:color="auto"/>
            </w:tcBorders>
            <w:vAlign w:val="center"/>
          </w:tcPr>
          <w:p w14:paraId="60F4C455" w14:textId="77777777" w:rsidR="007E3A34" w:rsidRPr="000170DA" w:rsidRDefault="007E3A34" w:rsidP="0066272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91CCF24" w14:textId="5E6C871C" w:rsidR="007E3A34" w:rsidRPr="000170DA" w:rsidRDefault="00C33F77" w:rsidP="00662725">
            <w:pPr>
              <w:keepNext/>
              <w:rPr>
                <w:rStyle w:val="Hyperlink"/>
                <w:rFonts w:ascii="Garamond" w:hAnsi="Garamond"/>
                <w:color w:val="auto"/>
                <w:u w:val="none"/>
                <w:lang w:val="en-AU"/>
              </w:rPr>
            </w:pPr>
            <w:hyperlink r:id="rId26" w:history="1">
              <w:r w:rsidR="007E3A34" w:rsidRPr="00D76E2A">
                <w:rPr>
                  <w:rStyle w:val="Hyperlink"/>
                  <w:rFonts w:ascii="Garamond" w:hAnsi="Garamond"/>
                  <w:lang w:val="en-AU"/>
                </w:rPr>
                <w:t>https://qualitysafety.bmj.com/content/32/4</w:t>
              </w:r>
            </w:hyperlink>
          </w:p>
        </w:tc>
      </w:tr>
      <w:tr w:rsidR="007E3A34" w:rsidRPr="000170DA" w14:paraId="7207A588" w14:textId="77777777" w:rsidTr="002B6593">
        <w:trPr>
          <w:trHeight w:val="7562"/>
        </w:trPr>
        <w:tc>
          <w:tcPr>
            <w:tcW w:w="1080" w:type="dxa"/>
            <w:tcBorders>
              <w:top w:val="single" w:sz="4" w:space="0" w:color="auto"/>
              <w:left w:val="single" w:sz="4" w:space="0" w:color="auto"/>
              <w:bottom w:val="single" w:sz="4" w:space="0" w:color="auto"/>
              <w:right w:val="single" w:sz="4" w:space="0" w:color="auto"/>
            </w:tcBorders>
            <w:vAlign w:val="center"/>
          </w:tcPr>
          <w:p w14:paraId="209BF6E5" w14:textId="77777777" w:rsidR="007E3A34" w:rsidRPr="000170DA" w:rsidRDefault="007E3A34" w:rsidP="0066272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A5B6D29" w14:textId="77777777" w:rsidR="007E3A34" w:rsidRPr="007C3778" w:rsidRDefault="007E3A34" w:rsidP="00662725">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14:paraId="0CD8D531" w14:textId="0FD78750" w:rsidR="007E3A34" w:rsidRPr="007E3A34" w:rsidRDefault="007E3A34" w:rsidP="00A073E4">
            <w:pPr>
              <w:pStyle w:val="ListParagraph"/>
              <w:numPr>
                <w:ilvl w:val="0"/>
                <w:numId w:val="17"/>
              </w:numPr>
              <w:rPr>
                <w:rFonts w:ascii="Garamond" w:hAnsi="Garamond"/>
                <w:lang w:val="en-AU"/>
              </w:rPr>
            </w:pPr>
            <w:r w:rsidRPr="007E3A34">
              <w:rPr>
                <w:rFonts w:ascii="Garamond" w:hAnsi="Garamond"/>
                <w:lang w:val="en-AU"/>
              </w:rPr>
              <w:t xml:space="preserve">Editorial: </w:t>
            </w:r>
            <w:r w:rsidRPr="007E3A34">
              <w:rPr>
                <w:rFonts w:ascii="Garamond" w:hAnsi="Garamond"/>
                <w:b/>
                <w:bCs/>
                <w:lang w:val="en-AU"/>
              </w:rPr>
              <w:t>Surgeons and systems working together to drive safety and quality</w:t>
            </w:r>
            <w:r w:rsidRPr="007E3A34">
              <w:rPr>
                <w:rFonts w:ascii="Garamond" w:hAnsi="Garamond"/>
                <w:lang w:val="en-AU"/>
              </w:rPr>
              <w:t xml:space="preserve"> (Robert B Hawkins, Brahmajee K Nallamothu</w:t>
            </w:r>
            <w:r>
              <w:rPr>
                <w:rFonts w:ascii="Garamond" w:hAnsi="Garamond"/>
                <w:lang w:val="en-AU"/>
              </w:rPr>
              <w:t>)</w:t>
            </w:r>
          </w:p>
          <w:p w14:paraId="039299AC" w14:textId="628554AD" w:rsidR="007E3A34" w:rsidRPr="007E3A34" w:rsidRDefault="007E3A34" w:rsidP="00DB2A64">
            <w:pPr>
              <w:pStyle w:val="ListParagraph"/>
              <w:numPr>
                <w:ilvl w:val="0"/>
                <w:numId w:val="17"/>
              </w:numPr>
              <w:rPr>
                <w:rFonts w:ascii="Garamond" w:hAnsi="Garamond"/>
                <w:lang w:val="en-AU"/>
              </w:rPr>
            </w:pPr>
            <w:r w:rsidRPr="007E3A34">
              <w:rPr>
                <w:rFonts w:ascii="Garamond" w:hAnsi="Garamond"/>
                <w:lang w:val="en-AU"/>
              </w:rPr>
              <w:t xml:space="preserve">Editorial: </w:t>
            </w:r>
            <w:r w:rsidRPr="007E3A34">
              <w:rPr>
                <w:rFonts w:ascii="Garamond" w:hAnsi="Garamond"/>
                <w:b/>
                <w:bCs/>
                <w:lang w:val="en-AU"/>
              </w:rPr>
              <w:t>Reconfiguring emergency and acute services</w:t>
            </w:r>
            <w:r w:rsidRPr="007E3A34">
              <w:rPr>
                <w:rFonts w:ascii="Garamond" w:hAnsi="Garamond"/>
                <w:lang w:val="en-AU"/>
              </w:rPr>
              <w:t>: time to pause and reflect (Louella Vaughan, John Browne</w:t>
            </w:r>
            <w:r>
              <w:rPr>
                <w:rFonts w:ascii="Garamond" w:hAnsi="Garamond"/>
                <w:lang w:val="en-AU"/>
              </w:rPr>
              <w:t>)</w:t>
            </w:r>
          </w:p>
          <w:p w14:paraId="5F7E3609" w14:textId="0F600D1C" w:rsidR="007E3A34" w:rsidRPr="007E3A34" w:rsidRDefault="007E3A34" w:rsidP="00544D53">
            <w:pPr>
              <w:pStyle w:val="ListParagraph"/>
              <w:numPr>
                <w:ilvl w:val="0"/>
                <w:numId w:val="17"/>
              </w:numPr>
              <w:rPr>
                <w:rFonts w:ascii="Garamond" w:hAnsi="Garamond"/>
                <w:lang w:val="en-AU"/>
              </w:rPr>
            </w:pPr>
            <w:r w:rsidRPr="007E3A34">
              <w:rPr>
                <w:rFonts w:ascii="Garamond" w:hAnsi="Garamond"/>
                <w:lang w:val="en-AU"/>
              </w:rPr>
              <w:t xml:space="preserve">Editorial: </w:t>
            </w:r>
            <w:r w:rsidRPr="007E3A34">
              <w:rPr>
                <w:rFonts w:ascii="Garamond" w:hAnsi="Garamond"/>
                <w:b/>
                <w:bCs/>
                <w:lang w:val="en-AU"/>
              </w:rPr>
              <w:t>Adverse drug events leading to medical emergency team activation</w:t>
            </w:r>
            <w:r w:rsidRPr="007E3A34">
              <w:rPr>
                <w:rFonts w:ascii="Garamond" w:hAnsi="Garamond"/>
                <w:lang w:val="en-AU"/>
              </w:rPr>
              <w:t xml:space="preserve"> in hospitals: what can we learn? (Marja Härkänen, Tiina Syyrilä, Lotta Schepel</w:t>
            </w:r>
            <w:r>
              <w:rPr>
                <w:rFonts w:ascii="Garamond" w:hAnsi="Garamond"/>
                <w:lang w:val="en-AU"/>
              </w:rPr>
              <w:t>)</w:t>
            </w:r>
          </w:p>
          <w:p w14:paraId="05851657" w14:textId="35A5A031" w:rsidR="007E3A34" w:rsidRPr="007E3A34" w:rsidRDefault="007E3A34" w:rsidP="00D6546A">
            <w:pPr>
              <w:pStyle w:val="ListParagraph"/>
              <w:numPr>
                <w:ilvl w:val="0"/>
                <w:numId w:val="17"/>
              </w:numPr>
              <w:rPr>
                <w:rFonts w:ascii="Garamond" w:hAnsi="Garamond"/>
                <w:lang w:val="en-AU"/>
              </w:rPr>
            </w:pPr>
            <w:r w:rsidRPr="007E3A34">
              <w:rPr>
                <w:rFonts w:ascii="Garamond" w:hAnsi="Garamond"/>
                <w:b/>
                <w:bCs/>
                <w:lang w:val="en-AU"/>
              </w:rPr>
              <w:t>Outcome differences between surgeons performing first and subsequent coronary artery bypass grafting procedures in a day</w:t>
            </w:r>
            <w:r w:rsidRPr="007E3A34">
              <w:rPr>
                <w:rFonts w:ascii="Garamond" w:hAnsi="Garamond"/>
                <w:lang w:val="en-AU"/>
              </w:rPr>
              <w:t>: a retrospective comparative cohort studyEditor's Choice (Danwei Zhang, Dachuan Gu, Chenfei Rao, Heng Zhang, Xiaoting Su, Sipeng Chen, Hanping Ma, Yan Zhao, Wei Feng, Hansong Sun, Zhe Zheng</w:t>
            </w:r>
            <w:r>
              <w:rPr>
                <w:rFonts w:ascii="Garamond" w:hAnsi="Garamond"/>
                <w:lang w:val="en-AU"/>
              </w:rPr>
              <w:t>)</w:t>
            </w:r>
          </w:p>
          <w:p w14:paraId="4822500E" w14:textId="4000F566" w:rsidR="007E3A34" w:rsidRPr="007E3A34" w:rsidRDefault="007E3A34" w:rsidP="00B37BB1">
            <w:pPr>
              <w:pStyle w:val="ListParagraph"/>
              <w:numPr>
                <w:ilvl w:val="0"/>
                <w:numId w:val="17"/>
              </w:numPr>
              <w:rPr>
                <w:rFonts w:ascii="Garamond" w:hAnsi="Garamond"/>
                <w:lang w:val="en-AU"/>
              </w:rPr>
            </w:pPr>
            <w:r w:rsidRPr="007E3A34">
              <w:rPr>
                <w:rFonts w:ascii="Garamond" w:hAnsi="Garamond"/>
                <w:lang w:val="en-AU"/>
              </w:rPr>
              <w:t xml:space="preserve">Mortality before and after </w:t>
            </w:r>
            <w:r w:rsidRPr="007E3A34">
              <w:rPr>
                <w:rFonts w:ascii="Garamond" w:hAnsi="Garamond"/>
                <w:b/>
                <w:bCs/>
                <w:lang w:val="en-AU"/>
              </w:rPr>
              <w:t>reconfiguration of the Danish hospital-based emergency healthcare system</w:t>
            </w:r>
            <w:r w:rsidRPr="007E3A34">
              <w:rPr>
                <w:rFonts w:ascii="Garamond" w:hAnsi="Garamond"/>
                <w:lang w:val="en-AU"/>
              </w:rPr>
              <w:t>: a nationwide interrupted time series analysis (Marianne Flojstrup, Søren Bie Bie Bogh, Mickael Bech, Daniel Pilsgaard Henriksen, Søren Paaske Johnsen, Mikkel Brabrand</w:t>
            </w:r>
            <w:r>
              <w:rPr>
                <w:rFonts w:ascii="Garamond" w:hAnsi="Garamond"/>
                <w:lang w:val="en-AU"/>
              </w:rPr>
              <w:t>)</w:t>
            </w:r>
          </w:p>
          <w:p w14:paraId="527C2DE3" w14:textId="31E53BF2" w:rsidR="007E3A34" w:rsidRPr="007E3A34" w:rsidRDefault="007E3A34" w:rsidP="00DD0E8E">
            <w:pPr>
              <w:pStyle w:val="ListParagraph"/>
              <w:numPr>
                <w:ilvl w:val="0"/>
                <w:numId w:val="17"/>
              </w:numPr>
              <w:rPr>
                <w:rFonts w:ascii="Garamond" w:hAnsi="Garamond"/>
                <w:lang w:val="en-AU"/>
              </w:rPr>
            </w:pPr>
            <w:r w:rsidRPr="007E3A34">
              <w:rPr>
                <w:rFonts w:ascii="Garamond" w:hAnsi="Garamond"/>
                <w:b/>
                <w:bCs/>
                <w:lang w:val="en-AU"/>
              </w:rPr>
              <w:t>Medication-related Medical Emergency Team activations</w:t>
            </w:r>
            <w:r w:rsidRPr="007E3A34">
              <w:rPr>
                <w:rFonts w:ascii="Garamond" w:hAnsi="Garamond"/>
                <w:lang w:val="en-AU"/>
              </w:rPr>
              <w:t>: a case review study of frequency and preventability (Bianca J Levkovich, Judit Orosz, Gordon Bingham, D James Cooper, Michael Dooley, Carl Kirkpatrick, Daryl A Jones</w:t>
            </w:r>
            <w:r>
              <w:rPr>
                <w:rFonts w:ascii="Garamond" w:hAnsi="Garamond"/>
                <w:lang w:val="en-AU"/>
              </w:rPr>
              <w:t>)</w:t>
            </w:r>
          </w:p>
          <w:p w14:paraId="7BF49BBD" w14:textId="5E6EF0A6" w:rsidR="007E3A34" w:rsidRPr="00292B57" w:rsidRDefault="007E3A34" w:rsidP="007E3A34">
            <w:pPr>
              <w:pStyle w:val="ListParagraph"/>
              <w:numPr>
                <w:ilvl w:val="0"/>
                <w:numId w:val="17"/>
              </w:numPr>
              <w:rPr>
                <w:rFonts w:ascii="Garamond" w:hAnsi="Garamond"/>
                <w:lang w:val="en-AU"/>
              </w:rPr>
            </w:pPr>
            <w:r w:rsidRPr="007E3A34">
              <w:rPr>
                <w:rFonts w:ascii="Garamond" w:hAnsi="Garamond"/>
                <w:lang w:val="en-AU"/>
              </w:rPr>
              <w:t xml:space="preserve">Complex interplay between moral distress and other risk factors of </w:t>
            </w:r>
            <w:r w:rsidRPr="007E3A34">
              <w:rPr>
                <w:rFonts w:ascii="Garamond" w:hAnsi="Garamond"/>
                <w:b/>
                <w:bCs/>
                <w:lang w:val="en-AU"/>
              </w:rPr>
              <w:t>burnout in ICU professionals</w:t>
            </w:r>
            <w:r w:rsidRPr="007E3A34">
              <w:rPr>
                <w:rFonts w:ascii="Garamond" w:hAnsi="Garamond"/>
                <w:lang w:val="en-AU"/>
              </w:rPr>
              <w:t>: findings from a cross-sectional survey study (Niek Kok, Jelle Van Gurp, Johannes G van der Hoeven, Malaika Fuchs, Cornelia Hoedemaekers, Marieke Zegers</w:t>
            </w:r>
            <w:r>
              <w:rPr>
                <w:rFonts w:ascii="Garamond" w:hAnsi="Garamond"/>
                <w:lang w:val="en-AU"/>
              </w:rPr>
              <w:t>)</w:t>
            </w:r>
          </w:p>
        </w:tc>
      </w:tr>
    </w:tbl>
    <w:p w14:paraId="2A66469F" w14:textId="77777777" w:rsidR="007E3A34" w:rsidRDefault="007E3A34" w:rsidP="007E3A34">
      <w:pPr>
        <w:keepLines/>
        <w:autoSpaceDE w:val="0"/>
        <w:autoSpaceDN w:val="0"/>
        <w:adjustRightInd w:val="0"/>
        <w:rPr>
          <w:rFonts w:ascii="Garamond" w:hAnsi="Garamond"/>
          <w:i/>
          <w:iCs/>
          <w:lang w:val="en-AU"/>
        </w:rPr>
      </w:pPr>
    </w:p>
    <w:p w14:paraId="60A853FE" w14:textId="77777777" w:rsidR="002B6593" w:rsidRDefault="002B6593">
      <w:pPr>
        <w:rPr>
          <w:rFonts w:ascii="Garamond" w:hAnsi="Garamond"/>
          <w:i/>
          <w:lang w:val="en-AU"/>
        </w:rPr>
      </w:pPr>
      <w:r>
        <w:rPr>
          <w:rFonts w:ascii="Garamond" w:hAnsi="Garamond"/>
          <w:i/>
          <w:lang w:val="en-AU"/>
        </w:rPr>
        <w:br w:type="page"/>
      </w:r>
    </w:p>
    <w:p w14:paraId="3D3627E5" w14:textId="3F1D4336" w:rsidR="004B47ED" w:rsidRPr="00E37911" w:rsidRDefault="004B47ED" w:rsidP="004B47ED">
      <w:pPr>
        <w:keepNext/>
        <w:rPr>
          <w:rFonts w:ascii="Garamond" w:hAnsi="Garamond"/>
          <w:lang w:val="en-AU"/>
        </w:rPr>
      </w:pPr>
      <w:r w:rsidRPr="00E37911">
        <w:rPr>
          <w:rFonts w:ascii="Garamond" w:hAnsi="Garamond"/>
          <w:i/>
          <w:lang w:val="en-AU"/>
        </w:rPr>
        <w:lastRenderedPageBreak/>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C33F77" w:rsidP="00B13BCF">
            <w:pPr>
              <w:keepNext/>
              <w:rPr>
                <w:rFonts w:ascii="Garamond" w:hAnsi="Garamond"/>
                <w:lang w:val="en-AU"/>
              </w:rPr>
            </w:pPr>
            <w:hyperlink r:id="rId27"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354B0B5D" w14:textId="7AC7168A" w:rsidR="00FE57E1" w:rsidRPr="00FE57E1" w:rsidRDefault="00FE57E1" w:rsidP="001768F4">
            <w:pPr>
              <w:pStyle w:val="ListParagraph"/>
              <w:numPr>
                <w:ilvl w:val="0"/>
                <w:numId w:val="16"/>
              </w:numPr>
              <w:rPr>
                <w:rFonts w:ascii="Garamond" w:hAnsi="Garamond"/>
                <w:lang w:val="en-AU"/>
              </w:rPr>
            </w:pPr>
            <w:r w:rsidRPr="00FE57E1">
              <w:rPr>
                <w:rFonts w:ascii="Garamond" w:hAnsi="Garamond"/>
                <w:lang w:val="en-AU"/>
              </w:rPr>
              <w:t xml:space="preserve">Editorial: Embracing </w:t>
            </w:r>
            <w:r w:rsidRPr="00FE57E1">
              <w:rPr>
                <w:rFonts w:ascii="Garamond" w:hAnsi="Garamond"/>
                <w:b/>
                <w:bCs/>
                <w:lang w:val="en-AU"/>
              </w:rPr>
              <w:t>carers</w:t>
            </w:r>
            <w:r w:rsidRPr="00FE57E1">
              <w:rPr>
                <w:rFonts w:ascii="Garamond" w:hAnsi="Garamond"/>
                <w:lang w:val="en-AU"/>
              </w:rPr>
              <w:t xml:space="preserve">: when will </w:t>
            </w:r>
            <w:r w:rsidRPr="00FE57E1">
              <w:rPr>
                <w:rFonts w:ascii="Garamond" w:hAnsi="Garamond"/>
                <w:b/>
                <w:bCs/>
                <w:lang w:val="en-AU"/>
              </w:rPr>
              <w:t>adult hospitals</w:t>
            </w:r>
            <w:r w:rsidRPr="00FE57E1">
              <w:rPr>
                <w:rFonts w:ascii="Garamond" w:hAnsi="Garamond"/>
                <w:lang w:val="en-AU"/>
              </w:rPr>
              <w:t xml:space="preserve"> fully adopt the same practices as children’s hospitals? (Mark V Williams, Jing Li</w:t>
            </w:r>
            <w:r>
              <w:rPr>
                <w:rFonts w:ascii="Garamond" w:hAnsi="Garamond"/>
                <w:lang w:val="en-AU"/>
              </w:rPr>
              <w:t>)</w:t>
            </w:r>
          </w:p>
          <w:p w14:paraId="70E5C578" w14:textId="40DC8D30" w:rsidR="00FE57E1" w:rsidRPr="00FE57E1" w:rsidRDefault="00FE57E1" w:rsidP="00C73B49">
            <w:pPr>
              <w:pStyle w:val="ListParagraph"/>
              <w:numPr>
                <w:ilvl w:val="0"/>
                <w:numId w:val="16"/>
              </w:numPr>
              <w:rPr>
                <w:rFonts w:ascii="Garamond" w:hAnsi="Garamond"/>
                <w:lang w:val="en-AU"/>
              </w:rPr>
            </w:pPr>
            <w:r w:rsidRPr="00FE57E1">
              <w:rPr>
                <w:rFonts w:ascii="Garamond" w:hAnsi="Garamond"/>
                <w:lang w:val="en-AU"/>
              </w:rPr>
              <w:t xml:space="preserve">Editorial: </w:t>
            </w:r>
            <w:r w:rsidRPr="00FE57E1">
              <w:rPr>
                <w:rFonts w:ascii="Garamond" w:hAnsi="Garamond"/>
                <w:b/>
                <w:bCs/>
                <w:lang w:val="en-AU"/>
              </w:rPr>
              <w:t>Translating evidence into policy and practice</w:t>
            </w:r>
            <w:r w:rsidRPr="00FE57E1">
              <w:rPr>
                <w:rFonts w:ascii="Garamond" w:hAnsi="Garamond"/>
                <w:lang w:val="en-AU"/>
              </w:rPr>
              <w:t>: what do we know already, and what would further research look like? (Paul Cairney, Annette Boaz, Kathryn Oliver</w:t>
            </w:r>
            <w:r>
              <w:rPr>
                <w:rFonts w:ascii="Garamond" w:hAnsi="Garamond"/>
                <w:lang w:val="en-AU"/>
              </w:rPr>
              <w:t>)</w:t>
            </w:r>
          </w:p>
          <w:p w14:paraId="4810A508" w14:textId="71CD8EF8" w:rsidR="00FE57E1" w:rsidRPr="00FE57E1" w:rsidRDefault="00FE57E1" w:rsidP="00815700">
            <w:pPr>
              <w:pStyle w:val="ListParagraph"/>
              <w:numPr>
                <w:ilvl w:val="0"/>
                <w:numId w:val="16"/>
              </w:numPr>
              <w:rPr>
                <w:rFonts w:ascii="Garamond" w:hAnsi="Garamond"/>
                <w:lang w:val="en-AU"/>
              </w:rPr>
            </w:pPr>
            <w:r w:rsidRPr="00FE57E1">
              <w:rPr>
                <w:rFonts w:ascii="Garamond" w:hAnsi="Garamond"/>
                <w:lang w:val="en-AU"/>
              </w:rPr>
              <w:t xml:space="preserve">Editorial: </w:t>
            </w:r>
            <w:r w:rsidRPr="00FE57E1">
              <w:rPr>
                <w:rFonts w:ascii="Garamond" w:hAnsi="Garamond"/>
                <w:b/>
                <w:bCs/>
                <w:lang w:val="en-AU"/>
              </w:rPr>
              <w:t>Prescribing medications with indications</w:t>
            </w:r>
            <w:r w:rsidRPr="00FE57E1">
              <w:rPr>
                <w:rFonts w:ascii="Garamond" w:hAnsi="Garamond"/>
                <w:lang w:val="en-AU"/>
              </w:rPr>
              <w:t>: time to flip the script (Gordon D Schiff, Bruce L Lambert, Adam Wright</w:t>
            </w:r>
            <w:r>
              <w:rPr>
                <w:rFonts w:ascii="Garamond" w:hAnsi="Garamond"/>
                <w:lang w:val="en-AU"/>
              </w:rPr>
              <w:t>)</w:t>
            </w:r>
          </w:p>
          <w:p w14:paraId="2C386F5C" w14:textId="66CE5921" w:rsidR="00871809" w:rsidRPr="00E37911" w:rsidRDefault="00FE57E1" w:rsidP="00FE57E1">
            <w:pPr>
              <w:pStyle w:val="ListParagraph"/>
              <w:numPr>
                <w:ilvl w:val="0"/>
                <w:numId w:val="16"/>
              </w:numPr>
              <w:rPr>
                <w:rFonts w:ascii="Garamond" w:hAnsi="Garamond"/>
                <w:lang w:val="en-AU"/>
              </w:rPr>
            </w:pPr>
            <w:r w:rsidRPr="00FE57E1">
              <w:rPr>
                <w:rFonts w:ascii="Garamond" w:hAnsi="Garamond"/>
                <w:lang w:val="en-AU"/>
              </w:rPr>
              <w:t xml:space="preserve">What works in </w:t>
            </w:r>
            <w:r w:rsidRPr="00FE57E1">
              <w:rPr>
                <w:rFonts w:ascii="Garamond" w:hAnsi="Garamond"/>
                <w:b/>
                <w:bCs/>
                <w:lang w:val="en-AU"/>
              </w:rPr>
              <w:t>medication reconciliation</w:t>
            </w:r>
            <w:r w:rsidRPr="00FE57E1">
              <w:rPr>
                <w:rFonts w:ascii="Garamond" w:hAnsi="Garamond"/>
                <w:lang w:val="en-AU"/>
              </w:rPr>
              <w:t>: an on-treatment and site analysis of the MARQUIS2 study</w:t>
            </w:r>
            <w:r>
              <w:rPr>
                <w:rFonts w:ascii="Garamond" w:hAnsi="Garamond"/>
                <w:lang w:val="en-AU"/>
              </w:rPr>
              <w:t xml:space="preserve"> (</w:t>
            </w:r>
            <w:r w:rsidRPr="00FE57E1">
              <w:rPr>
                <w:rFonts w:ascii="Garamond" w:hAnsi="Garamond"/>
                <w:lang w:val="en-AU"/>
              </w:rPr>
              <w:t>Jeffrey L Schnipper, Harry Reyes Nieva, Catherine Yoon, Meghan Mallouk, Amanda S Mixon, Stephanie Rennke, Eugene S Chu, Stephanie K Mueller, G Randy Smith, Mark V Williams, Tosha B Wetterneck, Jason Stein, Anuj K Dalal, Stephanie Labonville, Anirudh Sridharan, Deonni P Stolldorf, Endel John Orav, Marcus Gresham, Jenna Goldstein, Sara Platt, Christopher Tugbéh Nyenpan, Eric Howell, Sunil Kripalani MARQUIS2 Site Leaders for the MARQUIS2 Study Group</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78B75609" w14:textId="02BA63F6" w:rsidR="00AA6D18" w:rsidRDefault="00AA6D18" w:rsidP="006523E0">
      <w:pPr>
        <w:rPr>
          <w:rFonts w:ascii="Garamond" w:hAnsi="Garamond"/>
          <w:i/>
          <w:lang w:val="en-AU"/>
        </w:rPr>
      </w:pPr>
    </w:p>
    <w:p w14:paraId="439973EA" w14:textId="77777777" w:rsidR="001233CD" w:rsidRDefault="001233CD"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1D4D2BC3" w14:textId="5BF94713" w:rsidR="004B3A08" w:rsidRDefault="004B3A08">
      <w:pPr>
        <w:rPr>
          <w:rFonts w:ascii="Garamond" w:hAnsi="Garamond"/>
          <w:b/>
          <w:lang w:val="en-AU"/>
        </w:rPr>
      </w:pPr>
    </w:p>
    <w:p w14:paraId="20A4D0DE" w14:textId="4AB45DA7" w:rsidR="000001ED" w:rsidRDefault="000001ED" w:rsidP="00FE57E1">
      <w:pPr>
        <w:keepNext/>
        <w:rPr>
          <w:rFonts w:ascii="Garamond" w:hAnsi="Garamond"/>
          <w:b/>
          <w:lang w:val="en-AU"/>
        </w:rPr>
      </w:pPr>
      <w:r>
        <w:rPr>
          <w:rFonts w:ascii="Garamond" w:hAnsi="Garamond"/>
          <w:b/>
          <w:lang w:val="en-AU"/>
        </w:rPr>
        <w:t>GRADE for Guidelines webinar</w:t>
      </w:r>
    </w:p>
    <w:p w14:paraId="05288D8E" w14:textId="60C00A4D" w:rsidR="000001ED" w:rsidRDefault="00C33F77">
      <w:pPr>
        <w:rPr>
          <w:rFonts w:ascii="Garamond" w:hAnsi="Garamond"/>
          <w:bCs/>
          <w:lang w:val="en-AU"/>
        </w:rPr>
      </w:pPr>
      <w:hyperlink r:id="rId28" w:history="1">
        <w:r w:rsidR="000001ED" w:rsidRPr="004B309A">
          <w:rPr>
            <w:rStyle w:val="Hyperlink"/>
            <w:rFonts w:ascii="Garamond" w:hAnsi="Garamond"/>
            <w:bCs/>
            <w:lang w:val="en-AU"/>
          </w:rPr>
          <w:t>https://connect.g-i-n.net/events/640b0233915ac90008511fb9/description?ticket=640b0233915ac90008511fba</w:t>
        </w:r>
      </w:hyperlink>
    </w:p>
    <w:p w14:paraId="7CA3A94E" w14:textId="3D943319" w:rsidR="000001ED" w:rsidRPr="000001ED" w:rsidRDefault="000001ED">
      <w:pPr>
        <w:rPr>
          <w:rFonts w:ascii="Garamond" w:hAnsi="Garamond"/>
          <w:bCs/>
          <w:lang w:val="en-AU"/>
        </w:rPr>
      </w:pPr>
      <w:r w:rsidRPr="000001ED">
        <w:rPr>
          <w:rFonts w:ascii="Garamond" w:hAnsi="Garamond"/>
          <w:bCs/>
          <w:lang w:val="en-AU"/>
        </w:rPr>
        <w:t xml:space="preserve">The </w:t>
      </w:r>
      <w:r>
        <w:rPr>
          <w:rFonts w:ascii="Garamond" w:hAnsi="Garamond"/>
          <w:bCs/>
          <w:lang w:val="en-AU"/>
        </w:rPr>
        <w:t xml:space="preserve">ANZ GIN (Australia-New Zealand </w:t>
      </w:r>
      <w:r w:rsidRPr="000001ED">
        <w:rPr>
          <w:rFonts w:ascii="Garamond" w:hAnsi="Garamond"/>
          <w:bCs/>
          <w:lang w:val="en-AU"/>
        </w:rPr>
        <w:t>Guidelines International Network</w:t>
      </w:r>
      <w:r>
        <w:rPr>
          <w:rFonts w:ascii="Garamond" w:hAnsi="Garamond"/>
          <w:bCs/>
          <w:lang w:val="en-AU"/>
        </w:rPr>
        <w:t>)</w:t>
      </w:r>
      <w:r w:rsidRPr="000001ED">
        <w:rPr>
          <w:rFonts w:ascii="Garamond" w:hAnsi="Garamond"/>
          <w:bCs/>
          <w:lang w:val="en-AU"/>
        </w:rPr>
        <w:t xml:space="preserve"> </w:t>
      </w:r>
      <w:r>
        <w:rPr>
          <w:rFonts w:ascii="Garamond" w:hAnsi="Garamond"/>
          <w:bCs/>
          <w:lang w:val="en-AU"/>
        </w:rPr>
        <w:t>are holding a free webinar on 26 April 2023. The webinar will focus on the GRADE (</w:t>
      </w:r>
      <w:r w:rsidR="00112962" w:rsidRPr="00112962">
        <w:rPr>
          <w:rFonts w:ascii="Garamond" w:hAnsi="Garamond"/>
          <w:bCs/>
          <w:lang w:val="en-AU"/>
        </w:rPr>
        <w:t>Grading of Recommendations, Assessment, Development, and Evaluation</w:t>
      </w:r>
      <w:r>
        <w:rPr>
          <w:rFonts w:ascii="Garamond" w:hAnsi="Garamond"/>
          <w:bCs/>
          <w:lang w:val="en-AU"/>
        </w:rPr>
        <w:t>)</w:t>
      </w:r>
      <w:r w:rsidR="00112962">
        <w:rPr>
          <w:rFonts w:ascii="Garamond" w:hAnsi="Garamond"/>
          <w:bCs/>
          <w:lang w:val="en-AU"/>
        </w:rPr>
        <w:t xml:space="preserve"> approach to assessing evidence. </w:t>
      </w:r>
      <w:r w:rsidR="00112962" w:rsidRPr="00112962">
        <w:rPr>
          <w:rFonts w:ascii="Garamond" w:hAnsi="Garamond"/>
          <w:bCs/>
          <w:lang w:val="en-AU"/>
        </w:rPr>
        <w:t>This presentation will provide an introduction to the GRADE approach and methods in systematic reviews and guidelines.</w:t>
      </w:r>
    </w:p>
    <w:p w14:paraId="26BA8126" w14:textId="77777777" w:rsidR="000001ED" w:rsidRDefault="000001ED">
      <w:pPr>
        <w:rPr>
          <w:rFonts w:ascii="Garamond" w:hAnsi="Garamond"/>
          <w:b/>
          <w:lang w:val="en-AU"/>
        </w:rPr>
      </w:pPr>
    </w:p>
    <w:p w14:paraId="0C28F841" w14:textId="77777777" w:rsidR="00C4268C" w:rsidRPr="00913086" w:rsidRDefault="00C4268C" w:rsidP="00C4268C">
      <w:pPr>
        <w:keepNext/>
        <w:rPr>
          <w:rFonts w:ascii="Garamond" w:hAnsi="Garamond"/>
          <w:b/>
          <w:bCs/>
          <w:i/>
          <w:lang w:val="en-AU"/>
        </w:rPr>
      </w:pPr>
      <w:r w:rsidRPr="00913086">
        <w:rPr>
          <w:rFonts w:ascii="Garamond" w:hAnsi="Garamond"/>
          <w:b/>
          <w:bCs/>
          <w:i/>
          <w:lang w:val="en-AU"/>
        </w:rPr>
        <w:t>[UK] NICE Guidelines and Quality Standards</w:t>
      </w:r>
    </w:p>
    <w:p w14:paraId="1AC8838C" w14:textId="77777777" w:rsidR="00C4268C" w:rsidRPr="008F3909" w:rsidRDefault="00C33F77" w:rsidP="00C4268C">
      <w:pPr>
        <w:keepNext/>
        <w:rPr>
          <w:rFonts w:ascii="Garamond" w:hAnsi="Garamond"/>
          <w:lang w:val="en-AU"/>
        </w:rPr>
      </w:pPr>
      <w:hyperlink r:id="rId29" w:history="1">
        <w:r w:rsidR="00C4268C" w:rsidRPr="00B91B4F">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461E0C4C" w14:textId="42EA29ED" w:rsidR="009B16C8" w:rsidRDefault="009B16C8" w:rsidP="00D1061B">
      <w:pPr>
        <w:pStyle w:val="ListParagraph"/>
        <w:numPr>
          <w:ilvl w:val="0"/>
          <w:numId w:val="14"/>
        </w:numPr>
        <w:rPr>
          <w:rFonts w:ascii="Garamond" w:hAnsi="Garamond"/>
          <w:iCs/>
          <w:lang w:val="en-AU"/>
        </w:rPr>
      </w:pPr>
      <w:r>
        <w:rPr>
          <w:rFonts w:ascii="Garamond" w:hAnsi="Garamond"/>
          <w:iCs/>
          <w:lang w:val="en-AU"/>
        </w:rPr>
        <w:t xml:space="preserve">Quality Standard QS76 </w:t>
      </w:r>
      <w:r w:rsidRPr="009B16C8">
        <w:rPr>
          <w:rFonts w:ascii="Garamond" w:hAnsi="Garamond"/>
          <w:iCs/>
          <w:lang w:val="en-AU"/>
        </w:rPr>
        <w:t>Acute kidney injury</w:t>
      </w:r>
      <w:r>
        <w:rPr>
          <w:rFonts w:ascii="Garamond" w:hAnsi="Garamond"/>
          <w:iCs/>
          <w:lang w:val="en-AU"/>
        </w:rPr>
        <w:t xml:space="preserve"> </w:t>
      </w:r>
      <w:hyperlink r:id="rId30" w:history="1">
        <w:r w:rsidRPr="009D1579">
          <w:rPr>
            <w:rStyle w:val="Hyperlink"/>
            <w:rFonts w:ascii="Garamond" w:hAnsi="Garamond"/>
            <w:iCs/>
            <w:lang w:val="en-AU"/>
          </w:rPr>
          <w:t>https://www.nice.org.uk/guidance/qs76</w:t>
        </w:r>
      </w:hyperlink>
    </w:p>
    <w:p w14:paraId="62C4E78B" w14:textId="77777777" w:rsidR="00D1061B" w:rsidRDefault="00D1061B" w:rsidP="00D1061B">
      <w:pPr>
        <w:rPr>
          <w:rFonts w:ascii="Garamond" w:hAnsi="Garamond"/>
          <w:b/>
          <w:lang w:val="en-AU"/>
        </w:rPr>
      </w:pPr>
    </w:p>
    <w:p w14:paraId="59DA24BC" w14:textId="60604956" w:rsidR="00E87C6E" w:rsidRDefault="00E87C6E">
      <w:pPr>
        <w:rPr>
          <w:rFonts w:ascii="Garamond" w:hAnsi="Garamond"/>
          <w:b/>
          <w:lang w:val="en-AU"/>
        </w:rPr>
      </w:pPr>
    </w:p>
    <w:p w14:paraId="68EA62D3" w14:textId="77777777" w:rsidR="00D1061B" w:rsidRDefault="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1"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2"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33"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0312889A">
            <wp:extent cx="5916706" cy="8421775"/>
            <wp:effectExtent l="0" t="0" r="8255" b="0"/>
            <wp:docPr id="8" name="Picture 8" descr="COVID-19 poster – Combined contact and droplet precaution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73095" cy="8502038"/>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5"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7"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8"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9"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2"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C33F77" w:rsidP="00D574D3">
      <w:pPr>
        <w:keepNext/>
        <w:keepLines/>
        <w:rPr>
          <w:rFonts w:ascii="Garamond" w:hAnsi="Garamond"/>
          <w:lang w:val="en-AU"/>
        </w:rPr>
      </w:pPr>
      <w:hyperlink r:id="rId45"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C33F77" w:rsidP="00D574D3">
      <w:pPr>
        <w:keepNext/>
        <w:keepLines/>
        <w:rPr>
          <w:rFonts w:ascii="Garamond" w:hAnsi="Garamond"/>
          <w:lang w:val="en-AU"/>
        </w:rPr>
      </w:pPr>
      <w:hyperlink r:id="rId46"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345521DA" w14:textId="77777777"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lastRenderedPageBreak/>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376ADF76"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7"/>
      <w:footerReference w:type="default" r:id="rId48"/>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2770" w14:textId="77777777" w:rsidR="00AE7191" w:rsidRDefault="00AE7191">
      <w:r>
        <w:separator/>
      </w:r>
    </w:p>
  </w:endnote>
  <w:endnote w:type="continuationSeparator" w:id="0">
    <w:p w14:paraId="176B68A3" w14:textId="77777777" w:rsidR="00AE7191" w:rsidRDefault="00AE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3A581FD"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w:t>
    </w:r>
    <w:r w:rsidR="00E04F70">
      <w:rPr>
        <w:rFonts w:ascii="Garamond" w:hAnsi="Garamond"/>
      </w:rPr>
      <w:t>9</w:t>
    </w:r>
    <w:r w:rsidR="00900EA3">
      <w:rPr>
        <w:rFonts w:ascii="Garamond" w:hAnsi="Garamond"/>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3D901D53"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5</w:t>
    </w:r>
    <w:r w:rsidR="00E04F70">
      <w:rPr>
        <w:rFonts w:ascii="Garamond" w:hAnsi="Garamond"/>
      </w:rPr>
      <w:t>9</w:t>
    </w:r>
    <w:r w:rsidR="00900EA3">
      <w:rPr>
        <w:rFonts w:ascii="Garamond" w:hAnsi="Garamond"/>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53C33" w14:textId="77777777" w:rsidR="00AE7191" w:rsidRDefault="00AE7191">
      <w:r>
        <w:separator/>
      </w:r>
    </w:p>
  </w:footnote>
  <w:footnote w:type="continuationSeparator" w:id="0">
    <w:p w14:paraId="0E4941F3" w14:textId="77777777" w:rsidR="00AE7191" w:rsidRDefault="00AE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D771F"/>
    <w:multiLevelType w:val="hybridMultilevel"/>
    <w:tmpl w:val="4202A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D15FEF"/>
    <w:multiLevelType w:val="hybridMultilevel"/>
    <w:tmpl w:val="4024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F370A1"/>
    <w:multiLevelType w:val="hybridMultilevel"/>
    <w:tmpl w:val="202C9470"/>
    <w:lvl w:ilvl="0" w:tplc="0662326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477FF9"/>
    <w:multiLevelType w:val="hybridMultilevel"/>
    <w:tmpl w:val="69DE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D4E3E"/>
    <w:multiLevelType w:val="hybridMultilevel"/>
    <w:tmpl w:val="A61AC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775139"/>
    <w:multiLevelType w:val="hybridMultilevel"/>
    <w:tmpl w:val="5CD4A1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2AE672C9"/>
    <w:multiLevelType w:val="hybridMultilevel"/>
    <w:tmpl w:val="D2629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A866FC"/>
    <w:multiLevelType w:val="hybridMultilevel"/>
    <w:tmpl w:val="2EB2D5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F3821B4"/>
    <w:multiLevelType w:val="hybridMultilevel"/>
    <w:tmpl w:val="38187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DD04D5"/>
    <w:multiLevelType w:val="hybridMultilevel"/>
    <w:tmpl w:val="42FAC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036F7C"/>
    <w:multiLevelType w:val="hybridMultilevel"/>
    <w:tmpl w:val="91308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A709DE"/>
    <w:multiLevelType w:val="hybridMultilevel"/>
    <w:tmpl w:val="83C0D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9E7FA4"/>
    <w:multiLevelType w:val="hybridMultilevel"/>
    <w:tmpl w:val="039CE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E06E4C"/>
    <w:multiLevelType w:val="hybridMultilevel"/>
    <w:tmpl w:val="48903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7F7D87"/>
    <w:multiLevelType w:val="hybridMultilevel"/>
    <w:tmpl w:val="E84E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BF63F5"/>
    <w:multiLevelType w:val="hybridMultilevel"/>
    <w:tmpl w:val="0F74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0682284"/>
    <w:multiLevelType w:val="hybridMultilevel"/>
    <w:tmpl w:val="273A59CE"/>
    <w:lvl w:ilvl="0" w:tplc="98E8858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1F049F"/>
    <w:multiLevelType w:val="hybridMultilevel"/>
    <w:tmpl w:val="DB26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78F4588"/>
    <w:multiLevelType w:val="hybridMultilevel"/>
    <w:tmpl w:val="6DB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FC12B7"/>
    <w:multiLevelType w:val="hybridMultilevel"/>
    <w:tmpl w:val="4A7A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A205E3"/>
    <w:multiLevelType w:val="hybridMultilevel"/>
    <w:tmpl w:val="E99A4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854F0A"/>
    <w:multiLevelType w:val="hybridMultilevel"/>
    <w:tmpl w:val="C9D216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C73B75"/>
    <w:multiLevelType w:val="hybridMultilevel"/>
    <w:tmpl w:val="C9D216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E13AC8"/>
    <w:multiLevelType w:val="multilevel"/>
    <w:tmpl w:val="A698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6C1042"/>
    <w:multiLevelType w:val="hybridMultilevel"/>
    <w:tmpl w:val="CB2A8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2B5D59"/>
    <w:multiLevelType w:val="hybridMultilevel"/>
    <w:tmpl w:val="B05E80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2447D9"/>
    <w:multiLevelType w:val="hybridMultilevel"/>
    <w:tmpl w:val="0F96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A8517FF"/>
    <w:multiLevelType w:val="hybridMultilevel"/>
    <w:tmpl w:val="B15EF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F96F4E"/>
    <w:multiLevelType w:val="hybridMultilevel"/>
    <w:tmpl w:val="AF92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4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31"/>
  </w:num>
  <w:num w:numId="15">
    <w:abstractNumId w:val="34"/>
  </w:num>
  <w:num w:numId="16">
    <w:abstractNumId w:val="17"/>
  </w:num>
  <w:num w:numId="17">
    <w:abstractNumId w:val="18"/>
  </w:num>
  <w:num w:numId="18">
    <w:abstractNumId w:val="47"/>
  </w:num>
  <w:num w:numId="19">
    <w:abstractNumId w:val="27"/>
  </w:num>
  <w:num w:numId="20">
    <w:abstractNumId w:val="15"/>
  </w:num>
  <w:num w:numId="21">
    <w:abstractNumId w:val="38"/>
  </w:num>
  <w:num w:numId="22">
    <w:abstractNumId w:val="44"/>
  </w:num>
  <w:num w:numId="23">
    <w:abstractNumId w:val="46"/>
  </w:num>
  <w:num w:numId="24">
    <w:abstractNumId w:val="36"/>
  </w:num>
  <w:num w:numId="25">
    <w:abstractNumId w:val="33"/>
  </w:num>
  <w:num w:numId="26">
    <w:abstractNumId w:val="29"/>
  </w:num>
  <w:num w:numId="27">
    <w:abstractNumId w:val="39"/>
  </w:num>
  <w:num w:numId="28">
    <w:abstractNumId w:val="32"/>
  </w:num>
  <w:num w:numId="29">
    <w:abstractNumId w:val="11"/>
  </w:num>
  <w:num w:numId="30">
    <w:abstractNumId w:val="21"/>
  </w:num>
  <w:num w:numId="31">
    <w:abstractNumId w:val="12"/>
  </w:num>
  <w:num w:numId="32">
    <w:abstractNumId w:val="24"/>
  </w:num>
  <w:num w:numId="33">
    <w:abstractNumId w:val="48"/>
  </w:num>
  <w:num w:numId="34">
    <w:abstractNumId w:val="26"/>
  </w:num>
  <w:num w:numId="35">
    <w:abstractNumId w:val="37"/>
  </w:num>
  <w:num w:numId="36">
    <w:abstractNumId w:val="13"/>
  </w:num>
  <w:num w:numId="37">
    <w:abstractNumId w:val="10"/>
  </w:num>
  <w:num w:numId="38">
    <w:abstractNumId w:val="16"/>
  </w:num>
  <w:num w:numId="39">
    <w:abstractNumId w:val="23"/>
  </w:num>
  <w:num w:numId="40">
    <w:abstractNumId w:val="43"/>
  </w:num>
  <w:num w:numId="41">
    <w:abstractNumId w:val="20"/>
  </w:num>
  <w:num w:numId="42">
    <w:abstractNumId w:val="14"/>
  </w:num>
  <w:num w:numId="43">
    <w:abstractNumId w:val="22"/>
  </w:num>
  <w:num w:numId="44">
    <w:abstractNumId w:val="42"/>
  </w:num>
  <w:num w:numId="45">
    <w:abstractNumId w:val="28"/>
  </w:num>
  <w:num w:numId="46">
    <w:abstractNumId w:val="25"/>
  </w:num>
  <w:num w:numId="47">
    <w:abstractNumId w:val="41"/>
  </w:num>
  <w:num w:numId="48">
    <w:abstractNumId w:val="19"/>
  </w:num>
  <w:num w:numId="49">
    <w:abstractNumId w:val="4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2D1"/>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3CD"/>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A1A"/>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A4F"/>
    <w:rsid w:val="00152C78"/>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43"/>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082"/>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93"/>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89E"/>
    <w:rsid w:val="00302C8D"/>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554"/>
    <w:rsid w:val="003B1604"/>
    <w:rsid w:val="003B1B0D"/>
    <w:rsid w:val="003B1EB5"/>
    <w:rsid w:val="003B1F8D"/>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6107"/>
    <w:rsid w:val="003C6276"/>
    <w:rsid w:val="003C6317"/>
    <w:rsid w:val="003C665E"/>
    <w:rsid w:val="003C678B"/>
    <w:rsid w:val="003C6869"/>
    <w:rsid w:val="003C68A6"/>
    <w:rsid w:val="003C6977"/>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C61"/>
    <w:rsid w:val="00432D10"/>
    <w:rsid w:val="00432EA6"/>
    <w:rsid w:val="00432EC8"/>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78"/>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6FE"/>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A2F"/>
    <w:rsid w:val="005B1B6B"/>
    <w:rsid w:val="005B1CF7"/>
    <w:rsid w:val="005B1D02"/>
    <w:rsid w:val="005B1DD1"/>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799"/>
    <w:rsid w:val="006F7B46"/>
    <w:rsid w:val="006F7D21"/>
    <w:rsid w:val="006F7DF7"/>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9F4"/>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5B1"/>
    <w:rsid w:val="007945F2"/>
    <w:rsid w:val="0079479F"/>
    <w:rsid w:val="007947A5"/>
    <w:rsid w:val="007949FE"/>
    <w:rsid w:val="00794AFB"/>
    <w:rsid w:val="00794B47"/>
    <w:rsid w:val="00794BE4"/>
    <w:rsid w:val="00794BF7"/>
    <w:rsid w:val="00794CEB"/>
    <w:rsid w:val="00794E5D"/>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2E8"/>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88"/>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AD"/>
    <w:rsid w:val="008C1BB8"/>
    <w:rsid w:val="008C1C03"/>
    <w:rsid w:val="008C1E7A"/>
    <w:rsid w:val="008C209D"/>
    <w:rsid w:val="008C2138"/>
    <w:rsid w:val="008C2260"/>
    <w:rsid w:val="008C23F6"/>
    <w:rsid w:val="008C2914"/>
    <w:rsid w:val="008C2AAA"/>
    <w:rsid w:val="008C2BA6"/>
    <w:rsid w:val="008C2CDB"/>
    <w:rsid w:val="008C2E53"/>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572"/>
    <w:rsid w:val="00993862"/>
    <w:rsid w:val="009939BF"/>
    <w:rsid w:val="00993A53"/>
    <w:rsid w:val="00993A5A"/>
    <w:rsid w:val="00993AB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191"/>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862"/>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B27"/>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3F77"/>
    <w:rsid w:val="00C3448A"/>
    <w:rsid w:val="00C346B7"/>
    <w:rsid w:val="00C347E1"/>
    <w:rsid w:val="00C348FC"/>
    <w:rsid w:val="00C34C59"/>
    <w:rsid w:val="00C350F7"/>
    <w:rsid w:val="00C35103"/>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7C4"/>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661"/>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5E4"/>
    <w:rsid w:val="00DB2716"/>
    <w:rsid w:val="00DB275D"/>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44C"/>
    <w:rsid w:val="00EB15C3"/>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EF7F60"/>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DB2"/>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1177/20420986231154365" TargetMode="External"/><Relationship Id="rId26" Type="http://schemas.openxmlformats.org/officeDocument/2006/relationships/hyperlink" Target="https://qualitysafety.bmj.com/content/32/4" TargetMode="External"/><Relationship Id="rId39" Type="http://schemas.openxmlformats.org/officeDocument/2006/relationships/hyperlink" Target="https://www.safetyandquality.gov.au/our-work/cognitive-impairment/cognitive-impairment-and-covid-19" TargetMode="External"/><Relationship Id="rId3" Type="http://schemas.openxmlformats.org/officeDocument/2006/relationships/styles" Target="styles.xml"/><Relationship Id="rId21" Type="http://schemas.openxmlformats.org/officeDocument/2006/relationships/hyperlink" Target="https://www.safetyandquality.gov.au/our-work/medication-safety" TargetMode="External"/><Relationship Id="rId34" Type="http://schemas.openxmlformats.org/officeDocument/2006/relationships/image" Target="media/image2.png"/><Relationship Id="rId42" Type="http://schemas.openxmlformats.org/officeDocument/2006/relationships/hyperlink" Target="https://www.safetyandquality.gov.au/publications-and-resources/resource-library/covid-19-and-face-masks-information-consumer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dx.doi.org/10.1136/bmjqs-2022-015425" TargetMode="External"/><Relationship Id="rId25" Type="http://schemas.openxmlformats.org/officeDocument/2006/relationships/hyperlink" Target="https://doi.org/10.1371/journal.pone.0282021" TargetMode="External"/><Relationship Id="rId33" Type="http://schemas.openxmlformats.org/officeDocument/2006/relationships/hyperlink" Target="https://www.safetyandquality.gov.au/publications-and-resources/resource-library/infection-prevention-and-control-poster-combined-contact-and-droplet-precautions"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hyperlink" Target="https://www.aci.health.nsw.gov.au/covid-19/critical-intelligence-unit"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antimicrobial-shortages-clinician-guidance" TargetMode="External"/><Relationship Id="rId20" Type="http://schemas.openxmlformats.org/officeDocument/2006/relationships/hyperlink" Target="http://dx.doi.org/10.1136/bmjqs-2022-014806" TargetMode="External"/><Relationship Id="rId29" Type="http://schemas.openxmlformats.org/officeDocument/2006/relationships/hyperlink" Target="https://www.nice.org.uk/guidance"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dx.doi.org/10.1136/bmjqs-2021-014244" TargetMode="External"/><Relationship Id="rId32" Type="http://schemas.openxmlformats.org/officeDocument/2006/relationships/hyperlink" Target="https://www.safetyandquality.gov.au/publications-and-resources/resource-library/covid-19-infection-prevention-and-control-risk-management-guidance" TargetMode="External"/><Relationship Id="rId37" Type="http://schemas.openxmlformats.org/officeDocument/2006/relationships/hyperlink" Target="http://www.safetyandquality.gov.au/environmental-cleaning" TargetMode="External"/><Relationship Id="rId40"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5" Type="http://schemas.openxmlformats.org/officeDocument/2006/relationships/hyperlink" Target="https://covid19evidence.net.au/" TargetMode="Externa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antimicrobial-shortages-consumer-guidance" TargetMode="External"/><Relationship Id="rId23" Type="http://schemas.openxmlformats.org/officeDocument/2006/relationships/hyperlink" Target="https://doi.org/10.3390%2Fijerph192113843" TargetMode="External"/><Relationship Id="rId28" Type="http://schemas.openxmlformats.org/officeDocument/2006/relationships/hyperlink" Target="https://connect.g-i-n.net/events/640b0233915ac90008511fb9/description?ticket=640b0233915ac90008511fba" TargetMode="External"/><Relationship Id="rId36" Type="http://schemas.openxmlformats.org/officeDocument/2006/relationships/image" Target="media/image3.PNG"/><Relationship Id="rId49"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our-work/medication-safety" TargetMode="External"/><Relationship Id="rId31" Type="http://schemas.openxmlformats.org/officeDocument/2006/relationships/hyperlink" Target="https://www.safetyandquality.gov.au/covid-19"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16/j.ijmedinf.2022.104909"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www.nice.org.uk/guidance/qs76" TargetMode="External"/><Relationship Id="rId35" Type="http://schemas.openxmlformats.org/officeDocument/2006/relationships/hyperlink" Target="https://www.safetyandquality.gov.au/publications-and-resources/resource-library/poster-combined-airborne-and-contact-precautions" TargetMode="External"/><Relationship Id="rId43" Type="http://schemas.openxmlformats.org/officeDocument/2006/relationships/hyperlink" Target="https://www.safetyandquality.gov.au/sites/default/files/2020-07/covid-19_and_face_masks_-_information_for_consumers.pdf" TargetMode="External"/><Relationship Id="rId48" Type="http://schemas.openxmlformats.org/officeDocument/2006/relationships/footer" Target="footer2.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12</Pages>
  <Words>4061</Words>
  <Characters>23153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Draft On the Radar Issue 596</vt:lpstr>
    </vt:vector>
  </TitlesOfParts>
  <Company>ACSQHC</Company>
  <LinksUpToDate>false</LinksUpToDate>
  <CharactersWithSpaces>27160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596</dc:title>
  <dc:subject/>
  <dc:creator>Dr Niall Johnson</dc:creator>
  <cp:keywords>On the Radar</cp:keywords>
  <dc:description/>
  <cp:lastModifiedBy>JOHNSON, Niall</cp:lastModifiedBy>
  <cp:revision>14</cp:revision>
  <cp:lastPrinted>2018-03-02T02:34:00Z</cp:lastPrinted>
  <dcterms:created xsi:type="dcterms:W3CDTF">2023-03-19T21:19:00Z</dcterms:created>
  <dcterms:modified xsi:type="dcterms:W3CDTF">2023-03-23T23:03:00Z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