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62C3CE20"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49555DD6"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76103D">
        <w:rPr>
          <w:rFonts w:ascii="Garamond" w:hAnsi="Garamond"/>
          <w:color w:val="000000" w:themeColor="text1"/>
          <w:lang w:val="en-AU"/>
        </w:rPr>
        <w:t>5</w:t>
      </w:r>
      <w:r w:rsidR="00D03948">
        <w:rPr>
          <w:rFonts w:ascii="Garamond" w:hAnsi="Garamond"/>
          <w:color w:val="000000" w:themeColor="text1"/>
          <w:lang w:val="en-AU"/>
        </w:rPr>
        <w:t>9</w:t>
      </w:r>
      <w:r w:rsidR="00745BBC">
        <w:rPr>
          <w:rFonts w:ascii="Garamond" w:hAnsi="Garamond"/>
          <w:color w:val="000000" w:themeColor="text1"/>
          <w:lang w:val="en-AU"/>
        </w:rPr>
        <w:t>9</w:t>
      </w:r>
    </w:p>
    <w:p w14:paraId="5081D681" w14:textId="586E6FB5" w:rsidR="001A4346" w:rsidRDefault="00745BBC" w:rsidP="00F738B5">
      <w:pPr>
        <w:rPr>
          <w:rFonts w:ascii="Garamond" w:hAnsi="Garamond"/>
          <w:lang w:val="en-AU"/>
        </w:rPr>
      </w:pPr>
      <w:r>
        <w:rPr>
          <w:rFonts w:ascii="Garamond" w:hAnsi="Garamond"/>
          <w:lang w:val="en-AU"/>
        </w:rPr>
        <w:t>24</w:t>
      </w:r>
      <w:r w:rsidR="00F10ACC">
        <w:rPr>
          <w:rFonts w:ascii="Garamond" w:hAnsi="Garamond"/>
          <w:lang w:val="en-AU"/>
        </w:rPr>
        <w:t xml:space="preserve"> April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3F8438E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0C47B536" w14:textId="670A5297" w:rsidR="00904AFF"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3A890F04" w14:textId="121EF22F" w:rsidR="00106440" w:rsidRDefault="00106440" w:rsidP="009525CC">
      <w:pPr>
        <w:rPr>
          <w:rFonts w:ascii="Garamond" w:hAnsi="Garamond"/>
          <w:bCs/>
          <w:lang w:val="en-AU"/>
        </w:rPr>
      </w:pPr>
    </w:p>
    <w:p w14:paraId="11B5DD23" w14:textId="2C7F6853" w:rsidR="00940ACD" w:rsidRDefault="00940ACD" w:rsidP="009525CC">
      <w:pPr>
        <w:rPr>
          <w:rFonts w:ascii="Garamond" w:hAnsi="Garamond"/>
          <w:bCs/>
          <w:lang w:val="en-AU"/>
        </w:rPr>
      </w:pPr>
    </w:p>
    <w:p w14:paraId="2ED1F1B3" w14:textId="77777777" w:rsidR="008E452D" w:rsidRDefault="008E452D" w:rsidP="009525CC">
      <w:pPr>
        <w:rPr>
          <w:rFonts w:ascii="Garamond" w:hAnsi="Garamond"/>
          <w:bCs/>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2F265929" w14:textId="54C8E621" w:rsidR="00C23361" w:rsidRDefault="00C23361" w:rsidP="00C23361">
      <w:pPr>
        <w:keepLines/>
        <w:autoSpaceDE w:val="0"/>
        <w:autoSpaceDN w:val="0"/>
        <w:adjustRightInd w:val="0"/>
        <w:rPr>
          <w:rFonts w:ascii="Garamond" w:hAnsi="Garamond"/>
          <w:lang w:val="en-AU"/>
        </w:rPr>
      </w:pPr>
    </w:p>
    <w:p w14:paraId="54D57419" w14:textId="77777777" w:rsidR="0010516E" w:rsidRPr="0010516E" w:rsidRDefault="0010516E" w:rsidP="0010516E">
      <w:pPr>
        <w:keepLines/>
        <w:autoSpaceDE w:val="0"/>
        <w:autoSpaceDN w:val="0"/>
        <w:adjustRightInd w:val="0"/>
        <w:rPr>
          <w:rFonts w:ascii="Garamond" w:hAnsi="Garamond"/>
          <w:i/>
          <w:iCs/>
          <w:lang w:val="en-AU"/>
        </w:rPr>
      </w:pPr>
      <w:r w:rsidRPr="0010516E">
        <w:rPr>
          <w:rFonts w:ascii="Garamond" w:hAnsi="Garamond"/>
          <w:i/>
          <w:iCs/>
          <w:lang w:val="en-AU"/>
        </w:rPr>
        <w:t>Surgical interhospital transfer mortality: national analysis</w:t>
      </w:r>
    </w:p>
    <w:p w14:paraId="7B99B7CB" w14:textId="77777777" w:rsidR="0010516E" w:rsidRDefault="0010516E" w:rsidP="00F10ACC">
      <w:pPr>
        <w:keepLines/>
        <w:autoSpaceDE w:val="0"/>
        <w:autoSpaceDN w:val="0"/>
        <w:adjustRightInd w:val="0"/>
        <w:rPr>
          <w:rFonts w:ascii="Garamond" w:hAnsi="Garamond"/>
          <w:lang w:val="en-AU"/>
        </w:rPr>
      </w:pPr>
      <w:r w:rsidRPr="0010516E">
        <w:rPr>
          <w:rFonts w:ascii="Garamond" w:hAnsi="Garamond"/>
          <w:lang w:val="en-AU"/>
        </w:rPr>
        <w:t>Murshed I, Gupta AK, Camilos AN, Sabab A, Bacchi S, Kovoor JG, et al</w:t>
      </w:r>
    </w:p>
    <w:p w14:paraId="4B148E61" w14:textId="0B97B6FA" w:rsidR="008C2F5B" w:rsidRDefault="0010516E" w:rsidP="00F10ACC">
      <w:pPr>
        <w:keepLines/>
        <w:autoSpaceDE w:val="0"/>
        <w:autoSpaceDN w:val="0"/>
        <w:adjustRightInd w:val="0"/>
        <w:rPr>
          <w:rFonts w:ascii="Garamond" w:hAnsi="Garamond"/>
          <w:lang w:val="en-AU"/>
        </w:rPr>
      </w:pPr>
      <w:r w:rsidRPr="0010516E">
        <w:rPr>
          <w:rFonts w:ascii="Garamond" w:hAnsi="Garamond"/>
          <w:lang w:val="en-AU"/>
        </w:rPr>
        <w:t>British Journal of Surgery. 2023;110(5):591-598.</w:t>
      </w:r>
    </w:p>
    <w:tbl>
      <w:tblPr>
        <w:tblStyle w:val="TableGrid"/>
        <w:tblW w:w="9360" w:type="dxa"/>
        <w:tblInd w:w="288" w:type="dxa"/>
        <w:tblLayout w:type="fixed"/>
        <w:tblLook w:val="01E0" w:firstRow="1" w:lastRow="1" w:firstColumn="1" w:lastColumn="1" w:noHBand="0" w:noVBand="0"/>
      </w:tblPr>
      <w:tblGrid>
        <w:gridCol w:w="1080"/>
        <w:gridCol w:w="8280"/>
      </w:tblGrid>
      <w:tr w:rsidR="00F10ACC" w:rsidRPr="000170DA" w14:paraId="4A72B456" w14:textId="77777777" w:rsidTr="00F1680B">
        <w:tc>
          <w:tcPr>
            <w:tcW w:w="1080" w:type="dxa"/>
            <w:tcBorders>
              <w:top w:val="single" w:sz="4" w:space="0" w:color="auto"/>
              <w:left w:val="single" w:sz="4" w:space="0" w:color="auto"/>
              <w:bottom w:val="single" w:sz="4" w:space="0" w:color="auto"/>
              <w:right w:val="single" w:sz="4" w:space="0" w:color="auto"/>
            </w:tcBorders>
            <w:vAlign w:val="center"/>
          </w:tcPr>
          <w:p w14:paraId="7AAC8AA8" w14:textId="77777777" w:rsidR="00F10ACC" w:rsidRPr="000170DA" w:rsidRDefault="00F10ACC" w:rsidP="00F1680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85044F8" w14:textId="675911AB" w:rsidR="00F10ACC" w:rsidRPr="000170DA" w:rsidRDefault="008C0A66" w:rsidP="00F1680B">
            <w:pPr>
              <w:keepNext/>
              <w:rPr>
                <w:rStyle w:val="Hyperlink"/>
                <w:rFonts w:ascii="Garamond" w:hAnsi="Garamond"/>
                <w:color w:val="auto"/>
                <w:u w:val="none"/>
                <w:lang w:val="en-AU"/>
              </w:rPr>
            </w:pPr>
            <w:hyperlink r:id="rId15" w:history="1">
              <w:r w:rsidR="0010516E" w:rsidRPr="00A56CED">
                <w:rPr>
                  <w:rStyle w:val="Hyperlink"/>
                  <w:rFonts w:ascii="Garamond" w:hAnsi="Garamond"/>
                  <w:lang w:val="en-AU"/>
                </w:rPr>
                <w:t>https://doi.org/10.1093/bjs/znad042</w:t>
              </w:r>
            </w:hyperlink>
          </w:p>
        </w:tc>
      </w:tr>
      <w:tr w:rsidR="00F10ACC" w:rsidRPr="000170DA" w14:paraId="19CB818A" w14:textId="77777777" w:rsidTr="00F1680B">
        <w:tc>
          <w:tcPr>
            <w:tcW w:w="1080" w:type="dxa"/>
            <w:tcBorders>
              <w:top w:val="single" w:sz="4" w:space="0" w:color="auto"/>
              <w:left w:val="single" w:sz="4" w:space="0" w:color="auto"/>
              <w:bottom w:val="single" w:sz="4" w:space="0" w:color="auto"/>
              <w:right w:val="single" w:sz="4" w:space="0" w:color="auto"/>
            </w:tcBorders>
            <w:vAlign w:val="center"/>
          </w:tcPr>
          <w:p w14:paraId="2D7D23B5" w14:textId="77777777" w:rsidR="00F10ACC" w:rsidRPr="000170DA" w:rsidRDefault="00F10ACC" w:rsidP="00F168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4CF8FC6" w14:textId="3DEF6676" w:rsidR="00F10ACC" w:rsidRPr="00D0490E" w:rsidRDefault="00F27C8B" w:rsidP="00F1680B">
            <w:pPr>
              <w:rPr>
                <w:rFonts w:ascii="Garamond" w:hAnsi="Garamond"/>
                <w:lang w:val="en-AU"/>
              </w:rPr>
            </w:pPr>
            <w:r>
              <w:rPr>
                <w:rFonts w:ascii="Garamond" w:hAnsi="Garamond"/>
                <w:lang w:val="en-AU"/>
              </w:rPr>
              <w:t xml:space="preserve">This Australian study published in the </w:t>
            </w:r>
            <w:r w:rsidRPr="00F27C8B">
              <w:rPr>
                <w:rFonts w:ascii="Garamond" w:hAnsi="Garamond"/>
                <w:i/>
                <w:iCs/>
                <w:lang w:val="en-AU"/>
              </w:rPr>
              <w:t>British Journal of Surgery</w:t>
            </w:r>
            <w:r>
              <w:rPr>
                <w:rFonts w:ascii="Garamond" w:hAnsi="Garamond"/>
                <w:lang w:val="en-AU"/>
              </w:rPr>
              <w:t xml:space="preserve"> </w:t>
            </w:r>
            <w:r w:rsidR="0072315A">
              <w:rPr>
                <w:rFonts w:ascii="Garamond" w:hAnsi="Garamond"/>
                <w:lang w:val="en-AU"/>
              </w:rPr>
              <w:t xml:space="preserve">used data from the </w:t>
            </w:r>
            <w:r w:rsidR="00F14065">
              <w:rPr>
                <w:rFonts w:ascii="Garamond" w:hAnsi="Garamond"/>
                <w:lang w:val="en-AU"/>
              </w:rPr>
              <w:t>A</w:t>
            </w:r>
            <w:r w:rsidR="0072315A" w:rsidRPr="0072315A">
              <w:rPr>
                <w:rFonts w:ascii="Garamond" w:hAnsi="Garamond"/>
                <w:lang w:val="en-AU"/>
              </w:rPr>
              <w:t>ustralian and New Zealand Audit of Surgical Mortality (ANZASM)</w:t>
            </w:r>
            <w:r w:rsidR="0072315A">
              <w:rPr>
                <w:rFonts w:ascii="Garamond" w:hAnsi="Garamond"/>
                <w:lang w:val="en-AU"/>
              </w:rPr>
              <w:t xml:space="preserve"> to examine </w:t>
            </w:r>
            <w:r w:rsidR="0072315A" w:rsidRPr="0072315A">
              <w:rPr>
                <w:rFonts w:ascii="Garamond" w:hAnsi="Garamond"/>
                <w:lang w:val="en-AU"/>
              </w:rPr>
              <w:t>interhospital transfer patient mortality.</w:t>
            </w:r>
            <w:r w:rsidR="0072315A">
              <w:rPr>
                <w:rFonts w:ascii="Garamond" w:hAnsi="Garamond"/>
                <w:lang w:val="en-AU"/>
              </w:rPr>
              <w:t xml:space="preserve"> The data extracted from ANZASM covered </w:t>
            </w:r>
            <w:r w:rsidR="0072315A" w:rsidRPr="0072315A">
              <w:rPr>
                <w:rFonts w:ascii="Garamond" w:hAnsi="Garamond"/>
                <w:lang w:val="en-AU"/>
              </w:rPr>
              <w:t xml:space="preserve">all surgical patient mortality in </w:t>
            </w:r>
            <w:r w:rsidR="0072315A">
              <w:rPr>
                <w:rFonts w:ascii="Garamond" w:hAnsi="Garamond"/>
                <w:lang w:val="en-AU"/>
              </w:rPr>
              <w:t xml:space="preserve">most of </w:t>
            </w:r>
            <w:r w:rsidR="0072315A" w:rsidRPr="0072315A">
              <w:rPr>
                <w:rFonts w:ascii="Garamond" w:hAnsi="Garamond"/>
                <w:lang w:val="en-AU"/>
              </w:rPr>
              <w:t>Australia (</w:t>
            </w:r>
            <w:r w:rsidR="0072315A">
              <w:rPr>
                <w:rFonts w:ascii="Garamond" w:hAnsi="Garamond"/>
                <w:lang w:val="en-AU"/>
              </w:rPr>
              <w:t xml:space="preserve">but not </w:t>
            </w:r>
            <w:r w:rsidR="0072315A" w:rsidRPr="0072315A">
              <w:rPr>
                <w:rFonts w:ascii="Garamond" w:hAnsi="Garamond"/>
                <w:lang w:val="en-AU"/>
              </w:rPr>
              <w:t>New South Wales) that underwent interhospital transfer between 1 January 2010 and 31 December 2019</w:t>
            </w:r>
            <w:r w:rsidR="0072315A">
              <w:rPr>
                <w:rFonts w:ascii="Garamond" w:hAnsi="Garamond"/>
                <w:lang w:val="en-AU"/>
              </w:rPr>
              <w:t>. Of the 8679 patients, ‘</w:t>
            </w:r>
            <w:r w:rsidR="0072315A" w:rsidRPr="0072315A">
              <w:rPr>
                <w:rFonts w:ascii="Garamond" w:hAnsi="Garamond"/>
                <w:lang w:val="en-AU"/>
              </w:rPr>
              <w:t>2171 (25.0 per cent) had 3259 clinical management issues identified</w:t>
            </w:r>
            <w:r w:rsidR="0072315A">
              <w:rPr>
                <w:rFonts w:ascii="Garamond" w:hAnsi="Garamond"/>
                <w:lang w:val="en-AU"/>
              </w:rPr>
              <w:t>’. Thematic analysis found ‘</w:t>
            </w:r>
            <w:r w:rsidR="0072315A" w:rsidRPr="0072315A">
              <w:rPr>
                <w:rFonts w:ascii="Garamond" w:hAnsi="Garamond"/>
                <w:lang w:val="en-AU"/>
              </w:rPr>
              <w:t xml:space="preserve">Prominent themes were operative design (n = 466, 14.3 per cent), decision to operate (n = 425, 13.0 per cent), medical conditions (n = 344, 10.6 per cent), diagnosis (n = 326, 10 per cent), transfer (n = 293, 10.0 per cent), intraoperative issues (n = 278, 8.5 per cent), inadequate assessment (n = 238, 7.3 </w:t>
            </w:r>
            <w:r w:rsidR="0072315A" w:rsidRPr="0072315A">
              <w:rPr>
                <w:rFonts w:ascii="Garamond" w:hAnsi="Garamond"/>
                <w:lang w:val="en-AU"/>
              </w:rPr>
              <w:lastRenderedPageBreak/>
              <w:t>per cent), communication (n = 224, 6.9 per cent), delay in recognizing complications (n = 180, 5.5 per cent), coagulopathy (n = 151, 4.6 per cent), insufficient monitoring (n = 127, 3.9 per cent), infection (n = 107, 3.3 per cent), and hospital resources (n = 100, 3.1 per cent). Assessors considered 58.4 per cent of clinical management issues (n = 1903) probably or definitely preventable.</w:t>
            </w:r>
            <w:r w:rsidR="0072315A">
              <w:rPr>
                <w:rFonts w:ascii="Garamond" w:hAnsi="Garamond"/>
                <w:lang w:val="en-AU"/>
              </w:rPr>
              <w:t>’</w:t>
            </w:r>
          </w:p>
        </w:tc>
      </w:tr>
    </w:tbl>
    <w:p w14:paraId="2F35401C" w14:textId="6983779B" w:rsidR="00F10ACC" w:rsidRDefault="00F10ACC" w:rsidP="00F10ACC">
      <w:pPr>
        <w:keepLines/>
        <w:autoSpaceDE w:val="0"/>
        <w:autoSpaceDN w:val="0"/>
        <w:adjustRightInd w:val="0"/>
        <w:rPr>
          <w:rFonts w:ascii="Garamond" w:hAnsi="Garamond"/>
          <w:lang w:val="en-AU"/>
        </w:rPr>
      </w:pPr>
    </w:p>
    <w:p w14:paraId="3EDE72C3" w14:textId="77777777" w:rsidR="00EE07D5" w:rsidRPr="00EE07D5" w:rsidRDefault="00EE07D5" w:rsidP="00EE07D5">
      <w:pPr>
        <w:keepLines/>
        <w:autoSpaceDE w:val="0"/>
        <w:autoSpaceDN w:val="0"/>
        <w:adjustRightInd w:val="0"/>
        <w:rPr>
          <w:rFonts w:ascii="Garamond" w:hAnsi="Garamond"/>
          <w:i/>
          <w:iCs/>
          <w:lang w:val="en-AU"/>
        </w:rPr>
      </w:pPr>
      <w:r w:rsidRPr="00EE07D5">
        <w:rPr>
          <w:rFonts w:ascii="Garamond" w:hAnsi="Garamond"/>
          <w:i/>
          <w:iCs/>
          <w:lang w:val="en-AU"/>
        </w:rPr>
        <w:t>Impact of sleep deficiency on surgical performance: a prospective assessment</w:t>
      </w:r>
    </w:p>
    <w:p w14:paraId="7A535097" w14:textId="77777777" w:rsidR="00EE07D5" w:rsidRDefault="00EE07D5" w:rsidP="00F10ACC">
      <w:pPr>
        <w:keepLines/>
        <w:autoSpaceDE w:val="0"/>
        <w:autoSpaceDN w:val="0"/>
        <w:adjustRightInd w:val="0"/>
        <w:rPr>
          <w:rFonts w:ascii="Garamond" w:hAnsi="Garamond"/>
          <w:lang w:val="en-AU"/>
        </w:rPr>
      </w:pPr>
      <w:r w:rsidRPr="00EE07D5">
        <w:rPr>
          <w:rFonts w:ascii="Garamond" w:hAnsi="Garamond"/>
          <w:lang w:val="en-AU"/>
        </w:rPr>
        <w:t>Quan SF, Landrigan CP, Barger LK, Buie JD, Dominguez C, Iyer JM, et al</w:t>
      </w:r>
    </w:p>
    <w:p w14:paraId="73905D4E" w14:textId="586F62FA" w:rsidR="00EE07D5" w:rsidRDefault="00EE07D5" w:rsidP="00F10ACC">
      <w:pPr>
        <w:keepLines/>
        <w:autoSpaceDE w:val="0"/>
        <w:autoSpaceDN w:val="0"/>
        <w:adjustRightInd w:val="0"/>
        <w:rPr>
          <w:rFonts w:ascii="Garamond" w:hAnsi="Garamond"/>
          <w:lang w:val="en-AU"/>
        </w:rPr>
      </w:pPr>
      <w:r w:rsidRPr="00EE07D5">
        <w:rPr>
          <w:rFonts w:ascii="Garamond" w:hAnsi="Garamond"/>
          <w:lang w:val="en-AU"/>
        </w:rPr>
        <w:t>Journal of Clinical Sleep Medicine. 2023;19(4):673-683.</w:t>
      </w:r>
    </w:p>
    <w:tbl>
      <w:tblPr>
        <w:tblStyle w:val="TableGrid"/>
        <w:tblW w:w="9360" w:type="dxa"/>
        <w:tblInd w:w="288" w:type="dxa"/>
        <w:tblLayout w:type="fixed"/>
        <w:tblLook w:val="01E0" w:firstRow="1" w:lastRow="1" w:firstColumn="1" w:lastColumn="1" w:noHBand="0" w:noVBand="0"/>
      </w:tblPr>
      <w:tblGrid>
        <w:gridCol w:w="1080"/>
        <w:gridCol w:w="8280"/>
      </w:tblGrid>
      <w:tr w:rsidR="00F10ACC" w:rsidRPr="000170DA" w14:paraId="7DA6B58D" w14:textId="77777777" w:rsidTr="00F1680B">
        <w:tc>
          <w:tcPr>
            <w:tcW w:w="1080" w:type="dxa"/>
            <w:tcBorders>
              <w:top w:val="single" w:sz="4" w:space="0" w:color="auto"/>
              <w:left w:val="single" w:sz="4" w:space="0" w:color="auto"/>
              <w:bottom w:val="single" w:sz="4" w:space="0" w:color="auto"/>
              <w:right w:val="single" w:sz="4" w:space="0" w:color="auto"/>
            </w:tcBorders>
            <w:vAlign w:val="center"/>
          </w:tcPr>
          <w:p w14:paraId="07AB98B5" w14:textId="77777777" w:rsidR="00F10ACC" w:rsidRPr="000170DA" w:rsidRDefault="00F10ACC" w:rsidP="00F1680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D0E0370" w14:textId="6F3C3E5C" w:rsidR="00F10ACC" w:rsidRPr="000170DA" w:rsidRDefault="008C0A66" w:rsidP="00F1680B">
            <w:pPr>
              <w:keepNext/>
              <w:rPr>
                <w:rStyle w:val="Hyperlink"/>
                <w:rFonts w:ascii="Garamond" w:hAnsi="Garamond"/>
                <w:color w:val="auto"/>
                <w:u w:val="none"/>
                <w:lang w:val="en-AU"/>
              </w:rPr>
            </w:pPr>
            <w:hyperlink r:id="rId16" w:history="1">
              <w:r w:rsidR="00EE07D5" w:rsidRPr="004042AF">
                <w:rPr>
                  <w:rStyle w:val="Hyperlink"/>
                  <w:rFonts w:ascii="Garamond" w:hAnsi="Garamond"/>
                  <w:lang w:val="en-AU"/>
                </w:rPr>
                <w:t>https://doi.org/10.5664/jcsm.10406</w:t>
              </w:r>
            </w:hyperlink>
          </w:p>
        </w:tc>
      </w:tr>
      <w:tr w:rsidR="00F10ACC" w:rsidRPr="000170DA" w14:paraId="1ADB9870" w14:textId="77777777" w:rsidTr="00F1680B">
        <w:tc>
          <w:tcPr>
            <w:tcW w:w="1080" w:type="dxa"/>
            <w:tcBorders>
              <w:top w:val="single" w:sz="4" w:space="0" w:color="auto"/>
              <w:left w:val="single" w:sz="4" w:space="0" w:color="auto"/>
              <w:bottom w:val="single" w:sz="4" w:space="0" w:color="auto"/>
              <w:right w:val="single" w:sz="4" w:space="0" w:color="auto"/>
            </w:tcBorders>
            <w:vAlign w:val="center"/>
          </w:tcPr>
          <w:p w14:paraId="7F8FE891" w14:textId="77777777" w:rsidR="00F10ACC" w:rsidRPr="000170DA" w:rsidRDefault="00F10ACC" w:rsidP="00F168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ED9F6BD" w14:textId="23EA5E34" w:rsidR="00F10ACC" w:rsidRPr="00D0490E" w:rsidRDefault="00EE07D5" w:rsidP="00F1680B">
            <w:pPr>
              <w:rPr>
                <w:rFonts w:ascii="Garamond" w:hAnsi="Garamond"/>
                <w:lang w:val="en-AU"/>
              </w:rPr>
            </w:pPr>
            <w:r w:rsidRPr="00EE07D5">
              <w:rPr>
                <w:rFonts w:ascii="Garamond" w:hAnsi="Garamond"/>
                <w:lang w:val="en-AU"/>
              </w:rPr>
              <w:t xml:space="preserve">Paper reporting on a study of </w:t>
            </w:r>
            <w:r>
              <w:rPr>
                <w:rFonts w:ascii="Garamond" w:hAnsi="Garamond"/>
                <w:lang w:val="en-AU"/>
              </w:rPr>
              <w:t xml:space="preserve">60 </w:t>
            </w:r>
            <w:r w:rsidRPr="00EE07D5">
              <w:rPr>
                <w:rFonts w:ascii="Garamond" w:hAnsi="Garamond"/>
                <w:lang w:val="en-AU"/>
              </w:rPr>
              <w:t>surgeons from academic and community departments of surgery or obstetrics and gyn</w:t>
            </w:r>
            <w:r>
              <w:rPr>
                <w:rFonts w:ascii="Garamond" w:hAnsi="Garamond"/>
                <w:lang w:val="en-AU"/>
              </w:rPr>
              <w:t>a</w:t>
            </w:r>
            <w:r w:rsidRPr="00EE07D5">
              <w:rPr>
                <w:rFonts w:ascii="Garamond" w:hAnsi="Garamond"/>
                <w:lang w:val="en-AU"/>
              </w:rPr>
              <w:t>ecology</w:t>
            </w:r>
            <w:r>
              <w:rPr>
                <w:rFonts w:ascii="Garamond" w:hAnsi="Garamond"/>
                <w:lang w:val="en-AU"/>
              </w:rPr>
              <w:t xml:space="preserve"> from height hospitals in the USA in order to ‘</w:t>
            </w:r>
            <w:r w:rsidRPr="00EE07D5">
              <w:rPr>
                <w:rFonts w:ascii="Garamond" w:hAnsi="Garamond"/>
                <w:lang w:val="en-AU"/>
              </w:rPr>
              <w:t>explore the effect of sleep deprivation on patient safety, operating room communication, medical errors, and adverse events</w:t>
            </w:r>
            <w:r>
              <w:rPr>
                <w:rFonts w:ascii="Garamond" w:hAnsi="Garamond"/>
                <w:lang w:val="en-AU"/>
              </w:rPr>
              <w:t>’. The authors report that ‘</w:t>
            </w:r>
            <w:r w:rsidRPr="00EE07D5">
              <w:rPr>
                <w:rFonts w:ascii="Garamond" w:hAnsi="Garamond"/>
                <w:lang w:val="en-AU"/>
              </w:rPr>
              <w:t>Sleep deficiency in attending surgeons was not associated with greater errors during procedures performed during the next day. However, procedure time was increased, suggesting that surgeons were able to compensate for sleep loss by working more slowly.</w:t>
            </w:r>
            <w:r>
              <w:rPr>
                <w:rFonts w:ascii="Garamond" w:hAnsi="Garamond"/>
                <w:lang w:val="en-AU"/>
              </w:rPr>
              <w:t xml:space="preserve">’ However, non-technical skills, including </w:t>
            </w:r>
            <w:r w:rsidRPr="00EE07D5">
              <w:rPr>
                <w:rFonts w:ascii="Garamond" w:hAnsi="Garamond"/>
                <w:lang w:val="en-AU"/>
              </w:rPr>
              <w:t>situational awareness, decision-making, and communication/teamwork</w:t>
            </w:r>
            <w:r>
              <w:rPr>
                <w:rFonts w:ascii="Garamond" w:hAnsi="Garamond"/>
                <w:lang w:val="en-AU"/>
              </w:rPr>
              <w:t>, were seen to be reduced.</w:t>
            </w:r>
          </w:p>
        </w:tc>
      </w:tr>
    </w:tbl>
    <w:p w14:paraId="7573CA1D" w14:textId="712CC256" w:rsidR="00F10ACC" w:rsidRDefault="00F10ACC" w:rsidP="00F10ACC">
      <w:pPr>
        <w:keepLines/>
        <w:autoSpaceDE w:val="0"/>
        <w:autoSpaceDN w:val="0"/>
        <w:adjustRightInd w:val="0"/>
        <w:rPr>
          <w:rFonts w:ascii="Garamond" w:hAnsi="Garamond"/>
          <w:lang w:val="en-AU"/>
        </w:rPr>
      </w:pPr>
    </w:p>
    <w:p w14:paraId="76027E13" w14:textId="77777777" w:rsidR="00EE07D5" w:rsidRPr="00EE07D5" w:rsidRDefault="00EE07D5" w:rsidP="00EE07D5">
      <w:pPr>
        <w:keepLines/>
        <w:autoSpaceDE w:val="0"/>
        <w:autoSpaceDN w:val="0"/>
        <w:adjustRightInd w:val="0"/>
        <w:rPr>
          <w:rFonts w:ascii="Garamond" w:hAnsi="Garamond"/>
          <w:i/>
          <w:iCs/>
          <w:lang w:val="en-AU"/>
        </w:rPr>
      </w:pPr>
      <w:r w:rsidRPr="00EE07D5">
        <w:rPr>
          <w:rFonts w:ascii="Garamond" w:hAnsi="Garamond"/>
          <w:i/>
          <w:iCs/>
          <w:lang w:val="en-AU"/>
        </w:rPr>
        <w:t>Barriers and facilitators to improving patient safety learning systems: a systematic review of qualitative studies and meta-synthesis</w:t>
      </w:r>
    </w:p>
    <w:p w14:paraId="3AC9B82B" w14:textId="77777777" w:rsidR="00EE07D5" w:rsidRDefault="00EE07D5" w:rsidP="00F10ACC">
      <w:pPr>
        <w:keepLines/>
        <w:autoSpaceDE w:val="0"/>
        <w:autoSpaceDN w:val="0"/>
        <w:adjustRightInd w:val="0"/>
        <w:rPr>
          <w:rFonts w:ascii="Garamond" w:hAnsi="Garamond"/>
          <w:lang w:val="en-AU"/>
        </w:rPr>
      </w:pPr>
      <w:r w:rsidRPr="00EE07D5">
        <w:rPr>
          <w:rFonts w:ascii="Garamond" w:hAnsi="Garamond"/>
          <w:lang w:val="en-AU"/>
        </w:rPr>
        <w:t>Hassan Assem M, Kednapa T, Sunita M, Daniel M, Mohamed AA, Amr Assem M, et al.</w:t>
      </w:r>
    </w:p>
    <w:p w14:paraId="5D284817" w14:textId="317A1D02" w:rsidR="00EE07D5" w:rsidRDefault="00EE07D5" w:rsidP="00F10ACC">
      <w:pPr>
        <w:keepLines/>
        <w:autoSpaceDE w:val="0"/>
        <w:autoSpaceDN w:val="0"/>
        <w:adjustRightInd w:val="0"/>
        <w:rPr>
          <w:rFonts w:ascii="Garamond" w:hAnsi="Garamond"/>
          <w:lang w:val="en-AU"/>
        </w:rPr>
      </w:pPr>
      <w:r w:rsidRPr="00EE07D5">
        <w:rPr>
          <w:rFonts w:ascii="Garamond" w:hAnsi="Garamond"/>
          <w:lang w:val="en-AU"/>
        </w:rPr>
        <w:t>BMJ Open Quality. 2023;12(2):e002134.</w:t>
      </w:r>
    </w:p>
    <w:tbl>
      <w:tblPr>
        <w:tblStyle w:val="TableGrid"/>
        <w:tblW w:w="9360" w:type="dxa"/>
        <w:tblInd w:w="288" w:type="dxa"/>
        <w:tblLayout w:type="fixed"/>
        <w:tblLook w:val="01E0" w:firstRow="1" w:lastRow="1" w:firstColumn="1" w:lastColumn="1" w:noHBand="0" w:noVBand="0"/>
      </w:tblPr>
      <w:tblGrid>
        <w:gridCol w:w="1080"/>
        <w:gridCol w:w="8280"/>
      </w:tblGrid>
      <w:tr w:rsidR="00F10ACC" w:rsidRPr="000170DA" w14:paraId="7EF4C56F" w14:textId="77777777" w:rsidTr="00F1680B">
        <w:tc>
          <w:tcPr>
            <w:tcW w:w="1080" w:type="dxa"/>
            <w:tcBorders>
              <w:top w:val="single" w:sz="4" w:space="0" w:color="auto"/>
              <w:left w:val="single" w:sz="4" w:space="0" w:color="auto"/>
              <w:bottom w:val="single" w:sz="4" w:space="0" w:color="auto"/>
              <w:right w:val="single" w:sz="4" w:space="0" w:color="auto"/>
            </w:tcBorders>
            <w:vAlign w:val="center"/>
          </w:tcPr>
          <w:p w14:paraId="43293BC7" w14:textId="77777777" w:rsidR="00F10ACC" w:rsidRPr="000170DA" w:rsidRDefault="00F10ACC" w:rsidP="00F1680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FE713F1" w14:textId="096A7669" w:rsidR="00F10ACC" w:rsidRPr="000170DA" w:rsidRDefault="008C0A66" w:rsidP="00F1680B">
            <w:pPr>
              <w:keepNext/>
              <w:rPr>
                <w:rStyle w:val="Hyperlink"/>
                <w:rFonts w:ascii="Garamond" w:hAnsi="Garamond"/>
                <w:color w:val="auto"/>
                <w:u w:val="none"/>
                <w:lang w:val="en-AU"/>
              </w:rPr>
            </w:pPr>
            <w:hyperlink r:id="rId17" w:history="1">
              <w:r w:rsidR="000C7EB8" w:rsidRPr="004042AF">
                <w:rPr>
                  <w:rStyle w:val="Hyperlink"/>
                  <w:rFonts w:ascii="Garamond" w:hAnsi="Garamond"/>
                  <w:lang w:val="en-AU"/>
                </w:rPr>
                <w:t>https://doi.org/10.1136/bmjoq-2022-002134</w:t>
              </w:r>
            </w:hyperlink>
          </w:p>
        </w:tc>
      </w:tr>
      <w:tr w:rsidR="00F10ACC" w:rsidRPr="000170DA" w14:paraId="50DE3FE7" w14:textId="77777777" w:rsidTr="00F1680B">
        <w:tc>
          <w:tcPr>
            <w:tcW w:w="1080" w:type="dxa"/>
            <w:tcBorders>
              <w:top w:val="single" w:sz="4" w:space="0" w:color="auto"/>
              <w:left w:val="single" w:sz="4" w:space="0" w:color="auto"/>
              <w:bottom w:val="single" w:sz="4" w:space="0" w:color="auto"/>
              <w:right w:val="single" w:sz="4" w:space="0" w:color="auto"/>
            </w:tcBorders>
            <w:vAlign w:val="center"/>
          </w:tcPr>
          <w:p w14:paraId="0F473F12" w14:textId="77777777" w:rsidR="00F10ACC" w:rsidRPr="000170DA" w:rsidRDefault="00F10ACC" w:rsidP="00F168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AC823F3" w14:textId="77777777" w:rsidR="00653921" w:rsidRDefault="00653921" w:rsidP="00F1680B">
            <w:pPr>
              <w:rPr>
                <w:rFonts w:ascii="Garamond" w:hAnsi="Garamond"/>
                <w:lang w:val="en-AU"/>
              </w:rPr>
            </w:pPr>
            <w:r>
              <w:rPr>
                <w:rFonts w:ascii="Garamond" w:hAnsi="Garamond"/>
                <w:lang w:val="en-AU"/>
              </w:rPr>
              <w:t xml:space="preserve">Paper from a Canadian systematic review of the literature on </w:t>
            </w:r>
            <w:r w:rsidRPr="00653921">
              <w:rPr>
                <w:rFonts w:ascii="Garamond" w:hAnsi="Garamond"/>
                <w:lang w:val="en-AU"/>
              </w:rPr>
              <w:t>patient safety learning systems (PSLS)</w:t>
            </w:r>
            <w:r>
              <w:rPr>
                <w:rFonts w:ascii="Garamond" w:hAnsi="Garamond"/>
                <w:lang w:val="en-AU"/>
              </w:rPr>
              <w:t>. The review sought to ‘</w:t>
            </w:r>
            <w:r w:rsidRPr="00653921">
              <w:rPr>
                <w:rFonts w:ascii="Garamond" w:hAnsi="Garamond"/>
                <w:lang w:val="en-AU"/>
              </w:rPr>
              <w:t>o summarise the barriers and facilitators perceived by hospital staff and physicians to influence the reporting, analysis, learning and feedback within PSLS in hospitals.</w:t>
            </w:r>
            <w:r>
              <w:rPr>
                <w:rFonts w:ascii="Garamond" w:hAnsi="Garamond"/>
                <w:lang w:val="en-AU"/>
              </w:rPr>
              <w:t>’ Using data from 22 studies, the review found that ‘</w:t>
            </w:r>
            <w:r w:rsidRPr="00653921">
              <w:rPr>
                <w:rFonts w:ascii="Garamond" w:hAnsi="Garamond"/>
                <w:lang w:val="en-AU"/>
              </w:rPr>
              <w:t>Multiple barriers and facilitators to uptake of PSLS exist.</w:t>
            </w:r>
            <w:r>
              <w:rPr>
                <w:rFonts w:ascii="Garamond" w:hAnsi="Garamond"/>
                <w:lang w:val="en-AU"/>
              </w:rPr>
              <w:t xml:space="preserve">’ </w:t>
            </w:r>
          </w:p>
          <w:p w14:paraId="44408F3B" w14:textId="3953A616" w:rsidR="00653921" w:rsidRDefault="00653921" w:rsidP="00F1680B">
            <w:pPr>
              <w:rPr>
                <w:rFonts w:ascii="Garamond" w:hAnsi="Garamond"/>
                <w:lang w:val="en-AU"/>
              </w:rPr>
            </w:pPr>
            <w:r>
              <w:rPr>
                <w:rFonts w:ascii="Garamond" w:hAnsi="Garamond"/>
                <w:lang w:val="en-AU"/>
              </w:rPr>
              <w:t>Barriers identified included ‘</w:t>
            </w:r>
            <w:r w:rsidRPr="00653921">
              <w:rPr>
                <w:rFonts w:ascii="Garamond" w:hAnsi="Garamond"/>
                <w:lang w:val="en-AU"/>
              </w:rPr>
              <w:t>inadequate organisational support with shortage of resources, lack of training, weak safety culture, lack of accountability, defective policies, blame and a punitive environment, complex system, lack of experience and lack of feedback.</w:t>
            </w:r>
            <w:r w:rsidR="008E452D">
              <w:rPr>
                <w:rFonts w:ascii="Garamond" w:hAnsi="Garamond"/>
                <w:lang w:val="en-AU"/>
              </w:rPr>
              <w:t>’</w:t>
            </w:r>
          </w:p>
          <w:p w14:paraId="3B4B3FE0" w14:textId="4AD470FA" w:rsidR="00653921" w:rsidRPr="00D0490E" w:rsidRDefault="00653921" w:rsidP="008E452D">
            <w:pPr>
              <w:rPr>
                <w:rFonts w:ascii="Garamond" w:hAnsi="Garamond"/>
                <w:lang w:val="en-AU"/>
              </w:rPr>
            </w:pPr>
            <w:r>
              <w:rPr>
                <w:rFonts w:ascii="Garamond" w:hAnsi="Garamond"/>
                <w:lang w:val="en-AU"/>
              </w:rPr>
              <w:t>Facilitators or enabling factors identified include</w:t>
            </w:r>
            <w:r w:rsidR="008E452D">
              <w:rPr>
                <w:rFonts w:ascii="Garamond" w:hAnsi="Garamond"/>
                <w:lang w:val="en-AU"/>
              </w:rPr>
              <w:t>d ‘</w:t>
            </w:r>
            <w:r w:rsidRPr="00653921">
              <w:rPr>
                <w:rFonts w:ascii="Garamond" w:hAnsi="Garamond"/>
                <w:lang w:val="en-AU"/>
              </w:rPr>
              <w:t>continuous training, a balance between accountability and responsibility, leaders as role models, anonymous reporting, user-friendly systems, well-structured analysis teams, tangible improvement.</w:t>
            </w:r>
            <w:r>
              <w:rPr>
                <w:rFonts w:ascii="Garamond" w:hAnsi="Garamond"/>
                <w:lang w:val="en-AU"/>
              </w:rPr>
              <w:t>’</w:t>
            </w:r>
          </w:p>
        </w:tc>
      </w:tr>
    </w:tbl>
    <w:p w14:paraId="79465E5A" w14:textId="77777777" w:rsidR="00F10ACC" w:rsidRDefault="00F10ACC" w:rsidP="00F10ACC">
      <w:pPr>
        <w:keepLines/>
        <w:autoSpaceDE w:val="0"/>
        <w:autoSpaceDN w:val="0"/>
        <w:adjustRightInd w:val="0"/>
        <w:rPr>
          <w:rFonts w:ascii="Garamond" w:hAnsi="Garamond"/>
          <w:lang w:val="en-AU"/>
        </w:rPr>
      </w:pPr>
    </w:p>
    <w:p w14:paraId="00BEB755" w14:textId="6A997A8C" w:rsidR="00E56072" w:rsidRDefault="00E56072" w:rsidP="00E56072">
      <w:pPr>
        <w:keepNext/>
        <w:rPr>
          <w:rFonts w:ascii="Garamond" w:hAnsi="Garamond"/>
          <w:i/>
          <w:lang w:val="en-AU"/>
        </w:rPr>
      </w:pPr>
      <w:r>
        <w:rPr>
          <w:rFonts w:ascii="Garamond" w:hAnsi="Garamond"/>
          <w:i/>
          <w:lang w:val="en-AU"/>
        </w:rPr>
        <w:t>BMJ Quality &amp; Safety</w:t>
      </w:r>
    </w:p>
    <w:p w14:paraId="1CFF3CF4" w14:textId="438A6314" w:rsidR="00425B06" w:rsidRPr="00425B06" w:rsidRDefault="00425B06" w:rsidP="00E56072">
      <w:pPr>
        <w:keepNext/>
        <w:rPr>
          <w:rFonts w:ascii="Garamond" w:hAnsi="Garamond"/>
          <w:iCs/>
          <w:lang w:val="en-AU"/>
        </w:rPr>
      </w:pPr>
      <w:r w:rsidRPr="00425B06">
        <w:rPr>
          <w:rFonts w:ascii="Garamond" w:hAnsi="Garamond"/>
          <w:iCs/>
          <w:lang w:val="en-AU"/>
        </w:rPr>
        <w:t>Volume 32</w:t>
      </w:r>
      <w:r>
        <w:rPr>
          <w:rFonts w:ascii="Garamond" w:hAnsi="Garamond"/>
          <w:iCs/>
          <w:lang w:val="en-AU"/>
        </w:rPr>
        <w:t>, Issue 5, May 2023</w:t>
      </w:r>
    </w:p>
    <w:tbl>
      <w:tblPr>
        <w:tblStyle w:val="TableGrid"/>
        <w:tblW w:w="9360" w:type="dxa"/>
        <w:tblInd w:w="288" w:type="dxa"/>
        <w:tblLayout w:type="fixed"/>
        <w:tblLook w:val="01E0" w:firstRow="1" w:lastRow="1" w:firstColumn="1" w:lastColumn="1" w:noHBand="0" w:noVBand="0"/>
      </w:tblPr>
      <w:tblGrid>
        <w:gridCol w:w="1080"/>
        <w:gridCol w:w="8280"/>
      </w:tblGrid>
      <w:tr w:rsidR="00425B06" w:rsidRPr="00E37911" w14:paraId="1A126D4E" w14:textId="77777777" w:rsidTr="0000005C">
        <w:tc>
          <w:tcPr>
            <w:tcW w:w="1080" w:type="dxa"/>
            <w:tcBorders>
              <w:top w:val="single" w:sz="4" w:space="0" w:color="auto"/>
              <w:left w:val="single" w:sz="4" w:space="0" w:color="auto"/>
              <w:bottom w:val="single" w:sz="4" w:space="0" w:color="auto"/>
              <w:right w:val="single" w:sz="4" w:space="0" w:color="auto"/>
            </w:tcBorders>
            <w:vAlign w:val="center"/>
          </w:tcPr>
          <w:p w14:paraId="4917F6B8" w14:textId="77777777" w:rsidR="00425B06" w:rsidRPr="00E37911" w:rsidRDefault="00425B06" w:rsidP="0000005C">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760DD31" w14:textId="5A199834" w:rsidR="00425B06" w:rsidRPr="00E37911" w:rsidRDefault="008C0A66" w:rsidP="0000005C">
            <w:pPr>
              <w:rPr>
                <w:rStyle w:val="Hyperlink"/>
                <w:rFonts w:ascii="Garamond" w:hAnsi="Garamond"/>
                <w:color w:val="auto"/>
                <w:u w:val="none"/>
                <w:lang w:val="en-AU"/>
              </w:rPr>
            </w:pPr>
            <w:hyperlink r:id="rId18" w:history="1">
              <w:r w:rsidR="00425B06" w:rsidRPr="008351BF">
                <w:rPr>
                  <w:rStyle w:val="Hyperlink"/>
                  <w:rFonts w:ascii="Garamond" w:hAnsi="Garamond"/>
                  <w:lang w:val="en-AU"/>
                </w:rPr>
                <w:t>https://qualitysafety.bmj.com/content/32/5</w:t>
              </w:r>
            </w:hyperlink>
          </w:p>
        </w:tc>
      </w:tr>
      <w:tr w:rsidR="00425B06" w:rsidRPr="00E37911" w14:paraId="436CAB0F" w14:textId="77777777" w:rsidTr="0000005C">
        <w:tc>
          <w:tcPr>
            <w:tcW w:w="1080" w:type="dxa"/>
            <w:tcBorders>
              <w:top w:val="single" w:sz="4" w:space="0" w:color="auto"/>
              <w:left w:val="single" w:sz="4" w:space="0" w:color="auto"/>
              <w:bottom w:val="single" w:sz="4" w:space="0" w:color="auto"/>
              <w:right w:val="single" w:sz="4" w:space="0" w:color="auto"/>
            </w:tcBorders>
            <w:vAlign w:val="center"/>
          </w:tcPr>
          <w:p w14:paraId="4FF80E45" w14:textId="77777777" w:rsidR="00425B06" w:rsidRPr="00E37911" w:rsidRDefault="00425B06" w:rsidP="0000005C">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EE74B51" w14:textId="77777777" w:rsidR="00425B06" w:rsidRPr="00425B06" w:rsidRDefault="00425B06" w:rsidP="00425B06">
            <w:pPr>
              <w:keepLines/>
              <w:autoSpaceDE w:val="0"/>
              <w:autoSpaceDN w:val="0"/>
              <w:adjustRightInd w:val="0"/>
              <w:rPr>
                <w:rFonts w:ascii="Garamond" w:hAnsi="Garamond"/>
                <w:lang w:val="en-AU"/>
              </w:rPr>
            </w:pPr>
            <w:r w:rsidRPr="00425B06">
              <w:rPr>
                <w:rFonts w:ascii="Garamond" w:hAnsi="Garamond"/>
                <w:lang w:val="en-AU"/>
              </w:rPr>
              <w:t xml:space="preserve">A new issue of </w:t>
            </w:r>
            <w:r w:rsidRPr="00425B06">
              <w:rPr>
                <w:rFonts w:ascii="Garamond" w:hAnsi="Garamond"/>
                <w:i/>
                <w:iCs/>
                <w:lang w:val="en-AU"/>
              </w:rPr>
              <w:t>BMJ Quality &amp; Safety</w:t>
            </w:r>
            <w:r w:rsidRPr="00425B06">
              <w:rPr>
                <w:rFonts w:ascii="Garamond" w:hAnsi="Garamond"/>
                <w:lang w:val="en-AU"/>
              </w:rPr>
              <w:t xml:space="preserve"> has been published. Many of the papers in this issue have been referred to in previous editions of </w:t>
            </w:r>
            <w:r w:rsidRPr="00425B06">
              <w:rPr>
                <w:rFonts w:ascii="Garamond" w:hAnsi="Garamond"/>
                <w:i/>
                <w:iCs/>
                <w:lang w:val="en-AU"/>
              </w:rPr>
              <w:t>On the Radar</w:t>
            </w:r>
            <w:r w:rsidRPr="00425B06">
              <w:rPr>
                <w:rFonts w:ascii="Garamond" w:hAnsi="Garamond"/>
                <w:lang w:val="en-AU"/>
              </w:rPr>
              <w:t xml:space="preserve"> (when they were released online). Articles in this issue of </w:t>
            </w:r>
            <w:r w:rsidRPr="00425B06">
              <w:rPr>
                <w:rFonts w:ascii="Garamond" w:hAnsi="Garamond"/>
                <w:i/>
                <w:iCs/>
                <w:lang w:val="en-AU"/>
              </w:rPr>
              <w:t>BMJ Quality &amp; Safety</w:t>
            </w:r>
            <w:r w:rsidRPr="00425B06">
              <w:rPr>
                <w:rFonts w:ascii="Garamond" w:hAnsi="Garamond"/>
                <w:lang w:val="en-AU"/>
              </w:rPr>
              <w:t xml:space="preserve"> include:</w:t>
            </w:r>
          </w:p>
          <w:p w14:paraId="541949B8" w14:textId="77777777" w:rsidR="00425B06" w:rsidRPr="00425B06" w:rsidRDefault="00425B06" w:rsidP="00425B06">
            <w:pPr>
              <w:pStyle w:val="ListParagraph"/>
              <w:keepLines/>
              <w:numPr>
                <w:ilvl w:val="0"/>
                <w:numId w:val="24"/>
              </w:numPr>
              <w:autoSpaceDE w:val="0"/>
              <w:autoSpaceDN w:val="0"/>
              <w:adjustRightInd w:val="0"/>
              <w:rPr>
                <w:rFonts w:ascii="Garamond" w:hAnsi="Garamond"/>
                <w:lang w:val="en-AU"/>
              </w:rPr>
            </w:pPr>
            <w:r w:rsidRPr="00425B06">
              <w:rPr>
                <w:rFonts w:ascii="Garamond" w:hAnsi="Garamond"/>
                <w:lang w:val="en-AU"/>
              </w:rPr>
              <w:t xml:space="preserve">Editorial: </w:t>
            </w:r>
            <w:r w:rsidRPr="00425B06">
              <w:rPr>
                <w:rFonts w:ascii="Garamond" w:hAnsi="Garamond"/>
                <w:b/>
                <w:bCs/>
                <w:lang w:val="en-AU"/>
              </w:rPr>
              <w:t>Nurse staffing and patient safety in acute hospitals</w:t>
            </w:r>
            <w:r w:rsidRPr="00425B06">
              <w:rPr>
                <w:rFonts w:ascii="Garamond" w:hAnsi="Garamond"/>
                <w:lang w:val="en-AU"/>
              </w:rPr>
              <w:t>: Cassandra calls again? (Peter Griffiths, Chiara Dall'Ora)</w:t>
            </w:r>
          </w:p>
          <w:p w14:paraId="692DF653" w14:textId="77777777" w:rsidR="00425B06" w:rsidRPr="00425B06" w:rsidRDefault="00425B06" w:rsidP="00425B06">
            <w:pPr>
              <w:pStyle w:val="ListParagraph"/>
              <w:keepLines/>
              <w:numPr>
                <w:ilvl w:val="0"/>
                <w:numId w:val="24"/>
              </w:numPr>
              <w:autoSpaceDE w:val="0"/>
              <w:autoSpaceDN w:val="0"/>
              <w:adjustRightInd w:val="0"/>
              <w:rPr>
                <w:rFonts w:ascii="Garamond" w:hAnsi="Garamond"/>
                <w:lang w:val="en-AU"/>
              </w:rPr>
            </w:pPr>
            <w:r w:rsidRPr="00425B06">
              <w:rPr>
                <w:rFonts w:ascii="Garamond" w:hAnsi="Garamond"/>
                <w:lang w:val="en-AU"/>
              </w:rPr>
              <w:t xml:space="preserve">Editorial: </w:t>
            </w:r>
            <w:r w:rsidRPr="00425B06">
              <w:rPr>
                <w:rFonts w:ascii="Garamond" w:hAnsi="Garamond"/>
                <w:b/>
                <w:bCs/>
                <w:lang w:val="en-AU"/>
              </w:rPr>
              <w:t>Hip fracture in the COVID-19 era</w:t>
            </w:r>
            <w:r w:rsidRPr="00425B06">
              <w:rPr>
                <w:rFonts w:ascii="Garamond" w:hAnsi="Garamond"/>
                <w:lang w:val="en-AU"/>
              </w:rPr>
              <w:t>: what can we say about care and patient outcomes (Alex Bottle, Alex Liddle)</w:t>
            </w:r>
          </w:p>
          <w:p w14:paraId="234FD03B" w14:textId="77777777" w:rsidR="00425B06" w:rsidRPr="00425B06" w:rsidRDefault="00425B06" w:rsidP="00425B06">
            <w:pPr>
              <w:pStyle w:val="ListParagraph"/>
              <w:keepLines/>
              <w:numPr>
                <w:ilvl w:val="0"/>
                <w:numId w:val="24"/>
              </w:numPr>
              <w:autoSpaceDE w:val="0"/>
              <w:autoSpaceDN w:val="0"/>
              <w:adjustRightInd w:val="0"/>
              <w:rPr>
                <w:rFonts w:ascii="Garamond" w:hAnsi="Garamond"/>
                <w:lang w:val="en-AU"/>
              </w:rPr>
            </w:pPr>
            <w:r w:rsidRPr="00425B06">
              <w:rPr>
                <w:rFonts w:ascii="Garamond" w:hAnsi="Garamond"/>
                <w:lang w:val="en-AU"/>
              </w:rPr>
              <w:t xml:space="preserve">Editorial: </w:t>
            </w:r>
            <w:r w:rsidRPr="00425B06">
              <w:rPr>
                <w:rFonts w:ascii="Garamond" w:hAnsi="Garamond"/>
                <w:b/>
                <w:bCs/>
                <w:lang w:val="en-AU"/>
              </w:rPr>
              <w:t>Breaking the quality-equity cycle when implementing prevention programmes</w:t>
            </w:r>
            <w:r w:rsidRPr="00425B06">
              <w:rPr>
                <w:rFonts w:ascii="Garamond" w:hAnsi="Garamond"/>
                <w:lang w:val="en-AU"/>
              </w:rPr>
              <w:t xml:space="preserve"> (Sheena McHugh, Fiona Riordan, R C Shelton)</w:t>
            </w:r>
          </w:p>
          <w:p w14:paraId="47F4277F" w14:textId="77777777" w:rsidR="00425B06" w:rsidRPr="00425B06" w:rsidRDefault="00425B06" w:rsidP="00425B06">
            <w:pPr>
              <w:pStyle w:val="ListParagraph"/>
              <w:keepLines/>
              <w:numPr>
                <w:ilvl w:val="0"/>
                <w:numId w:val="24"/>
              </w:numPr>
              <w:autoSpaceDE w:val="0"/>
              <w:autoSpaceDN w:val="0"/>
              <w:adjustRightInd w:val="0"/>
              <w:rPr>
                <w:rFonts w:ascii="Garamond" w:hAnsi="Garamond"/>
                <w:lang w:val="en-AU"/>
              </w:rPr>
            </w:pPr>
            <w:r w:rsidRPr="00425B06">
              <w:rPr>
                <w:rFonts w:ascii="Garamond" w:hAnsi="Garamond"/>
                <w:lang w:val="en-AU"/>
              </w:rPr>
              <w:lastRenderedPageBreak/>
              <w:t xml:space="preserve">Editorial: </w:t>
            </w:r>
            <w:r w:rsidRPr="00425B06">
              <w:rPr>
                <w:rFonts w:ascii="Garamond" w:hAnsi="Garamond"/>
                <w:b/>
                <w:bCs/>
                <w:lang w:val="en-AU"/>
              </w:rPr>
              <w:t>Translating evidence into policy and practice</w:t>
            </w:r>
            <w:r w:rsidRPr="00425B06">
              <w:rPr>
                <w:rFonts w:ascii="Garamond" w:hAnsi="Garamond"/>
                <w:lang w:val="en-AU"/>
              </w:rPr>
              <w:t>: what do we know already, and what would further research look like? (Paul Cairney, Annette Boaz, Kathryn Oliver)</w:t>
            </w:r>
          </w:p>
          <w:p w14:paraId="7C9C1896" w14:textId="77777777" w:rsidR="00425B06" w:rsidRPr="00425B06" w:rsidRDefault="00425B06" w:rsidP="00425B06">
            <w:pPr>
              <w:pStyle w:val="ListParagraph"/>
              <w:keepLines/>
              <w:numPr>
                <w:ilvl w:val="0"/>
                <w:numId w:val="24"/>
              </w:numPr>
              <w:autoSpaceDE w:val="0"/>
              <w:autoSpaceDN w:val="0"/>
              <w:adjustRightInd w:val="0"/>
              <w:rPr>
                <w:rFonts w:ascii="Garamond" w:hAnsi="Garamond"/>
                <w:lang w:val="en-AU"/>
              </w:rPr>
            </w:pPr>
            <w:r w:rsidRPr="00425B06">
              <w:rPr>
                <w:rFonts w:ascii="Garamond" w:hAnsi="Garamond"/>
                <w:b/>
                <w:bCs/>
                <w:lang w:val="en-AU"/>
              </w:rPr>
              <w:t>Nurse staffing and inpatient mortality</w:t>
            </w:r>
            <w:r w:rsidRPr="00425B06">
              <w:rPr>
                <w:rFonts w:ascii="Garamond" w:hAnsi="Garamond"/>
                <w:lang w:val="en-AU"/>
              </w:rPr>
              <w:t xml:space="preserve"> in the English National Health Service: a retrospective longitudinal study (Ben Zaranko, Natalie Jean Sanford, Elaine Kelly, Anne Marie Rafferty, James Bird, Luca Mercuri, Janice Sigsworth, Mary Wells, Carol Propper)</w:t>
            </w:r>
          </w:p>
          <w:p w14:paraId="0B683073" w14:textId="77777777" w:rsidR="00425B06" w:rsidRPr="00425B06" w:rsidRDefault="00425B06" w:rsidP="00425B06">
            <w:pPr>
              <w:pStyle w:val="ListParagraph"/>
              <w:keepLines/>
              <w:numPr>
                <w:ilvl w:val="0"/>
                <w:numId w:val="24"/>
              </w:numPr>
              <w:autoSpaceDE w:val="0"/>
              <w:autoSpaceDN w:val="0"/>
              <w:adjustRightInd w:val="0"/>
              <w:rPr>
                <w:rFonts w:ascii="Garamond" w:hAnsi="Garamond"/>
                <w:lang w:val="en-AU"/>
              </w:rPr>
            </w:pPr>
            <w:r w:rsidRPr="00425B06">
              <w:rPr>
                <w:rFonts w:ascii="Garamond" w:hAnsi="Garamond"/>
                <w:lang w:val="en-AU"/>
              </w:rPr>
              <w:t xml:space="preserve">Indirect effect of the COVID-19 pandemic on </w:t>
            </w:r>
            <w:r w:rsidRPr="00425B06">
              <w:rPr>
                <w:rFonts w:ascii="Garamond" w:hAnsi="Garamond"/>
                <w:b/>
                <w:bCs/>
                <w:lang w:val="en-AU"/>
              </w:rPr>
              <w:t>hospital mortality in patients with hip fracture</w:t>
            </w:r>
            <w:r w:rsidRPr="00425B06">
              <w:rPr>
                <w:rFonts w:ascii="Garamond" w:hAnsi="Garamond"/>
                <w:lang w:val="en-AU"/>
              </w:rPr>
              <w:t>: a competing risk survival analysis using linked administrative data (Fiona Grimm, Antony Johansen, Hannah Knight, Richard Brine, Sarah R Deeny)</w:t>
            </w:r>
          </w:p>
          <w:p w14:paraId="37176C4B" w14:textId="77777777" w:rsidR="00425B06" w:rsidRPr="00425B06" w:rsidRDefault="00425B06" w:rsidP="00425B06">
            <w:pPr>
              <w:pStyle w:val="ListParagraph"/>
              <w:keepLines/>
              <w:numPr>
                <w:ilvl w:val="0"/>
                <w:numId w:val="24"/>
              </w:numPr>
              <w:autoSpaceDE w:val="0"/>
              <w:autoSpaceDN w:val="0"/>
              <w:adjustRightInd w:val="0"/>
              <w:rPr>
                <w:rFonts w:ascii="Garamond" w:hAnsi="Garamond"/>
                <w:lang w:val="en-AU"/>
              </w:rPr>
            </w:pPr>
            <w:r w:rsidRPr="00425B06">
              <w:rPr>
                <w:rFonts w:ascii="Garamond" w:hAnsi="Garamond"/>
                <w:lang w:val="en-AU"/>
              </w:rPr>
              <w:t xml:space="preserve">Does recruiting patients to </w:t>
            </w:r>
            <w:r w:rsidRPr="00425B06">
              <w:rPr>
                <w:rFonts w:ascii="Garamond" w:hAnsi="Garamond"/>
                <w:b/>
                <w:bCs/>
                <w:lang w:val="en-AU"/>
              </w:rPr>
              <w:t>diabetes prevention programmes</w:t>
            </w:r>
            <w:r w:rsidRPr="00425B06">
              <w:rPr>
                <w:rFonts w:ascii="Garamond" w:hAnsi="Garamond"/>
                <w:lang w:val="en-AU"/>
              </w:rPr>
              <w:t xml:space="preserve"> via primary care reinforce existing inequalities in care provision between general practices? A retrospective observational study (Beth Parkinson, Emma McManus, Matt Sutton, Rachel Meacock)</w:t>
            </w:r>
          </w:p>
          <w:p w14:paraId="18A23BC9" w14:textId="77777777" w:rsidR="00425B06" w:rsidRPr="00425B06" w:rsidRDefault="00425B06" w:rsidP="00425B06">
            <w:pPr>
              <w:pStyle w:val="ListParagraph"/>
              <w:keepLines/>
              <w:numPr>
                <w:ilvl w:val="0"/>
                <w:numId w:val="24"/>
              </w:numPr>
              <w:autoSpaceDE w:val="0"/>
              <w:autoSpaceDN w:val="0"/>
              <w:adjustRightInd w:val="0"/>
              <w:rPr>
                <w:rFonts w:ascii="Garamond" w:hAnsi="Garamond"/>
                <w:lang w:val="en-AU"/>
              </w:rPr>
            </w:pPr>
            <w:r w:rsidRPr="00425B06">
              <w:rPr>
                <w:rFonts w:ascii="Garamond" w:hAnsi="Garamond"/>
                <w:lang w:val="en-AU"/>
              </w:rPr>
              <w:t xml:space="preserve">Roles and effectiveness of knowledge brokers for </w:t>
            </w:r>
            <w:r w:rsidRPr="00425B06">
              <w:rPr>
                <w:rFonts w:ascii="Garamond" w:hAnsi="Garamond"/>
                <w:b/>
                <w:bCs/>
                <w:lang w:val="en-AU"/>
              </w:rPr>
              <w:t>translating clinical practice guidelines in health-related settings</w:t>
            </w:r>
            <w:r w:rsidRPr="00425B06">
              <w:rPr>
                <w:rFonts w:ascii="Garamond" w:hAnsi="Garamond"/>
                <w:lang w:val="en-AU"/>
              </w:rPr>
              <w:t>: a systematic review (Amanda J Cross, Terry P Haines, Choon Ean Ooi, Adam La Caze, Sara Karavesovska, Eu Jin Lee, Samuel Siu, Sagar Sareen, Carlos Jones, Michelle Steeper, J S Bell)</w:t>
            </w:r>
          </w:p>
          <w:p w14:paraId="4275FCB6" w14:textId="22DC4CE3" w:rsidR="00425B06" w:rsidRPr="00425B06" w:rsidRDefault="00425B06" w:rsidP="00425B06">
            <w:pPr>
              <w:pStyle w:val="ListParagraph"/>
              <w:keepLines/>
              <w:numPr>
                <w:ilvl w:val="0"/>
                <w:numId w:val="24"/>
              </w:numPr>
              <w:autoSpaceDE w:val="0"/>
              <w:autoSpaceDN w:val="0"/>
              <w:adjustRightInd w:val="0"/>
              <w:rPr>
                <w:rFonts w:ascii="Garamond" w:hAnsi="Garamond"/>
                <w:lang w:val="en-AU"/>
              </w:rPr>
            </w:pPr>
            <w:r w:rsidRPr="00425B06">
              <w:rPr>
                <w:rFonts w:ascii="Garamond" w:hAnsi="Garamond"/>
                <w:lang w:val="en-AU"/>
              </w:rPr>
              <w:t xml:space="preserve">How can we champion </w:t>
            </w:r>
            <w:r w:rsidRPr="00425B06">
              <w:rPr>
                <w:rFonts w:ascii="Garamond" w:hAnsi="Garamond"/>
                <w:b/>
                <w:bCs/>
                <w:lang w:val="en-AU"/>
              </w:rPr>
              <w:t>diversity, equity and inclusion within Lean Six Sigma</w:t>
            </w:r>
            <w:r w:rsidRPr="00425B06">
              <w:rPr>
                <w:rFonts w:ascii="Garamond" w:hAnsi="Garamond"/>
                <w:lang w:val="en-AU"/>
              </w:rPr>
              <w:t>? Practical suggestions for quality improvement (Bharat Kumar, Hilary Mosher, Amany Farag, Melissa Swee)</w:t>
            </w:r>
          </w:p>
        </w:tc>
      </w:tr>
    </w:tbl>
    <w:p w14:paraId="3AEB293A" w14:textId="77777777" w:rsidR="00425B06" w:rsidRDefault="00425B06" w:rsidP="00425B06">
      <w:pPr>
        <w:keepLines/>
        <w:autoSpaceDE w:val="0"/>
        <w:autoSpaceDN w:val="0"/>
        <w:adjustRightInd w:val="0"/>
        <w:rPr>
          <w:rFonts w:ascii="Garamond" w:hAnsi="Garamond"/>
          <w:i/>
          <w:lang w:val="en-AU"/>
        </w:rPr>
      </w:pPr>
    </w:p>
    <w:p w14:paraId="3B759ED9" w14:textId="466F73E8" w:rsidR="003B2C3B" w:rsidRDefault="003B2C3B" w:rsidP="006525F8">
      <w:pPr>
        <w:keepNext/>
        <w:keepLines/>
        <w:autoSpaceDE w:val="0"/>
        <w:autoSpaceDN w:val="0"/>
        <w:adjustRightInd w:val="0"/>
        <w:rPr>
          <w:rFonts w:ascii="Garamond" w:hAnsi="Garamond"/>
          <w:lang w:val="en-AU"/>
        </w:rPr>
      </w:pPr>
      <w:r w:rsidRPr="003B2C3B">
        <w:rPr>
          <w:rFonts w:ascii="Garamond" w:hAnsi="Garamond"/>
          <w:i/>
          <w:iCs/>
          <w:lang w:val="en-AU"/>
        </w:rPr>
        <w:t xml:space="preserve">Australian </w:t>
      </w:r>
      <w:r w:rsidR="005D3C25">
        <w:rPr>
          <w:rFonts w:ascii="Garamond" w:hAnsi="Garamond"/>
          <w:i/>
          <w:iCs/>
          <w:lang w:val="en-AU"/>
        </w:rPr>
        <w:t xml:space="preserve">Journal of Primary </w:t>
      </w:r>
      <w:r w:rsidRPr="003B2C3B">
        <w:rPr>
          <w:rFonts w:ascii="Garamond" w:hAnsi="Garamond"/>
          <w:i/>
          <w:iCs/>
          <w:lang w:val="en-AU"/>
        </w:rPr>
        <w:t>Health</w:t>
      </w:r>
    </w:p>
    <w:p w14:paraId="60755E31" w14:textId="424AE86A" w:rsidR="00E04F70" w:rsidRPr="006E6650" w:rsidRDefault="00E04F70" w:rsidP="006525F8">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sidR="005D3C25">
        <w:rPr>
          <w:rFonts w:ascii="Garamond" w:hAnsi="Garamond"/>
          <w:lang w:val="en-AU"/>
        </w:rPr>
        <w:t>29</w:t>
      </w:r>
      <w:r w:rsidRPr="0051468F">
        <w:rPr>
          <w:rFonts w:ascii="Garamond" w:hAnsi="Garamond"/>
          <w:lang w:val="en-AU"/>
        </w:rPr>
        <w:t xml:space="preserve">, </w:t>
      </w:r>
      <w:r w:rsidR="003B2C3B">
        <w:rPr>
          <w:rFonts w:ascii="Garamond" w:hAnsi="Garamond"/>
          <w:lang w:val="en-AU"/>
        </w:rPr>
        <w:t>Number</w:t>
      </w:r>
      <w:r>
        <w:rPr>
          <w:rFonts w:ascii="Garamond" w:hAnsi="Garamond"/>
          <w:lang w:val="en-AU"/>
        </w:rPr>
        <w:t xml:space="preserve"> </w:t>
      </w:r>
      <w:r w:rsidR="003B2C3B">
        <w:rPr>
          <w:rFonts w:ascii="Garamond" w:hAnsi="Garamond"/>
          <w:lang w:val="en-AU"/>
        </w:rPr>
        <w:t>2</w:t>
      </w:r>
      <w:r w:rsidRPr="0051468F">
        <w:rPr>
          <w:rFonts w:ascii="Garamond" w:hAnsi="Garamond"/>
          <w:lang w:val="en-AU"/>
        </w:rPr>
        <w:t xml:space="preserve">, </w:t>
      </w:r>
      <w:r w:rsidR="003B2C3B">
        <w:rPr>
          <w:rFonts w:ascii="Garamond" w:hAnsi="Garamond"/>
          <w:lang w:val="en-AU"/>
        </w:rPr>
        <w:t xml:space="preserve">April </w:t>
      </w:r>
      <w:r w:rsidRPr="0051468F">
        <w:rPr>
          <w:rFonts w:ascii="Garamond" w:hAnsi="Garamond"/>
          <w:lang w:val="en-AU"/>
        </w:rPr>
        <w:t>2023</w:t>
      </w:r>
    </w:p>
    <w:tbl>
      <w:tblPr>
        <w:tblStyle w:val="TableGrid"/>
        <w:tblW w:w="9360" w:type="dxa"/>
        <w:tblInd w:w="288" w:type="dxa"/>
        <w:tblLayout w:type="fixed"/>
        <w:tblLook w:val="01E0" w:firstRow="1" w:lastRow="1" w:firstColumn="1" w:lastColumn="1" w:noHBand="0" w:noVBand="0"/>
      </w:tblPr>
      <w:tblGrid>
        <w:gridCol w:w="1080"/>
        <w:gridCol w:w="8280"/>
      </w:tblGrid>
      <w:tr w:rsidR="00E04F70" w:rsidRPr="00E37911" w14:paraId="777B2D1C" w14:textId="77777777" w:rsidTr="00B72A47">
        <w:tc>
          <w:tcPr>
            <w:tcW w:w="1080" w:type="dxa"/>
            <w:tcBorders>
              <w:top w:val="single" w:sz="4" w:space="0" w:color="auto"/>
              <w:left w:val="single" w:sz="4" w:space="0" w:color="auto"/>
              <w:bottom w:val="single" w:sz="4" w:space="0" w:color="auto"/>
              <w:right w:val="single" w:sz="4" w:space="0" w:color="auto"/>
            </w:tcBorders>
            <w:vAlign w:val="center"/>
          </w:tcPr>
          <w:p w14:paraId="11AB6248" w14:textId="77777777" w:rsidR="00E04F70" w:rsidRPr="00E37911" w:rsidRDefault="00E04F70" w:rsidP="00B72A4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6E62DE2" w14:textId="16370549" w:rsidR="00E04F70" w:rsidRPr="00E37911" w:rsidRDefault="008C0A66" w:rsidP="00B72A47">
            <w:pPr>
              <w:rPr>
                <w:rStyle w:val="Hyperlink"/>
                <w:rFonts w:ascii="Garamond" w:hAnsi="Garamond"/>
                <w:color w:val="auto"/>
                <w:u w:val="none"/>
                <w:lang w:val="en-AU"/>
              </w:rPr>
            </w:pPr>
            <w:hyperlink r:id="rId19" w:history="1">
              <w:r w:rsidR="005D3C25" w:rsidRPr="008351BF">
                <w:rPr>
                  <w:rStyle w:val="Hyperlink"/>
                  <w:rFonts w:ascii="Garamond" w:hAnsi="Garamond"/>
                  <w:lang w:val="en-AU"/>
                </w:rPr>
                <w:t>https://www.publish.csiro.au/py/issue/11376</w:t>
              </w:r>
            </w:hyperlink>
          </w:p>
        </w:tc>
      </w:tr>
      <w:tr w:rsidR="00E04F70" w:rsidRPr="00E37911" w14:paraId="0C0D274B" w14:textId="77777777" w:rsidTr="00B72A47">
        <w:tc>
          <w:tcPr>
            <w:tcW w:w="1080" w:type="dxa"/>
            <w:tcBorders>
              <w:top w:val="single" w:sz="4" w:space="0" w:color="auto"/>
              <w:left w:val="single" w:sz="4" w:space="0" w:color="auto"/>
              <w:bottom w:val="single" w:sz="4" w:space="0" w:color="auto"/>
              <w:right w:val="single" w:sz="4" w:space="0" w:color="auto"/>
            </w:tcBorders>
            <w:vAlign w:val="center"/>
          </w:tcPr>
          <w:p w14:paraId="4B7E8EAC" w14:textId="77777777" w:rsidR="00E04F70" w:rsidRPr="00E37911" w:rsidRDefault="00E04F70" w:rsidP="00B72A47">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1342DEE" w14:textId="7F43C7B0" w:rsidR="00E04F70" w:rsidRPr="007C3778" w:rsidRDefault="00E04F70" w:rsidP="003B2C3B">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5D3C25">
              <w:rPr>
                <w:rFonts w:ascii="Garamond" w:hAnsi="Garamond"/>
                <w:lang w:val="en-AU"/>
              </w:rPr>
              <w:t xml:space="preserve">the </w:t>
            </w:r>
            <w:r w:rsidR="005D3C25" w:rsidRPr="003B2C3B">
              <w:rPr>
                <w:rFonts w:ascii="Garamond" w:hAnsi="Garamond"/>
                <w:i/>
                <w:iCs/>
                <w:lang w:val="en-AU"/>
              </w:rPr>
              <w:t xml:space="preserve">Australian </w:t>
            </w:r>
            <w:r w:rsidR="005D3C25">
              <w:rPr>
                <w:rFonts w:ascii="Garamond" w:hAnsi="Garamond"/>
                <w:i/>
                <w:iCs/>
                <w:lang w:val="en-AU"/>
              </w:rPr>
              <w:t xml:space="preserve">Journal of Primary </w:t>
            </w:r>
            <w:r w:rsidR="005D3C25" w:rsidRPr="003B2C3B">
              <w:rPr>
                <w:rFonts w:ascii="Garamond" w:hAnsi="Garamond"/>
                <w:i/>
                <w:iCs/>
                <w:lang w:val="en-AU"/>
              </w:rPr>
              <w:t xml:space="preserve">Health </w:t>
            </w:r>
            <w:r w:rsidRPr="00B440ED">
              <w:rPr>
                <w:rFonts w:ascii="Garamond" w:hAnsi="Garamond"/>
                <w:lang w:val="en-AU"/>
              </w:rPr>
              <w:t>has been published.</w:t>
            </w:r>
            <w:r w:rsidR="005D3C25">
              <w:rPr>
                <w:rFonts w:ascii="Garamond" w:hAnsi="Garamond"/>
                <w:lang w:val="en-AU"/>
              </w:rPr>
              <w:t xml:space="preserve"> This is a special issue on </w:t>
            </w:r>
            <w:r w:rsidR="005D3C25" w:rsidRPr="005D3C25">
              <w:rPr>
                <w:rFonts w:ascii="Garamond" w:hAnsi="Garamond"/>
                <w:lang w:val="en-AU"/>
              </w:rPr>
              <w:t>Equity in Primary Health Care Provision: More than 50 years of the Inverse Care Law</w:t>
            </w:r>
            <w:r w:rsidR="005D3C25">
              <w:rPr>
                <w:rFonts w:ascii="Garamond" w:hAnsi="Garamond"/>
                <w:lang w:val="en-AU"/>
              </w:rPr>
              <w:t>.</w:t>
            </w:r>
            <w:r w:rsidRPr="00B440ED">
              <w:rPr>
                <w:rFonts w:ascii="Garamond" w:hAnsi="Garamond"/>
                <w:lang w:val="en-AU"/>
              </w:rPr>
              <w:t xml:space="preserve"> Articles in this issue of</w:t>
            </w:r>
            <w:r>
              <w:rPr>
                <w:rFonts w:ascii="Garamond" w:hAnsi="Garamond"/>
                <w:lang w:val="en-AU"/>
              </w:rPr>
              <w:t xml:space="preserve"> </w:t>
            </w:r>
            <w:r w:rsidR="005D3C25">
              <w:rPr>
                <w:rFonts w:ascii="Garamond" w:hAnsi="Garamond"/>
                <w:lang w:val="en-AU"/>
              </w:rPr>
              <w:t xml:space="preserve">the </w:t>
            </w:r>
            <w:r w:rsidR="005D3C25" w:rsidRPr="003B2C3B">
              <w:rPr>
                <w:rFonts w:ascii="Garamond" w:hAnsi="Garamond"/>
                <w:i/>
                <w:iCs/>
                <w:lang w:val="en-AU"/>
              </w:rPr>
              <w:t xml:space="preserve">Australian </w:t>
            </w:r>
            <w:r w:rsidR="005D3C25">
              <w:rPr>
                <w:rFonts w:ascii="Garamond" w:hAnsi="Garamond"/>
                <w:i/>
                <w:iCs/>
                <w:lang w:val="en-AU"/>
              </w:rPr>
              <w:t xml:space="preserve">Journal of Primary </w:t>
            </w:r>
            <w:r w:rsidR="005D3C25" w:rsidRPr="003B2C3B">
              <w:rPr>
                <w:rFonts w:ascii="Garamond" w:hAnsi="Garamond"/>
                <w:i/>
                <w:iCs/>
                <w:lang w:val="en-AU"/>
              </w:rPr>
              <w:t xml:space="preserve">Health </w:t>
            </w:r>
            <w:r w:rsidRPr="00B440ED">
              <w:rPr>
                <w:rFonts w:ascii="Garamond" w:hAnsi="Garamond"/>
                <w:lang w:val="en-AU"/>
              </w:rPr>
              <w:t>include:</w:t>
            </w:r>
          </w:p>
          <w:p w14:paraId="79BFE195" w14:textId="3C9DF86E" w:rsidR="005D3C25" w:rsidRPr="005D3C25" w:rsidRDefault="005D3C25" w:rsidP="00287445">
            <w:pPr>
              <w:pStyle w:val="ListParagraph"/>
              <w:numPr>
                <w:ilvl w:val="0"/>
                <w:numId w:val="19"/>
              </w:numPr>
              <w:rPr>
                <w:rFonts w:ascii="Garamond" w:hAnsi="Garamond"/>
                <w:lang w:val="en-AU"/>
              </w:rPr>
            </w:pPr>
            <w:r w:rsidRPr="005D3C25">
              <w:rPr>
                <w:rFonts w:ascii="Garamond" w:hAnsi="Garamond"/>
                <w:b/>
                <w:bCs/>
                <w:lang w:val="en-AU"/>
              </w:rPr>
              <w:t>Equity in primary health care provision</w:t>
            </w:r>
            <w:r w:rsidRPr="005D3C25">
              <w:rPr>
                <w:rFonts w:ascii="Garamond" w:hAnsi="Garamond"/>
                <w:lang w:val="en-AU"/>
              </w:rPr>
              <w:t>: more than 50 years of the inverse care law (Ben Harris-Roxas and Elizabeth Sturgiss</w:t>
            </w:r>
            <w:r>
              <w:rPr>
                <w:rFonts w:ascii="Garamond" w:hAnsi="Garamond"/>
                <w:lang w:val="en-AU"/>
              </w:rPr>
              <w:t>)</w:t>
            </w:r>
          </w:p>
          <w:p w14:paraId="222B3B6B" w14:textId="77777777" w:rsidR="005D3C25" w:rsidRDefault="005D3C25" w:rsidP="00D163D3">
            <w:pPr>
              <w:pStyle w:val="ListParagraph"/>
              <w:numPr>
                <w:ilvl w:val="0"/>
                <w:numId w:val="19"/>
              </w:numPr>
              <w:rPr>
                <w:rFonts w:ascii="Garamond" w:hAnsi="Garamond"/>
                <w:lang w:val="en-AU"/>
              </w:rPr>
            </w:pPr>
            <w:r w:rsidRPr="005D3C25">
              <w:rPr>
                <w:rFonts w:ascii="Garamond" w:hAnsi="Garamond"/>
                <w:lang w:val="en-AU"/>
              </w:rPr>
              <w:t xml:space="preserve">Improving </w:t>
            </w:r>
            <w:r w:rsidRPr="005D3C25">
              <w:rPr>
                <w:rFonts w:ascii="Garamond" w:hAnsi="Garamond"/>
                <w:b/>
                <w:bCs/>
                <w:lang w:val="en-AU"/>
              </w:rPr>
              <w:t>cultural competence of healthcare workers in First Nations communities</w:t>
            </w:r>
            <w:r w:rsidRPr="005D3C25">
              <w:rPr>
                <w:rFonts w:ascii="Garamond" w:hAnsi="Garamond"/>
                <w:lang w:val="en-AU"/>
              </w:rPr>
              <w:t>: a narrative review of implemented educational interventions in 2015–20 (Chris Rissel, Lynette Liddle, Courtney Ryder, Annabelle Wilson, Barbara Richards and Madeleine Bower</w:t>
            </w:r>
            <w:r>
              <w:rPr>
                <w:rFonts w:ascii="Garamond" w:hAnsi="Garamond"/>
                <w:lang w:val="en-AU"/>
              </w:rPr>
              <w:t>)</w:t>
            </w:r>
          </w:p>
          <w:p w14:paraId="389D595B" w14:textId="084D5EAA" w:rsidR="005D3C25" w:rsidRDefault="005D3C25" w:rsidP="008A5705">
            <w:pPr>
              <w:pStyle w:val="ListParagraph"/>
              <w:numPr>
                <w:ilvl w:val="0"/>
                <w:numId w:val="19"/>
              </w:numPr>
              <w:rPr>
                <w:rFonts w:ascii="Garamond" w:hAnsi="Garamond"/>
                <w:lang w:val="en-AU"/>
              </w:rPr>
            </w:pPr>
            <w:r w:rsidRPr="005D3C25">
              <w:rPr>
                <w:rFonts w:ascii="Garamond" w:hAnsi="Garamond"/>
                <w:lang w:val="en-AU"/>
              </w:rPr>
              <w:t xml:space="preserve">Evaluation of </w:t>
            </w:r>
            <w:r w:rsidRPr="005D3C25">
              <w:rPr>
                <w:rFonts w:ascii="Garamond" w:hAnsi="Garamond"/>
                <w:b/>
                <w:bCs/>
                <w:lang w:val="en-AU"/>
              </w:rPr>
              <w:t>Aboriginal and Torres Strait Islander smoking cessation interventions with pregnant women</w:t>
            </w:r>
            <w:r w:rsidRPr="005D3C25">
              <w:rPr>
                <w:rFonts w:ascii="Garamond" w:hAnsi="Garamond"/>
                <w:lang w:val="en-AU"/>
              </w:rPr>
              <w:t xml:space="preserve"> in Australia: utilising a culturally appropriate tool (Moana Tane, Leah C Stevenson, Liz Cameron and Gillian S Gould</w:t>
            </w:r>
            <w:r>
              <w:rPr>
                <w:rFonts w:ascii="Garamond" w:hAnsi="Garamond"/>
                <w:lang w:val="en-AU"/>
              </w:rPr>
              <w:t>)</w:t>
            </w:r>
          </w:p>
          <w:p w14:paraId="22D4248F" w14:textId="25246F15" w:rsidR="005D3C25" w:rsidRDefault="005D3C25" w:rsidP="00C74533">
            <w:pPr>
              <w:pStyle w:val="ListParagraph"/>
              <w:numPr>
                <w:ilvl w:val="0"/>
                <w:numId w:val="19"/>
              </w:numPr>
              <w:rPr>
                <w:rFonts w:ascii="Garamond" w:hAnsi="Garamond"/>
                <w:lang w:val="en-AU"/>
              </w:rPr>
            </w:pPr>
            <w:r w:rsidRPr="005D3C25">
              <w:rPr>
                <w:rFonts w:ascii="Garamond" w:hAnsi="Garamond"/>
                <w:b/>
                <w:bCs/>
                <w:lang w:val="en-AU"/>
              </w:rPr>
              <w:t>Equity in primary health care</w:t>
            </w:r>
            <w:r w:rsidRPr="005D3C25">
              <w:rPr>
                <w:rFonts w:ascii="Garamond" w:hAnsi="Garamond"/>
                <w:lang w:val="en-AU"/>
              </w:rPr>
              <w:t>: the legacy of Julian Tudor Hart and a personal journey he inspired (Felicity Goodyear-Smith</w:t>
            </w:r>
            <w:r>
              <w:rPr>
                <w:rFonts w:ascii="Garamond" w:hAnsi="Garamond"/>
                <w:lang w:val="en-AU"/>
              </w:rPr>
              <w:t>)</w:t>
            </w:r>
          </w:p>
          <w:p w14:paraId="4012FF91" w14:textId="77777777" w:rsidR="005D3C25" w:rsidRDefault="005D3C25" w:rsidP="002C03FC">
            <w:pPr>
              <w:pStyle w:val="ListParagraph"/>
              <w:numPr>
                <w:ilvl w:val="0"/>
                <w:numId w:val="19"/>
              </w:numPr>
              <w:rPr>
                <w:rFonts w:ascii="Garamond" w:hAnsi="Garamond"/>
                <w:lang w:val="en-AU"/>
              </w:rPr>
            </w:pPr>
            <w:r w:rsidRPr="005D3C25">
              <w:rPr>
                <w:rFonts w:ascii="Garamond" w:hAnsi="Garamond"/>
                <w:b/>
                <w:bCs/>
                <w:lang w:val="en-AU"/>
              </w:rPr>
              <w:t>Strengthening learning and research in health equity</w:t>
            </w:r>
            <w:r w:rsidRPr="005D3C25">
              <w:rPr>
                <w:rFonts w:ascii="Garamond" w:hAnsi="Garamond"/>
                <w:lang w:val="en-AU"/>
              </w:rPr>
              <w:t xml:space="preserve"> – opportunities for university departments of primary health care and general practice (Jennifer Reath, Phyllis Lau, Winston Lo, Steven Trankle, Miriam Brooks, Yasin Shahab and Penelope Abbott</w:t>
            </w:r>
            <w:r>
              <w:rPr>
                <w:rFonts w:ascii="Garamond" w:hAnsi="Garamond"/>
                <w:lang w:val="en-AU"/>
              </w:rPr>
              <w:t>)</w:t>
            </w:r>
          </w:p>
          <w:p w14:paraId="3ECEA850" w14:textId="57164BF9" w:rsidR="005D3C25" w:rsidRDefault="005D3C25" w:rsidP="00827454">
            <w:pPr>
              <w:pStyle w:val="ListParagraph"/>
              <w:numPr>
                <w:ilvl w:val="0"/>
                <w:numId w:val="19"/>
              </w:numPr>
              <w:rPr>
                <w:rFonts w:ascii="Garamond" w:hAnsi="Garamond"/>
                <w:lang w:val="en-AU"/>
              </w:rPr>
            </w:pPr>
            <w:r w:rsidRPr="005D3C25">
              <w:rPr>
                <w:rFonts w:ascii="Garamond" w:hAnsi="Garamond"/>
                <w:lang w:val="en-AU"/>
              </w:rPr>
              <w:t xml:space="preserve">An exploration of </w:t>
            </w:r>
            <w:r w:rsidRPr="005D3C25">
              <w:rPr>
                <w:rFonts w:ascii="Garamond" w:hAnsi="Garamond"/>
                <w:b/>
                <w:bCs/>
                <w:lang w:val="en-AU"/>
              </w:rPr>
              <w:t>the inverse care law and market forces in Australian primary health care</w:t>
            </w:r>
            <w:r w:rsidRPr="005D3C25">
              <w:rPr>
                <w:rFonts w:ascii="Garamond" w:hAnsi="Garamond"/>
                <w:lang w:val="en-AU"/>
              </w:rPr>
              <w:t xml:space="preserve"> (Elizabeth Harris and Mark F Harris</w:t>
            </w:r>
            <w:r>
              <w:rPr>
                <w:rFonts w:ascii="Garamond" w:hAnsi="Garamond"/>
                <w:lang w:val="en-AU"/>
              </w:rPr>
              <w:t>)</w:t>
            </w:r>
          </w:p>
          <w:p w14:paraId="1C7A59B6" w14:textId="447716DD" w:rsidR="005D3C25" w:rsidRPr="005D3C25" w:rsidRDefault="005D3C25" w:rsidP="009F13B6">
            <w:pPr>
              <w:pStyle w:val="ListParagraph"/>
              <w:numPr>
                <w:ilvl w:val="0"/>
                <w:numId w:val="19"/>
              </w:numPr>
              <w:rPr>
                <w:rFonts w:ascii="Garamond" w:hAnsi="Garamond"/>
                <w:lang w:val="en-AU"/>
              </w:rPr>
            </w:pPr>
            <w:r w:rsidRPr="005D3C25">
              <w:rPr>
                <w:rFonts w:ascii="Garamond" w:hAnsi="Garamond"/>
                <w:lang w:val="en-AU"/>
              </w:rPr>
              <w:lastRenderedPageBreak/>
              <w:t xml:space="preserve">Dialectics, power dynamics, and undercurrents of meaning: using </w:t>
            </w:r>
            <w:r w:rsidRPr="005D3C25">
              <w:rPr>
                <w:rFonts w:ascii="Garamond" w:hAnsi="Garamond"/>
                <w:b/>
                <w:bCs/>
                <w:lang w:val="en-AU"/>
              </w:rPr>
              <w:t>psychotherapeutic strategies in primary care with trans and gender-diverse clients</w:t>
            </w:r>
            <w:r w:rsidRPr="005D3C25">
              <w:rPr>
                <w:rFonts w:ascii="Garamond" w:hAnsi="Garamond"/>
                <w:lang w:val="en-AU"/>
              </w:rPr>
              <w:t xml:space="preserve"> (Elizabeth Waldron, Lucy Solonsch and Louise Stone</w:t>
            </w:r>
            <w:r>
              <w:rPr>
                <w:rFonts w:ascii="Garamond" w:hAnsi="Garamond"/>
                <w:lang w:val="en-AU"/>
              </w:rPr>
              <w:t>)</w:t>
            </w:r>
          </w:p>
          <w:p w14:paraId="4BBED7A1" w14:textId="73631AF2" w:rsidR="005D3C25" w:rsidRDefault="005D3C25" w:rsidP="00DA1350">
            <w:pPr>
              <w:pStyle w:val="ListParagraph"/>
              <w:numPr>
                <w:ilvl w:val="0"/>
                <w:numId w:val="19"/>
              </w:numPr>
              <w:rPr>
                <w:rFonts w:ascii="Garamond" w:hAnsi="Garamond"/>
                <w:lang w:val="en-AU"/>
              </w:rPr>
            </w:pPr>
            <w:r w:rsidRPr="005D3C25">
              <w:rPr>
                <w:rFonts w:ascii="Garamond" w:hAnsi="Garamond"/>
                <w:b/>
                <w:bCs/>
                <w:lang w:val="en-AU"/>
              </w:rPr>
              <w:t>The Deep End GP Pioneer Scheme</w:t>
            </w:r>
            <w:r w:rsidRPr="005D3C25">
              <w:rPr>
                <w:rFonts w:ascii="Garamond" w:hAnsi="Garamond"/>
                <w:lang w:val="en-AU"/>
              </w:rPr>
              <w:t>: a qualitative evaluation (Safiya Dhanani and David N Blane</w:t>
            </w:r>
            <w:r>
              <w:rPr>
                <w:rFonts w:ascii="Garamond" w:hAnsi="Garamond"/>
                <w:lang w:val="en-AU"/>
              </w:rPr>
              <w:t>)</w:t>
            </w:r>
          </w:p>
          <w:p w14:paraId="1307E278" w14:textId="77777777" w:rsidR="005D3C25" w:rsidRDefault="005D3C25" w:rsidP="00B2001A">
            <w:pPr>
              <w:pStyle w:val="ListParagraph"/>
              <w:numPr>
                <w:ilvl w:val="0"/>
                <w:numId w:val="19"/>
              </w:numPr>
              <w:rPr>
                <w:rFonts w:ascii="Garamond" w:hAnsi="Garamond"/>
                <w:lang w:val="en-AU"/>
              </w:rPr>
            </w:pPr>
            <w:r w:rsidRPr="005D3C25">
              <w:rPr>
                <w:rFonts w:ascii="Garamond" w:hAnsi="Garamond"/>
                <w:b/>
                <w:bCs/>
                <w:lang w:val="en-AU"/>
              </w:rPr>
              <w:t>Aboriginal people’s perceptions of patient-reported outcome measures</w:t>
            </w:r>
            <w:r w:rsidRPr="005D3C25">
              <w:rPr>
                <w:rFonts w:ascii="Garamond" w:hAnsi="Garamond"/>
                <w:lang w:val="en-AU"/>
              </w:rPr>
              <w:t xml:space="preserve"> in the assessment of diabetes health-related quality of life (Alicia Burgess, Jessica Hawkins, Catherine Kostovski, Michelle Kennedy, Stefania Penkala and Kerith Duncanson</w:t>
            </w:r>
            <w:r>
              <w:rPr>
                <w:rFonts w:ascii="Garamond" w:hAnsi="Garamond"/>
                <w:lang w:val="en-AU"/>
              </w:rPr>
              <w:t>)</w:t>
            </w:r>
          </w:p>
          <w:p w14:paraId="627E31D2" w14:textId="77777777" w:rsidR="006E6A41" w:rsidRDefault="005D3C25" w:rsidP="00BE5A07">
            <w:pPr>
              <w:pStyle w:val="ListParagraph"/>
              <w:numPr>
                <w:ilvl w:val="0"/>
                <w:numId w:val="19"/>
              </w:numPr>
              <w:rPr>
                <w:rFonts w:ascii="Garamond" w:hAnsi="Garamond"/>
                <w:lang w:val="en-AU"/>
              </w:rPr>
            </w:pPr>
            <w:r w:rsidRPr="00BE5A07">
              <w:rPr>
                <w:rFonts w:ascii="Garamond" w:hAnsi="Garamond"/>
                <w:lang w:val="en-AU"/>
              </w:rPr>
              <w:t xml:space="preserve">The M-CHooSe pilot: the acceptability and utilisation of the </w:t>
            </w:r>
            <w:r w:rsidRPr="00BE5A07">
              <w:rPr>
                <w:rFonts w:ascii="Garamond" w:hAnsi="Garamond"/>
                <w:b/>
                <w:bCs/>
                <w:lang w:val="en-AU"/>
              </w:rPr>
              <w:t>nurse-led, general practice clinic</w:t>
            </w:r>
            <w:r w:rsidRPr="00BE5A07">
              <w:rPr>
                <w:rFonts w:ascii="Garamond" w:hAnsi="Garamond"/>
                <w:lang w:val="en-AU"/>
              </w:rPr>
              <w:t xml:space="preserve"> co-located ‘Mater CALD Healthcare Coordinator Service’ for patients from multicultural backgrounds (David Chua, Donata Sackey, Meryl Jones, Michelle Smith, Lauren Ball and Tracey Johnson)</w:t>
            </w:r>
          </w:p>
          <w:p w14:paraId="59D2EE4F" w14:textId="57E9EE86" w:rsidR="00BE5A07" w:rsidRPr="00546F5E" w:rsidRDefault="00BE5A07" w:rsidP="00BE5A07">
            <w:pPr>
              <w:pStyle w:val="ListParagraph"/>
              <w:numPr>
                <w:ilvl w:val="0"/>
                <w:numId w:val="19"/>
              </w:numPr>
              <w:rPr>
                <w:rFonts w:ascii="Garamond" w:hAnsi="Garamond"/>
                <w:lang w:val="en-AU"/>
              </w:rPr>
            </w:pPr>
            <w:r w:rsidRPr="00BE5A07">
              <w:rPr>
                <w:rFonts w:ascii="Garamond" w:hAnsi="Garamond"/>
                <w:b/>
                <w:bCs/>
                <w:lang w:val="en-AU"/>
              </w:rPr>
              <w:t>Health equity for trans and gender-diverse Australians</w:t>
            </w:r>
            <w:r w:rsidRPr="00BE5A07">
              <w:rPr>
                <w:rFonts w:ascii="Garamond" w:hAnsi="Garamond"/>
                <w:lang w:val="en-AU"/>
              </w:rPr>
              <w:t>: addressing the inverse care law through the provision of gender-affirming health care in the primary healthcare setting</w:t>
            </w:r>
            <w:r>
              <w:rPr>
                <w:rFonts w:ascii="Garamond" w:hAnsi="Garamond"/>
                <w:lang w:val="en-AU"/>
              </w:rPr>
              <w:t xml:space="preserve"> (</w:t>
            </w:r>
            <w:r w:rsidRPr="00BE5A07">
              <w:rPr>
                <w:rFonts w:ascii="Garamond" w:hAnsi="Garamond"/>
                <w:lang w:val="en-AU"/>
              </w:rPr>
              <w:t>Samantha Clune, Janette Collier and Virginia Lewis</w:t>
            </w:r>
            <w:r>
              <w:rPr>
                <w:rFonts w:ascii="Garamond" w:hAnsi="Garamond"/>
                <w:lang w:val="en-AU"/>
              </w:rPr>
              <w:t>)</w:t>
            </w:r>
          </w:p>
        </w:tc>
      </w:tr>
    </w:tbl>
    <w:p w14:paraId="4602AC62" w14:textId="77777777" w:rsidR="00BB3F6F" w:rsidRDefault="00BB3F6F" w:rsidP="00BB3F6F">
      <w:pPr>
        <w:keepLines/>
        <w:autoSpaceDE w:val="0"/>
        <w:autoSpaceDN w:val="0"/>
        <w:adjustRightInd w:val="0"/>
        <w:rPr>
          <w:rFonts w:ascii="Garamond" w:hAnsi="Garamond"/>
          <w:i/>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1D4D2BC3" w14:textId="470CD467" w:rsidR="004B3A08" w:rsidRDefault="004B3A08">
      <w:pPr>
        <w:rPr>
          <w:rFonts w:ascii="Garamond" w:hAnsi="Garamond"/>
          <w:b/>
          <w:lang w:val="en-AU"/>
        </w:rPr>
      </w:pPr>
    </w:p>
    <w:p w14:paraId="0C28F841" w14:textId="77777777" w:rsidR="00C4268C" w:rsidRPr="00913086" w:rsidRDefault="00C4268C" w:rsidP="00C4268C">
      <w:pPr>
        <w:keepNext/>
        <w:rPr>
          <w:rFonts w:ascii="Garamond" w:hAnsi="Garamond"/>
          <w:b/>
          <w:bCs/>
          <w:i/>
          <w:lang w:val="en-AU"/>
        </w:rPr>
      </w:pPr>
      <w:r w:rsidRPr="00913086">
        <w:rPr>
          <w:rFonts w:ascii="Garamond" w:hAnsi="Garamond"/>
          <w:b/>
          <w:bCs/>
          <w:i/>
          <w:lang w:val="en-AU"/>
        </w:rPr>
        <w:t>[UK] NICE Guidelines and Quality Standards</w:t>
      </w:r>
    </w:p>
    <w:p w14:paraId="1AC8838C" w14:textId="77777777" w:rsidR="00C4268C" w:rsidRPr="008F3909" w:rsidRDefault="008C0A66" w:rsidP="00C4268C">
      <w:pPr>
        <w:keepNext/>
        <w:rPr>
          <w:rFonts w:ascii="Garamond" w:hAnsi="Garamond"/>
          <w:lang w:val="en-AU"/>
        </w:rPr>
      </w:pPr>
      <w:hyperlink r:id="rId20" w:history="1">
        <w:r w:rsidR="00C4268C" w:rsidRPr="00B91B4F">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0E85BD0A" w14:textId="41F86F10" w:rsidR="00745BBC" w:rsidRDefault="00A60BA8" w:rsidP="00A60BA8">
      <w:pPr>
        <w:pStyle w:val="ListParagraph"/>
        <w:numPr>
          <w:ilvl w:val="0"/>
          <w:numId w:val="14"/>
        </w:numPr>
        <w:rPr>
          <w:rFonts w:ascii="Garamond" w:hAnsi="Garamond"/>
          <w:iCs/>
          <w:lang w:val="en-AU"/>
        </w:rPr>
      </w:pPr>
      <w:r w:rsidRPr="008A67BD">
        <w:rPr>
          <w:rFonts w:ascii="Garamond" w:hAnsi="Garamond"/>
          <w:iCs/>
          <w:lang w:val="en-AU"/>
        </w:rPr>
        <w:t>NICE Guideline NG</w:t>
      </w:r>
      <w:r w:rsidR="008562E4">
        <w:rPr>
          <w:rFonts w:ascii="Garamond" w:hAnsi="Garamond"/>
          <w:iCs/>
          <w:lang w:val="en-AU"/>
        </w:rPr>
        <w:t xml:space="preserve">133 </w:t>
      </w:r>
      <w:r w:rsidR="008562E4" w:rsidRPr="008562E4">
        <w:rPr>
          <w:rFonts w:ascii="Garamond" w:hAnsi="Garamond"/>
          <w:b/>
          <w:bCs/>
          <w:i/>
          <w:lang w:val="en-AU"/>
        </w:rPr>
        <w:t>Hypertension in pregnancy</w:t>
      </w:r>
      <w:r w:rsidR="008562E4" w:rsidRPr="008562E4">
        <w:rPr>
          <w:rFonts w:ascii="Garamond" w:hAnsi="Garamond"/>
          <w:i/>
          <w:lang w:val="en-AU"/>
        </w:rPr>
        <w:t>: diagnosis and management</w:t>
      </w:r>
      <w:r w:rsidR="008562E4">
        <w:rPr>
          <w:rFonts w:ascii="Garamond" w:hAnsi="Garamond"/>
          <w:iCs/>
          <w:lang w:val="en-AU"/>
        </w:rPr>
        <w:t xml:space="preserve"> </w:t>
      </w:r>
      <w:hyperlink r:id="rId21" w:history="1">
        <w:r w:rsidR="008562E4" w:rsidRPr="00A56CED">
          <w:rPr>
            <w:rStyle w:val="Hyperlink"/>
            <w:rFonts w:ascii="Garamond" w:hAnsi="Garamond"/>
            <w:iCs/>
            <w:lang w:val="en-AU"/>
          </w:rPr>
          <w:t>https://www.nice.org.uk/guidance/ng133</w:t>
        </w:r>
      </w:hyperlink>
    </w:p>
    <w:p w14:paraId="2517B20C" w14:textId="2B50F8EA" w:rsidR="00C4268C" w:rsidRDefault="00C4268C" w:rsidP="00C4268C">
      <w:pPr>
        <w:rPr>
          <w:rFonts w:ascii="Garamond" w:hAnsi="Garamond"/>
          <w:b/>
          <w:lang w:val="en-AU"/>
        </w:rPr>
      </w:pPr>
    </w:p>
    <w:p w14:paraId="62C4E78B" w14:textId="179F2DC5" w:rsidR="00D1061B" w:rsidRDefault="00D1061B" w:rsidP="00D1061B">
      <w:pPr>
        <w:rPr>
          <w:rFonts w:ascii="Garamond" w:hAnsi="Garamond"/>
          <w:b/>
          <w:lang w:val="en-AU"/>
        </w:rPr>
      </w:pPr>
    </w:p>
    <w:p w14:paraId="50AB8A2D" w14:textId="5FE0AF3F" w:rsidR="00745BBC" w:rsidRDefault="00745BBC" w:rsidP="00D1061B">
      <w:pPr>
        <w:rPr>
          <w:rFonts w:ascii="Garamond" w:hAnsi="Garamond"/>
          <w:b/>
          <w:lang w:val="en-AU"/>
        </w:rPr>
      </w:pPr>
    </w:p>
    <w:p w14:paraId="49AFE7FE" w14:textId="77777777" w:rsidR="00745BBC" w:rsidRDefault="00745BBC" w:rsidP="00D1061B">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2"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23"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24" w:history="1">
        <w:r w:rsidR="008F5912" w:rsidRPr="00D2402A">
          <w:rPr>
            <w:rStyle w:val="Hyperlink"/>
            <w:rFonts w:ascii="Garamond" w:hAnsi="Garamond"/>
            <w:lang w:val="en-AU"/>
          </w:rPr>
          <w:t>https://www.safetyandquality.gov.au/publications-and-resources/resource-library/infection-</w:t>
        </w:r>
        <w:r w:rsidR="008F5912" w:rsidRPr="00D2402A">
          <w:rPr>
            <w:rStyle w:val="Hyperlink"/>
            <w:rFonts w:ascii="Garamond" w:hAnsi="Garamond"/>
            <w:lang w:val="en-AU"/>
          </w:rPr>
          <w:lastRenderedPageBreak/>
          <w:t>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22A7D9B6">
            <wp:extent cx="6078191" cy="8651631"/>
            <wp:effectExtent l="0" t="0" r="0" b="0"/>
            <wp:docPr id="8" name="Picture 8" descr="COVID-19 poster – Combined contact and droplet precauti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6569" cy="8720491"/>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26"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28"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9"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0"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33"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8C0A66" w:rsidP="00D574D3">
      <w:pPr>
        <w:keepNext/>
        <w:keepLines/>
        <w:rPr>
          <w:rFonts w:ascii="Garamond" w:hAnsi="Garamond"/>
          <w:lang w:val="en-AU"/>
        </w:rPr>
      </w:pPr>
      <w:hyperlink r:id="rId36"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8C0A66" w:rsidP="00D574D3">
      <w:pPr>
        <w:keepNext/>
        <w:keepLines/>
        <w:rPr>
          <w:rFonts w:ascii="Garamond" w:hAnsi="Garamond"/>
          <w:lang w:val="en-AU"/>
        </w:rPr>
      </w:pPr>
      <w:hyperlink r:id="rId37"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49BE6EE2"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3740" w14:textId="77777777" w:rsidR="00D52ABC" w:rsidRDefault="00D52ABC">
      <w:r>
        <w:separator/>
      </w:r>
    </w:p>
  </w:endnote>
  <w:endnote w:type="continuationSeparator" w:id="0">
    <w:p w14:paraId="7EBE7AB6" w14:textId="77777777" w:rsidR="00D52ABC" w:rsidRDefault="00D5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5EFBBEC2"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E04F70">
      <w:rPr>
        <w:rFonts w:ascii="Garamond" w:hAnsi="Garamond"/>
      </w:rPr>
      <w:t>9</w:t>
    </w:r>
    <w:r w:rsidR="00745BBC">
      <w:rPr>
        <w:rFonts w:ascii="Garamond" w:hAnsi="Garamond"/>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4ECAB25F"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5</w:t>
    </w:r>
    <w:r w:rsidR="00E04F70">
      <w:rPr>
        <w:rFonts w:ascii="Garamond" w:hAnsi="Garamond"/>
      </w:rPr>
      <w:t>9</w:t>
    </w:r>
    <w:r w:rsidR="00745BBC">
      <w:rPr>
        <w:rFonts w:ascii="Garamond" w:hAnsi="Garamond"/>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9D3F" w14:textId="77777777" w:rsidR="00D52ABC" w:rsidRDefault="00D52ABC">
      <w:r>
        <w:separator/>
      </w:r>
    </w:p>
  </w:footnote>
  <w:footnote w:type="continuationSeparator" w:id="0">
    <w:p w14:paraId="11481873" w14:textId="77777777" w:rsidR="00D52ABC" w:rsidRDefault="00D52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6"/>
  </w:num>
  <w:num w:numId="15">
    <w:abstractNumId w:val="18"/>
  </w:num>
  <w:num w:numId="16">
    <w:abstractNumId w:val="12"/>
  </w:num>
  <w:num w:numId="17">
    <w:abstractNumId w:val="13"/>
  </w:num>
  <w:num w:numId="18">
    <w:abstractNumId w:val="14"/>
  </w:num>
  <w:num w:numId="19">
    <w:abstractNumId w:val="20"/>
  </w:num>
  <w:num w:numId="20">
    <w:abstractNumId w:val="10"/>
  </w:num>
  <w:num w:numId="21">
    <w:abstractNumId w:val="17"/>
  </w:num>
  <w:num w:numId="22">
    <w:abstractNumId w:val="21"/>
  </w:num>
  <w:num w:numId="23">
    <w:abstractNumId w:val="11"/>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C4F"/>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43"/>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06"/>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C25"/>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5F8"/>
    <w:rsid w:val="006529F3"/>
    <w:rsid w:val="00652A67"/>
    <w:rsid w:val="00652B13"/>
    <w:rsid w:val="00652DFB"/>
    <w:rsid w:val="0065313E"/>
    <w:rsid w:val="00653191"/>
    <w:rsid w:val="0065335C"/>
    <w:rsid w:val="00653921"/>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6F7DF7"/>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CEB"/>
    <w:rsid w:val="00794E5D"/>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4B89"/>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0A66"/>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52D"/>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211"/>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F8C"/>
    <w:rsid w:val="0094108E"/>
    <w:rsid w:val="009410B4"/>
    <w:rsid w:val="0094155F"/>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A07"/>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40"/>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59"/>
    <w:rsid w:val="00C347E1"/>
    <w:rsid w:val="00C348FC"/>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2ABC"/>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5E82"/>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qualitysafety.bmj.com/content/32/5" TargetMode="External"/><Relationship Id="rId26" Type="http://schemas.openxmlformats.org/officeDocument/2006/relationships/hyperlink" Target="https://www.safetyandquality.gov.au/publications-and-resources/resource-library/poster-combined-airborne-and-contact-precaution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ice.org.uk/guidance/ng133" TargetMode="External"/><Relationship Id="rId34" Type="http://schemas.openxmlformats.org/officeDocument/2006/relationships/hyperlink" Target="https://www.safetyandquality.gov.au/sites/default/files/2020-07/covid-19_and_face_masks_-_information_for_consumers.pdf"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136/bmjoq-2022-002134" TargetMode="External"/><Relationship Id="rId25" Type="http://schemas.openxmlformats.org/officeDocument/2006/relationships/image" Target="media/image2.png"/><Relationship Id="rId33" Type="http://schemas.openxmlformats.org/officeDocument/2006/relationships/hyperlink" Target="https://www.safetyandquality.gov.au/publications-and-resources/resource-library/covid-19-and-face-masks-information-consumer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5664/jcsm.10406" TargetMode="External"/><Relationship Id="rId20" Type="http://schemas.openxmlformats.org/officeDocument/2006/relationships/hyperlink" Target="https://www.nice.org.uk/guidance" TargetMode="External"/><Relationship Id="rId29" Type="http://schemas.openxmlformats.org/officeDocument/2006/relationships/hyperlink" Target="https://www.safetyandquality.gov.au/publications-and-resources/resource-library/covid-19-infection-prevention-and-control-risk-management-guida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infection-prevention-and-control-poster-combined-contact-and-droplet-precautions" TargetMode="External"/><Relationship Id="rId32" Type="http://schemas.openxmlformats.org/officeDocument/2006/relationships/image" Target="media/image4.PNG"/><Relationship Id="rId37" Type="http://schemas.openxmlformats.org/officeDocument/2006/relationships/hyperlink" Target="https://www.aci.health.nsw.gov.au/covid-19/critical-intelligence-uni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93/bjs/znad042" TargetMode="External"/><Relationship Id="rId23" Type="http://schemas.openxmlformats.org/officeDocument/2006/relationships/hyperlink" Target="https://www.safetyandquality.gov.au/publications-and-resources/resource-library/covid-19-infection-prevention-and-control-risk-management-guidance" TargetMode="External"/><Relationship Id="rId28" Type="http://schemas.openxmlformats.org/officeDocument/2006/relationships/hyperlink" Target="http://www.safetyandquality.gov.au/environmental-cleaning" TargetMode="External"/><Relationship Id="rId36" Type="http://schemas.openxmlformats.org/officeDocument/2006/relationships/hyperlink" Target="https://covid19evidence.net.au/"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publish.csiro.au/py/issue/11376" TargetMode="External"/><Relationship Id="rId31"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covid-19" TargetMode="External"/><Relationship Id="rId27" Type="http://schemas.openxmlformats.org/officeDocument/2006/relationships/image" Target="media/image3.PNG"/><Relationship Id="rId30" Type="http://schemas.openxmlformats.org/officeDocument/2006/relationships/hyperlink" Target="https://www.safetyandquality.gov.au/our-work/cognitive-impairment/cognitive-impairment-and-covid-19" TargetMode="External"/><Relationship Id="rId3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10</Pages>
  <Words>2716</Words>
  <Characters>17602</Characters>
  <Application>Microsoft Office Word</Application>
  <DocSecurity>0</DocSecurity>
  <Lines>352</Lines>
  <Paragraphs>152</Paragraphs>
  <ScaleCrop>false</ScaleCrop>
  <HeadingPairs>
    <vt:vector size="2" baseType="variant">
      <vt:variant>
        <vt:lpstr>Title</vt:lpstr>
      </vt:variant>
      <vt:variant>
        <vt:i4>1</vt:i4>
      </vt:variant>
    </vt:vector>
  </HeadingPairs>
  <TitlesOfParts>
    <vt:vector size="1" baseType="lpstr">
      <vt:lpstr>Draft On the Radar Issue 599</vt:lpstr>
    </vt:vector>
  </TitlesOfParts>
  <Company>ACSQHC</Company>
  <LinksUpToDate>false</LinksUpToDate>
  <CharactersWithSpaces>20166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599</dc:title>
  <dc:subject/>
  <dc:creator>Dr Niall Johnson</dc:creator>
  <cp:keywords>On the Radar</cp:keywords>
  <dc:description/>
  <cp:lastModifiedBy>JOHNSON, Niall</cp:lastModifiedBy>
  <cp:revision>14</cp:revision>
  <cp:lastPrinted>2018-03-02T02:34:00Z</cp:lastPrinted>
  <dcterms:created xsi:type="dcterms:W3CDTF">2023-04-16T22:50:00Z</dcterms:created>
  <dcterms:modified xsi:type="dcterms:W3CDTF">2023-04-20T23:54:00Z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