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0F18D1B"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44D1E50D" w:rsidR="009932E9" w:rsidRDefault="009932E9" w:rsidP="00F738B5">
      <w:pPr>
        <w:rPr>
          <w:rFonts w:ascii="Garamond" w:hAnsi="Garamond"/>
          <w:lang w:val="en-AU"/>
        </w:rPr>
      </w:pPr>
      <w:r>
        <w:rPr>
          <w:rFonts w:ascii="Garamond" w:hAnsi="Garamond"/>
          <w:lang w:val="en-AU"/>
        </w:rPr>
        <w:t>Issue 60</w:t>
      </w:r>
      <w:r w:rsidR="004C0708">
        <w:rPr>
          <w:rFonts w:ascii="Garamond" w:hAnsi="Garamond"/>
          <w:lang w:val="en-AU"/>
        </w:rPr>
        <w:t>5</w:t>
      </w:r>
    </w:p>
    <w:p w14:paraId="5081D681" w14:textId="696AAAA5" w:rsidR="001A4346" w:rsidRDefault="004C0708" w:rsidP="00F738B5">
      <w:pPr>
        <w:rPr>
          <w:rFonts w:ascii="Garamond" w:hAnsi="Garamond"/>
          <w:lang w:val="en-AU"/>
        </w:rPr>
      </w:pPr>
      <w:r>
        <w:rPr>
          <w:rFonts w:ascii="Garamond" w:hAnsi="Garamond"/>
          <w:lang w:val="en-AU"/>
        </w:rPr>
        <w:t>5 June</w:t>
      </w:r>
      <w:r w:rsidR="00AA6F24">
        <w:rPr>
          <w:rFonts w:ascii="Garamond" w:hAnsi="Garamond"/>
          <w:lang w:val="en-AU"/>
        </w:rPr>
        <w:t xml:space="preserve">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77777777"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121EF22F" w:rsidR="00106440" w:rsidRDefault="00106440" w:rsidP="009525CC">
      <w:pPr>
        <w:rPr>
          <w:rFonts w:ascii="Garamond" w:hAnsi="Garamond"/>
          <w:bCs/>
          <w:lang w:val="en-AU"/>
        </w:rPr>
      </w:pPr>
    </w:p>
    <w:p w14:paraId="125B9BB3" w14:textId="5F70E3BD" w:rsidR="00D0490E" w:rsidRDefault="00D0490E" w:rsidP="00D0490E">
      <w:pPr>
        <w:keepLines/>
        <w:autoSpaceDE w:val="0"/>
        <w:autoSpaceDN w:val="0"/>
        <w:adjustRightInd w:val="0"/>
        <w:rPr>
          <w:rFonts w:ascii="Garamond" w:hAnsi="Garamond"/>
          <w:lang w:val="en-AU"/>
        </w:rPr>
      </w:pPr>
    </w:p>
    <w:p w14:paraId="08DDAEF8" w14:textId="77777777" w:rsidR="00D0490E" w:rsidRDefault="00D0490E" w:rsidP="00D0490E">
      <w:pPr>
        <w:keepLines/>
        <w:autoSpaceDE w:val="0"/>
        <w:autoSpaceDN w:val="0"/>
        <w:adjustRightInd w:val="0"/>
        <w:rPr>
          <w:rFonts w:ascii="Garamond" w:hAnsi="Garamond"/>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248B0D0C" w:rsidR="00D0490E" w:rsidRDefault="00D0490E" w:rsidP="00D0490E">
      <w:pPr>
        <w:keepNext/>
        <w:rPr>
          <w:rFonts w:ascii="Garamond" w:hAnsi="Garamond"/>
          <w:lang w:val="en-AU"/>
        </w:rPr>
      </w:pPr>
    </w:p>
    <w:p w14:paraId="5038FA80" w14:textId="77777777" w:rsidR="00AE6527" w:rsidRPr="00AE6527" w:rsidRDefault="00AE6527" w:rsidP="00AE6527">
      <w:pPr>
        <w:keepNext/>
        <w:keepLines/>
        <w:autoSpaceDE w:val="0"/>
        <w:autoSpaceDN w:val="0"/>
        <w:adjustRightInd w:val="0"/>
        <w:rPr>
          <w:rFonts w:ascii="Garamond" w:hAnsi="Garamond"/>
          <w:i/>
          <w:iCs/>
          <w:lang w:val="en-AU"/>
        </w:rPr>
      </w:pPr>
      <w:r w:rsidRPr="00AE6527">
        <w:rPr>
          <w:rFonts w:ascii="Garamond" w:hAnsi="Garamond"/>
          <w:i/>
          <w:iCs/>
          <w:lang w:val="en-AU"/>
        </w:rPr>
        <w:t>Consultation Report – Requirements for the National One Stop Shop, the National Clinical Trials Front Door and core elements of the National Site-Specific Assessment</w:t>
      </w:r>
    </w:p>
    <w:p w14:paraId="21643BE4" w14:textId="77777777" w:rsidR="00AE6527" w:rsidRDefault="00AE6527" w:rsidP="00AE6527">
      <w:pPr>
        <w:keepNext/>
        <w:keepLines/>
        <w:autoSpaceDE w:val="0"/>
        <w:autoSpaceDN w:val="0"/>
        <w:adjustRightInd w:val="0"/>
        <w:rPr>
          <w:rFonts w:ascii="Garamond" w:hAnsi="Garamond"/>
          <w:lang w:val="en-AU"/>
        </w:rPr>
      </w:pPr>
      <w:r w:rsidRPr="00AE6527">
        <w:rPr>
          <w:rFonts w:ascii="Garamond" w:hAnsi="Garamond"/>
          <w:lang w:val="en-AU"/>
        </w:rPr>
        <w:t>Australian Commission on Safety and Quality in Health Care</w:t>
      </w:r>
    </w:p>
    <w:p w14:paraId="2EA879DF" w14:textId="64803C8B" w:rsidR="00745BBC" w:rsidRDefault="00AE6527" w:rsidP="00AE6527">
      <w:pPr>
        <w:keepNext/>
        <w:keepLines/>
        <w:autoSpaceDE w:val="0"/>
        <w:autoSpaceDN w:val="0"/>
        <w:adjustRightInd w:val="0"/>
        <w:rPr>
          <w:rFonts w:ascii="Garamond" w:hAnsi="Garamond"/>
          <w:lang w:val="en-AU"/>
        </w:rPr>
      </w:pPr>
      <w:r w:rsidRPr="00AE6527">
        <w:rPr>
          <w:rFonts w:ascii="Garamond" w:hAnsi="Garamond"/>
          <w:lang w:val="en-AU"/>
        </w:rPr>
        <w:t>Sydney: ACSQHC; 2023. p. 100.</w:t>
      </w:r>
    </w:p>
    <w:tbl>
      <w:tblPr>
        <w:tblStyle w:val="TableGrid"/>
        <w:tblW w:w="9360" w:type="dxa"/>
        <w:tblInd w:w="288" w:type="dxa"/>
        <w:tblLayout w:type="fixed"/>
        <w:tblLook w:val="01E0" w:firstRow="1" w:lastRow="1" w:firstColumn="1" w:lastColumn="1" w:noHBand="0" w:noVBand="0"/>
      </w:tblPr>
      <w:tblGrid>
        <w:gridCol w:w="1080"/>
        <w:gridCol w:w="8280"/>
      </w:tblGrid>
      <w:tr w:rsidR="00745BBC" w:rsidRPr="000170DA" w14:paraId="2DED758D"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10582E8A" w14:textId="5475CEDF" w:rsidR="00745BBC" w:rsidRPr="000170DA" w:rsidRDefault="00AE6527" w:rsidP="00A13B6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1FE2566" w14:textId="4341E979" w:rsidR="00AE6527" w:rsidRPr="000170DA" w:rsidRDefault="00F9205C" w:rsidP="00AE6527">
            <w:pPr>
              <w:keepNext/>
              <w:rPr>
                <w:rStyle w:val="Hyperlink"/>
                <w:rFonts w:ascii="Garamond" w:hAnsi="Garamond"/>
                <w:color w:val="auto"/>
                <w:u w:val="none"/>
                <w:lang w:val="en-AU"/>
              </w:rPr>
            </w:pPr>
            <w:hyperlink r:id="rId15" w:history="1">
              <w:r w:rsidR="00AE6527" w:rsidRPr="007174D7">
                <w:rPr>
                  <w:rStyle w:val="Hyperlink"/>
                  <w:rFonts w:ascii="Garamond" w:hAnsi="Garamond"/>
                  <w:lang w:val="en-AU"/>
                </w:rPr>
                <w:t>https://www.safetyandquality.gov.au/our-work/health-and-human-research/national-one-stop-shop-national-platform-health-related-human-research</w:t>
              </w:r>
            </w:hyperlink>
          </w:p>
        </w:tc>
      </w:tr>
      <w:tr w:rsidR="00745BBC" w:rsidRPr="000170DA" w14:paraId="416024F4"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09C35E3E" w14:textId="77777777" w:rsidR="00745BBC" w:rsidRPr="000170DA" w:rsidRDefault="00745BBC" w:rsidP="00A13B6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AB79FDA" w14:textId="4461A7EF" w:rsidR="008E4276" w:rsidRDefault="008E4276" w:rsidP="008E4276">
            <w:pPr>
              <w:rPr>
                <w:rFonts w:ascii="Garamond" w:hAnsi="Garamond"/>
                <w:lang w:val="en-AU"/>
              </w:rPr>
            </w:pPr>
            <w:r w:rsidRPr="008E4276">
              <w:rPr>
                <w:rFonts w:ascii="Garamond" w:hAnsi="Garamond"/>
                <w:lang w:val="en-AU"/>
              </w:rPr>
              <w:t>National One Stop Shop – a national cross government platform for health-related human research</w:t>
            </w:r>
            <w:r>
              <w:rPr>
                <w:rFonts w:ascii="Garamond" w:hAnsi="Garamond"/>
                <w:lang w:val="en-AU"/>
              </w:rPr>
              <w:t>.</w:t>
            </w:r>
          </w:p>
          <w:p w14:paraId="71744567" w14:textId="77777777" w:rsidR="008E4276" w:rsidRPr="008E4276" w:rsidRDefault="008E4276" w:rsidP="008E4276">
            <w:pPr>
              <w:rPr>
                <w:rFonts w:ascii="Garamond" w:hAnsi="Garamond"/>
                <w:lang w:val="en-AU"/>
              </w:rPr>
            </w:pPr>
          </w:p>
          <w:p w14:paraId="017C4830" w14:textId="5D7CDAE4" w:rsidR="008E4276" w:rsidRPr="008E4276" w:rsidRDefault="008E4276" w:rsidP="008E4276">
            <w:pPr>
              <w:rPr>
                <w:rFonts w:ascii="Garamond" w:hAnsi="Garamond"/>
                <w:lang w:val="en-AU"/>
              </w:rPr>
            </w:pPr>
            <w:r w:rsidRPr="008E4276">
              <w:rPr>
                <w:rFonts w:ascii="Garamond" w:hAnsi="Garamond"/>
                <w:lang w:val="en-AU"/>
              </w:rPr>
              <w:t xml:space="preserve">The Commission convened the </w:t>
            </w:r>
            <w:hyperlink r:id="rId16" w:history="1">
              <w:r w:rsidRPr="008E4276">
                <w:rPr>
                  <w:rStyle w:val="Hyperlink"/>
                  <w:rFonts w:ascii="Garamond" w:hAnsi="Garamond"/>
                  <w:lang w:val="en-AU"/>
                </w:rPr>
                <w:t>Health and Medical Research Advisory Group</w:t>
              </w:r>
            </w:hyperlink>
            <w:r w:rsidRPr="008E4276">
              <w:rPr>
                <w:rFonts w:ascii="Garamond" w:hAnsi="Garamond"/>
                <w:lang w:val="en-AU"/>
              </w:rPr>
              <w:t xml:space="preserve"> chaired by Professor Ian Chubb AC, to guide national consultations on the </w:t>
            </w:r>
            <w:r>
              <w:rPr>
                <w:rFonts w:ascii="Garamond" w:hAnsi="Garamond"/>
                <w:lang w:val="en-AU"/>
              </w:rPr>
              <w:t xml:space="preserve">National </w:t>
            </w:r>
            <w:r w:rsidRPr="008E4276">
              <w:rPr>
                <w:rFonts w:ascii="Garamond" w:hAnsi="Garamond"/>
                <w:lang w:val="en-AU"/>
              </w:rPr>
              <w:t>One Stop Shop on behalf of the Australian Department of Health and Aged Care and all jurisdictions via the Clinical Trials Project Reference Group.</w:t>
            </w:r>
          </w:p>
          <w:p w14:paraId="30E00361" w14:textId="77777777" w:rsidR="008E4276" w:rsidRDefault="008E4276" w:rsidP="008E4276">
            <w:pPr>
              <w:rPr>
                <w:rFonts w:ascii="Garamond" w:hAnsi="Garamond"/>
                <w:lang w:val="en-AU"/>
              </w:rPr>
            </w:pPr>
          </w:p>
          <w:p w14:paraId="17EA12AF" w14:textId="19E63DDD" w:rsidR="008E4276" w:rsidRPr="008E4276" w:rsidRDefault="008E4276" w:rsidP="008E4276">
            <w:pPr>
              <w:rPr>
                <w:rFonts w:ascii="Garamond" w:hAnsi="Garamond"/>
                <w:lang w:val="en-AU"/>
              </w:rPr>
            </w:pPr>
            <w:r w:rsidRPr="008E4276">
              <w:rPr>
                <w:rFonts w:ascii="Garamond" w:hAnsi="Garamond"/>
                <w:lang w:val="en-AU"/>
              </w:rPr>
              <w:lastRenderedPageBreak/>
              <w:t>Consultations revealed broad support and a sense of genuine enthusiasm for the proposed National One Stop Shop. It is seen as a rare transformational opportunity for Australia to address longstanding challenges. Participants supported the approach to implementation through cross-jurisdictional governance arrangements that would assist all governments to respond to areas of need in a rapid, coordinated and strategic manner based on accurate information.</w:t>
            </w:r>
          </w:p>
          <w:p w14:paraId="01F0F869" w14:textId="77777777" w:rsidR="008E4276" w:rsidRDefault="008E4276" w:rsidP="008E4276">
            <w:pPr>
              <w:rPr>
                <w:rFonts w:ascii="Garamond" w:hAnsi="Garamond"/>
                <w:lang w:val="en-AU"/>
              </w:rPr>
            </w:pPr>
          </w:p>
          <w:p w14:paraId="270336F5" w14:textId="00D3479C" w:rsidR="00745BBC" w:rsidRPr="00D0490E" w:rsidRDefault="008E4276" w:rsidP="008E4276">
            <w:pPr>
              <w:rPr>
                <w:rFonts w:ascii="Garamond" w:hAnsi="Garamond"/>
                <w:lang w:val="en-AU"/>
              </w:rPr>
            </w:pPr>
            <w:r w:rsidRPr="008E4276">
              <w:rPr>
                <w:rFonts w:ascii="Garamond" w:hAnsi="Garamond"/>
                <w:lang w:val="en-AU"/>
              </w:rPr>
              <w:t xml:space="preserve">The National One Stop Shop consultation report has been endorsed for publication by all health ministers. </w:t>
            </w:r>
            <w:r>
              <w:rPr>
                <w:rFonts w:ascii="Garamond" w:hAnsi="Garamond"/>
                <w:lang w:val="en-AU"/>
              </w:rPr>
              <w:t xml:space="preserve">You can </w:t>
            </w:r>
            <w:r w:rsidRPr="008E4276">
              <w:rPr>
                <w:rFonts w:ascii="Garamond" w:hAnsi="Garamond"/>
                <w:lang w:val="en-AU"/>
              </w:rPr>
              <w:t xml:space="preserve">the report and addenda </w:t>
            </w:r>
            <w:r>
              <w:rPr>
                <w:rFonts w:ascii="Garamond" w:hAnsi="Garamond"/>
                <w:lang w:val="en-AU"/>
              </w:rPr>
              <w:t xml:space="preserve">from </w:t>
            </w:r>
            <w:hyperlink r:id="rId17" w:history="1">
              <w:r w:rsidRPr="007174D7">
                <w:rPr>
                  <w:rStyle w:val="Hyperlink"/>
                  <w:rFonts w:ascii="Garamond" w:hAnsi="Garamond"/>
                  <w:lang w:val="en-AU"/>
                </w:rPr>
                <w:t>https://www.safetyandquality.gov.au/our-work/health-and-human-research/national-one-stop-shop-national-platform-health-related-human-research</w:t>
              </w:r>
            </w:hyperlink>
          </w:p>
        </w:tc>
      </w:tr>
    </w:tbl>
    <w:p w14:paraId="20767737" w14:textId="77777777" w:rsidR="00745BBC" w:rsidRDefault="00745BBC" w:rsidP="00745BBC">
      <w:pPr>
        <w:keepLines/>
        <w:autoSpaceDE w:val="0"/>
        <w:autoSpaceDN w:val="0"/>
        <w:adjustRightInd w:val="0"/>
        <w:rPr>
          <w:rFonts w:ascii="Garamond" w:hAnsi="Garamond"/>
          <w:lang w:val="en-AU"/>
        </w:rPr>
      </w:pPr>
    </w:p>
    <w:p w14:paraId="018A51A9" w14:textId="77777777" w:rsidR="00543F85" w:rsidRDefault="00543F85" w:rsidP="00543F85">
      <w:pPr>
        <w:keepLines/>
        <w:autoSpaceDE w:val="0"/>
        <w:autoSpaceDN w:val="0"/>
        <w:adjustRightInd w:val="0"/>
        <w:rPr>
          <w:rFonts w:ascii="Garamond" w:hAnsi="Garamond"/>
          <w:lang w:val="en-AU"/>
        </w:rPr>
      </w:pPr>
    </w:p>
    <w:p w14:paraId="303001A8" w14:textId="77777777" w:rsidR="00D0490E" w:rsidRDefault="00D0490E" w:rsidP="00D0490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04031ED0" w:rsidR="00C23361" w:rsidRDefault="00C23361" w:rsidP="00C23361">
      <w:pPr>
        <w:keepLines/>
        <w:autoSpaceDE w:val="0"/>
        <w:autoSpaceDN w:val="0"/>
        <w:adjustRightInd w:val="0"/>
        <w:rPr>
          <w:rFonts w:ascii="Garamond" w:hAnsi="Garamond"/>
          <w:lang w:val="en-AU"/>
        </w:rPr>
      </w:pPr>
    </w:p>
    <w:p w14:paraId="61895AA3" w14:textId="77777777" w:rsidR="00DB668C" w:rsidRPr="00DB668C" w:rsidRDefault="00DB668C" w:rsidP="00DB668C">
      <w:pPr>
        <w:keepLines/>
        <w:autoSpaceDE w:val="0"/>
        <w:autoSpaceDN w:val="0"/>
        <w:adjustRightInd w:val="0"/>
        <w:rPr>
          <w:rFonts w:ascii="Garamond" w:hAnsi="Garamond"/>
          <w:i/>
          <w:iCs/>
          <w:lang w:val="en-AU"/>
        </w:rPr>
      </w:pPr>
      <w:r w:rsidRPr="00DB668C">
        <w:rPr>
          <w:rFonts w:ascii="Garamond" w:hAnsi="Garamond"/>
          <w:i/>
          <w:iCs/>
          <w:lang w:val="en-AU"/>
        </w:rPr>
        <w:t>Patient safety in prisons: a multi-method analysis of reported incidents in England</w:t>
      </w:r>
    </w:p>
    <w:p w14:paraId="2C151DA3" w14:textId="77777777" w:rsidR="00830159" w:rsidRDefault="00830159" w:rsidP="00C23361">
      <w:pPr>
        <w:keepLines/>
        <w:autoSpaceDE w:val="0"/>
        <w:autoSpaceDN w:val="0"/>
        <w:adjustRightInd w:val="0"/>
        <w:rPr>
          <w:rFonts w:ascii="Garamond" w:hAnsi="Garamond"/>
          <w:lang w:val="en-AU"/>
        </w:rPr>
      </w:pPr>
      <w:r w:rsidRPr="00830159">
        <w:rPr>
          <w:rFonts w:ascii="Garamond" w:hAnsi="Garamond"/>
          <w:lang w:val="en-AU"/>
        </w:rPr>
        <w:t>McFadzean IJ, Davies K, Purchase T, Edwards A, Hellard S, Ashcroft DM, et al.</w:t>
      </w:r>
    </w:p>
    <w:p w14:paraId="06C1D30E" w14:textId="7705E3FE" w:rsidR="00830159" w:rsidRDefault="00830159" w:rsidP="00C23361">
      <w:pPr>
        <w:keepLines/>
        <w:autoSpaceDE w:val="0"/>
        <w:autoSpaceDN w:val="0"/>
        <w:adjustRightInd w:val="0"/>
        <w:rPr>
          <w:rFonts w:ascii="Garamond" w:hAnsi="Garamond"/>
          <w:lang w:val="en-AU"/>
        </w:rPr>
      </w:pPr>
      <w:r w:rsidRPr="00830159">
        <w:rPr>
          <w:rFonts w:ascii="Garamond" w:hAnsi="Garamond"/>
          <w:lang w:val="en-AU"/>
        </w:rPr>
        <w:t>Journal of the Royal Society of Medicine. 2023</w:t>
      </w:r>
      <w:r>
        <w:rPr>
          <w:rFonts w:ascii="Garamond" w:hAnsi="Garamond"/>
          <w:lang w:val="en-AU"/>
        </w:rPr>
        <w:t xml:space="preserve"> [epub]</w:t>
      </w:r>
      <w:r w:rsidRPr="0083015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40C58" w:rsidRPr="000170DA" w14:paraId="11078C09" w14:textId="77777777" w:rsidTr="00D55037">
        <w:tc>
          <w:tcPr>
            <w:tcW w:w="1080" w:type="dxa"/>
            <w:tcBorders>
              <w:top w:val="single" w:sz="4" w:space="0" w:color="auto"/>
              <w:left w:val="single" w:sz="4" w:space="0" w:color="auto"/>
              <w:bottom w:val="single" w:sz="4" w:space="0" w:color="auto"/>
              <w:right w:val="single" w:sz="4" w:space="0" w:color="auto"/>
            </w:tcBorders>
            <w:vAlign w:val="center"/>
          </w:tcPr>
          <w:p w14:paraId="0FD40946" w14:textId="77777777" w:rsidR="00B40C58" w:rsidRPr="000170DA" w:rsidRDefault="00B40C58" w:rsidP="00D5503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47469B1" w14:textId="634266B7" w:rsidR="00B40C58" w:rsidRPr="000170DA" w:rsidRDefault="00830159" w:rsidP="00D55037">
            <w:pPr>
              <w:keepNext/>
              <w:rPr>
                <w:rStyle w:val="Hyperlink"/>
                <w:rFonts w:ascii="Garamond" w:hAnsi="Garamond"/>
                <w:color w:val="auto"/>
                <w:u w:val="none"/>
                <w:lang w:val="en-AU"/>
              </w:rPr>
            </w:pPr>
            <w:r w:rsidRPr="00830159">
              <w:rPr>
                <w:rStyle w:val="Hyperlink"/>
                <w:rFonts w:ascii="Garamond" w:hAnsi="Garamond"/>
                <w:color w:val="auto"/>
                <w:u w:val="none"/>
                <w:lang w:val="en-AU"/>
              </w:rPr>
              <w:t>https://doi.org/10.1177/01410768231166138</w:t>
            </w:r>
          </w:p>
        </w:tc>
      </w:tr>
      <w:tr w:rsidR="00B40C58" w:rsidRPr="000170DA" w14:paraId="276FC7F6" w14:textId="77777777" w:rsidTr="00D55037">
        <w:tc>
          <w:tcPr>
            <w:tcW w:w="1080" w:type="dxa"/>
            <w:tcBorders>
              <w:top w:val="single" w:sz="4" w:space="0" w:color="auto"/>
              <w:left w:val="single" w:sz="4" w:space="0" w:color="auto"/>
              <w:bottom w:val="single" w:sz="4" w:space="0" w:color="auto"/>
              <w:right w:val="single" w:sz="4" w:space="0" w:color="auto"/>
            </w:tcBorders>
            <w:vAlign w:val="center"/>
          </w:tcPr>
          <w:p w14:paraId="6993FBDA" w14:textId="77777777" w:rsidR="00B40C58" w:rsidRPr="000170DA" w:rsidRDefault="00B40C58" w:rsidP="00D5503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D31B814" w14:textId="4005E8BF" w:rsidR="00B40C58" w:rsidRPr="00D0490E" w:rsidRDefault="00830159" w:rsidP="00D55037">
            <w:pPr>
              <w:rPr>
                <w:rFonts w:ascii="Garamond" w:hAnsi="Garamond"/>
                <w:lang w:val="en-AU"/>
              </w:rPr>
            </w:pPr>
            <w:r>
              <w:rPr>
                <w:rFonts w:ascii="Garamond" w:hAnsi="Garamond"/>
                <w:lang w:val="en-AU"/>
              </w:rPr>
              <w:t xml:space="preserve">Paper reporting on a study into patient safety incidents reported in prisons in England between April 2019 and March 2019. Using 4112 reports in the </w:t>
            </w:r>
            <w:r w:rsidRPr="00830159">
              <w:rPr>
                <w:rFonts w:ascii="Garamond" w:hAnsi="Garamond"/>
                <w:lang w:val="en-AU"/>
              </w:rPr>
              <w:t>National Reporting and Learning System</w:t>
            </w:r>
            <w:r>
              <w:rPr>
                <w:rFonts w:ascii="Garamond" w:hAnsi="Garamond"/>
                <w:lang w:val="en-AU"/>
              </w:rPr>
              <w:t>, the authors report that ‘</w:t>
            </w:r>
            <w:r w:rsidRPr="00830159">
              <w:rPr>
                <w:rFonts w:ascii="Garamond" w:hAnsi="Garamond"/>
                <w:lang w:val="en-AU"/>
              </w:rPr>
              <w:t xml:space="preserve">the most frequently observed incidents were </w:t>
            </w:r>
            <w:r w:rsidRPr="00830159">
              <w:rPr>
                <w:rFonts w:ascii="Garamond" w:hAnsi="Garamond"/>
                <w:b/>
                <w:bCs/>
                <w:lang w:val="en-AU"/>
              </w:rPr>
              <w:t>medication-</w:t>
            </w:r>
            <w:r w:rsidRPr="00830159">
              <w:rPr>
                <w:rFonts w:ascii="Garamond" w:hAnsi="Garamond"/>
                <w:lang w:val="en-AU"/>
              </w:rPr>
              <w:t>related (n</w:t>
            </w:r>
            <w:r w:rsidRPr="00830159">
              <w:rPr>
                <w:lang w:val="en-AU"/>
              </w:rPr>
              <w:t> </w:t>
            </w:r>
            <w:r w:rsidRPr="00830159">
              <w:rPr>
                <w:rFonts w:ascii="Garamond" w:hAnsi="Garamond"/>
                <w:lang w:val="en-AU"/>
              </w:rPr>
              <w:t>=</w:t>
            </w:r>
            <w:r w:rsidRPr="00830159">
              <w:rPr>
                <w:lang w:val="en-AU"/>
              </w:rPr>
              <w:t> </w:t>
            </w:r>
            <w:r w:rsidRPr="00830159">
              <w:rPr>
                <w:rFonts w:ascii="Garamond" w:hAnsi="Garamond"/>
                <w:lang w:val="en-AU"/>
              </w:rPr>
              <w:t xml:space="preserve">1167, 33%), specifically whilst </w:t>
            </w:r>
            <w:r w:rsidRPr="00830159">
              <w:rPr>
                <w:rFonts w:ascii="Garamond" w:hAnsi="Garamond"/>
                <w:b/>
                <w:bCs/>
                <w:lang w:val="en-AU"/>
              </w:rPr>
              <w:t>administering medications</w:t>
            </w:r>
            <w:r w:rsidRPr="00830159">
              <w:rPr>
                <w:rFonts w:ascii="Garamond" w:hAnsi="Garamond"/>
                <w:lang w:val="en-AU"/>
              </w:rPr>
              <w:t xml:space="preserve"> (n</w:t>
            </w:r>
            <w:r w:rsidRPr="00830159">
              <w:rPr>
                <w:lang w:val="en-AU"/>
              </w:rPr>
              <w:t> </w:t>
            </w:r>
            <w:r w:rsidRPr="00830159">
              <w:rPr>
                <w:rFonts w:ascii="Garamond" w:hAnsi="Garamond"/>
                <w:lang w:val="en-AU"/>
              </w:rPr>
              <w:t>=</w:t>
            </w:r>
            <w:r w:rsidRPr="00830159">
              <w:rPr>
                <w:lang w:val="en-AU"/>
              </w:rPr>
              <w:t> </w:t>
            </w:r>
            <w:r w:rsidRPr="00830159">
              <w:rPr>
                <w:rFonts w:ascii="Garamond" w:hAnsi="Garamond"/>
                <w:lang w:val="en-AU"/>
              </w:rPr>
              <w:t xml:space="preserve">626, 54%). Next, were </w:t>
            </w:r>
            <w:r w:rsidRPr="00830159">
              <w:rPr>
                <w:rFonts w:ascii="Garamond" w:hAnsi="Garamond"/>
                <w:b/>
                <w:bCs/>
                <w:lang w:val="en-AU"/>
              </w:rPr>
              <w:t>access-</w:t>
            </w:r>
            <w:r w:rsidRPr="00830159">
              <w:rPr>
                <w:rFonts w:ascii="Garamond" w:hAnsi="Garamond"/>
                <w:lang w:val="en-AU"/>
              </w:rPr>
              <w:t>related (n</w:t>
            </w:r>
            <w:r w:rsidRPr="00830159">
              <w:rPr>
                <w:lang w:val="en-AU"/>
              </w:rPr>
              <w:t> </w:t>
            </w:r>
            <w:r w:rsidRPr="00830159">
              <w:rPr>
                <w:rFonts w:ascii="Garamond" w:hAnsi="Garamond"/>
                <w:lang w:val="en-AU"/>
              </w:rPr>
              <w:t>=</w:t>
            </w:r>
            <w:r w:rsidRPr="00830159">
              <w:rPr>
                <w:lang w:val="en-AU"/>
              </w:rPr>
              <w:t> </w:t>
            </w:r>
            <w:r w:rsidRPr="00830159">
              <w:rPr>
                <w:rFonts w:ascii="Garamond" w:hAnsi="Garamond"/>
                <w:lang w:val="en-AU"/>
              </w:rPr>
              <w:t>559,15%), inclusive of delays in patients accessing healthcare professionals (n</w:t>
            </w:r>
            <w:r w:rsidRPr="00830159">
              <w:rPr>
                <w:lang w:val="en-AU"/>
              </w:rPr>
              <w:t> </w:t>
            </w:r>
            <w:r w:rsidRPr="00830159">
              <w:rPr>
                <w:rFonts w:ascii="Garamond" w:hAnsi="Garamond"/>
                <w:lang w:val="en-AU"/>
              </w:rPr>
              <w:t>=</w:t>
            </w:r>
            <w:r w:rsidRPr="00830159">
              <w:rPr>
                <w:lang w:val="en-AU"/>
              </w:rPr>
              <w:t> </w:t>
            </w:r>
            <w:r w:rsidRPr="00830159">
              <w:rPr>
                <w:rFonts w:ascii="Garamond" w:hAnsi="Garamond"/>
                <w:lang w:val="en-AU"/>
              </w:rPr>
              <w:t>236, 42%) and managing medical appointments (n</w:t>
            </w:r>
            <w:r w:rsidRPr="00830159">
              <w:rPr>
                <w:lang w:val="en-AU"/>
              </w:rPr>
              <w:t> </w:t>
            </w:r>
            <w:r w:rsidR="00F200BE" w:rsidRPr="00830159">
              <w:rPr>
                <w:rFonts w:ascii="Garamond" w:hAnsi="Garamond"/>
                <w:lang w:val="en-AU"/>
              </w:rPr>
              <w:t>=</w:t>
            </w:r>
            <w:r w:rsidR="00F200BE" w:rsidRPr="00830159">
              <w:rPr>
                <w:lang w:val="en-AU"/>
              </w:rPr>
              <w:t> </w:t>
            </w:r>
            <w:r w:rsidR="00F200BE" w:rsidRPr="00830159">
              <w:rPr>
                <w:rFonts w:ascii="Garamond" w:hAnsi="Garamond"/>
                <w:lang w:val="en-AU"/>
              </w:rPr>
              <w:t>171</w:t>
            </w:r>
            <w:r w:rsidRPr="00830159">
              <w:rPr>
                <w:rFonts w:ascii="Garamond" w:hAnsi="Garamond"/>
                <w:lang w:val="en-AU"/>
              </w:rPr>
              <w:t>, 31%)</w:t>
            </w:r>
            <w:r>
              <w:rPr>
                <w:rFonts w:ascii="Garamond" w:hAnsi="Garamond"/>
                <w:lang w:val="en-AU"/>
              </w:rPr>
              <w:t>.’ The authors conclude that their study ‘</w:t>
            </w:r>
            <w:r w:rsidRPr="00830159">
              <w:rPr>
                <w:rFonts w:ascii="Garamond" w:hAnsi="Garamond"/>
                <w:lang w:val="en-AU"/>
              </w:rPr>
              <w:t>highlights the importance of improving medication safety and access to healthcare services for prisoners.</w:t>
            </w:r>
            <w:r>
              <w:rPr>
                <w:rFonts w:ascii="Garamond" w:hAnsi="Garamond"/>
                <w:lang w:val="en-AU"/>
              </w:rPr>
              <w:t>’</w:t>
            </w:r>
          </w:p>
        </w:tc>
      </w:tr>
    </w:tbl>
    <w:p w14:paraId="0656E30A" w14:textId="77777777" w:rsidR="00B40C58" w:rsidRDefault="00B40C58" w:rsidP="00B40C58">
      <w:pPr>
        <w:keepLines/>
        <w:autoSpaceDE w:val="0"/>
        <w:autoSpaceDN w:val="0"/>
        <w:adjustRightInd w:val="0"/>
        <w:rPr>
          <w:rFonts w:ascii="Garamond" w:hAnsi="Garamond"/>
          <w:lang w:val="en-AU"/>
        </w:rPr>
      </w:pPr>
    </w:p>
    <w:p w14:paraId="4B04B6DE" w14:textId="77777777" w:rsidR="00DB668C" w:rsidRPr="00DB668C" w:rsidRDefault="00DB668C" w:rsidP="00DB668C">
      <w:pPr>
        <w:keepLines/>
        <w:autoSpaceDE w:val="0"/>
        <w:autoSpaceDN w:val="0"/>
        <w:adjustRightInd w:val="0"/>
        <w:rPr>
          <w:rFonts w:ascii="Garamond" w:hAnsi="Garamond"/>
          <w:i/>
          <w:iCs/>
          <w:lang w:val="en-AU"/>
        </w:rPr>
      </w:pPr>
      <w:r w:rsidRPr="00DB668C">
        <w:rPr>
          <w:rFonts w:ascii="Garamond" w:hAnsi="Garamond"/>
          <w:i/>
          <w:iCs/>
          <w:lang w:val="en-AU"/>
        </w:rPr>
        <w:t>Improving Low-Value Clinical Practices In Murcia: A Healthcare Management Area In Spain</w:t>
      </w:r>
    </w:p>
    <w:p w14:paraId="7DAD887D" w14:textId="77777777" w:rsidR="00DB668C" w:rsidRDefault="00DB668C" w:rsidP="00B40C58">
      <w:pPr>
        <w:keepLines/>
        <w:autoSpaceDE w:val="0"/>
        <w:autoSpaceDN w:val="0"/>
        <w:adjustRightInd w:val="0"/>
        <w:rPr>
          <w:rFonts w:ascii="Garamond" w:hAnsi="Garamond"/>
          <w:lang w:val="en-AU"/>
        </w:rPr>
      </w:pPr>
      <w:r w:rsidRPr="00DB668C">
        <w:rPr>
          <w:rFonts w:ascii="Garamond" w:hAnsi="Garamond"/>
          <w:lang w:val="en-AU"/>
        </w:rPr>
        <w:t>Lopez-Picazo JJ, Moreno AB, Vidal-Abarca I, López-Ibáñez M</w:t>
      </w:r>
    </w:p>
    <w:p w14:paraId="4E50B2BA" w14:textId="79143BC5" w:rsidR="00B40C58" w:rsidRDefault="00DB668C" w:rsidP="00B40C58">
      <w:pPr>
        <w:keepLines/>
        <w:autoSpaceDE w:val="0"/>
        <w:autoSpaceDN w:val="0"/>
        <w:adjustRightInd w:val="0"/>
        <w:rPr>
          <w:rFonts w:ascii="Garamond" w:hAnsi="Garamond"/>
          <w:lang w:val="en-AU"/>
        </w:rPr>
      </w:pPr>
      <w:r w:rsidRPr="00DB668C">
        <w:rPr>
          <w:rFonts w:ascii="Garamond" w:hAnsi="Garamond"/>
          <w:lang w:val="en-AU"/>
        </w:rPr>
        <w:t>International Journal for Quality in Health Care. 2023:mzad035.</w:t>
      </w:r>
    </w:p>
    <w:tbl>
      <w:tblPr>
        <w:tblStyle w:val="TableGrid"/>
        <w:tblW w:w="9360" w:type="dxa"/>
        <w:tblInd w:w="288" w:type="dxa"/>
        <w:tblLayout w:type="fixed"/>
        <w:tblLook w:val="01E0" w:firstRow="1" w:lastRow="1" w:firstColumn="1" w:lastColumn="1" w:noHBand="0" w:noVBand="0"/>
      </w:tblPr>
      <w:tblGrid>
        <w:gridCol w:w="1080"/>
        <w:gridCol w:w="8280"/>
      </w:tblGrid>
      <w:tr w:rsidR="00B40C58" w:rsidRPr="000170DA" w14:paraId="63027577" w14:textId="77777777" w:rsidTr="00D55037">
        <w:tc>
          <w:tcPr>
            <w:tcW w:w="1080" w:type="dxa"/>
            <w:tcBorders>
              <w:top w:val="single" w:sz="4" w:space="0" w:color="auto"/>
              <w:left w:val="single" w:sz="4" w:space="0" w:color="auto"/>
              <w:bottom w:val="single" w:sz="4" w:space="0" w:color="auto"/>
              <w:right w:val="single" w:sz="4" w:space="0" w:color="auto"/>
            </w:tcBorders>
            <w:vAlign w:val="center"/>
          </w:tcPr>
          <w:p w14:paraId="08E556FA" w14:textId="77777777" w:rsidR="00B40C58" w:rsidRPr="000170DA" w:rsidRDefault="00B40C58" w:rsidP="00D5503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1465A48" w14:textId="5FE77151" w:rsidR="00B40C58" w:rsidRPr="000170DA" w:rsidRDefault="00F9205C" w:rsidP="00D55037">
            <w:pPr>
              <w:keepNext/>
              <w:rPr>
                <w:rStyle w:val="Hyperlink"/>
                <w:rFonts w:ascii="Garamond" w:hAnsi="Garamond"/>
                <w:color w:val="auto"/>
                <w:u w:val="none"/>
                <w:lang w:val="en-AU"/>
              </w:rPr>
            </w:pPr>
            <w:hyperlink r:id="rId18" w:history="1">
              <w:r w:rsidR="00DB668C" w:rsidRPr="003D1DC2">
                <w:rPr>
                  <w:rStyle w:val="Hyperlink"/>
                  <w:rFonts w:ascii="Garamond" w:hAnsi="Garamond"/>
                  <w:lang w:val="en-AU"/>
                </w:rPr>
                <w:t>https://doi.org/10.1093/intqhc/mzad035</w:t>
              </w:r>
            </w:hyperlink>
          </w:p>
        </w:tc>
      </w:tr>
      <w:tr w:rsidR="00B40C58" w:rsidRPr="000170DA" w14:paraId="56C8B6D1" w14:textId="77777777" w:rsidTr="00D55037">
        <w:tc>
          <w:tcPr>
            <w:tcW w:w="1080" w:type="dxa"/>
            <w:tcBorders>
              <w:top w:val="single" w:sz="4" w:space="0" w:color="auto"/>
              <w:left w:val="single" w:sz="4" w:space="0" w:color="auto"/>
              <w:bottom w:val="single" w:sz="4" w:space="0" w:color="auto"/>
              <w:right w:val="single" w:sz="4" w:space="0" w:color="auto"/>
            </w:tcBorders>
            <w:vAlign w:val="center"/>
          </w:tcPr>
          <w:p w14:paraId="706132FD" w14:textId="77777777" w:rsidR="00B40C58" w:rsidRPr="000170DA" w:rsidRDefault="00B40C58" w:rsidP="00D5503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C47AE7" w14:textId="5EC89A1C" w:rsidR="00AC2782" w:rsidRDefault="00AC2782" w:rsidP="00E3727F">
            <w:pPr>
              <w:rPr>
                <w:rFonts w:ascii="Garamond" w:hAnsi="Garamond"/>
                <w:lang w:val="en-AU"/>
              </w:rPr>
            </w:pPr>
            <w:r>
              <w:rPr>
                <w:rFonts w:ascii="Garamond" w:hAnsi="Garamond"/>
                <w:lang w:val="en-AU"/>
              </w:rPr>
              <w:t xml:space="preserve">Paper reporting on an effort to reduce low value care in a Spanish health care organisation. Based on a ‘Do Not Do’ (DND) approach – a somewhat similar approach to other low value care initiatives such as Choosing Wisely. Using a list of DND recommendations developed for the Spanish context, the study sought to reduce ‘the prevalence of DND practices … </w:t>
            </w:r>
            <w:r w:rsidRPr="00AC2782">
              <w:rPr>
                <w:rFonts w:ascii="Garamond" w:hAnsi="Garamond"/>
                <w:lang w:val="en-AU"/>
              </w:rPr>
              <w:t>in a Spanish health management area of 264,579 inhabitants, 14 primary care teams and a 920-bed 3rd level reference hospital.</w:t>
            </w:r>
            <w:r>
              <w:rPr>
                <w:rFonts w:ascii="Garamond" w:hAnsi="Garamond"/>
                <w:lang w:val="en-AU"/>
              </w:rPr>
              <w:t xml:space="preserve">’ </w:t>
            </w:r>
            <w:r w:rsidR="00E3727F">
              <w:rPr>
                <w:rFonts w:ascii="Garamond" w:hAnsi="Garamond"/>
                <w:lang w:val="en-AU"/>
              </w:rPr>
              <w:t>The effort included the ‘the</w:t>
            </w:r>
            <w:r w:rsidR="00E3727F" w:rsidRPr="00E3727F">
              <w:rPr>
                <w:rFonts w:ascii="Garamond" w:hAnsi="Garamond"/>
                <w:lang w:val="en-AU"/>
              </w:rPr>
              <w:t xml:space="preserve"> measurement of a set of 25 valid and</w:t>
            </w:r>
            <w:r w:rsidR="00E3727F">
              <w:rPr>
                <w:rFonts w:ascii="Garamond" w:hAnsi="Garamond"/>
                <w:lang w:val="en-AU"/>
              </w:rPr>
              <w:t xml:space="preserve"> </w:t>
            </w:r>
            <w:r w:rsidR="00E3727F" w:rsidRPr="00E3727F">
              <w:rPr>
                <w:rFonts w:ascii="Garamond" w:hAnsi="Garamond"/>
                <w:lang w:val="en-AU"/>
              </w:rPr>
              <w:t>reliable indicators on DND prevalence</w:t>
            </w:r>
            <w:r w:rsidR="00E3727F">
              <w:rPr>
                <w:rFonts w:ascii="Garamond" w:hAnsi="Garamond"/>
                <w:lang w:val="en-AU"/>
              </w:rPr>
              <w:t>’ followed by a number of interventions, including:</w:t>
            </w:r>
          </w:p>
          <w:p w14:paraId="4F6CB287" w14:textId="57B18980" w:rsidR="00E3727F" w:rsidRDefault="00E3727F" w:rsidP="00E3727F">
            <w:pPr>
              <w:rPr>
                <w:rFonts w:ascii="Garamond" w:hAnsi="Garamond"/>
                <w:lang w:val="en-AU"/>
              </w:rPr>
            </w:pPr>
            <w:r>
              <w:rPr>
                <w:rFonts w:ascii="Garamond" w:hAnsi="Garamond"/>
                <w:lang w:val="en-AU"/>
              </w:rPr>
              <w:t>‘</w:t>
            </w:r>
            <w:r w:rsidRPr="00E3727F">
              <w:rPr>
                <w:rFonts w:ascii="Garamond" w:hAnsi="Garamond"/>
                <w:lang w:val="en-AU"/>
              </w:rPr>
              <w:t>(1) inclusion in the</w:t>
            </w:r>
            <w:r>
              <w:rPr>
                <w:rFonts w:ascii="Garamond" w:hAnsi="Garamond"/>
                <w:lang w:val="en-AU"/>
              </w:rPr>
              <w:t xml:space="preserve"> </w:t>
            </w:r>
            <w:r w:rsidRPr="00E3727F">
              <w:rPr>
                <w:rFonts w:ascii="Garamond" w:hAnsi="Garamond"/>
                <w:lang w:val="en-AU"/>
              </w:rPr>
              <w:t>annual objectives of the clinical units involved;</w:t>
            </w:r>
          </w:p>
          <w:p w14:paraId="2EE6A08D" w14:textId="77777777" w:rsidR="00E3727F" w:rsidRDefault="00E3727F" w:rsidP="00E3727F">
            <w:pPr>
              <w:rPr>
                <w:rFonts w:ascii="Garamond" w:hAnsi="Garamond"/>
                <w:lang w:val="en-AU"/>
              </w:rPr>
            </w:pPr>
            <w:r>
              <w:rPr>
                <w:rFonts w:ascii="Garamond" w:hAnsi="Garamond"/>
                <w:lang w:val="en-AU"/>
              </w:rPr>
              <w:t>(</w:t>
            </w:r>
            <w:r w:rsidRPr="00E3727F">
              <w:rPr>
                <w:rFonts w:ascii="Garamond" w:hAnsi="Garamond"/>
                <w:lang w:val="en-AU"/>
              </w:rPr>
              <w:t>2) discussion of results in a general</w:t>
            </w:r>
            <w:r>
              <w:rPr>
                <w:rFonts w:ascii="Garamond" w:hAnsi="Garamond"/>
                <w:lang w:val="en-AU"/>
              </w:rPr>
              <w:t xml:space="preserve"> </w:t>
            </w:r>
            <w:r w:rsidRPr="00E3727F">
              <w:rPr>
                <w:rFonts w:ascii="Garamond" w:hAnsi="Garamond"/>
                <w:lang w:val="en-AU"/>
              </w:rPr>
              <w:t xml:space="preserve">clinical session; </w:t>
            </w:r>
          </w:p>
          <w:p w14:paraId="77561812" w14:textId="77777777" w:rsidR="00E3727F" w:rsidRDefault="00E3727F" w:rsidP="00E3727F">
            <w:pPr>
              <w:rPr>
                <w:rFonts w:ascii="Garamond" w:hAnsi="Garamond"/>
                <w:lang w:val="en-AU"/>
              </w:rPr>
            </w:pPr>
            <w:r w:rsidRPr="00E3727F">
              <w:rPr>
                <w:rFonts w:ascii="Garamond" w:hAnsi="Garamond"/>
                <w:lang w:val="en-AU"/>
              </w:rPr>
              <w:t xml:space="preserve">(3) educational outreach visits to the clinical units involved; and </w:t>
            </w:r>
          </w:p>
          <w:p w14:paraId="4202E801" w14:textId="41D30349" w:rsidR="00E3727F" w:rsidRDefault="00E3727F" w:rsidP="00E3727F">
            <w:pPr>
              <w:rPr>
                <w:rFonts w:ascii="Garamond" w:hAnsi="Garamond"/>
                <w:lang w:val="en-AU"/>
              </w:rPr>
            </w:pPr>
            <w:r w:rsidRPr="00E3727F">
              <w:rPr>
                <w:rFonts w:ascii="Garamond" w:hAnsi="Garamond"/>
                <w:lang w:val="en-AU"/>
              </w:rPr>
              <w:t>(4)</w:t>
            </w:r>
            <w:r>
              <w:rPr>
                <w:rFonts w:ascii="Garamond" w:hAnsi="Garamond"/>
                <w:lang w:val="en-AU"/>
              </w:rPr>
              <w:t xml:space="preserve"> </w:t>
            </w:r>
            <w:r w:rsidRPr="00E3727F">
              <w:rPr>
                <w:rFonts w:ascii="Garamond" w:hAnsi="Garamond"/>
                <w:lang w:val="en-AU"/>
              </w:rPr>
              <w:t>detailed feedback reports</w:t>
            </w:r>
            <w:r>
              <w:rPr>
                <w:rFonts w:ascii="Garamond" w:hAnsi="Garamond"/>
                <w:lang w:val="en-AU"/>
              </w:rPr>
              <w:t>.’</w:t>
            </w:r>
          </w:p>
          <w:p w14:paraId="5BEE0F2A" w14:textId="64A61019" w:rsidR="00B40C58" w:rsidRPr="00D0490E" w:rsidRDefault="00AC2782" w:rsidP="00AC2782">
            <w:pPr>
              <w:rPr>
                <w:rFonts w:ascii="Garamond" w:hAnsi="Garamond"/>
                <w:lang w:val="en-AU"/>
              </w:rPr>
            </w:pPr>
            <w:r>
              <w:rPr>
                <w:rFonts w:ascii="Garamond" w:hAnsi="Garamond"/>
                <w:lang w:val="en-AU"/>
              </w:rPr>
              <w:t>The authors report ‘</w:t>
            </w:r>
            <w:r w:rsidRPr="00AC2782">
              <w:rPr>
                <w:rFonts w:ascii="Garamond" w:hAnsi="Garamond"/>
                <w:lang w:val="en-AU"/>
              </w:rPr>
              <w:t>. The results of this strategy were positive,</w:t>
            </w:r>
            <w:r>
              <w:rPr>
                <w:rFonts w:ascii="Garamond" w:hAnsi="Garamond"/>
                <w:lang w:val="en-AU"/>
              </w:rPr>
              <w:t xml:space="preserve"> </w:t>
            </w:r>
            <w:r w:rsidRPr="00AC2782">
              <w:rPr>
                <w:rFonts w:ascii="Garamond" w:hAnsi="Garamond"/>
                <w:lang w:val="en-AU"/>
              </w:rPr>
              <w:t>with 75% of the "do not do" practices showing improvement and the target prevalence</w:t>
            </w:r>
            <w:r>
              <w:rPr>
                <w:rFonts w:ascii="Garamond" w:hAnsi="Garamond"/>
                <w:lang w:val="en-AU"/>
              </w:rPr>
              <w:t xml:space="preserve"> </w:t>
            </w:r>
            <w:r w:rsidRPr="00AC2782">
              <w:rPr>
                <w:rFonts w:ascii="Garamond" w:hAnsi="Garamond"/>
                <w:lang w:val="en-AU"/>
              </w:rPr>
              <w:t>values (or lower) being achieved in over two-thirds of them.</w:t>
            </w:r>
            <w:r>
              <w:rPr>
                <w:rFonts w:ascii="Garamond" w:hAnsi="Garamond"/>
                <w:lang w:val="en-AU"/>
              </w:rPr>
              <w:t>’</w:t>
            </w:r>
          </w:p>
        </w:tc>
      </w:tr>
    </w:tbl>
    <w:p w14:paraId="6D1A53BA" w14:textId="77777777" w:rsidR="00B40C58" w:rsidRDefault="00B40C58" w:rsidP="00B40C58">
      <w:pPr>
        <w:keepLines/>
        <w:autoSpaceDE w:val="0"/>
        <w:autoSpaceDN w:val="0"/>
        <w:adjustRightInd w:val="0"/>
        <w:rPr>
          <w:rFonts w:ascii="Garamond" w:hAnsi="Garamond"/>
          <w:lang w:val="en-AU"/>
        </w:rPr>
      </w:pPr>
    </w:p>
    <w:p w14:paraId="260B04AD" w14:textId="77777777" w:rsidR="00B40C58" w:rsidRDefault="00B40C58" w:rsidP="00B40C58">
      <w:pPr>
        <w:keepLines/>
        <w:autoSpaceDE w:val="0"/>
        <w:autoSpaceDN w:val="0"/>
        <w:adjustRightInd w:val="0"/>
        <w:rPr>
          <w:rFonts w:ascii="Garamond" w:hAnsi="Garamond"/>
          <w:lang w:val="en-AU"/>
        </w:rPr>
      </w:pPr>
    </w:p>
    <w:p w14:paraId="212891C0" w14:textId="7CA440A5" w:rsidR="009932E9" w:rsidRDefault="00292E83" w:rsidP="009932E9">
      <w:pPr>
        <w:keepNext/>
        <w:keepLines/>
        <w:autoSpaceDE w:val="0"/>
        <w:autoSpaceDN w:val="0"/>
        <w:adjustRightInd w:val="0"/>
        <w:rPr>
          <w:rFonts w:ascii="Garamond" w:hAnsi="Garamond"/>
          <w:lang w:val="en-AU"/>
        </w:rPr>
      </w:pPr>
      <w:r>
        <w:rPr>
          <w:rFonts w:ascii="Garamond" w:hAnsi="Garamond"/>
          <w:i/>
          <w:iCs/>
          <w:lang w:val="en-AU"/>
        </w:rPr>
        <w:lastRenderedPageBreak/>
        <w:t xml:space="preserve">Australian </w:t>
      </w:r>
      <w:r w:rsidR="009932E9" w:rsidRPr="003B2C3B">
        <w:rPr>
          <w:rFonts w:ascii="Garamond" w:hAnsi="Garamond"/>
          <w:i/>
          <w:iCs/>
          <w:lang w:val="en-AU"/>
        </w:rPr>
        <w:t>Health</w:t>
      </w:r>
      <w:r>
        <w:rPr>
          <w:rFonts w:ascii="Garamond" w:hAnsi="Garamond"/>
          <w:i/>
          <w:iCs/>
          <w:lang w:val="en-AU"/>
        </w:rPr>
        <w:t xml:space="preserve"> Review</w:t>
      </w:r>
    </w:p>
    <w:p w14:paraId="2C6C2D1F" w14:textId="6F8E46A9" w:rsidR="009932E9" w:rsidRPr="006E6650" w:rsidRDefault="009932E9" w:rsidP="009932E9">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292E83">
        <w:rPr>
          <w:rFonts w:ascii="Garamond" w:hAnsi="Garamond"/>
          <w:lang w:val="en-AU"/>
        </w:rPr>
        <w:t>47</w:t>
      </w:r>
      <w:r w:rsidRPr="0051468F">
        <w:rPr>
          <w:rFonts w:ascii="Garamond" w:hAnsi="Garamond"/>
          <w:lang w:val="en-AU"/>
        </w:rPr>
        <w:t xml:space="preserve">, </w:t>
      </w:r>
      <w:r>
        <w:rPr>
          <w:rFonts w:ascii="Garamond" w:hAnsi="Garamond"/>
          <w:lang w:val="en-AU"/>
        </w:rPr>
        <w:t xml:space="preserve">Number </w:t>
      </w:r>
      <w:r w:rsidR="00292E83">
        <w:rPr>
          <w:rFonts w:ascii="Garamond" w:hAnsi="Garamond"/>
          <w:lang w:val="en-AU"/>
        </w:rPr>
        <w:t>3</w:t>
      </w:r>
      <w:r w:rsidRPr="0051468F">
        <w:rPr>
          <w:rFonts w:ascii="Garamond" w:hAnsi="Garamond"/>
          <w:lang w:val="en-AU"/>
        </w:rPr>
        <w:t xml:space="preserve">, </w:t>
      </w:r>
      <w:r w:rsidR="00292E83">
        <w:rPr>
          <w:rFonts w:ascii="Garamond" w:hAnsi="Garamond"/>
          <w:lang w:val="en-AU"/>
        </w:rPr>
        <w:t>June</w:t>
      </w:r>
      <w:r>
        <w:rPr>
          <w:rFonts w:ascii="Garamond" w:hAnsi="Garamond"/>
          <w:lang w:val="en-AU"/>
        </w:rPr>
        <w:t xml:space="preserve">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9932E9" w:rsidRPr="00E37911" w14:paraId="1B621D64"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4D0BC4D8" w14:textId="77777777" w:rsidR="009932E9" w:rsidRPr="00E37911" w:rsidRDefault="009932E9" w:rsidP="00620D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78B705A" w14:textId="1FFE7431" w:rsidR="009932E9" w:rsidRPr="00E37911" w:rsidRDefault="00F9205C" w:rsidP="00620DBA">
            <w:pPr>
              <w:rPr>
                <w:rStyle w:val="Hyperlink"/>
                <w:rFonts w:ascii="Garamond" w:hAnsi="Garamond"/>
                <w:color w:val="auto"/>
                <w:u w:val="none"/>
                <w:lang w:val="en-AU"/>
              </w:rPr>
            </w:pPr>
            <w:hyperlink r:id="rId19" w:history="1">
              <w:r w:rsidR="00292E83" w:rsidRPr="00910FAB">
                <w:rPr>
                  <w:rStyle w:val="Hyperlink"/>
                  <w:rFonts w:ascii="Garamond" w:hAnsi="Garamond"/>
                  <w:lang w:val="en-AU"/>
                </w:rPr>
                <w:t>https://www.publish.csiro.au/ah/issue/11458</w:t>
              </w:r>
            </w:hyperlink>
          </w:p>
        </w:tc>
      </w:tr>
      <w:tr w:rsidR="009932E9" w:rsidRPr="00E37911" w14:paraId="3F3D5B17"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1E0E4000" w14:textId="77777777" w:rsidR="009932E9" w:rsidRPr="00E37911" w:rsidRDefault="009932E9" w:rsidP="00620DB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3B9FC18" w14:textId="1A4FE3BF" w:rsidR="009932E9" w:rsidRPr="007C3778" w:rsidRDefault="009932E9" w:rsidP="00620DBA">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292E83">
              <w:rPr>
                <w:rFonts w:ascii="Garamond" w:hAnsi="Garamond"/>
                <w:i/>
                <w:iCs/>
                <w:lang w:val="en-AU"/>
              </w:rPr>
              <w:t xml:space="preserve">Australian </w:t>
            </w:r>
            <w:r w:rsidR="00292E83" w:rsidRPr="003B2C3B">
              <w:rPr>
                <w:rFonts w:ascii="Garamond" w:hAnsi="Garamond"/>
                <w:i/>
                <w:iCs/>
                <w:lang w:val="en-AU"/>
              </w:rPr>
              <w:t>Health</w:t>
            </w:r>
            <w:r w:rsidR="00292E83">
              <w:rPr>
                <w:rFonts w:ascii="Garamond" w:hAnsi="Garamond"/>
                <w:i/>
                <w:iCs/>
                <w:lang w:val="en-AU"/>
              </w:rPr>
              <w:t xml:space="preserve"> Review</w:t>
            </w:r>
            <w:r w:rsidR="00292E83" w:rsidRPr="00B440ED">
              <w:rPr>
                <w:rFonts w:ascii="Garamond" w:hAnsi="Garamond"/>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292E83">
              <w:rPr>
                <w:rFonts w:ascii="Garamond" w:hAnsi="Garamond"/>
                <w:i/>
                <w:iCs/>
                <w:lang w:val="en-AU"/>
              </w:rPr>
              <w:t xml:space="preserve">Australian </w:t>
            </w:r>
            <w:r w:rsidR="00292E83" w:rsidRPr="003B2C3B">
              <w:rPr>
                <w:rFonts w:ascii="Garamond" w:hAnsi="Garamond"/>
                <w:i/>
                <w:iCs/>
                <w:lang w:val="en-AU"/>
              </w:rPr>
              <w:t>Health</w:t>
            </w:r>
            <w:r w:rsidR="00292E83">
              <w:rPr>
                <w:rFonts w:ascii="Garamond" w:hAnsi="Garamond"/>
                <w:i/>
                <w:iCs/>
                <w:lang w:val="en-AU"/>
              </w:rPr>
              <w:t xml:space="preserve"> Review</w:t>
            </w:r>
            <w:r w:rsidR="00292E83" w:rsidRPr="00B440ED">
              <w:rPr>
                <w:rFonts w:ascii="Garamond" w:hAnsi="Garamond"/>
                <w:lang w:val="en-AU"/>
              </w:rPr>
              <w:t xml:space="preserve"> </w:t>
            </w:r>
            <w:r w:rsidRPr="00B440ED">
              <w:rPr>
                <w:rFonts w:ascii="Garamond" w:hAnsi="Garamond"/>
                <w:lang w:val="en-AU"/>
              </w:rPr>
              <w:t>include:</w:t>
            </w:r>
          </w:p>
          <w:p w14:paraId="3DCD5AC2" w14:textId="0A1F8C90" w:rsidR="00292E83" w:rsidRDefault="00292E83" w:rsidP="009D3BD4">
            <w:pPr>
              <w:pStyle w:val="ListParagraph"/>
              <w:numPr>
                <w:ilvl w:val="0"/>
                <w:numId w:val="19"/>
              </w:numPr>
              <w:rPr>
                <w:rFonts w:ascii="Garamond" w:hAnsi="Garamond"/>
                <w:lang w:val="en-AU"/>
              </w:rPr>
            </w:pPr>
            <w:r w:rsidRPr="00292E83">
              <w:rPr>
                <w:rFonts w:ascii="Garamond" w:hAnsi="Garamond"/>
                <w:lang w:val="en-AU"/>
              </w:rPr>
              <w:t xml:space="preserve">An organisational approach to improving </w:t>
            </w:r>
            <w:r w:rsidRPr="00292E83">
              <w:rPr>
                <w:rFonts w:ascii="Garamond" w:hAnsi="Garamond"/>
                <w:b/>
                <w:bCs/>
                <w:lang w:val="en-AU"/>
              </w:rPr>
              <w:t>diagnostic safety</w:t>
            </w:r>
            <w:r w:rsidRPr="00292E83">
              <w:rPr>
                <w:rFonts w:ascii="Garamond" w:hAnsi="Garamond"/>
                <w:lang w:val="en-AU"/>
              </w:rPr>
              <w:t xml:space="preserve"> (Ian A Scott and Carmel Crock</w:t>
            </w:r>
            <w:r>
              <w:rPr>
                <w:rFonts w:ascii="Garamond" w:hAnsi="Garamond"/>
                <w:lang w:val="en-AU"/>
              </w:rPr>
              <w:t>)</w:t>
            </w:r>
          </w:p>
          <w:p w14:paraId="3ABDF5B3" w14:textId="77777777" w:rsidR="00292E83" w:rsidRDefault="00292E83" w:rsidP="006F70EC">
            <w:pPr>
              <w:pStyle w:val="ListParagraph"/>
              <w:numPr>
                <w:ilvl w:val="0"/>
                <w:numId w:val="19"/>
              </w:numPr>
              <w:rPr>
                <w:rFonts w:ascii="Garamond" w:hAnsi="Garamond"/>
                <w:lang w:val="en-AU"/>
              </w:rPr>
            </w:pPr>
            <w:r w:rsidRPr="00292E83">
              <w:rPr>
                <w:rFonts w:ascii="Garamond" w:hAnsi="Garamond"/>
                <w:b/>
                <w:bCs/>
                <w:lang w:val="en-AU"/>
              </w:rPr>
              <w:t>Time to analgesia for musculoskeletal presentations in Tasmanian emergency departments</w:t>
            </w:r>
            <w:r w:rsidRPr="00292E83">
              <w:rPr>
                <w:rFonts w:ascii="Garamond" w:hAnsi="Garamond"/>
                <w:lang w:val="en-AU"/>
              </w:rPr>
              <w:t>: a case-controlled comparative observational study investigating the impact of advanced practice physiotherapists (David Jovic, Kirby Tuckerman, Claire Bergenroth and Viet Tran</w:t>
            </w:r>
            <w:r>
              <w:rPr>
                <w:rFonts w:ascii="Garamond" w:hAnsi="Garamond"/>
                <w:lang w:val="en-AU"/>
              </w:rPr>
              <w:t>)</w:t>
            </w:r>
          </w:p>
          <w:p w14:paraId="35B571AD" w14:textId="77777777" w:rsidR="00292E83" w:rsidRDefault="00292E83" w:rsidP="00E45EA7">
            <w:pPr>
              <w:pStyle w:val="ListParagraph"/>
              <w:numPr>
                <w:ilvl w:val="0"/>
                <w:numId w:val="19"/>
              </w:numPr>
              <w:rPr>
                <w:rFonts w:ascii="Garamond" w:hAnsi="Garamond"/>
                <w:lang w:val="en-AU"/>
              </w:rPr>
            </w:pPr>
            <w:r w:rsidRPr="00292E83">
              <w:rPr>
                <w:rFonts w:ascii="Garamond" w:hAnsi="Garamond"/>
                <w:lang w:val="en-AU"/>
              </w:rPr>
              <w:t xml:space="preserve">‘I thought they would do it on the spot’: </w:t>
            </w:r>
            <w:r w:rsidRPr="00292E83">
              <w:rPr>
                <w:rFonts w:ascii="Garamond" w:hAnsi="Garamond"/>
                <w:b/>
                <w:bCs/>
                <w:lang w:val="en-AU"/>
              </w:rPr>
              <w:t>why do people with non-traumatic musculoskeletal pain present to emergency departments?</w:t>
            </w:r>
            <w:r w:rsidRPr="00292E83">
              <w:rPr>
                <w:rFonts w:ascii="Garamond" w:hAnsi="Garamond"/>
                <w:lang w:val="en-AU"/>
              </w:rPr>
              <w:t xml:space="preserve"> (Grace French, Karen Richards, Robert Waller and Ivan Lin</w:t>
            </w:r>
            <w:r>
              <w:rPr>
                <w:rFonts w:ascii="Garamond" w:hAnsi="Garamond"/>
                <w:lang w:val="en-AU"/>
              </w:rPr>
              <w:t>)</w:t>
            </w:r>
          </w:p>
          <w:p w14:paraId="3D8E2510" w14:textId="55FA2238" w:rsidR="00292E83" w:rsidRDefault="00292E83" w:rsidP="000E265C">
            <w:pPr>
              <w:pStyle w:val="ListParagraph"/>
              <w:numPr>
                <w:ilvl w:val="0"/>
                <w:numId w:val="19"/>
              </w:numPr>
              <w:rPr>
                <w:rFonts w:ascii="Garamond" w:hAnsi="Garamond"/>
                <w:lang w:val="en-AU"/>
              </w:rPr>
            </w:pPr>
            <w:r w:rsidRPr="00292E83">
              <w:rPr>
                <w:rFonts w:ascii="Garamond" w:hAnsi="Garamond"/>
                <w:b/>
                <w:bCs/>
                <w:lang w:val="en-AU"/>
              </w:rPr>
              <w:t>Risk of hospital admission or emergency department presentation due to diabetes complications</w:t>
            </w:r>
            <w:r w:rsidRPr="00292E83">
              <w:rPr>
                <w:rFonts w:ascii="Garamond" w:hAnsi="Garamond"/>
                <w:lang w:val="en-AU"/>
              </w:rPr>
              <w:t>: a retrospective cohort study in Tasmania, Australia (Ngan T T Dinh, Barbara de Graaff, Julie A Campbell, Matthew D Jose, John Burgess, Timothy Saunder, Alex Kitsos, P Otahal and A J Palmer</w:t>
            </w:r>
            <w:r>
              <w:rPr>
                <w:rFonts w:ascii="Garamond" w:hAnsi="Garamond"/>
                <w:lang w:val="en-AU"/>
              </w:rPr>
              <w:t>)</w:t>
            </w:r>
          </w:p>
          <w:p w14:paraId="5DEAC2DB" w14:textId="77777777" w:rsidR="00292E83" w:rsidRDefault="00292E83" w:rsidP="00213A3F">
            <w:pPr>
              <w:pStyle w:val="ListParagraph"/>
              <w:numPr>
                <w:ilvl w:val="0"/>
                <w:numId w:val="19"/>
              </w:numPr>
              <w:rPr>
                <w:rFonts w:ascii="Garamond" w:hAnsi="Garamond"/>
                <w:lang w:val="en-AU"/>
              </w:rPr>
            </w:pPr>
            <w:r w:rsidRPr="00292E83">
              <w:rPr>
                <w:rFonts w:ascii="Garamond" w:hAnsi="Garamond"/>
                <w:lang w:val="en-AU"/>
              </w:rPr>
              <w:t xml:space="preserve">Do </w:t>
            </w:r>
            <w:r w:rsidRPr="00292E83">
              <w:rPr>
                <w:rFonts w:ascii="Garamond" w:hAnsi="Garamond"/>
                <w:b/>
                <w:bCs/>
                <w:lang w:val="en-AU"/>
              </w:rPr>
              <w:t>Australian state and territory cancer plans</w:t>
            </w:r>
            <w:r w:rsidRPr="00292E83">
              <w:rPr>
                <w:rFonts w:ascii="Garamond" w:hAnsi="Garamond"/>
                <w:lang w:val="en-AU"/>
              </w:rPr>
              <w:t xml:space="preserve"> include survivorship-related objectives and propose quality survivorship outcomes and measures? (Megan Petrie, Helana Kelly and Michael Jefford</w:t>
            </w:r>
            <w:r>
              <w:rPr>
                <w:rFonts w:ascii="Garamond" w:hAnsi="Garamond"/>
                <w:lang w:val="en-AU"/>
              </w:rPr>
              <w:t>)</w:t>
            </w:r>
          </w:p>
          <w:p w14:paraId="6AFA981E" w14:textId="77777777" w:rsidR="00292E83" w:rsidRDefault="00292E83" w:rsidP="00A94339">
            <w:pPr>
              <w:pStyle w:val="ListParagraph"/>
              <w:numPr>
                <w:ilvl w:val="0"/>
                <w:numId w:val="19"/>
              </w:numPr>
              <w:rPr>
                <w:rFonts w:ascii="Garamond" w:hAnsi="Garamond"/>
                <w:lang w:val="en-AU"/>
              </w:rPr>
            </w:pPr>
            <w:r w:rsidRPr="00292E83">
              <w:rPr>
                <w:rFonts w:ascii="Garamond" w:hAnsi="Garamond"/>
                <w:lang w:val="en-AU"/>
              </w:rPr>
              <w:t xml:space="preserve">Higher fees and out-of-pocket costs in </w:t>
            </w:r>
            <w:r w:rsidRPr="00292E83">
              <w:rPr>
                <w:rFonts w:ascii="Garamond" w:hAnsi="Garamond"/>
                <w:b/>
                <w:bCs/>
                <w:lang w:val="en-AU"/>
              </w:rPr>
              <w:t>radiotherapy</w:t>
            </w:r>
            <w:r w:rsidRPr="00292E83">
              <w:rPr>
                <w:rFonts w:ascii="Garamond" w:hAnsi="Garamond"/>
                <w:lang w:val="en-AU"/>
              </w:rPr>
              <w:t xml:space="preserve"> point to a need for </w:t>
            </w:r>
            <w:r w:rsidRPr="00292E83">
              <w:rPr>
                <w:rFonts w:ascii="Garamond" w:hAnsi="Garamond"/>
                <w:b/>
                <w:bCs/>
                <w:lang w:val="en-AU"/>
              </w:rPr>
              <w:t>funding reform</w:t>
            </w:r>
            <w:r w:rsidRPr="00292E83">
              <w:rPr>
                <w:rFonts w:ascii="Garamond" w:hAnsi="Garamond"/>
                <w:lang w:val="en-AU"/>
              </w:rPr>
              <w:t xml:space="preserve"> (Kees van Gool, Jane Hall, Philip Haywood, Dan Liu, Serena Yu, Samuel B. G. Webster, Bahare Moradi and Sanchia Aranda</w:t>
            </w:r>
            <w:r>
              <w:rPr>
                <w:rFonts w:ascii="Garamond" w:hAnsi="Garamond"/>
                <w:lang w:val="en-AU"/>
              </w:rPr>
              <w:t>)</w:t>
            </w:r>
          </w:p>
          <w:p w14:paraId="2677388B" w14:textId="77777777" w:rsidR="00292E83" w:rsidRDefault="00292E83" w:rsidP="009E1A52">
            <w:pPr>
              <w:pStyle w:val="ListParagraph"/>
              <w:numPr>
                <w:ilvl w:val="0"/>
                <w:numId w:val="19"/>
              </w:numPr>
              <w:rPr>
                <w:rFonts w:ascii="Garamond" w:hAnsi="Garamond"/>
                <w:lang w:val="en-AU"/>
              </w:rPr>
            </w:pPr>
            <w:r w:rsidRPr="00292E83">
              <w:rPr>
                <w:rFonts w:ascii="Garamond" w:hAnsi="Garamond"/>
                <w:lang w:val="en-AU"/>
              </w:rPr>
              <w:t xml:space="preserve">Effects of the Child Dental Benefits Schedule on </w:t>
            </w:r>
            <w:r w:rsidRPr="00292E83">
              <w:rPr>
                <w:rFonts w:ascii="Garamond" w:hAnsi="Garamond"/>
                <w:b/>
                <w:bCs/>
                <w:lang w:val="en-AU"/>
              </w:rPr>
              <w:t>dental hospitalisation rates in Australian children</w:t>
            </w:r>
            <w:r w:rsidRPr="00292E83">
              <w:rPr>
                <w:rFonts w:ascii="Garamond" w:hAnsi="Garamond"/>
                <w:lang w:val="en-AU"/>
              </w:rPr>
              <w:t xml:space="preserve"> (Parmis Aminian, Estie Kruger and Marc Tennant</w:t>
            </w:r>
            <w:r>
              <w:rPr>
                <w:rFonts w:ascii="Garamond" w:hAnsi="Garamond"/>
                <w:lang w:val="en-AU"/>
              </w:rPr>
              <w:t>)</w:t>
            </w:r>
          </w:p>
          <w:p w14:paraId="63A6F506" w14:textId="77777777" w:rsidR="00292E83" w:rsidRDefault="00292E83" w:rsidP="00512823">
            <w:pPr>
              <w:pStyle w:val="ListParagraph"/>
              <w:numPr>
                <w:ilvl w:val="0"/>
                <w:numId w:val="19"/>
              </w:numPr>
              <w:rPr>
                <w:rFonts w:ascii="Garamond" w:hAnsi="Garamond"/>
                <w:lang w:val="en-AU"/>
              </w:rPr>
            </w:pPr>
            <w:r w:rsidRPr="00292E83">
              <w:rPr>
                <w:rFonts w:ascii="Garamond" w:hAnsi="Garamond"/>
                <w:lang w:val="en-AU"/>
              </w:rPr>
              <w:t xml:space="preserve">Physicians’ legal duty to disclose more cost-effective treatment options: an examination of Australian civil law applied to </w:t>
            </w:r>
            <w:r w:rsidRPr="00292E83">
              <w:rPr>
                <w:rFonts w:ascii="Garamond" w:hAnsi="Garamond"/>
                <w:b/>
                <w:bCs/>
                <w:lang w:val="en-AU"/>
              </w:rPr>
              <w:t>personal importation</w:t>
            </w:r>
            <w:r w:rsidRPr="00292E83">
              <w:rPr>
                <w:rFonts w:ascii="Garamond" w:hAnsi="Garamond"/>
                <w:lang w:val="en-AU"/>
              </w:rPr>
              <w:t xml:space="preserve"> (Narcyz Ghinea</w:t>
            </w:r>
            <w:r>
              <w:rPr>
                <w:rFonts w:ascii="Garamond" w:hAnsi="Garamond"/>
                <w:lang w:val="en-AU"/>
              </w:rPr>
              <w:t>)</w:t>
            </w:r>
          </w:p>
          <w:p w14:paraId="667180C1" w14:textId="77777777" w:rsidR="00292E83" w:rsidRDefault="00292E83" w:rsidP="00511A02">
            <w:pPr>
              <w:pStyle w:val="ListParagraph"/>
              <w:numPr>
                <w:ilvl w:val="0"/>
                <w:numId w:val="19"/>
              </w:numPr>
              <w:rPr>
                <w:rFonts w:ascii="Garamond" w:hAnsi="Garamond"/>
                <w:lang w:val="en-AU"/>
              </w:rPr>
            </w:pPr>
            <w:r w:rsidRPr="00292E83">
              <w:rPr>
                <w:rFonts w:ascii="Garamond" w:hAnsi="Garamond"/>
                <w:lang w:val="en-AU"/>
              </w:rPr>
              <w:t xml:space="preserve">Health-related outcomes of a facility-based </w:t>
            </w:r>
            <w:r w:rsidRPr="00292E83">
              <w:rPr>
                <w:rFonts w:ascii="Garamond" w:hAnsi="Garamond"/>
                <w:b/>
                <w:bCs/>
                <w:lang w:val="en-AU"/>
              </w:rPr>
              <w:t>transition care program for older adults</w:t>
            </w:r>
            <w:r w:rsidRPr="00292E83">
              <w:rPr>
                <w:rFonts w:ascii="Garamond" w:hAnsi="Garamond"/>
                <w:lang w:val="en-AU"/>
              </w:rPr>
              <w:t>: a prospective cohort study (Jo-Aine Hang, Jacqueline Francis-Coad, Angela Jacques, Nicholas Waldron, Kate Purslowe and Anne-Marie Hill</w:t>
            </w:r>
            <w:r>
              <w:rPr>
                <w:rFonts w:ascii="Garamond" w:hAnsi="Garamond"/>
                <w:lang w:val="en-AU"/>
              </w:rPr>
              <w:t>)</w:t>
            </w:r>
          </w:p>
          <w:p w14:paraId="2EF63099" w14:textId="77777777" w:rsidR="00292E83" w:rsidRDefault="00292E83" w:rsidP="00AC4984">
            <w:pPr>
              <w:pStyle w:val="ListParagraph"/>
              <w:numPr>
                <w:ilvl w:val="0"/>
                <w:numId w:val="19"/>
              </w:numPr>
              <w:rPr>
                <w:rFonts w:ascii="Garamond" w:hAnsi="Garamond"/>
                <w:lang w:val="en-AU"/>
              </w:rPr>
            </w:pPr>
            <w:r w:rsidRPr="00292E83">
              <w:rPr>
                <w:rFonts w:ascii="Garamond" w:hAnsi="Garamond"/>
                <w:lang w:val="en-AU"/>
              </w:rPr>
              <w:t xml:space="preserve">In Australian hospitals and residential aged care facilities, how do we </w:t>
            </w:r>
            <w:r w:rsidRPr="00292E83">
              <w:rPr>
                <w:rFonts w:ascii="Garamond" w:hAnsi="Garamond"/>
                <w:b/>
                <w:bCs/>
                <w:lang w:val="en-AU"/>
              </w:rPr>
              <w:t>train nursing and direct care staff to assist patients and residents to move</w:t>
            </w:r>
            <w:r w:rsidRPr="00292E83">
              <w:rPr>
                <w:rFonts w:ascii="Garamond" w:hAnsi="Garamond"/>
                <w:lang w:val="en-AU"/>
              </w:rPr>
              <w:t>? A national survey (Natasha Brusco, Terry Haines, Nicholas F Taylor, Helen Rawson, Leanne Boyd, Christina Ekegren, Helen Kugler, Helen Dawes, Camilla Radia-George, Christine Graven and Keith Hill</w:t>
            </w:r>
            <w:r>
              <w:rPr>
                <w:rFonts w:ascii="Garamond" w:hAnsi="Garamond"/>
                <w:lang w:val="en-AU"/>
              </w:rPr>
              <w:t>)</w:t>
            </w:r>
          </w:p>
          <w:p w14:paraId="4FE014FD" w14:textId="77777777" w:rsidR="00292E83" w:rsidRDefault="00292E83" w:rsidP="002C276F">
            <w:pPr>
              <w:pStyle w:val="ListParagraph"/>
              <w:numPr>
                <w:ilvl w:val="0"/>
                <w:numId w:val="19"/>
              </w:numPr>
              <w:rPr>
                <w:rFonts w:ascii="Garamond" w:hAnsi="Garamond"/>
                <w:lang w:val="en-AU"/>
              </w:rPr>
            </w:pPr>
            <w:r w:rsidRPr="00292E83">
              <w:rPr>
                <w:rFonts w:ascii="Garamond" w:hAnsi="Garamond"/>
                <w:lang w:val="en-AU"/>
              </w:rPr>
              <w:t xml:space="preserve">Client and staff perspectives regarding </w:t>
            </w:r>
            <w:r w:rsidRPr="00292E83">
              <w:rPr>
                <w:rFonts w:ascii="Garamond" w:hAnsi="Garamond"/>
                <w:b/>
                <w:bCs/>
                <w:lang w:val="en-AU"/>
              </w:rPr>
              <w:t>effective work injury rehabilitation</w:t>
            </w:r>
            <w:r w:rsidRPr="00292E83">
              <w:rPr>
                <w:rFonts w:ascii="Garamond" w:hAnsi="Garamond"/>
                <w:lang w:val="en-AU"/>
              </w:rPr>
              <w:t xml:space="preserve"> (Diana Dorstyn, Melissa Oxlad, Sharni Whitburn, Boris Fedoric, Rachel Roberts and Anna Chur-Hansen</w:t>
            </w:r>
            <w:r>
              <w:rPr>
                <w:rFonts w:ascii="Garamond" w:hAnsi="Garamond"/>
                <w:lang w:val="en-AU"/>
              </w:rPr>
              <w:t>)</w:t>
            </w:r>
          </w:p>
          <w:p w14:paraId="3C4BE243" w14:textId="4633FD6E" w:rsidR="00292E83" w:rsidRDefault="00292E83" w:rsidP="004C0C14">
            <w:pPr>
              <w:pStyle w:val="ListParagraph"/>
              <w:numPr>
                <w:ilvl w:val="0"/>
                <w:numId w:val="19"/>
              </w:numPr>
              <w:rPr>
                <w:rFonts w:ascii="Garamond" w:hAnsi="Garamond"/>
                <w:lang w:val="en-AU"/>
              </w:rPr>
            </w:pPr>
            <w:r w:rsidRPr="00292E83">
              <w:rPr>
                <w:rFonts w:ascii="Garamond" w:hAnsi="Garamond"/>
                <w:lang w:val="en-AU"/>
              </w:rPr>
              <w:t xml:space="preserve">Optimising </w:t>
            </w:r>
            <w:r w:rsidRPr="00292E83">
              <w:rPr>
                <w:rFonts w:ascii="Garamond" w:hAnsi="Garamond"/>
                <w:b/>
                <w:bCs/>
                <w:lang w:val="en-AU"/>
              </w:rPr>
              <w:t>rostering patterns for Australian junior doctors</w:t>
            </w:r>
            <w:r w:rsidRPr="00292E83">
              <w:rPr>
                <w:rFonts w:ascii="Garamond" w:hAnsi="Garamond"/>
                <w:lang w:val="en-AU"/>
              </w:rPr>
              <w:t xml:space="preserve"> (Calvin M Fletcher and Laila L Rotstein</w:t>
            </w:r>
            <w:r>
              <w:rPr>
                <w:rFonts w:ascii="Garamond" w:hAnsi="Garamond"/>
                <w:lang w:val="en-AU"/>
              </w:rPr>
              <w:t>)</w:t>
            </w:r>
          </w:p>
          <w:p w14:paraId="3A5D3E19" w14:textId="77777777" w:rsidR="00292E83" w:rsidRDefault="00292E83" w:rsidP="0082276D">
            <w:pPr>
              <w:pStyle w:val="ListParagraph"/>
              <w:numPr>
                <w:ilvl w:val="0"/>
                <w:numId w:val="19"/>
              </w:numPr>
              <w:rPr>
                <w:rFonts w:ascii="Garamond" w:hAnsi="Garamond"/>
                <w:lang w:val="en-AU"/>
              </w:rPr>
            </w:pPr>
            <w:r w:rsidRPr="00292E83">
              <w:rPr>
                <w:rFonts w:ascii="Garamond" w:hAnsi="Garamond"/>
                <w:lang w:val="en-AU"/>
              </w:rPr>
              <w:t xml:space="preserve">Experiences of peer messengers as part of a professional accountability culture change program to reduce </w:t>
            </w:r>
            <w:r w:rsidRPr="00292E83">
              <w:rPr>
                <w:rFonts w:ascii="Garamond" w:hAnsi="Garamond"/>
                <w:b/>
                <w:bCs/>
                <w:lang w:val="en-AU"/>
              </w:rPr>
              <w:t>unprofessional behaviour</w:t>
            </w:r>
            <w:r w:rsidRPr="00292E83">
              <w:rPr>
                <w:rFonts w:ascii="Garamond" w:hAnsi="Garamond"/>
                <w:lang w:val="en-AU"/>
              </w:rPr>
              <w:t>: a cross-sectional study across eight hospitals (Ryan D McMullan, Rachel Urwin, Neroli Sunderland, Kate Churruca, Neil Cunningham and Johanna Westbrook</w:t>
            </w:r>
            <w:r>
              <w:rPr>
                <w:rFonts w:ascii="Garamond" w:hAnsi="Garamond"/>
                <w:lang w:val="en-AU"/>
              </w:rPr>
              <w:t>)</w:t>
            </w:r>
          </w:p>
          <w:p w14:paraId="7BFA69D7" w14:textId="77777777" w:rsidR="00292E83" w:rsidRDefault="00292E83" w:rsidP="00A3008C">
            <w:pPr>
              <w:pStyle w:val="ListParagraph"/>
              <w:numPr>
                <w:ilvl w:val="0"/>
                <w:numId w:val="19"/>
              </w:numPr>
              <w:rPr>
                <w:rFonts w:ascii="Garamond" w:hAnsi="Garamond"/>
                <w:lang w:val="en-AU"/>
              </w:rPr>
            </w:pPr>
            <w:r w:rsidRPr="00292E83">
              <w:rPr>
                <w:rFonts w:ascii="Garamond" w:hAnsi="Garamond"/>
                <w:b/>
                <w:bCs/>
                <w:lang w:val="en-AU"/>
              </w:rPr>
              <w:t>Nurse job task analysis</w:t>
            </w:r>
            <w:r w:rsidRPr="00292E83">
              <w:rPr>
                <w:rFonts w:ascii="Garamond" w:hAnsi="Garamond"/>
                <w:lang w:val="en-AU"/>
              </w:rPr>
              <w:t>: a profile of medical and surgical nursing activities (Julie Considine, Olumuyiwa Omonaiye, Jordana Schlieff and Leanne Boyd</w:t>
            </w:r>
            <w:r>
              <w:rPr>
                <w:rFonts w:ascii="Garamond" w:hAnsi="Garamond"/>
                <w:lang w:val="en-AU"/>
              </w:rPr>
              <w:t>)</w:t>
            </w:r>
          </w:p>
          <w:p w14:paraId="7485639C" w14:textId="2F8D9232" w:rsidR="00292E83" w:rsidRDefault="00292E83" w:rsidP="00675D6D">
            <w:pPr>
              <w:pStyle w:val="ListParagraph"/>
              <w:numPr>
                <w:ilvl w:val="0"/>
                <w:numId w:val="19"/>
              </w:numPr>
              <w:rPr>
                <w:rFonts w:ascii="Garamond" w:hAnsi="Garamond"/>
                <w:lang w:val="en-AU"/>
              </w:rPr>
            </w:pPr>
            <w:r w:rsidRPr="00292E83">
              <w:rPr>
                <w:rFonts w:ascii="Garamond" w:hAnsi="Garamond"/>
                <w:lang w:val="en-AU"/>
              </w:rPr>
              <w:lastRenderedPageBreak/>
              <w:t xml:space="preserve">Projecting the future: modelling </w:t>
            </w:r>
            <w:r w:rsidRPr="00292E83">
              <w:rPr>
                <w:rFonts w:ascii="Garamond" w:hAnsi="Garamond"/>
                <w:b/>
                <w:bCs/>
                <w:lang w:val="en-AU"/>
              </w:rPr>
              <w:t>Australian dialysis prevalence</w:t>
            </w:r>
            <w:r w:rsidRPr="00292E83">
              <w:rPr>
                <w:rFonts w:ascii="Garamond" w:hAnsi="Garamond"/>
                <w:lang w:val="en-AU"/>
              </w:rPr>
              <w:t xml:space="preserve"> 2021–30 (Dominic Keuskamp, Christopher E Davies, Georgina L Irish, Shilpanjali Jesudason and Stephen P McDonald</w:t>
            </w:r>
            <w:r>
              <w:rPr>
                <w:rFonts w:ascii="Garamond" w:hAnsi="Garamond"/>
                <w:lang w:val="en-AU"/>
              </w:rPr>
              <w:t>)</w:t>
            </w:r>
          </w:p>
          <w:p w14:paraId="2494EE5F" w14:textId="00896791" w:rsidR="00292E83" w:rsidRDefault="00292E83" w:rsidP="00CC07C9">
            <w:pPr>
              <w:pStyle w:val="ListParagraph"/>
              <w:numPr>
                <w:ilvl w:val="0"/>
                <w:numId w:val="19"/>
              </w:numPr>
              <w:rPr>
                <w:rFonts w:ascii="Garamond" w:hAnsi="Garamond"/>
                <w:lang w:val="en-AU"/>
              </w:rPr>
            </w:pPr>
            <w:r w:rsidRPr="00292E83">
              <w:rPr>
                <w:rFonts w:ascii="Garamond" w:hAnsi="Garamond"/>
                <w:lang w:val="en-AU"/>
              </w:rPr>
              <w:t xml:space="preserve">Identifying opportunities to optimise the </w:t>
            </w:r>
            <w:r w:rsidRPr="00292E83">
              <w:rPr>
                <w:rFonts w:ascii="Garamond" w:hAnsi="Garamond"/>
                <w:b/>
                <w:bCs/>
                <w:lang w:val="en-AU"/>
              </w:rPr>
              <w:t>electronic medical record for allied health professionals</w:t>
            </w:r>
            <w:r w:rsidRPr="00292E83">
              <w:rPr>
                <w:rFonts w:ascii="Garamond" w:hAnsi="Garamond"/>
                <w:lang w:val="en-AU"/>
              </w:rPr>
              <w:t>: a concept mapping study (Maria Schwarz, Elizabeth C Ward, Anne Coccetti, Joshua Simmons, Sara Burrett, Philip Juffs, Kristy Perkins and Jasmine Foley</w:t>
            </w:r>
            <w:r>
              <w:rPr>
                <w:rFonts w:ascii="Garamond" w:hAnsi="Garamond"/>
                <w:lang w:val="en-AU"/>
              </w:rPr>
              <w:t>)</w:t>
            </w:r>
          </w:p>
          <w:p w14:paraId="36F6AE8A" w14:textId="77777777" w:rsidR="00292E83" w:rsidRDefault="00292E83" w:rsidP="00936207">
            <w:pPr>
              <w:pStyle w:val="ListParagraph"/>
              <w:numPr>
                <w:ilvl w:val="0"/>
                <w:numId w:val="19"/>
              </w:numPr>
              <w:rPr>
                <w:rFonts w:ascii="Garamond" w:hAnsi="Garamond"/>
                <w:lang w:val="en-AU"/>
              </w:rPr>
            </w:pPr>
            <w:r w:rsidRPr="00292E83">
              <w:rPr>
                <w:rFonts w:ascii="Garamond" w:hAnsi="Garamond"/>
                <w:lang w:val="en-AU"/>
              </w:rPr>
              <w:t xml:space="preserve">Geospatial </w:t>
            </w:r>
            <w:r w:rsidRPr="00292E83">
              <w:rPr>
                <w:rFonts w:ascii="Garamond" w:hAnsi="Garamond"/>
                <w:b/>
                <w:bCs/>
                <w:lang w:val="en-AU"/>
              </w:rPr>
              <w:t>distribution of</w:t>
            </w:r>
            <w:r w:rsidRPr="00292E83">
              <w:rPr>
                <w:rFonts w:ascii="Garamond" w:hAnsi="Garamond"/>
                <w:lang w:val="en-AU"/>
              </w:rPr>
              <w:t xml:space="preserve"> </w:t>
            </w:r>
            <w:r w:rsidRPr="00292E83">
              <w:rPr>
                <w:rFonts w:ascii="Garamond" w:hAnsi="Garamond"/>
                <w:b/>
                <w:bCs/>
                <w:lang w:val="en-AU"/>
              </w:rPr>
              <w:t>tertiary hospitals across Australian cities</w:t>
            </w:r>
            <w:r w:rsidRPr="00292E83">
              <w:rPr>
                <w:rFonts w:ascii="Garamond" w:hAnsi="Garamond"/>
                <w:lang w:val="en-AU"/>
              </w:rPr>
              <w:t xml:space="preserve"> (Mazen Baazeem, Estie Kruger and Marc Tennant</w:t>
            </w:r>
            <w:r>
              <w:rPr>
                <w:rFonts w:ascii="Garamond" w:hAnsi="Garamond"/>
                <w:lang w:val="en-AU"/>
              </w:rPr>
              <w:t>)</w:t>
            </w:r>
          </w:p>
          <w:p w14:paraId="0057DDF5" w14:textId="77777777" w:rsidR="00292E83" w:rsidRDefault="00292E83" w:rsidP="004C7FD1">
            <w:pPr>
              <w:pStyle w:val="ListParagraph"/>
              <w:numPr>
                <w:ilvl w:val="0"/>
                <w:numId w:val="19"/>
              </w:numPr>
              <w:rPr>
                <w:rFonts w:ascii="Garamond" w:hAnsi="Garamond"/>
                <w:lang w:val="en-AU"/>
              </w:rPr>
            </w:pPr>
            <w:r w:rsidRPr="00292E83">
              <w:rPr>
                <w:rFonts w:ascii="Garamond" w:hAnsi="Garamond"/>
                <w:lang w:val="en-AU"/>
              </w:rPr>
              <w:t xml:space="preserve">Prevalence of </w:t>
            </w:r>
            <w:r w:rsidRPr="00292E83">
              <w:rPr>
                <w:rFonts w:ascii="Garamond" w:hAnsi="Garamond"/>
                <w:b/>
                <w:bCs/>
                <w:lang w:val="en-AU"/>
              </w:rPr>
              <w:t>Patient Vigilance System management plans</w:t>
            </w:r>
            <w:r w:rsidRPr="00292E83">
              <w:rPr>
                <w:rFonts w:ascii="Garamond" w:hAnsi="Garamond"/>
                <w:lang w:val="en-AU"/>
              </w:rPr>
              <w:t xml:space="preserve"> before and after rapid response system calls (Cindy Chau, Winston Cheung, Vineta Sahai, Kirrilee Phillips, Michelle Waite, Rodney Jacobs and Lawrence Mead</w:t>
            </w:r>
            <w:r>
              <w:rPr>
                <w:rFonts w:ascii="Garamond" w:hAnsi="Garamond"/>
                <w:lang w:val="en-AU"/>
              </w:rPr>
              <w:t>)</w:t>
            </w:r>
          </w:p>
          <w:p w14:paraId="3108F21F" w14:textId="1CA8B1C0" w:rsidR="009932E9" w:rsidRPr="00546F5E" w:rsidRDefault="00292E83" w:rsidP="00292E83">
            <w:pPr>
              <w:pStyle w:val="ListParagraph"/>
              <w:numPr>
                <w:ilvl w:val="0"/>
                <w:numId w:val="19"/>
              </w:numPr>
              <w:rPr>
                <w:rFonts w:ascii="Garamond" w:hAnsi="Garamond"/>
                <w:lang w:val="en-AU"/>
              </w:rPr>
            </w:pPr>
            <w:r w:rsidRPr="00292E83">
              <w:rPr>
                <w:rFonts w:ascii="Garamond" w:hAnsi="Garamond"/>
                <w:lang w:val="en-AU"/>
              </w:rPr>
              <w:t xml:space="preserve">Response to Raymond et al. </w:t>
            </w:r>
            <w:r w:rsidRPr="00292E83">
              <w:rPr>
                <w:rFonts w:ascii="Garamond" w:hAnsi="Garamond"/>
                <w:b/>
                <w:bCs/>
                <w:lang w:val="en-AU"/>
              </w:rPr>
              <w:t>Health policy evaluation in rural and remote Australia</w:t>
            </w:r>
            <w:r w:rsidRPr="00292E83">
              <w:rPr>
                <w:rFonts w:ascii="Garamond" w:hAnsi="Garamond"/>
                <w:lang w:val="en-AU"/>
              </w:rPr>
              <w:t>: a qualitative exploration and lessons from the Northern Territory (Bryce Brickley, Oliver Black, Chris Rissel, Kalinda Griffiths (Yawuru) and James A Smith</w:t>
            </w:r>
            <w:r>
              <w:rPr>
                <w:rFonts w:ascii="Garamond" w:hAnsi="Garamond"/>
                <w:lang w:val="en-AU"/>
              </w:rPr>
              <w:t>)</w:t>
            </w:r>
          </w:p>
        </w:tc>
      </w:tr>
    </w:tbl>
    <w:p w14:paraId="2FDC544D" w14:textId="77777777" w:rsidR="009932E9" w:rsidRDefault="009932E9" w:rsidP="009932E9">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F9205C" w:rsidP="00A6355B">
            <w:pPr>
              <w:keepNext/>
              <w:rPr>
                <w:rFonts w:ascii="Garamond" w:hAnsi="Garamond"/>
                <w:lang w:val="en-AU"/>
              </w:rPr>
            </w:pPr>
            <w:hyperlink r:id="rId20"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2E7FD116" w:rsidR="00B40C58" w:rsidRPr="009C237F" w:rsidRDefault="00D1061B" w:rsidP="00B40C58">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067DB9D0" w14:textId="53B2A1BD" w:rsidR="0046305A" w:rsidRPr="0046305A" w:rsidRDefault="0046305A" w:rsidP="006B5401">
            <w:pPr>
              <w:pStyle w:val="ListParagraph"/>
              <w:numPr>
                <w:ilvl w:val="0"/>
                <w:numId w:val="14"/>
              </w:numPr>
              <w:rPr>
                <w:rFonts w:ascii="Garamond" w:hAnsi="Garamond"/>
                <w:lang w:val="en-AU"/>
              </w:rPr>
            </w:pPr>
            <w:r w:rsidRPr="0046305A">
              <w:rPr>
                <w:rFonts w:ascii="Garamond" w:hAnsi="Garamond"/>
                <w:lang w:val="en-AU"/>
              </w:rPr>
              <w:t xml:space="preserve">Editorial: </w:t>
            </w:r>
            <w:r w:rsidRPr="0046305A">
              <w:rPr>
                <w:rFonts w:ascii="Garamond" w:hAnsi="Garamond"/>
                <w:b/>
                <w:bCs/>
                <w:lang w:val="en-AU"/>
              </w:rPr>
              <w:t>Health system resilience, accreditation, high-quality care, and continuous quality improvement</w:t>
            </w:r>
            <w:r w:rsidRPr="0046305A">
              <w:rPr>
                <w:rFonts w:ascii="Garamond" w:hAnsi="Garamond"/>
                <w:lang w:val="en-AU"/>
              </w:rPr>
              <w:t>: what is the destination and how do we get there? (Wendy Nicklin and David Greenfield</w:t>
            </w:r>
            <w:r>
              <w:rPr>
                <w:rFonts w:ascii="Garamond" w:hAnsi="Garamond"/>
                <w:lang w:val="en-AU"/>
              </w:rPr>
              <w:t>)</w:t>
            </w:r>
          </w:p>
          <w:p w14:paraId="629C81E2" w14:textId="30D21509" w:rsidR="00545B4F" w:rsidRPr="00545B4F" w:rsidRDefault="00545B4F" w:rsidP="00FA2E94">
            <w:pPr>
              <w:pStyle w:val="ListParagraph"/>
              <w:numPr>
                <w:ilvl w:val="0"/>
                <w:numId w:val="14"/>
              </w:numPr>
              <w:rPr>
                <w:rFonts w:ascii="Garamond" w:hAnsi="Garamond"/>
                <w:lang w:val="en-AU"/>
              </w:rPr>
            </w:pPr>
            <w:r w:rsidRPr="00545B4F">
              <w:rPr>
                <w:rFonts w:ascii="Garamond" w:hAnsi="Garamond"/>
                <w:lang w:val="en-AU"/>
              </w:rPr>
              <w:t xml:space="preserve">The impact of the </w:t>
            </w:r>
            <w:r w:rsidRPr="003E2429">
              <w:rPr>
                <w:rFonts w:ascii="Garamond" w:hAnsi="Garamond"/>
                <w:b/>
                <w:bCs/>
                <w:lang w:val="en-AU"/>
              </w:rPr>
              <w:t>COVID-19 Pandemic on Emergency Care of Acute Myocardial Infarction</w:t>
            </w:r>
            <w:r w:rsidRPr="00545B4F">
              <w:rPr>
                <w:rFonts w:ascii="Garamond" w:hAnsi="Garamond"/>
                <w:lang w:val="en-AU"/>
              </w:rPr>
              <w:t xml:space="preserve">: Findings from the Taiwan Clinical Performance Indicator (TCPI) (Chia-Ling Hsu </w:t>
            </w:r>
            <w:r>
              <w:rPr>
                <w:rFonts w:ascii="Garamond" w:hAnsi="Garamond"/>
                <w:lang w:val="en-AU"/>
              </w:rPr>
              <w:t>et al).</w:t>
            </w:r>
          </w:p>
          <w:p w14:paraId="730B1CCA" w14:textId="3754E61A" w:rsidR="004C7197" w:rsidRPr="009C237F" w:rsidRDefault="00545B4F" w:rsidP="00545B4F">
            <w:pPr>
              <w:pStyle w:val="ListParagraph"/>
              <w:numPr>
                <w:ilvl w:val="0"/>
                <w:numId w:val="14"/>
              </w:numPr>
              <w:rPr>
                <w:rFonts w:ascii="Garamond" w:hAnsi="Garamond"/>
                <w:lang w:val="en-AU"/>
              </w:rPr>
            </w:pPr>
            <w:r w:rsidRPr="00545B4F">
              <w:rPr>
                <w:rFonts w:ascii="Garamond" w:hAnsi="Garamond"/>
                <w:lang w:val="en-AU"/>
              </w:rPr>
              <w:t xml:space="preserve">Improving </w:t>
            </w:r>
            <w:r w:rsidRPr="003E2429">
              <w:rPr>
                <w:rFonts w:ascii="Garamond" w:hAnsi="Garamond"/>
                <w:b/>
                <w:bCs/>
                <w:lang w:val="en-AU"/>
              </w:rPr>
              <w:t>Low-Value Clinical Practices</w:t>
            </w:r>
            <w:r w:rsidRPr="00545B4F">
              <w:rPr>
                <w:rFonts w:ascii="Garamond" w:hAnsi="Garamond"/>
                <w:lang w:val="en-AU"/>
              </w:rPr>
              <w:t xml:space="preserve"> In Murcia: A Healthcare Management Area In Spain</w:t>
            </w:r>
            <w:r>
              <w:rPr>
                <w:rFonts w:ascii="Garamond" w:hAnsi="Garamond"/>
                <w:lang w:val="en-AU"/>
              </w:rPr>
              <w:t xml:space="preserve"> (</w:t>
            </w:r>
            <w:r w:rsidRPr="00545B4F">
              <w:rPr>
                <w:rFonts w:ascii="Garamond" w:hAnsi="Garamond"/>
                <w:lang w:val="en-AU"/>
              </w:rPr>
              <w:t xml:space="preserve">Julio J Lopez-Picazo </w:t>
            </w:r>
            <w:r>
              <w:rPr>
                <w:rFonts w:ascii="Garamond" w:hAnsi="Garamond"/>
                <w:lang w:val="en-AU"/>
              </w:rPr>
              <w:t>et al.)</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32274E77" w:rsidR="004B3A08" w:rsidRDefault="004B3A08">
      <w:pPr>
        <w:rPr>
          <w:rFonts w:ascii="Garamond" w:hAnsi="Garamond"/>
          <w:b/>
          <w:lang w:val="en-AU"/>
        </w:rPr>
      </w:pPr>
    </w:p>
    <w:p w14:paraId="2EF55E8E" w14:textId="77777777" w:rsidR="003E2429" w:rsidRPr="0061608A" w:rsidRDefault="003E2429" w:rsidP="003E2429">
      <w:pPr>
        <w:keepNext/>
        <w:rPr>
          <w:rFonts w:ascii="Garamond" w:hAnsi="Garamond"/>
          <w:b/>
          <w:bCs/>
          <w:i/>
          <w:lang w:val="en-AU"/>
        </w:rPr>
      </w:pPr>
      <w:r w:rsidRPr="0061608A">
        <w:rPr>
          <w:rFonts w:ascii="Garamond" w:hAnsi="Garamond"/>
          <w:b/>
          <w:bCs/>
          <w:i/>
          <w:lang w:val="en-AU"/>
        </w:rPr>
        <w:t>[UK] NIHR Evidence alerts</w:t>
      </w:r>
    </w:p>
    <w:p w14:paraId="16394854" w14:textId="77777777" w:rsidR="003E2429" w:rsidRPr="00EA3D86" w:rsidRDefault="00F9205C" w:rsidP="003E2429">
      <w:pPr>
        <w:keepNext/>
        <w:rPr>
          <w:rFonts w:ascii="Garamond" w:hAnsi="Garamond"/>
          <w:lang w:val="en-AU"/>
        </w:rPr>
      </w:pPr>
      <w:hyperlink r:id="rId21" w:history="1">
        <w:r w:rsidR="003E2429" w:rsidRPr="00EA3D86">
          <w:rPr>
            <w:rStyle w:val="Hyperlink"/>
            <w:rFonts w:ascii="Garamond" w:hAnsi="Garamond"/>
            <w:lang w:val="en-AU"/>
          </w:rPr>
          <w:t>https://evidence.nihr.ac.uk/</w:t>
        </w:r>
      </w:hyperlink>
    </w:p>
    <w:p w14:paraId="2E9870B8" w14:textId="77777777" w:rsidR="003E2429" w:rsidRDefault="003E2429" w:rsidP="003E2429">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48C9CCCE" w14:textId="048998A8"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Who needs </w:t>
      </w:r>
      <w:r w:rsidRPr="003E2429">
        <w:rPr>
          <w:rFonts w:ascii="Garamond" w:hAnsi="Garamond"/>
          <w:b/>
          <w:bCs/>
          <w:lang w:val="en-AU"/>
        </w:rPr>
        <w:t>antibiotics after an assisted vaginal birth</w:t>
      </w:r>
      <w:r w:rsidRPr="003E2429">
        <w:rPr>
          <w:rFonts w:ascii="Garamond" w:hAnsi="Garamond"/>
          <w:lang w:val="en-AU"/>
        </w:rPr>
        <w:t>?</w:t>
      </w:r>
    </w:p>
    <w:p w14:paraId="7D7D6F82" w14:textId="5ADCAA4E"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Is a male sling as good as more complex surgery for incontinence after </w:t>
      </w:r>
      <w:r w:rsidRPr="003E2429">
        <w:rPr>
          <w:rFonts w:ascii="Garamond" w:hAnsi="Garamond"/>
          <w:b/>
          <w:bCs/>
          <w:lang w:val="en-AU"/>
        </w:rPr>
        <w:t>prostate surgery</w:t>
      </w:r>
      <w:r w:rsidRPr="003E2429">
        <w:rPr>
          <w:rFonts w:ascii="Garamond" w:hAnsi="Garamond"/>
          <w:lang w:val="en-AU"/>
        </w:rPr>
        <w:t>?</w:t>
      </w:r>
    </w:p>
    <w:p w14:paraId="3F6C08D1" w14:textId="1D6E1E09"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Discover 5 strategies to increase the long-term success of </w:t>
      </w:r>
      <w:r w:rsidRPr="003E2429">
        <w:rPr>
          <w:rFonts w:ascii="Garamond" w:hAnsi="Garamond"/>
          <w:b/>
          <w:bCs/>
          <w:lang w:val="en-AU"/>
        </w:rPr>
        <w:t>prescribing interventions</w:t>
      </w:r>
    </w:p>
    <w:p w14:paraId="1BC3F182" w14:textId="70806ACF"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How to reduce </w:t>
      </w:r>
      <w:r w:rsidRPr="003E2429">
        <w:rPr>
          <w:rFonts w:ascii="Garamond" w:hAnsi="Garamond"/>
          <w:b/>
          <w:bCs/>
          <w:lang w:val="en-AU"/>
        </w:rPr>
        <w:t>medications for people with multiple long-term conditions</w:t>
      </w:r>
    </w:p>
    <w:p w14:paraId="075A242F" w14:textId="1E219CF0"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Find out how an </w:t>
      </w:r>
      <w:r w:rsidRPr="003E2429">
        <w:rPr>
          <w:rFonts w:ascii="Garamond" w:hAnsi="Garamond"/>
          <w:b/>
          <w:bCs/>
          <w:lang w:val="en-AU"/>
        </w:rPr>
        <w:t>antibiotic review kit changed prescribing behaviour</w:t>
      </w:r>
    </w:p>
    <w:p w14:paraId="25232E91" w14:textId="498C89AE"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Are </w:t>
      </w:r>
      <w:r w:rsidRPr="003E2429">
        <w:rPr>
          <w:rFonts w:ascii="Garamond" w:hAnsi="Garamond"/>
          <w:b/>
          <w:bCs/>
          <w:lang w:val="en-AU"/>
        </w:rPr>
        <w:t>decisions shared during labour</w:t>
      </w:r>
      <w:r w:rsidRPr="003E2429">
        <w:rPr>
          <w:rFonts w:ascii="Garamond" w:hAnsi="Garamond"/>
          <w:lang w:val="en-AU"/>
        </w:rPr>
        <w:t>?</w:t>
      </w:r>
    </w:p>
    <w:p w14:paraId="680C9B83" w14:textId="61CD145D"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Are race and ethnicity associated with poorer </w:t>
      </w:r>
      <w:r w:rsidRPr="003E2429">
        <w:rPr>
          <w:rFonts w:ascii="Garamond" w:hAnsi="Garamond"/>
          <w:b/>
          <w:bCs/>
          <w:lang w:val="en-AU"/>
        </w:rPr>
        <w:t>pregnancy outcomes</w:t>
      </w:r>
      <w:r w:rsidRPr="003E2429">
        <w:rPr>
          <w:rFonts w:ascii="Garamond" w:hAnsi="Garamond"/>
          <w:lang w:val="en-AU"/>
        </w:rPr>
        <w:t>?</w:t>
      </w:r>
    </w:p>
    <w:p w14:paraId="6F227D26" w14:textId="6C078EFD" w:rsidR="003E2429" w:rsidRPr="003E2429" w:rsidRDefault="003E2429" w:rsidP="003E2429">
      <w:pPr>
        <w:pStyle w:val="ListParagraph"/>
        <w:numPr>
          <w:ilvl w:val="0"/>
          <w:numId w:val="24"/>
        </w:numPr>
        <w:rPr>
          <w:rFonts w:ascii="Garamond" w:hAnsi="Garamond"/>
          <w:lang w:val="en-AU"/>
        </w:rPr>
      </w:pPr>
      <w:r w:rsidRPr="003E2429">
        <w:rPr>
          <w:rFonts w:ascii="Garamond" w:hAnsi="Garamond"/>
          <w:lang w:val="en-AU"/>
        </w:rPr>
        <w:t xml:space="preserve">Was an NHS quality improvement programme effective at reducing the risk of </w:t>
      </w:r>
      <w:r w:rsidRPr="003E2429">
        <w:rPr>
          <w:rFonts w:ascii="Garamond" w:hAnsi="Garamond"/>
          <w:b/>
          <w:bCs/>
          <w:lang w:val="en-AU"/>
        </w:rPr>
        <w:t>cerebral palsy</w:t>
      </w:r>
      <w:r w:rsidRPr="003E2429">
        <w:rPr>
          <w:rFonts w:ascii="Garamond" w:hAnsi="Garamond"/>
          <w:lang w:val="en-AU"/>
        </w:rPr>
        <w:t xml:space="preserve"> in newborns?</w:t>
      </w:r>
    </w:p>
    <w:p w14:paraId="26104284" w14:textId="03AD5849" w:rsidR="00D1061B" w:rsidRPr="00D77160" w:rsidRDefault="00D1061B" w:rsidP="00D1061B">
      <w:pPr>
        <w:keepNext/>
        <w:keepLines/>
        <w:rPr>
          <w:rFonts w:ascii="Garamond" w:hAnsi="Garamond"/>
          <w:b/>
          <w:bCs/>
          <w:i/>
          <w:lang w:val="en-AU"/>
        </w:rPr>
      </w:pPr>
      <w:r w:rsidRPr="00D77160">
        <w:rPr>
          <w:rFonts w:ascii="Garamond" w:hAnsi="Garamond"/>
          <w:b/>
          <w:bCs/>
          <w:i/>
          <w:lang w:val="en-AU"/>
        </w:rPr>
        <w:lastRenderedPageBreak/>
        <w:t>[USA] Effective Health Care Program reports</w:t>
      </w:r>
    </w:p>
    <w:p w14:paraId="58D4767A" w14:textId="77777777" w:rsidR="00D1061B" w:rsidRPr="000170DA" w:rsidRDefault="00F9205C" w:rsidP="00D1061B">
      <w:pPr>
        <w:keepNext/>
        <w:keepLines/>
        <w:rPr>
          <w:rFonts w:ascii="Garamond" w:hAnsi="Garamond"/>
          <w:u w:val="single"/>
          <w:lang w:val="en-AU"/>
        </w:rPr>
      </w:pPr>
      <w:hyperlink r:id="rId22" w:history="1">
        <w:r w:rsidR="00D1061B" w:rsidRPr="000170DA">
          <w:rPr>
            <w:rStyle w:val="Hyperlink"/>
            <w:rFonts w:ascii="Garamond" w:hAnsi="Garamond"/>
            <w:lang w:val="en-AU"/>
          </w:rPr>
          <w:t>https://effectivehealthcare.ahrq.gov/</w:t>
        </w:r>
      </w:hyperlink>
    </w:p>
    <w:p w14:paraId="69D20CD2" w14:textId="77777777" w:rsidR="00D1061B" w:rsidRDefault="00D1061B" w:rsidP="00D1061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1C459F9A" w14:textId="370B29BC" w:rsidR="004C0708" w:rsidRDefault="0046305A" w:rsidP="009D3BE7">
      <w:pPr>
        <w:pStyle w:val="ListParagraph"/>
        <w:keepNext/>
        <w:numPr>
          <w:ilvl w:val="0"/>
          <w:numId w:val="14"/>
        </w:numPr>
        <w:rPr>
          <w:rFonts w:ascii="Garamond" w:hAnsi="Garamond"/>
          <w:i/>
          <w:lang w:val="en-AU"/>
        </w:rPr>
      </w:pPr>
      <w:r w:rsidRPr="0046305A">
        <w:rPr>
          <w:rFonts w:ascii="Garamond" w:hAnsi="Garamond"/>
          <w:i/>
          <w:lang w:val="en-AU"/>
        </w:rPr>
        <w:t xml:space="preserve">Management of </w:t>
      </w:r>
      <w:r w:rsidRPr="0046305A">
        <w:rPr>
          <w:rFonts w:ascii="Garamond" w:hAnsi="Garamond"/>
          <w:b/>
          <w:bCs/>
          <w:i/>
          <w:lang w:val="en-AU"/>
        </w:rPr>
        <w:t>Postpartum Hypertensive Disorders</w:t>
      </w:r>
      <w:r w:rsidRPr="0046305A">
        <w:rPr>
          <w:rFonts w:ascii="Garamond" w:hAnsi="Garamond"/>
          <w:i/>
          <w:lang w:val="en-AU"/>
        </w:rPr>
        <w:t xml:space="preserve"> of Pregnancy</w:t>
      </w:r>
      <w:r w:rsidRPr="0046305A">
        <w:rPr>
          <w:rFonts w:ascii="Garamond" w:hAnsi="Garamond"/>
          <w:iCs/>
          <w:lang w:val="en-AU"/>
        </w:rPr>
        <w:t xml:space="preserve"> </w:t>
      </w:r>
      <w:hyperlink r:id="rId23" w:history="1">
        <w:r w:rsidRPr="007174D7">
          <w:rPr>
            <w:rStyle w:val="Hyperlink"/>
            <w:rFonts w:ascii="Garamond" w:hAnsi="Garamond"/>
            <w:iCs/>
            <w:lang w:val="en-AU"/>
          </w:rPr>
          <w:t>https://effectivehealthcare.ahrq.gov/products/hypertensive-disorders-pregnancy/research</w:t>
        </w:r>
      </w:hyperlink>
    </w:p>
    <w:p w14:paraId="2DE7D997" w14:textId="77777777" w:rsidR="00D1061B" w:rsidRDefault="00D1061B" w:rsidP="00D1061B">
      <w:pPr>
        <w:rPr>
          <w:rFonts w:ascii="Garamond" w:hAnsi="Garamond"/>
          <w:b/>
          <w:lang w:val="en-AU"/>
        </w:rPr>
      </w:pPr>
    </w:p>
    <w:p w14:paraId="329336AB" w14:textId="77777777" w:rsidR="00D1061B" w:rsidRPr="0040740E" w:rsidRDefault="00D1061B" w:rsidP="00D1061B">
      <w:pPr>
        <w:keepNext/>
        <w:rPr>
          <w:rFonts w:ascii="Garamond" w:hAnsi="Garamond"/>
          <w:b/>
          <w:bCs/>
          <w:i/>
          <w:lang w:val="en-AU"/>
        </w:rPr>
      </w:pPr>
      <w:r w:rsidRPr="0040740E">
        <w:rPr>
          <w:rFonts w:ascii="Garamond" w:hAnsi="Garamond"/>
          <w:b/>
          <w:bCs/>
          <w:i/>
          <w:lang w:val="en-AU"/>
        </w:rPr>
        <w:t>[USA] Patient Safety Primers</w:t>
      </w:r>
    </w:p>
    <w:p w14:paraId="54A51C88" w14:textId="77777777" w:rsidR="00D1061B" w:rsidRDefault="00F9205C" w:rsidP="00D1061B">
      <w:pPr>
        <w:keepNext/>
        <w:rPr>
          <w:rFonts w:ascii="Garamond" w:hAnsi="Garamond"/>
          <w:lang w:val="en-AU"/>
        </w:rPr>
      </w:pPr>
      <w:hyperlink r:id="rId24" w:history="1">
        <w:r w:rsidR="00D1061B">
          <w:rPr>
            <w:rStyle w:val="Hyperlink"/>
            <w:rFonts w:ascii="Garamond" w:hAnsi="Garamond"/>
            <w:lang w:val="en-AU"/>
          </w:rPr>
          <w:t>https://psnet.ahrq.gov/primers/</w:t>
        </w:r>
      </w:hyperlink>
    </w:p>
    <w:p w14:paraId="5D446226" w14:textId="77777777" w:rsidR="00D1061B" w:rsidRDefault="00D1061B" w:rsidP="00D1061B">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47A1F611" w14:textId="0FA72343" w:rsidR="003E2429" w:rsidRPr="003E2429" w:rsidRDefault="003E2429" w:rsidP="00517471">
      <w:pPr>
        <w:pStyle w:val="ListParagraph"/>
        <w:numPr>
          <w:ilvl w:val="0"/>
          <w:numId w:val="18"/>
        </w:numPr>
        <w:rPr>
          <w:rFonts w:ascii="Garamond" w:hAnsi="Garamond"/>
          <w:lang w:val="en-AU"/>
        </w:rPr>
      </w:pPr>
      <w:r w:rsidRPr="003E2429">
        <w:rPr>
          <w:rFonts w:ascii="Garamond" w:hAnsi="Garamond"/>
          <w:i/>
          <w:iCs/>
          <w:lang w:val="en-AU"/>
        </w:rPr>
        <w:t xml:space="preserve">Strategies to Improve Organizational </w:t>
      </w:r>
      <w:r w:rsidRPr="003E2429">
        <w:rPr>
          <w:rFonts w:ascii="Garamond" w:hAnsi="Garamond"/>
          <w:b/>
          <w:bCs/>
          <w:i/>
          <w:iCs/>
          <w:lang w:val="en-AU"/>
        </w:rPr>
        <w:t>Health Literacy</w:t>
      </w:r>
      <w:r w:rsidRPr="003E2429">
        <w:rPr>
          <w:rFonts w:ascii="Garamond" w:hAnsi="Garamond"/>
          <w:i/>
          <w:iCs/>
          <w:lang w:val="en-AU"/>
        </w:rPr>
        <w:t xml:space="preserve"> </w:t>
      </w:r>
      <w:r>
        <w:rPr>
          <w:rFonts w:ascii="Garamond" w:hAnsi="Garamond"/>
          <w:lang w:val="en-AU"/>
        </w:rPr>
        <w:br/>
      </w:r>
      <w:hyperlink r:id="rId25" w:history="1">
        <w:r w:rsidRPr="00910FAB">
          <w:rPr>
            <w:rStyle w:val="Hyperlink"/>
            <w:rFonts w:ascii="Garamond" w:hAnsi="Garamond"/>
            <w:lang w:val="en-AU"/>
          </w:rPr>
          <w:t>https://psnet.ahrq.gov/primer/strategies-improve-organizational-health-literacy</w:t>
        </w:r>
      </w:hyperlink>
    </w:p>
    <w:p w14:paraId="3A2F8A6D" w14:textId="09456E37" w:rsidR="00B40C58" w:rsidRDefault="00830159" w:rsidP="00517471">
      <w:pPr>
        <w:pStyle w:val="ListParagraph"/>
        <w:numPr>
          <w:ilvl w:val="0"/>
          <w:numId w:val="18"/>
        </w:numPr>
        <w:rPr>
          <w:rFonts w:ascii="Garamond" w:hAnsi="Garamond"/>
          <w:lang w:val="en-AU"/>
        </w:rPr>
      </w:pPr>
      <w:r w:rsidRPr="00830159">
        <w:rPr>
          <w:rFonts w:ascii="Garamond" w:hAnsi="Garamond"/>
          <w:i/>
          <w:iCs/>
          <w:lang w:val="en-AU"/>
        </w:rPr>
        <w:t>Personal</w:t>
      </w:r>
      <w:r w:rsidRPr="00830159">
        <w:rPr>
          <w:rFonts w:ascii="Garamond" w:hAnsi="Garamond"/>
          <w:b/>
          <w:bCs/>
          <w:i/>
          <w:iCs/>
          <w:lang w:val="en-AU"/>
        </w:rPr>
        <w:t xml:space="preserve"> Health Literacy</w:t>
      </w:r>
      <w:r>
        <w:rPr>
          <w:rFonts w:ascii="Garamond" w:hAnsi="Garamond"/>
          <w:lang w:val="en-AU"/>
        </w:rPr>
        <w:t xml:space="preserve"> </w:t>
      </w:r>
      <w:hyperlink r:id="rId26" w:history="1">
        <w:r w:rsidRPr="003D1DC2">
          <w:rPr>
            <w:rStyle w:val="Hyperlink"/>
            <w:rFonts w:ascii="Garamond" w:hAnsi="Garamond"/>
            <w:lang w:val="en-AU"/>
          </w:rPr>
          <w:t>https://psnet.ahrq.gov/primer/personal-health-literacy</w:t>
        </w:r>
      </w:hyperlink>
    </w:p>
    <w:p w14:paraId="50AB8A2D" w14:textId="33081014" w:rsidR="00745BBC" w:rsidRDefault="00745BBC" w:rsidP="00D1061B">
      <w:pPr>
        <w:rPr>
          <w:rFonts w:ascii="Garamond" w:hAnsi="Garamond"/>
          <w:b/>
          <w:lang w:val="en-AU"/>
        </w:rPr>
      </w:pPr>
    </w:p>
    <w:p w14:paraId="42AB24F9" w14:textId="559F9F12" w:rsidR="00717962" w:rsidRDefault="00717962" w:rsidP="00D1061B">
      <w:pPr>
        <w:rPr>
          <w:rFonts w:ascii="Garamond" w:hAnsi="Garamond"/>
          <w:b/>
          <w:lang w:val="en-AU"/>
        </w:rPr>
      </w:pPr>
    </w:p>
    <w:p w14:paraId="67A64C9B" w14:textId="71D5B2B1" w:rsidR="00E83262" w:rsidRDefault="00E83262" w:rsidP="00D1061B">
      <w:pPr>
        <w:rPr>
          <w:rFonts w:ascii="Garamond" w:hAnsi="Garamond"/>
          <w:b/>
          <w:lang w:val="en-AU"/>
        </w:rPr>
      </w:pPr>
    </w:p>
    <w:p w14:paraId="2E352F15" w14:textId="77777777" w:rsidR="00E83262" w:rsidRDefault="00E83262" w:rsidP="00D1061B">
      <w:pPr>
        <w:rPr>
          <w:rFonts w:ascii="Garamond" w:hAnsi="Garamond"/>
          <w:b/>
          <w:lang w:val="en-AU"/>
        </w:rPr>
      </w:pPr>
    </w:p>
    <w:p w14:paraId="04A9CEC3" w14:textId="77777777" w:rsidR="00AE03C2" w:rsidRDefault="00AE03C2">
      <w:pPr>
        <w:rPr>
          <w:rFonts w:ascii="Garamond" w:hAnsi="Garamond"/>
          <w:b/>
          <w:lang w:val="en-AU"/>
        </w:rPr>
      </w:pPr>
      <w:r>
        <w:rPr>
          <w:rFonts w:ascii="Garamond" w:hAnsi="Garamond"/>
          <w:b/>
          <w:lang w:val="en-AU"/>
        </w:rPr>
        <w:br w:type="page"/>
      </w:r>
    </w:p>
    <w:p w14:paraId="12E7A6B9" w14:textId="69E4AC10"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29"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7D72D12A">
            <wp:extent cx="4454769" cy="6285754"/>
            <wp:effectExtent l="0" t="0" r="3175" b="1270"/>
            <wp:docPr id="8" name="Picture 8" descr="COVID-19 poster - combined contact and drople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474021" cy="631291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F9205C" w:rsidP="00D574D3">
      <w:pPr>
        <w:keepNext/>
        <w:keepLines/>
        <w:rPr>
          <w:rFonts w:ascii="Garamond" w:hAnsi="Garamond"/>
          <w:lang w:val="en-AU"/>
        </w:rPr>
      </w:pPr>
      <w:hyperlink r:id="rId41"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F9205C" w:rsidP="00D574D3">
      <w:pPr>
        <w:keepNext/>
        <w:keepLines/>
        <w:rPr>
          <w:rFonts w:ascii="Garamond" w:hAnsi="Garamond"/>
          <w:lang w:val="en-AU"/>
        </w:rPr>
      </w:pPr>
      <w:hyperlink r:id="rId42"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E9E5958"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5CE6" w14:textId="77777777" w:rsidR="00372C14" w:rsidRDefault="00372C14">
      <w:r>
        <w:separator/>
      </w:r>
    </w:p>
  </w:endnote>
  <w:endnote w:type="continuationSeparator" w:id="0">
    <w:p w14:paraId="184E53BD" w14:textId="77777777" w:rsidR="00372C14" w:rsidRDefault="0037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A3AF26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60</w:t>
    </w:r>
    <w:r w:rsidR="004C0708">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06347E2"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60</w:t>
    </w:r>
    <w:r w:rsidR="004C0708">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EEAA" w14:textId="77777777" w:rsidR="00372C14" w:rsidRDefault="00372C14">
      <w:r>
        <w:separator/>
      </w:r>
    </w:p>
  </w:footnote>
  <w:footnote w:type="continuationSeparator" w:id="0">
    <w:p w14:paraId="427FE886" w14:textId="77777777" w:rsidR="00372C14" w:rsidRDefault="00372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2"/>
  </w:num>
  <w:num w:numId="16">
    <w:abstractNumId w:val="13"/>
  </w:num>
  <w:num w:numId="17">
    <w:abstractNumId w:val="14"/>
  </w:num>
  <w:num w:numId="18">
    <w:abstractNumId w:val="17"/>
  </w:num>
  <w:num w:numId="19">
    <w:abstractNumId w:val="24"/>
  </w:num>
  <w:num w:numId="20">
    <w:abstractNumId w:val="10"/>
  </w:num>
  <w:num w:numId="21">
    <w:abstractNumId w:val="21"/>
  </w:num>
  <w:num w:numId="22">
    <w:abstractNumId w:val="25"/>
  </w:num>
  <w:num w:numId="23">
    <w:abstractNumId w:val="12"/>
  </w:num>
  <w:num w:numId="24">
    <w:abstractNumId w:val="11"/>
  </w:num>
  <w:num w:numId="25">
    <w:abstractNumId w:val="20"/>
  </w:num>
  <w:num w:numId="26">
    <w:abstractNumId w:val="15"/>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2E83"/>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14"/>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05A"/>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5E33"/>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27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42"/>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782"/>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3C2"/>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7"/>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27F"/>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0B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61B"/>
    <w:rsid w:val="00F91A82"/>
    <w:rsid w:val="00F91C89"/>
    <w:rsid w:val="00F91D40"/>
    <w:rsid w:val="00F91D78"/>
    <w:rsid w:val="00F91D90"/>
    <w:rsid w:val="00F91DB2"/>
    <w:rsid w:val="00F91E9D"/>
    <w:rsid w:val="00F91F19"/>
    <w:rsid w:val="00F91F70"/>
    <w:rsid w:val="00F9205C"/>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93/intqhc/mzad035" TargetMode="External"/><Relationship Id="rId26" Type="http://schemas.openxmlformats.org/officeDocument/2006/relationships/hyperlink" Target="https://psnet.ahrq.gov/primer/personal-health-literacy" TargetMode="External"/><Relationship Id="rId39" Type="http://schemas.openxmlformats.org/officeDocument/2006/relationships/hyperlink" Target="https://www.safetyandquality.gov.au/sites/default/files/2020-07/covid-19_and_face_masks_-_information_for_consumers.pdf" TargetMode="External"/><Relationship Id="rId3" Type="http://schemas.openxmlformats.org/officeDocument/2006/relationships/styles" Target="styles.xml"/><Relationship Id="rId21" Type="http://schemas.openxmlformats.org/officeDocument/2006/relationships/hyperlink" Target="https://evidence.nihr.ac.uk/"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health-and-human-research/national-one-stop-shop-national-platform-health-related-human-research" TargetMode="External"/><Relationship Id="rId25" Type="http://schemas.openxmlformats.org/officeDocument/2006/relationships/hyperlink" Target="https://psnet.ahrq.gov/primer/strategies-improve-organizational-health-literacy" TargetMode="External"/><Relationship Id="rId33" Type="http://schemas.openxmlformats.org/officeDocument/2006/relationships/hyperlink" Target="http://www.safetyandquality.gov.au/environmental-cleaning" TargetMode="External"/><Relationship Id="rId38" Type="http://schemas.openxmlformats.org/officeDocument/2006/relationships/hyperlink" Target="https://www.safetyandquality.gov.au/publications-and-resources/resource-library/covid-19-and-face-masks-information-consumer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our-work/health-and-human-research/national-one-stop-shop-national-platform-health-related-human-research/health-and-medical-research-advisory-group" TargetMode="External"/><Relationship Id="rId20" Type="http://schemas.openxmlformats.org/officeDocument/2006/relationships/hyperlink" Target="https://academic.oup.com/intqhc/advance-articles" TargetMode="External"/><Relationship Id="rId29" Type="http://schemas.openxmlformats.org/officeDocument/2006/relationships/hyperlink" Target="https://www.safetyandquality.gov.au/publications-and-resources/resource-library/infection-prevention-and-control-poster-combined-contact-and-droplet-precautions" TargetMode="External"/><Relationship Id="rId41"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psnet.ahrq.gov/primers/" TargetMode="External"/><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image" Target="media/image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our-work/health-and-human-research/national-one-stop-shop-national-platform-health-related-human-research" TargetMode="External"/><Relationship Id="rId23" Type="http://schemas.openxmlformats.org/officeDocument/2006/relationships/hyperlink" Target="https://effectivehealthcare.ahrq.gov/products/hypertensive-disorders-pregnancy/research" TargetMode="External"/><Relationship Id="rId28" Type="http://schemas.openxmlformats.org/officeDocument/2006/relationships/hyperlink" Target="https://www.safetyandquality.gov.au/publications-and-resources/resource-library/covid-19-infection-prevention-and-control-risk-management-guidance"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publish.csiro.au/ah/issue/11458" TargetMode="External"/><Relationship Id="rId31" Type="http://schemas.openxmlformats.org/officeDocument/2006/relationships/hyperlink" Target="https://www.safetyandquality.gov.au/publications-and-resources/resource-library/poster-combined-airborne-and-contact-precaution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effectivehealthcare.ahrq.gov/" TargetMode="External"/><Relationship Id="rId27" Type="http://schemas.openxmlformats.org/officeDocument/2006/relationships/hyperlink" Target="https://www.safetyandquality.gov.au/covid-19" TargetMode="External"/><Relationship Id="rId30" Type="http://schemas.openxmlformats.org/officeDocument/2006/relationships/image" Target="media/image2.PNG"/><Relationship Id="rId35" Type="http://schemas.openxmlformats.org/officeDocument/2006/relationships/hyperlink" Target="https://www.safetyandquality.gov.au/our-work/cognitive-impairment/cognitive-impairment-and-covid-19"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11</Pages>
  <Words>2998</Words>
  <Characters>19971</Characters>
  <Application>Microsoft Office Word</Application>
  <DocSecurity>0</DocSecurity>
  <Lines>399</Lines>
  <Paragraphs>186</Paragraphs>
  <ScaleCrop>false</ScaleCrop>
  <HeadingPairs>
    <vt:vector size="2" baseType="variant">
      <vt:variant>
        <vt:lpstr>Title</vt:lpstr>
      </vt:variant>
      <vt:variant>
        <vt:i4>1</vt:i4>
      </vt:variant>
    </vt:vector>
  </HeadingPairs>
  <TitlesOfParts>
    <vt:vector size="1" baseType="lpstr">
      <vt:lpstr>Draft On the Radar Issue 605</vt:lpstr>
    </vt:vector>
  </TitlesOfParts>
  <Company>ACSQHC</Company>
  <LinksUpToDate>false</LinksUpToDate>
  <CharactersWithSpaces>22783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605</dc:title>
  <dc:subject/>
  <dc:creator>Dr Niall Johnson</dc:creator>
  <cp:keywords>On the Radar</cp:keywords>
  <dc:description/>
  <cp:lastModifiedBy>JOHNSON, Niall</cp:lastModifiedBy>
  <cp:revision>12</cp:revision>
  <cp:lastPrinted>2018-03-02T02:34:00Z</cp:lastPrinted>
  <dcterms:created xsi:type="dcterms:W3CDTF">2023-05-28T22:07:00Z</dcterms:created>
  <dcterms:modified xsi:type="dcterms:W3CDTF">2023-06-02T01:13:00Z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