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7BD85FD1"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0AE1FE7E" w:rsidR="009932E9" w:rsidRDefault="009932E9" w:rsidP="00F738B5">
      <w:pPr>
        <w:rPr>
          <w:rFonts w:ascii="Garamond" w:hAnsi="Garamond"/>
          <w:lang w:val="en-AU"/>
        </w:rPr>
      </w:pPr>
      <w:r>
        <w:rPr>
          <w:rFonts w:ascii="Garamond" w:hAnsi="Garamond"/>
          <w:lang w:val="en-AU"/>
        </w:rPr>
        <w:t>Issue 60</w:t>
      </w:r>
      <w:r w:rsidR="00FC61E7">
        <w:rPr>
          <w:rFonts w:ascii="Garamond" w:hAnsi="Garamond"/>
          <w:lang w:val="en-AU"/>
        </w:rPr>
        <w:t>6</w:t>
      </w:r>
    </w:p>
    <w:p w14:paraId="5081D681" w14:textId="63022416" w:rsidR="001A4346" w:rsidRDefault="00FC61E7" w:rsidP="00F738B5">
      <w:pPr>
        <w:rPr>
          <w:rFonts w:ascii="Garamond" w:hAnsi="Garamond"/>
          <w:lang w:val="en-AU"/>
        </w:rPr>
      </w:pPr>
      <w:r>
        <w:rPr>
          <w:rFonts w:ascii="Garamond" w:hAnsi="Garamond"/>
          <w:lang w:val="en-AU"/>
        </w:rPr>
        <w:t>13</w:t>
      </w:r>
      <w:r w:rsidR="004C0708">
        <w:rPr>
          <w:rFonts w:ascii="Garamond" w:hAnsi="Garamond"/>
          <w:lang w:val="en-AU"/>
        </w:rPr>
        <w:t xml:space="preserve"> June</w:t>
      </w:r>
      <w:r w:rsidR="00AA6F24">
        <w:rPr>
          <w:rFonts w:ascii="Garamond" w:hAnsi="Garamond"/>
          <w:lang w:val="en-AU"/>
        </w:rPr>
        <w:t xml:space="preserve">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77777777"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A890F04" w14:textId="121EF22F" w:rsidR="00106440" w:rsidRDefault="00106440" w:rsidP="009525CC">
      <w:pPr>
        <w:rPr>
          <w:rFonts w:ascii="Garamond" w:hAnsi="Garamond"/>
          <w:bCs/>
          <w:lang w:val="en-AU"/>
        </w:rPr>
      </w:pPr>
    </w:p>
    <w:p w14:paraId="303001A8" w14:textId="3D0B62AB" w:rsidR="00D0490E" w:rsidRDefault="00D0490E" w:rsidP="00D0490E">
      <w:pPr>
        <w:keepLines/>
        <w:autoSpaceDE w:val="0"/>
        <w:autoSpaceDN w:val="0"/>
        <w:adjustRightInd w:val="0"/>
        <w:rPr>
          <w:rFonts w:ascii="Garamond" w:hAnsi="Garamond"/>
          <w:lang w:val="en-AU"/>
        </w:rPr>
      </w:pPr>
    </w:p>
    <w:p w14:paraId="78D509C4" w14:textId="77777777" w:rsidR="00F571FA" w:rsidRDefault="00F571FA" w:rsidP="00D0490E">
      <w:pPr>
        <w:keepLines/>
        <w:autoSpaceDE w:val="0"/>
        <w:autoSpaceDN w:val="0"/>
        <w:adjustRightInd w:val="0"/>
        <w:rPr>
          <w:rFonts w:ascii="Garamond" w:hAnsi="Garamond"/>
          <w:lang w:val="en-AU"/>
        </w:rPr>
      </w:pPr>
    </w:p>
    <w:p w14:paraId="604EB9F1" w14:textId="7ADE2DC4"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2F265929" w14:textId="53B5DD03" w:rsidR="00C23361" w:rsidRDefault="00C23361" w:rsidP="00C23361">
      <w:pPr>
        <w:keepLines/>
        <w:autoSpaceDE w:val="0"/>
        <w:autoSpaceDN w:val="0"/>
        <w:adjustRightInd w:val="0"/>
        <w:rPr>
          <w:rFonts w:ascii="Garamond" w:hAnsi="Garamond"/>
          <w:lang w:val="en-AU"/>
        </w:rPr>
      </w:pPr>
    </w:p>
    <w:p w14:paraId="4D0F114A" w14:textId="77777777" w:rsidR="00B00242" w:rsidRPr="00044892" w:rsidRDefault="00B00242" w:rsidP="00B00242">
      <w:pPr>
        <w:keepLines/>
        <w:autoSpaceDE w:val="0"/>
        <w:autoSpaceDN w:val="0"/>
        <w:adjustRightInd w:val="0"/>
        <w:rPr>
          <w:rFonts w:ascii="Garamond" w:hAnsi="Garamond"/>
          <w:i/>
          <w:iCs/>
          <w:lang w:val="en-AU"/>
        </w:rPr>
      </w:pPr>
      <w:r w:rsidRPr="00044892">
        <w:rPr>
          <w:rFonts w:ascii="Garamond" w:hAnsi="Garamond"/>
          <w:i/>
          <w:iCs/>
          <w:lang w:val="en-AU"/>
        </w:rPr>
        <w:t>Twenty years of monitoring acute stroke care in Australia through the national stroke audit programme (1999–2019): A cross-sectional study</w:t>
      </w:r>
    </w:p>
    <w:p w14:paraId="6BA36017" w14:textId="77777777" w:rsidR="00EA1EE2" w:rsidRDefault="00EA1EE2" w:rsidP="00B00242">
      <w:pPr>
        <w:keepLines/>
        <w:autoSpaceDE w:val="0"/>
        <w:autoSpaceDN w:val="0"/>
        <w:adjustRightInd w:val="0"/>
        <w:rPr>
          <w:rFonts w:ascii="Garamond" w:hAnsi="Garamond"/>
          <w:lang w:val="en-AU"/>
        </w:rPr>
      </w:pPr>
      <w:r w:rsidRPr="00EA1EE2">
        <w:rPr>
          <w:rFonts w:ascii="Garamond" w:hAnsi="Garamond"/>
          <w:lang w:val="en-AU"/>
        </w:rPr>
        <w:t>Purvis T, Cadilhac DA, Hill K, Reyneke M, Olaiya MT, Dalli LL, et al</w:t>
      </w:r>
    </w:p>
    <w:p w14:paraId="532664FD" w14:textId="20090253" w:rsidR="00B00242" w:rsidRDefault="00EA1EE2" w:rsidP="00B00242">
      <w:pPr>
        <w:keepLines/>
        <w:autoSpaceDE w:val="0"/>
        <w:autoSpaceDN w:val="0"/>
        <w:adjustRightInd w:val="0"/>
        <w:rPr>
          <w:rFonts w:ascii="Garamond" w:hAnsi="Garamond"/>
          <w:lang w:val="en-AU"/>
        </w:rPr>
      </w:pPr>
      <w:r w:rsidRPr="00EA1EE2">
        <w:rPr>
          <w:rFonts w:ascii="Garamond" w:hAnsi="Garamond"/>
          <w:lang w:val="en-AU"/>
        </w:rPr>
        <w:t>Journal of Health Services Research &amp; Policy. 2023:13558196231174732.</w:t>
      </w:r>
    </w:p>
    <w:tbl>
      <w:tblPr>
        <w:tblStyle w:val="TableGrid"/>
        <w:tblW w:w="9360" w:type="dxa"/>
        <w:tblInd w:w="288" w:type="dxa"/>
        <w:tblLayout w:type="fixed"/>
        <w:tblLook w:val="01E0" w:firstRow="1" w:lastRow="1" w:firstColumn="1" w:lastColumn="1" w:noHBand="0" w:noVBand="0"/>
      </w:tblPr>
      <w:tblGrid>
        <w:gridCol w:w="1080"/>
        <w:gridCol w:w="8280"/>
      </w:tblGrid>
      <w:tr w:rsidR="00B00242" w:rsidRPr="000170DA" w14:paraId="2C63AF1A" w14:textId="77777777" w:rsidTr="002C5DB8">
        <w:tc>
          <w:tcPr>
            <w:tcW w:w="1080" w:type="dxa"/>
            <w:tcBorders>
              <w:top w:val="single" w:sz="4" w:space="0" w:color="auto"/>
              <w:left w:val="single" w:sz="4" w:space="0" w:color="auto"/>
              <w:bottom w:val="single" w:sz="4" w:space="0" w:color="auto"/>
              <w:right w:val="single" w:sz="4" w:space="0" w:color="auto"/>
            </w:tcBorders>
            <w:vAlign w:val="center"/>
          </w:tcPr>
          <w:p w14:paraId="02FD2265" w14:textId="77777777" w:rsidR="00B00242" w:rsidRPr="000170DA" w:rsidRDefault="00B00242" w:rsidP="002C5DB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41D200F" w14:textId="77777777" w:rsidR="00B00242" w:rsidRPr="000170DA" w:rsidRDefault="00283FDA" w:rsidP="002C5DB8">
            <w:pPr>
              <w:keepNext/>
              <w:rPr>
                <w:rStyle w:val="Hyperlink"/>
                <w:rFonts w:ascii="Garamond" w:hAnsi="Garamond"/>
                <w:color w:val="auto"/>
                <w:u w:val="none"/>
                <w:lang w:val="en-AU"/>
              </w:rPr>
            </w:pPr>
            <w:hyperlink r:id="rId15" w:history="1">
              <w:r w:rsidR="00B00242" w:rsidRPr="00E46540">
                <w:rPr>
                  <w:rStyle w:val="Hyperlink"/>
                  <w:rFonts w:ascii="Garamond" w:hAnsi="Garamond"/>
                  <w:lang w:val="en-AU"/>
                </w:rPr>
                <w:t>https://doi.org/10.1177/13558196231174732</w:t>
              </w:r>
            </w:hyperlink>
          </w:p>
        </w:tc>
      </w:tr>
      <w:tr w:rsidR="00B00242" w:rsidRPr="000170DA" w14:paraId="4AC60AE7" w14:textId="77777777" w:rsidTr="002C5DB8">
        <w:tc>
          <w:tcPr>
            <w:tcW w:w="1080" w:type="dxa"/>
            <w:tcBorders>
              <w:top w:val="single" w:sz="4" w:space="0" w:color="auto"/>
              <w:left w:val="single" w:sz="4" w:space="0" w:color="auto"/>
              <w:bottom w:val="single" w:sz="4" w:space="0" w:color="auto"/>
              <w:right w:val="single" w:sz="4" w:space="0" w:color="auto"/>
            </w:tcBorders>
            <w:vAlign w:val="center"/>
          </w:tcPr>
          <w:p w14:paraId="07414626" w14:textId="77777777" w:rsidR="00B00242" w:rsidRPr="000170DA" w:rsidRDefault="00B00242" w:rsidP="002C5DB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E2CE124" w14:textId="77777777" w:rsidR="00B00242" w:rsidRPr="00D0490E" w:rsidRDefault="00B00242" w:rsidP="002C5DB8">
            <w:pPr>
              <w:rPr>
                <w:rFonts w:ascii="Garamond" w:hAnsi="Garamond"/>
                <w:lang w:val="en-AU"/>
              </w:rPr>
            </w:pPr>
            <w:r>
              <w:rPr>
                <w:rFonts w:ascii="Garamond" w:hAnsi="Garamond"/>
                <w:lang w:val="en-AU"/>
              </w:rPr>
              <w:t>The authors of this paper sought to ‘</w:t>
            </w:r>
            <w:r w:rsidRPr="00B00242">
              <w:rPr>
                <w:rFonts w:ascii="Garamond" w:hAnsi="Garamond"/>
                <w:lang w:val="en-AU"/>
              </w:rPr>
              <w:t>determine the association between repeated national audit cycles on stroke service provision and care delivery from 1999 to 2019.</w:t>
            </w:r>
            <w:r>
              <w:rPr>
                <w:rFonts w:ascii="Garamond" w:hAnsi="Garamond"/>
                <w:lang w:val="en-AU"/>
              </w:rPr>
              <w:t>’ Across that period n</w:t>
            </w:r>
            <w:r w:rsidRPr="00B00242">
              <w:rPr>
                <w:rFonts w:ascii="Garamond" w:hAnsi="Garamond"/>
                <w:lang w:val="en-AU"/>
              </w:rPr>
              <w:t>ational organisational surveys and clinical audit</w:t>
            </w:r>
            <w:r>
              <w:rPr>
                <w:rFonts w:ascii="Garamond" w:hAnsi="Garamond"/>
                <w:lang w:val="en-AU"/>
              </w:rPr>
              <w:t xml:space="preserve">s have been used to </w:t>
            </w:r>
            <w:r w:rsidRPr="00B00242">
              <w:rPr>
                <w:rFonts w:ascii="Garamond" w:hAnsi="Garamond"/>
                <w:lang w:val="en-AU"/>
              </w:rPr>
              <w:t>monitor and guide improvements to the delivery of evidence-based acute stroke care</w:t>
            </w:r>
            <w:r>
              <w:rPr>
                <w:rFonts w:ascii="Garamond" w:hAnsi="Garamond"/>
                <w:lang w:val="en-AU"/>
              </w:rPr>
              <w:t>, with the development of stroke registry also occurring more latterly. The study found ‘</w:t>
            </w:r>
            <w:r w:rsidRPr="00B00242">
              <w:rPr>
                <w:rFonts w:ascii="Garamond" w:hAnsi="Garamond"/>
                <w:lang w:val="en-AU"/>
              </w:rPr>
              <w:t>significant improvements in service organisation between 1999 and 2019 for access to stroke units (1999: 42%, 2019: 81%), thrombolysis services (1999: 6%, 2019: 85%), and rapid assessment/management for patients with transient ischaemic attack (1999: 11%, 2019: 61%).</w:t>
            </w:r>
            <w:r>
              <w:rPr>
                <w:rFonts w:ascii="Garamond" w:hAnsi="Garamond"/>
                <w:lang w:val="en-AU"/>
              </w:rPr>
              <w:t>’</w:t>
            </w:r>
          </w:p>
        </w:tc>
      </w:tr>
    </w:tbl>
    <w:p w14:paraId="63CA86DE" w14:textId="77777777" w:rsidR="00B00242" w:rsidRPr="00CB3A71" w:rsidRDefault="00B00242" w:rsidP="00B00242">
      <w:pPr>
        <w:keepNext/>
        <w:keepLines/>
        <w:autoSpaceDE w:val="0"/>
        <w:autoSpaceDN w:val="0"/>
        <w:adjustRightInd w:val="0"/>
        <w:rPr>
          <w:rFonts w:ascii="Garamond" w:hAnsi="Garamond"/>
          <w:i/>
          <w:iCs/>
          <w:lang w:val="en-AU"/>
        </w:rPr>
      </w:pPr>
      <w:r w:rsidRPr="00CB3A71">
        <w:rPr>
          <w:rFonts w:ascii="Garamond" w:hAnsi="Garamond"/>
          <w:i/>
          <w:iCs/>
          <w:lang w:val="en-AU"/>
        </w:rPr>
        <w:lastRenderedPageBreak/>
        <w:t>The impact of nursing skill-mix on adverse events in intensive care: a single centre cohort study</w:t>
      </w:r>
    </w:p>
    <w:p w14:paraId="6BA4EF54" w14:textId="77777777" w:rsidR="00B00242" w:rsidRDefault="00B00242" w:rsidP="00B00242">
      <w:pPr>
        <w:keepNext/>
        <w:keepLines/>
        <w:autoSpaceDE w:val="0"/>
        <w:autoSpaceDN w:val="0"/>
        <w:adjustRightInd w:val="0"/>
        <w:rPr>
          <w:rFonts w:ascii="Garamond" w:hAnsi="Garamond"/>
          <w:lang w:val="en-AU"/>
        </w:rPr>
      </w:pPr>
      <w:r w:rsidRPr="00CB3A71">
        <w:rPr>
          <w:rFonts w:ascii="Garamond" w:hAnsi="Garamond"/>
          <w:lang w:val="en-AU"/>
        </w:rPr>
        <w:t>Ross P, Hodgson CL, Ilic D, Watterson J, Gowland E, Collins K, et al</w:t>
      </w:r>
    </w:p>
    <w:p w14:paraId="317E4CF2" w14:textId="77777777" w:rsidR="00B00242" w:rsidRDefault="00B00242" w:rsidP="00B00242">
      <w:pPr>
        <w:keepNext/>
        <w:keepLines/>
        <w:autoSpaceDE w:val="0"/>
        <w:autoSpaceDN w:val="0"/>
        <w:adjustRightInd w:val="0"/>
        <w:rPr>
          <w:rFonts w:ascii="Garamond" w:hAnsi="Garamond"/>
          <w:lang w:val="en-AU"/>
        </w:rPr>
      </w:pPr>
      <w:r w:rsidRPr="00CB3A71">
        <w:rPr>
          <w:rFonts w:ascii="Garamond" w:hAnsi="Garamond"/>
          <w:lang w:val="en-AU"/>
        </w:rPr>
        <w:t>Contemporary Nurse. 2023.</w:t>
      </w:r>
    </w:p>
    <w:tbl>
      <w:tblPr>
        <w:tblStyle w:val="TableGrid"/>
        <w:tblW w:w="9360" w:type="dxa"/>
        <w:tblInd w:w="288" w:type="dxa"/>
        <w:tblLayout w:type="fixed"/>
        <w:tblLook w:val="01E0" w:firstRow="1" w:lastRow="1" w:firstColumn="1" w:lastColumn="1" w:noHBand="0" w:noVBand="0"/>
      </w:tblPr>
      <w:tblGrid>
        <w:gridCol w:w="1080"/>
        <w:gridCol w:w="8280"/>
      </w:tblGrid>
      <w:tr w:rsidR="00B00242" w:rsidRPr="000170DA" w14:paraId="4EB32839" w14:textId="77777777" w:rsidTr="002C5DB8">
        <w:tc>
          <w:tcPr>
            <w:tcW w:w="1080" w:type="dxa"/>
            <w:tcBorders>
              <w:top w:val="single" w:sz="4" w:space="0" w:color="auto"/>
              <w:left w:val="single" w:sz="4" w:space="0" w:color="auto"/>
              <w:bottom w:val="single" w:sz="4" w:space="0" w:color="auto"/>
              <w:right w:val="single" w:sz="4" w:space="0" w:color="auto"/>
            </w:tcBorders>
            <w:vAlign w:val="center"/>
          </w:tcPr>
          <w:p w14:paraId="555ABB40" w14:textId="77777777" w:rsidR="00B00242" w:rsidRPr="000170DA" w:rsidRDefault="00B00242" w:rsidP="002C5DB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4CE7034" w14:textId="77777777" w:rsidR="00B00242" w:rsidRPr="000170DA" w:rsidRDefault="00283FDA" w:rsidP="002C5DB8">
            <w:pPr>
              <w:keepNext/>
              <w:rPr>
                <w:rStyle w:val="Hyperlink"/>
                <w:rFonts w:ascii="Garamond" w:hAnsi="Garamond"/>
                <w:color w:val="auto"/>
                <w:u w:val="none"/>
                <w:lang w:val="en-AU"/>
              </w:rPr>
            </w:pPr>
            <w:hyperlink r:id="rId16" w:history="1">
              <w:r w:rsidR="00B00242" w:rsidRPr="00E46540">
                <w:rPr>
                  <w:rStyle w:val="Hyperlink"/>
                  <w:rFonts w:ascii="Garamond" w:hAnsi="Garamond"/>
                  <w:lang w:val="en-AU"/>
                </w:rPr>
                <w:t>https://doi.org/10.1080/10376178.2023.2207687</w:t>
              </w:r>
            </w:hyperlink>
          </w:p>
        </w:tc>
      </w:tr>
      <w:tr w:rsidR="00B00242" w:rsidRPr="000170DA" w14:paraId="6CEEE2CF" w14:textId="77777777" w:rsidTr="002C5DB8">
        <w:tc>
          <w:tcPr>
            <w:tcW w:w="1080" w:type="dxa"/>
            <w:tcBorders>
              <w:top w:val="single" w:sz="4" w:space="0" w:color="auto"/>
              <w:left w:val="single" w:sz="4" w:space="0" w:color="auto"/>
              <w:bottom w:val="single" w:sz="4" w:space="0" w:color="auto"/>
              <w:right w:val="single" w:sz="4" w:space="0" w:color="auto"/>
            </w:tcBorders>
            <w:vAlign w:val="center"/>
          </w:tcPr>
          <w:p w14:paraId="4A1AE86D" w14:textId="77777777" w:rsidR="00B00242" w:rsidRPr="000170DA" w:rsidRDefault="00B00242" w:rsidP="002C5DB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5536FA6" w14:textId="77777777" w:rsidR="00B00242" w:rsidRPr="00D0490E" w:rsidRDefault="00B00242" w:rsidP="002C5DB8">
            <w:pPr>
              <w:rPr>
                <w:rFonts w:ascii="Garamond" w:hAnsi="Garamond"/>
                <w:lang w:val="en-AU"/>
              </w:rPr>
            </w:pPr>
            <w:r>
              <w:rPr>
                <w:rFonts w:ascii="Garamond" w:hAnsi="Garamond"/>
                <w:lang w:val="en-AU"/>
              </w:rPr>
              <w:t>Paper reporting on an Australian study that sought to ‘</w:t>
            </w:r>
            <w:r w:rsidRPr="00F571FA">
              <w:rPr>
                <w:rFonts w:ascii="Garamond" w:hAnsi="Garamond"/>
                <w:lang w:val="en-AU"/>
              </w:rPr>
              <w:t>investigate if the percentage of Critical Care Registered Nurses (CCRN) within an Intensive Care Unit (ICU) is associated with an increased risk of patients experiencing an AE</w:t>
            </w:r>
            <w:r>
              <w:rPr>
                <w:rFonts w:ascii="Garamond" w:hAnsi="Garamond"/>
                <w:lang w:val="en-AU"/>
              </w:rPr>
              <w:t xml:space="preserve"> [adverse event]</w:t>
            </w:r>
            <w:r w:rsidRPr="00F571FA">
              <w:rPr>
                <w:rFonts w:ascii="Garamond" w:hAnsi="Garamond"/>
                <w:lang w:val="en-AU"/>
              </w:rPr>
              <w:t>.</w:t>
            </w:r>
            <w:r>
              <w:rPr>
                <w:rFonts w:ascii="Garamond" w:hAnsi="Garamond"/>
                <w:lang w:val="en-AU"/>
              </w:rPr>
              <w:t xml:space="preserve"> This was a </w:t>
            </w:r>
            <w:r w:rsidRPr="00CB3A71">
              <w:rPr>
                <w:rFonts w:ascii="Garamond" w:hAnsi="Garamond"/>
                <w:lang w:val="en-AU"/>
              </w:rPr>
              <w:t xml:space="preserve">retrospective cohort study of </w:t>
            </w:r>
            <w:r>
              <w:rPr>
                <w:rFonts w:ascii="Garamond" w:hAnsi="Garamond"/>
                <w:lang w:val="en-AU"/>
              </w:rPr>
              <w:t>13,560</w:t>
            </w:r>
            <w:r w:rsidRPr="00CB3A71">
              <w:rPr>
                <w:rFonts w:ascii="Garamond" w:hAnsi="Garamond"/>
                <w:lang w:val="en-AU"/>
              </w:rPr>
              <w:t xml:space="preserve"> patients admitted to a tertiary ICU in </w:t>
            </w:r>
            <w:r>
              <w:rPr>
                <w:rFonts w:ascii="Garamond" w:hAnsi="Garamond"/>
                <w:lang w:val="en-AU"/>
              </w:rPr>
              <w:t xml:space="preserve">Melbourne </w:t>
            </w:r>
            <w:r w:rsidRPr="00CB3A71">
              <w:rPr>
                <w:rFonts w:ascii="Garamond" w:hAnsi="Garamond"/>
                <w:lang w:val="en-AU"/>
              </w:rPr>
              <w:t>between 2016 and 2020</w:t>
            </w:r>
            <w:r>
              <w:rPr>
                <w:rFonts w:ascii="Garamond" w:hAnsi="Garamond"/>
                <w:lang w:val="en-AU"/>
              </w:rPr>
              <w:t xml:space="preserve">. The authors report that </w:t>
            </w:r>
            <w:r w:rsidRPr="00B00242">
              <w:rPr>
                <w:rFonts w:ascii="Garamond" w:hAnsi="Garamond"/>
                <w:lang w:val="en-AU"/>
              </w:rPr>
              <w:t xml:space="preserve">854 (6.3%) </w:t>
            </w:r>
            <w:r>
              <w:rPr>
                <w:rFonts w:ascii="Garamond" w:hAnsi="Garamond"/>
                <w:lang w:val="en-AU"/>
              </w:rPr>
              <w:t xml:space="preserve">of these patients </w:t>
            </w:r>
            <w:r w:rsidRPr="00B00242">
              <w:rPr>
                <w:rFonts w:ascii="Garamond" w:hAnsi="Garamond"/>
                <w:lang w:val="en-AU"/>
              </w:rPr>
              <w:t>experienc</w:t>
            </w:r>
            <w:r>
              <w:rPr>
                <w:rFonts w:ascii="Garamond" w:hAnsi="Garamond"/>
                <w:lang w:val="en-AU"/>
              </w:rPr>
              <w:t>ed</w:t>
            </w:r>
            <w:r w:rsidRPr="00B00242">
              <w:rPr>
                <w:rFonts w:ascii="Garamond" w:hAnsi="Garamond"/>
                <w:lang w:val="en-AU"/>
              </w:rPr>
              <w:t xml:space="preserve"> </w:t>
            </w:r>
            <w:r>
              <w:rPr>
                <w:rFonts w:ascii="Garamond" w:hAnsi="Garamond"/>
                <w:lang w:val="en-AU"/>
              </w:rPr>
              <w:t xml:space="preserve">an </w:t>
            </w:r>
            <w:r w:rsidRPr="00B00242">
              <w:rPr>
                <w:rFonts w:ascii="Garamond" w:hAnsi="Garamond"/>
                <w:lang w:val="en-AU"/>
              </w:rPr>
              <w:t xml:space="preserve">AE. </w:t>
            </w:r>
            <w:r>
              <w:rPr>
                <w:rFonts w:ascii="Garamond" w:hAnsi="Garamond"/>
                <w:lang w:val="en-AU"/>
              </w:rPr>
              <w:t>The authors also note that ‘</w:t>
            </w:r>
            <w:r w:rsidRPr="00B00242">
              <w:rPr>
                <w:rFonts w:ascii="Garamond" w:hAnsi="Garamond"/>
                <w:lang w:val="en-AU"/>
              </w:rPr>
              <w:t>Patients with an AE were associated with higher illness severity and frailty scores. They were more commonly admitted after medical emergency team response calls and were less commonly elective ICU admissions. Those with an AE had longer ICU and in-hospital length of stay, and higher ICU and in-hospital mortality, on average</w:t>
            </w:r>
            <w:r>
              <w:rPr>
                <w:rFonts w:ascii="Garamond" w:hAnsi="Garamond"/>
                <w:lang w:val="en-AU"/>
              </w:rPr>
              <w:t>.’ Further, ‘</w:t>
            </w:r>
            <w:r w:rsidRPr="00B00242">
              <w:rPr>
                <w:rFonts w:ascii="Garamond" w:hAnsi="Garamond"/>
                <w:lang w:val="en-AU"/>
              </w:rPr>
              <w:t>After adjusting for ICU LOS and acute severity of illness, being admitted during a month of higher critical care nursing skill-mix was associated with a statistically significant lower odds of having a subsequent AE (OR 0.966 [95% CI: 0.944–0.988], p 0.003).</w:t>
            </w:r>
            <w:r>
              <w:rPr>
                <w:rFonts w:ascii="Garamond" w:hAnsi="Garamond"/>
                <w:lang w:val="en-AU"/>
              </w:rPr>
              <w:t>’</w:t>
            </w:r>
          </w:p>
        </w:tc>
      </w:tr>
    </w:tbl>
    <w:p w14:paraId="237FFF2F" w14:textId="77777777" w:rsidR="00B00242" w:rsidRDefault="00B00242" w:rsidP="00B00242">
      <w:pPr>
        <w:keepLines/>
        <w:autoSpaceDE w:val="0"/>
        <w:autoSpaceDN w:val="0"/>
        <w:adjustRightInd w:val="0"/>
        <w:rPr>
          <w:rFonts w:ascii="Garamond" w:hAnsi="Garamond"/>
          <w:lang w:val="en-AU"/>
        </w:rPr>
      </w:pPr>
    </w:p>
    <w:p w14:paraId="2A087809" w14:textId="77777777" w:rsidR="00DB0F56" w:rsidRPr="00DB0F56" w:rsidRDefault="00DB0F56" w:rsidP="00DB0F56">
      <w:pPr>
        <w:keepLines/>
        <w:autoSpaceDE w:val="0"/>
        <w:autoSpaceDN w:val="0"/>
        <w:adjustRightInd w:val="0"/>
        <w:rPr>
          <w:rFonts w:ascii="Garamond" w:hAnsi="Garamond"/>
          <w:i/>
          <w:iCs/>
          <w:lang w:val="en-AU"/>
        </w:rPr>
      </w:pPr>
      <w:r w:rsidRPr="00DB0F56">
        <w:rPr>
          <w:rFonts w:ascii="Garamond" w:hAnsi="Garamond"/>
          <w:i/>
          <w:iCs/>
          <w:lang w:val="en-AU"/>
        </w:rPr>
        <w:t>Patients admitted on weekends have higher in-hospital mortality than those admitted on weekdays: Analysis of national inpatient sample</w:t>
      </w:r>
    </w:p>
    <w:p w14:paraId="21FC5D96" w14:textId="77777777" w:rsidR="00DB0F56" w:rsidRDefault="00DB0F56" w:rsidP="00B40C58">
      <w:pPr>
        <w:keepLines/>
        <w:autoSpaceDE w:val="0"/>
        <w:autoSpaceDN w:val="0"/>
        <w:adjustRightInd w:val="0"/>
        <w:rPr>
          <w:rFonts w:ascii="Garamond" w:hAnsi="Garamond"/>
          <w:lang w:val="en-AU"/>
        </w:rPr>
      </w:pPr>
      <w:r w:rsidRPr="00DB0F56">
        <w:rPr>
          <w:rFonts w:ascii="Garamond" w:hAnsi="Garamond"/>
          <w:lang w:val="en-AU"/>
        </w:rPr>
        <w:t>Manadan A, Arora S, Whittier M, Edigin E, Kansal P</w:t>
      </w:r>
    </w:p>
    <w:p w14:paraId="260B04AD" w14:textId="35A4378D" w:rsidR="00B40C58" w:rsidRDefault="00DB0F56" w:rsidP="00B40C58">
      <w:pPr>
        <w:keepLines/>
        <w:autoSpaceDE w:val="0"/>
        <w:autoSpaceDN w:val="0"/>
        <w:adjustRightInd w:val="0"/>
        <w:rPr>
          <w:rFonts w:ascii="Garamond" w:hAnsi="Garamond"/>
          <w:lang w:val="en-AU"/>
        </w:rPr>
      </w:pPr>
      <w:r w:rsidRPr="00DB0F56">
        <w:rPr>
          <w:rFonts w:ascii="Garamond" w:hAnsi="Garamond"/>
          <w:lang w:val="en-AU"/>
        </w:rPr>
        <w:t>American Journal of Medicine Open. 2023;9:100028.</w:t>
      </w:r>
    </w:p>
    <w:tbl>
      <w:tblPr>
        <w:tblStyle w:val="TableGrid"/>
        <w:tblW w:w="9355" w:type="dxa"/>
        <w:tblInd w:w="279" w:type="dxa"/>
        <w:tblLayout w:type="fixed"/>
        <w:tblLook w:val="01E0" w:firstRow="1" w:lastRow="1" w:firstColumn="1" w:lastColumn="1" w:noHBand="0" w:noVBand="0"/>
      </w:tblPr>
      <w:tblGrid>
        <w:gridCol w:w="1276"/>
        <w:gridCol w:w="8079"/>
      </w:tblGrid>
      <w:tr w:rsidR="00B40C58" w:rsidRPr="000170DA" w14:paraId="20CEB1AF" w14:textId="77777777" w:rsidTr="004C4FB8">
        <w:tc>
          <w:tcPr>
            <w:tcW w:w="1276" w:type="dxa"/>
            <w:tcBorders>
              <w:top w:val="single" w:sz="4" w:space="0" w:color="auto"/>
              <w:left w:val="single" w:sz="4" w:space="0" w:color="auto"/>
              <w:bottom w:val="single" w:sz="4" w:space="0" w:color="auto"/>
              <w:right w:val="single" w:sz="4" w:space="0" w:color="auto"/>
            </w:tcBorders>
            <w:vAlign w:val="center"/>
          </w:tcPr>
          <w:p w14:paraId="0FBF2F4D" w14:textId="77777777" w:rsidR="00B40C58" w:rsidRPr="000170DA" w:rsidRDefault="00B40C58" w:rsidP="00D55037">
            <w:pPr>
              <w:keepNext/>
              <w:rPr>
                <w:rStyle w:val="Hyperlink"/>
                <w:rFonts w:ascii="Garamond" w:hAnsi="Garamond"/>
                <w:lang w:val="en-AU"/>
              </w:rPr>
            </w:pPr>
            <w:r>
              <w:rPr>
                <w:rFonts w:ascii="Garamond" w:hAnsi="Garamond"/>
                <w:lang w:val="en-AU"/>
              </w:rPr>
              <w:t>DOI</w:t>
            </w:r>
          </w:p>
        </w:tc>
        <w:tc>
          <w:tcPr>
            <w:tcW w:w="8079" w:type="dxa"/>
            <w:tcBorders>
              <w:top w:val="single" w:sz="4" w:space="0" w:color="auto"/>
              <w:left w:val="single" w:sz="4" w:space="0" w:color="auto"/>
              <w:bottom w:val="single" w:sz="4" w:space="0" w:color="auto"/>
              <w:right w:val="single" w:sz="4" w:space="0" w:color="auto"/>
            </w:tcBorders>
            <w:vAlign w:val="center"/>
          </w:tcPr>
          <w:p w14:paraId="34865745" w14:textId="4A4F3112" w:rsidR="00B40C58" w:rsidRPr="000170DA" w:rsidRDefault="00283FDA" w:rsidP="00D55037">
            <w:pPr>
              <w:keepNext/>
              <w:rPr>
                <w:rStyle w:val="Hyperlink"/>
                <w:rFonts w:ascii="Garamond" w:hAnsi="Garamond"/>
                <w:color w:val="auto"/>
                <w:u w:val="none"/>
                <w:lang w:val="en-AU"/>
              </w:rPr>
            </w:pPr>
            <w:hyperlink r:id="rId17" w:history="1">
              <w:r w:rsidR="00DB0F56" w:rsidRPr="00E46540">
                <w:rPr>
                  <w:rStyle w:val="Hyperlink"/>
                  <w:rFonts w:ascii="Garamond" w:hAnsi="Garamond"/>
                  <w:lang w:val="en-AU"/>
                </w:rPr>
                <w:t>https://doi.org/10.1016/j.ajmo.2022.100028</w:t>
              </w:r>
            </w:hyperlink>
          </w:p>
        </w:tc>
      </w:tr>
      <w:tr w:rsidR="00B40C58" w:rsidRPr="000170DA" w14:paraId="7766D029" w14:textId="77777777" w:rsidTr="004C4FB8">
        <w:tc>
          <w:tcPr>
            <w:tcW w:w="1276" w:type="dxa"/>
            <w:tcBorders>
              <w:top w:val="single" w:sz="4" w:space="0" w:color="auto"/>
              <w:left w:val="single" w:sz="4" w:space="0" w:color="auto"/>
              <w:bottom w:val="single" w:sz="4" w:space="0" w:color="auto"/>
              <w:right w:val="single" w:sz="4" w:space="0" w:color="auto"/>
            </w:tcBorders>
            <w:vAlign w:val="center"/>
          </w:tcPr>
          <w:p w14:paraId="34834238" w14:textId="77777777" w:rsidR="00B40C58" w:rsidRPr="000170DA" w:rsidRDefault="00B40C58" w:rsidP="00D55037">
            <w:pPr>
              <w:rPr>
                <w:rFonts w:ascii="Garamond" w:hAnsi="Garamond"/>
                <w:lang w:val="en-AU" w:eastAsia="en-AU"/>
              </w:rPr>
            </w:pPr>
            <w:r w:rsidRPr="000170DA">
              <w:rPr>
                <w:rFonts w:ascii="Garamond" w:hAnsi="Garamond"/>
                <w:lang w:val="en-AU" w:eastAsia="en-AU"/>
              </w:rPr>
              <w:t>Notes</w:t>
            </w:r>
          </w:p>
        </w:tc>
        <w:tc>
          <w:tcPr>
            <w:tcW w:w="8079" w:type="dxa"/>
            <w:tcBorders>
              <w:top w:val="single" w:sz="4" w:space="0" w:color="auto"/>
              <w:left w:val="single" w:sz="4" w:space="0" w:color="auto"/>
              <w:bottom w:val="single" w:sz="4" w:space="0" w:color="auto"/>
              <w:right w:val="single" w:sz="4" w:space="0" w:color="auto"/>
            </w:tcBorders>
            <w:vAlign w:val="center"/>
          </w:tcPr>
          <w:p w14:paraId="2A90284D" w14:textId="79F546CF" w:rsidR="00DB0F56" w:rsidRPr="00D0490E" w:rsidRDefault="00DB0F56" w:rsidP="00F571FA">
            <w:pPr>
              <w:rPr>
                <w:rFonts w:ascii="Garamond" w:hAnsi="Garamond"/>
                <w:lang w:val="en-AU"/>
              </w:rPr>
            </w:pPr>
            <w:r>
              <w:rPr>
                <w:rFonts w:ascii="Garamond" w:hAnsi="Garamond"/>
                <w:lang w:val="en-AU"/>
              </w:rPr>
              <w:t xml:space="preserve">The ‘weekend effect’ has been identified and debated for a long time. This paper reports on a US study that used a dataset covering more than 121 </w:t>
            </w:r>
            <w:r w:rsidRPr="00DB0F56">
              <w:rPr>
                <w:rFonts w:ascii="Garamond" w:hAnsi="Garamond"/>
                <w:lang w:val="en-AU"/>
              </w:rPr>
              <w:t>million adult hospital discharges from 2016 to 2019</w:t>
            </w:r>
            <w:r w:rsidR="00F571FA">
              <w:rPr>
                <w:rFonts w:ascii="Garamond" w:hAnsi="Garamond"/>
                <w:lang w:val="en-AU"/>
              </w:rPr>
              <w:t xml:space="preserve">. The authors reported that their multivariable analysis </w:t>
            </w:r>
            <w:r w:rsidR="00F571FA" w:rsidRPr="00F571FA">
              <w:rPr>
                <w:rFonts w:ascii="Garamond" w:hAnsi="Garamond"/>
                <w:lang w:val="en-AU"/>
              </w:rPr>
              <w:t xml:space="preserve">showed </w:t>
            </w:r>
            <w:r w:rsidR="00F571FA">
              <w:rPr>
                <w:rFonts w:ascii="Garamond" w:hAnsi="Garamond"/>
                <w:lang w:val="en-AU"/>
              </w:rPr>
              <w:t xml:space="preserve">a number of </w:t>
            </w:r>
            <w:r w:rsidR="00F571FA" w:rsidRPr="00F571FA">
              <w:rPr>
                <w:rFonts w:ascii="Garamond" w:hAnsi="Garamond"/>
                <w:lang w:val="en-AU"/>
              </w:rPr>
              <w:t>variables were associated with higher in-hospital death</w:t>
            </w:r>
            <w:r w:rsidR="00F571FA">
              <w:rPr>
                <w:rFonts w:ascii="Garamond" w:hAnsi="Garamond"/>
                <w:lang w:val="en-AU"/>
              </w:rPr>
              <w:t>, including</w:t>
            </w:r>
            <w:r w:rsidR="00F571FA" w:rsidRPr="00F571FA">
              <w:rPr>
                <w:rFonts w:ascii="Garamond" w:hAnsi="Garamond"/>
                <w:lang w:val="en-AU"/>
              </w:rPr>
              <w:t xml:space="preserve"> </w:t>
            </w:r>
            <w:r w:rsidR="00F571FA">
              <w:rPr>
                <w:rFonts w:ascii="Garamond" w:hAnsi="Garamond"/>
                <w:lang w:val="en-AU"/>
              </w:rPr>
              <w:t>a</w:t>
            </w:r>
            <w:r w:rsidR="00F571FA" w:rsidRPr="00F571FA">
              <w:rPr>
                <w:rFonts w:ascii="Garamond" w:hAnsi="Garamond"/>
                <w:lang w:val="en-AU"/>
              </w:rPr>
              <w:t>ge, Charlson Comorbidity Index, male, income, non-elective admission</w:t>
            </w:r>
            <w:r w:rsidR="00F571FA">
              <w:rPr>
                <w:rFonts w:ascii="Garamond" w:hAnsi="Garamond"/>
                <w:lang w:val="en-AU"/>
              </w:rPr>
              <w:t xml:space="preserve"> </w:t>
            </w:r>
            <w:r w:rsidR="00F571FA" w:rsidRPr="00F571FA">
              <w:rPr>
                <w:rFonts w:ascii="Garamond" w:hAnsi="Garamond"/>
                <w:lang w:val="en-AU"/>
              </w:rPr>
              <w:t xml:space="preserve">and weekend admission. </w:t>
            </w:r>
            <w:r w:rsidR="00F571FA">
              <w:rPr>
                <w:rFonts w:ascii="Garamond" w:hAnsi="Garamond"/>
                <w:lang w:val="en-AU"/>
              </w:rPr>
              <w:t>They also report that the p</w:t>
            </w:r>
            <w:r w:rsidR="00F571FA" w:rsidRPr="00F571FA">
              <w:rPr>
                <w:rFonts w:ascii="Garamond" w:hAnsi="Garamond"/>
                <w:lang w:val="en-AU"/>
              </w:rPr>
              <w:t>ercentage of deaths for weekend versus weekday admissions was 2.7% versus 2.1%</w:t>
            </w:r>
            <w:r w:rsidR="00F571FA">
              <w:rPr>
                <w:rFonts w:ascii="Garamond" w:hAnsi="Garamond"/>
                <w:lang w:val="en-AU"/>
              </w:rPr>
              <w:t>, and that f</w:t>
            </w:r>
            <w:r w:rsidR="00F571FA" w:rsidRPr="00F571FA">
              <w:rPr>
                <w:rFonts w:ascii="Garamond" w:hAnsi="Garamond"/>
                <w:lang w:val="en-AU"/>
              </w:rPr>
              <w:t>ewer procedures were done in first 24 hours of weekend admissions when compared to weekday admissions (34.8% vs 46.8%1).</w:t>
            </w:r>
          </w:p>
        </w:tc>
      </w:tr>
    </w:tbl>
    <w:p w14:paraId="3E4CABF5" w14:textId="77777777" w:rsidR="00B40C58" w:rsidRDefault="00B40C58" w:rsidP="00B40C58">
      <w:pPr>
        <w:keepLines/>
        <w:autoSpaceDE w:val="0"/>
        <w:autoSpaceDN w:val="0"/>
        <w:adjustRightInd w:val="0"/>
        <w:rPr>
          <w:rFonts w:ascii="Garamond" w:hAnsi="Garamond"/>
          <w:lang w:val="en-AU"/>
        </w:rPr>
      </w:pPr>
    </w:p>
    <w:p w14:paraId="2683B226" w14:textId="4750CFA3" w:rsidR="00FC61E7" w:rsidRPr="00360A31" w:rsidRDefault="00360A31" w:rsidP="00FC61E7">
      <w:pPr>
        <w:keepLines/>
        <w:autoSpaceDE w:val="0"/>
        <w:autoSpaceDN w:val="0"/>
        <w:adjustRightInd w:val="0"/>
        <w:rPr>
          <w:rFonts w:ascii="Garamond" w:hAnsi="Garamond"/>
          <w:i/>
          <w:iCs/>
          <w:lang w:val="en-AU"/>
        </w:rPr>
      </w:pPr>
      <w:r w:rsidRPr="00360A31">
        <w:rPr>
          <w:rFonts w:ascii="Garamond" w:hAnsi="Garamond"/>
          <w:i/>
          <w:iCs/>
          <w:lang w:val="en-AU"/>
        </w:rPr>
        <w:t>Incidence and Outcomes of Non–Ventilator-Associated Hospital-Acquired Pneumonia in 284 US Hospitals Using Electronic Surveillance Criteria</w:t>
      </w:r>
    </w:p>
    <w:p w14:paraId="73C0EF1A" w14:textId="77777777" w:rsidR="00360A31" w:rsidRDefault="00360A31" w:rsidP="00FC61E7">
      <w:pPr>
        <w:keepLines/>
        <w:autoSpaceDE w:val="0"/>
        <w:autoSpaceDN w:val="0"/>
        <w:adjustRightInd w:val="0"/>
        <w:rPr>
          <w:rFonts w:ascii="Garamond" w:hAnsi="Garamond"/>
          <w:lang w:val="en-AU"/>
        </w:rPr>
      </w:pPr>
      <w:r w:rsidRPr="00360A31">
        <w:rPr>
          <w:rFonts w:ascii="Garamond" w:hAnsi="Garamond"/>
          <w:lang w:val="en-AU"/>
        </w:rPr>
        <w:t>Jones BE, Sarvet AL, Ying J, Jin R, Nevers MR, Stern SE, et al</w:t>
      </w:r>
    </w:p>
    <w:p w14:paraId="023A879F" w14:textId="0849013B" w:rsidR="00360A31" w:rsidRDefault="00360A31" w:rsidP="00FC61E7">
      <w:pPr>
        <w:keepLines/>
        <w:autoSpaceDE w:val="0"/>
        <w:autoSpaceDN w:val="0"/>
        <w:adjustRightInd w:val="0"/>
        <w:rPr>
          <w:rFonts w:ascii="Garamond" w:hAnsi="Garamond"/>
          <w:lang w:val="en-AU"/>
        </w:rPr>
      </w:pPr>
      <w:r w:rsidRPr="00360A31">
        <w:rPr>
          <w:rFonts w:ascii="Garamond" w:hAnsi="Garamond"/>
          <w:lang w:val="en-AU"/>
        </w:rPr>
        <w:t>JAMA Network Open. 2023;6(5):e2314185-e2314185.</w:t>
      </w:r>
    </w:p>
    <w:tbl>
      <w:tblPr>
        <w:tblStyle w:val="TableGrid"/>
        <w:tblW w:w="9360" w:type="dxa"/>
        <w:tblInd w:w="288" w:type="dxa"/>
        <w:tblLayout w:type="fixed"/>
        <w:tblLook w:val="01E0" w:firstRow="1" w:lastRow="1" w:firstColumn="1" w:lastColumn="1" w:noHBand="0" w:noVBand="0"/>
      </w:tblPr>
      <w:tblGrid>
        <w:gridCol w:w="1080"/>
        <w:gridCol w:w="8280"/>
      </w:tblGrid>
      <w:tr w:rsidR="00FC61E7" w:rsidRPr="000170DA" w14:paraId="7620040F" w14:textId="77777777" w:rsidTr="00AE0922">
        <w:tc>
          <w:tcPr>
            <w:tcW w:w="1080" w:type="dxa"/>
            <w:tcBorders>
              <w:top w:val="single" w:sz="4" w:space="0" w:color="auto"/>
              <w:left w:val="single" w:sz="4" w:space="0" w:color="auto"/>
              <w:bottom w:val="single" w:sz="4" w:space="0" w:color="auto"/>
              <w:right w:val="single" w:sz="4" w:space="0" w:color="auto"/>
            </w:tcBorders>
            <w:vAlign w:val="center"/>
          </w:tcPr>
          <w:p w14:paraId="25561F48" w14:textId="77777777" w:rsidR="00FC61E7" w:rsidRPr="000170DA" w:rsidRDefault="00FC61E7" w:rsidP="00AE092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3FAC337" w14:textId="12379074" w:rsidR="00FC61E7" w:rsidRPr="000170DA" w:rsidRDefault="00283FDA" w:rsidP="00AE0922">
            <w:pPr>
              <w:keepNext/>
              <w:rPr>
                <w:rStyle w:val="Hyperlink"/>
                <w:rFonts w:ascii="Garamond" w:hAnsi="Garamond"/>
                <w:color w:val="auto"/>
                <w:u w:val="none"/>
                <w:lang w:val="en-AU"/>
              </w:rPr>
            </w:pPr>
            <w:hyperlink r:id="rId18" w:history="1">
              <w:r w:rsidR="00822C2E" w:rsidRPr="003F190C">
                <w:rPr>
                  <w:rStyle w:val="Hyperlink"/>
                  <w:rFonts w:ascii="Garamond" w:hAnsi="Garamond"/>
                  <w:lang w:val="en-AU"/>
                </w:rPr>
                <w:t>https://doi.org/10.1001/jamanetworkopen.2023.14185</w:t>
              </w:r>
            </w:hyperlink>
          </w:p>
        </w:tc>
      </w:tr>
      <w:tr w:rsidR="00FC61E7" w:rsidRPr="000170DA" w14:paraId="52E645E4" w14:textId="77777777" w:rsidTr="00AE0922">
        <w:tc>
          <w:tcPr>
            <w:tcW w:w="1080" w:type="dxa"/>
            <w:tcBorders>
              <w:top w:val="single" w:sz="4" w:space="0" w:color="auto"/>
              <w:left w:val="single" w:sz="4" w:space="0" w:color="auto"/>
              <w:bottom w:val="single" w:sz="4" w:space="0" w:color="auto"/>
              <w:right w:val="single" w:sz="4" w:space="0" w:color="auto"/>
            </w:tcBorders>
            <w:vAlign w:val="center"/>
          </w:tcPr>
          <w:p w14:paraId="4548AB69" w14:textId="77777777" w:rsidR="00FC61E7" w:rsidRPr="000170DA" w:rsidRDefault="00FC61E7" w:rsidP="00AE092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FE4ADA5" w14:textId="2EA45D77" w:rsidR="00FC61E7" w:rsidRPr="00D0490E" w:rsidRDefault="00C24CF6" w:rsidP="00AE0922">
            <w:pPr>
              <w:rPr>
                <w:rFonts w:ascii="Garamond" w:hAnsi="Garamond"/>
                <w:lang w:val="en-AU"/>
              </w:rPr>
            </w:pPr>
            <w:r>
              <w:rPr>
                <w:rFonts w:ascii="Garamond" w:hAnsi="Garamond"/>
                <w:lang w:val="en-AU"/>
              </w:rPr>
              <w:t xml:space="preserve">This </w:t>
            </w:r>
            <w:r w:rsidRPr="00C24CF6">
              <w:rPr>
                <w:rFonts w:ascii="Garamond" w:hAnsi="Garamond"/>
                <w:lang w:val="en-AU"/>
              </w:rPr>
              <w:t>retrospective cohort analysis of 284 hospitals</w:t>
            </w:r>
            <w:r>
              <w:rPr>
                <w:rFonts w:ascii="Garamond" w:hAnsi="Garamond"/>
                <w:lang w:val="en-AU"/>
              </w:rPr>
              <w:t xml:space="preserve"> covering </w:t>
            </w:r>
            <w:r w:rsidRPr="00C24CF6">
              <w:rPr>
                <w:rFonts w:ascii="Garamond" w:hAnsi="Garamond"/>
                <w:lang w:val="en-AU"/>
              </w:rPr>
              <w:t>6</w:t>
            </w:r>
            <w:r w:rsidRPr="00C24CF6">
              <w:rPr>
                <w:lang w:val="en-AU"/>
              </w:rPr>
              <w:t> </w:t>
            </w:r>
            <w:r w:rsidRPr="00C24CF6">
              <w:rPr>
                <w:rFonts w:ascii="Garamond" w:hAnsi="Garamond"/>
                <w:lang w:val="en-AU"/>
              </w:rPr>
              <w:t>022</w:t>
            </w:r>
            <w:r w:rsidRPr="00C24CF6">
              <w:rPr>
                <w:lang w:val="en-AU"/>
              </w:rPr>
              <w:t> </w:t>
            </w:r>
            <w:r w:rsidRPr="00C24CF6">
              <w:rPr>
                <w:rFonts w:ascii="Garamond" w:hAnsi="Garamond"/>
                <w:lang w:val="en-AU"/>
              </w:rPr>
              <w:t>185 hospitalizations</w:t>
            </w:r>
            <w:r>
              <w:rPr>
                <w:rFonts w:ascii="Garamond" w:hAnsi="Garamond"/>
                <w:lang w:val="en-AU"/>
              </w:rPr>
              <w:t xml:space="preserve"> sought to examine the ‘</w:t>
            </w:r>
            <w:r w:rsidRPr="00C24CF6">
              <w:rPr>
                <w:rFonts w:ascii="Garamond" w:hAnsi="Garamond"/>
                <w:lang w:val="en-AU"/>
              </w:rPr>
              <w:t>incidence and mortality burden of non–ventilator-associated hospital-acquired pneumonia (NV-HAP) in US hospitals</w:t>
            </w:r>
            <w:r>
              <w:rPr>
                <w:rFonts w:ascii="Garamond" w:hAnsi="Garamond"/>
                <w:lang w:val="en-AU"/>
              </w:rPr>
              <w:t>’. Among this approximately 6 million patients, the authors report that ‘</w:t>
            </w:r>
            <w:r w:rsidRPr="00C24CF6">
              <w:rPr>
                <w:rFonts w:ascii="Garamond" w:hAnsi="Garamond"/>
                <w:lang w:val="en-AU"/>
              </w:rPr>
              <w:t>there were 32</w:t>
            </w:r>
            <w:r w:rsidRPr="00C24CF6">
              <w:rPr>
                <w:lang w:val="en-AU"/>
              </w:rPr>
              <w:t> </w:t>
            </w:r>
            <w:r w:rsidRPr="00C24CF6">
              <w:rPr>
                <w:rFonts w:ascii="Garamond" w:hAnsi="Garamond"/>
                <w:lang w:val="en-AU"/>
              </w:rPr>
              <w:t>797 NV-HAP events (0.55 per 100 admissions [95% CI, 0.54-0.55] per 100 admissions and 0.96 per 1000 patient-days [95% CI, 0.95-0.97] per 1000 patient-days).</w:t>
            </w:r>
            <w:r>
              <w:rPr>
                <w:rFonts w:ascii="Garamond" w:hAnsi="Garamond"/>
                <w:lang w:val="en-AU"/>
              </w:rPr>
              <w:t>’ Further, the authors also found ‘</w:t>
            </w:r>
            <w:r w:rsidRPr="00C24CF6">
              <w:rPr>
                <w:rFonts w:ascii="Garamond" w:hAnsi="Garamond"/>
                <w:lang w:val="en-AU"/>
              </w:rPr>
              <w:t>inpatient mortality of 22.4%, and an additional 8.0% discharged to hospice. NV-HAP may account for an estimated 7.3% of all hospital deaths.</w:t>
            </w:r>
            <w:r>
              <w:rPr>
                <w:rFonts w:ascii="Garamond" w:hAnsi="Garamond"/>
                <w:lang w:val="en-AU"/>
              </w:rPr>
              <w:t>’</w:t>
            </w:r>
            <w:r w:rsidR="0060527B">
              <w:rPr>
                <w:rFonts w:ascii="Garamond" w:hAnsi="Garamond"/>
                <w:lang w:val="en-AU"/>
              </w:rPr>
              <w:t xml:space="preserve"> This cohort included Veterans Health Administration hospitals and had ‘</w:t>
            </w:r>
            <w:r w:rsidR="0060527B" w:rsidRPr="0060527B">
              <w:rPr>
                <w:rFonts w:ascii="Garamond" w:hAnsi="Garamond"/>
                <w:lang w:val="en-AU"/>
              </w:rPr>
              <w:t>median [IQR] age, 66 [54-75] years</w:t>
            </w:r>
            <w:r w:rsidR="0060527B">
              <w:rPr>
                <w:rFonts w:ascii="Garamond" w:hAnsi="Garamond"/>
                <w:lang w:val="en-AU"/>
              </w:rPr>
              <w:t>’.</w:t>
            </w:r>
          </w:p>
        </w:tc>
      </w:tr>
    </w:tbl>
    <w:p w14:paraId="67142972" w14:textId="77777777" w:rsidR="00FC61E7" w:rsidRDefault="00FC61E7" w:rsidP="00FC61E7">
      <w:pPr>
        <w:keepLines/>
        <w:autoSpaceDE w:val="0"/>
        <w:autoSpaceDN w:val="0"/>
        <w:adjustRightInd w:val="0"/>
        <w:rPr>
          <w:rFonts w:ascii="Garamond" w:hAnsi="Garamond"/>
          <w:lang w:val="en-AU"/>
        </w:rPr>
      </w:pPr>
    </w:p>
    <w:p w14:paraId="0B86F0A8" w14:textId="26B8F606" w:rsidR="00FC61E7" w:rsidRPr="00360A31" w:rsidRDefault="00360A31" w:rsidP="0060527B">
      <w:pPr>
        <w:keepNext/>
        <w:keepLines/>
        <w:autoSpaceDE w:val="0"/>
        <w:autoSpaceDN w:val="0"/>
        <w:adjustRightInd w:val="0"/>
        <w:rPr>
          <w:rFonts w:ascii="Garamond" w:hAnsi="Garamond"/>
          <w:i/>
          <w:iCs/>
          <w:lang w:val="en-AU"/>
        </w:rPr>
      </w:pPr>
      <w:r w:rsidRPr="00360A31">
        <w:rPr>
          <w:rFonts w:ascii="Garamond" w:hAnsi="Garamond"/>
          <w:i/>
          <w:iCs/>
          <w:lang w:val="en-AU"/>
        </w:rPr>
        <w:lastRenderedPageBreak/>
        <w:t>Learning from experience: a qualitative study of surgeons’ perspectives on reporting and dealing with serious adverse events</w:t>
      </w:r>
    </w:p>
    <w:p w14:paraId="743C3474" w14:textId="77777777" w:rsidR="00822C2E" w:rsidRDefault="00822C2E" w:rsidP="0060527B">
      <w:pPr>
        <w:keepNext/>
        <w:keepLines/>
        <w:autoSpaceDE w:val="0"/>
        <w:autoSpaceDN w:val="0"/>
        <w:adjustRightInd w:val="0"/>
        <w:rPr>
          <w:rFonts w:ascii="Garamond" w:hAnsi="Garamond"/>
          <w:lang w:val="en-AU"/>
        </w:rPr>
      </w:pPr>
      <w:r w:rsidRPr="00822C2E">
        <w:rPr>
          <w:rFonts w:ascii="Garamond" w:hAnsi="Garamond"/>
          <w:lang w:val="en-AU"/>
        </w:rPr>
        <w:t>Øyri SF, Søreide K, Søreide E, Tjomsland O</w:t>
      </w:r>
    </w:p>
    <w:p w14:paraId="20C31B19" w14:textId="02A44D75" w:rsidR="00360A31" w:rsidRDefault="00822C2E" w:rsidP="00FC61E7">
      <w:pPr>
        <w:keepLines/>
        <w:autoSpaceDE w:val="0"/>
        <w:autoSpaceDN w:val="0"/>
        <w:adjustRightInd w:val="0"/>
        <w:rPr>
          <w:rFonts w:ascii="Garamond" w:hAnsi="Garamond"/>
          <w:lang w:val="en-AU"/>
        </w:rPr>
      </w:pPr>
      <w:r w:rsidRPr="00822C2E">
        <w:rPr>
          <w:rFonts w:ascii="Garamond" w:hAnsi="Garamond"/>
          <w:lang w:val="en-AU"/>
        </w:rPr>
        <w:t>BMJ Open Quality. 2023;12(2):e002368.</w:t>
      </w:r>
    </w:p>
    <w:tbl>
      <w:tblPr>
        <w:tblStyle w:val="TableGrid"/>
        <w:tblW w:w="9360" w:type="dxa"/>
        <w:tblInd w:w="288" w:type="dxa"/>
        <w:tblLayout w:type="fixed"/>
        <w:tblLook w:val="01E0" w:firstRow="1" w:lastRow="1" w:firstColumn="1" w:lastColumn="1" w:noHBand="0" w:noVBand="0"/>
      </w:tblPr>
      <w:tblGrid>
        <w:gridCol w:w="1080"/>
        <w:gridCol w:w="8280"/>
      </w:tblGrid>
      <w:tr w:rsidR="00FC61E7" w:rsidRPr="000170DA" w14:paraId="452FE5B8" w14:textId="77777777" w:rsidTr="00AE0922">
        <w:tc>
          <w:tcPr>
            <w:tcW w:w="1080" w:type="dxa"/>
            <w:tcBorders>
              <w:top w:val="single" w:sz="4" w:space="0" w:color="auto"/>
              <w:left w:val="single" w:sz="4" w:space="0" w:color="auto"/>
              <w:bottom w:val="single" w:sz="4" w:space="0" w:color="auto"/>
              <w:right w:val="single" w:sz="4" w:space="0" w:color="auto"/>
            </w:tcBorders>
            <w:vAlign w:val="center"/>
          </w:tcPr>
          <w:p w14:paraId="52CB0245" w14:textId="77777777" w:rsidR="00FC61E7" w:rsidRPr="000170DA" w:rsidRDefault="00FC61E7" w:rsidP="00AE092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122F578" w14:textId="77ED6E89" w:rsidR="00FC61E7" w:rsidRPr="000170DA" w:rsidRDefault="00283FDA" w:rsidP="00AE0922">
            <w:pPr>
              <w:keepNext/>
              <w:rPr>
                <w:rStyle w:val="Hyperlink"/>
                <w:rFonts w:ascii="Garamond" w:hAnsi="Garamond"/>
                <w:color w:val="auto"/>
                <w:u w:val="none"/>
                <w:lang w:val="en-AU"/>
              </w:rPr>
            </w:pPr>
            <w:hyperlink r:id="rId19" w:history="1">
              <w:r w:rsidR="00822C2E" w:rsidRPr="003F190C">
                <w:rPr>
                  <w:rStyle w:val="Hyperlink"/>
                  <w:rFonts w:ascii="Garamond" w:hAnsi="Garamond"/>
                  <w:lang w:val="en-AU"/>
                </w:rPr>
                <w:t>https://dx.doi.org/10.1136/bmjoq-2023-002368</w:t>
              </w:r>
            </w:hyperlink>
          </w:p>
        </w:tc>
      </w:tr>
      <w:tr w:rsidR="00FC61E7" w:rsidRPr="000170DA" w14:paraId="21F00D22" w14:textId="77777777" w:rsidTr="00AE0922">
        <w:tc>
          <w:tcPr>
            <w:tcW w:w="1080" w:type="dxa"/>
            <w:tcBorders>
              <w:top w:val="single" w:sz="4" w:space="0" w:color="auto"/>
              <w:left w:val="single" w:sz="4" w:space="0" w:color="auto"/>
              <w:bottom w:val="single" w:sz="4" w:space="0" w:color="auto"/>
              <w:right w:val="single" w:sz="4" w:space="0" w:color="auto"/>
            </w:tcBorders>
            <w:vAlign w:val="center"/>
          </w:tcPr>
          <w:p w14:paraId="598C979D" w14:textId="77777777" w:rsidR="00FC61E7" w:rsidRPr="000170DA" w:rsidRDefault="00FC61E7" w:rsidP="00AE092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1A13EBA" w14:textId="16FCA1F4" w:rsidR="00360A31" w:rsidRPr="00D0490E" w:rsidRDefault="00360A31" w:rsidP="00074061">
            <w:pPr>
              <w:rPr>
                <w:rFonts w:ascii="Garamond" w:hAnsi="Garamond"/>
                <w:lang w:val="en-AU"/>
              </w:rPr>
            </w:pPr>
            <w:r>
              <w:rPr>
                <w:rFonts w:ascii="Garamond" w:hAnsi="Garamond"/>
                <w:lang w:val="en-AU"/>
              </w:rPr>
              <w:t>Paper reporting on a survey of Norwegian surgeons and their experiences of serious adverse events.</w:t>
            </w:r>
            <w:r w:rsidR="0060527B">
              <w:rPr>
                <w:rFonts w:ascii="Garamond" w:hAnsi="Garamond"/>
                <w:lang w:val="en-AU"/>
              </w:rPr>
              <w:t xml:space="preserve"> The study aimed ‘</w:t>
            </w:r>
            <w:r w:rsidR="0060527B" w:rsidRPr="0060527B">
              <w:rPr>
                <w:rFonts w:ascii="Garamond" w:hAnsi="Garamond"/>
                <w:lang w:val="en-AU"/>
              </w:rPr>
              <w:t>to investigate facilitators and barriers to transparency around, reporting of and learning from serious adverse events among surgeons</w:t>
            </w:r>
            <w:r w:rsidR="0060527B">
              <w:rPr>
                <w:rFonts w:ascii="Garamond" w:hAnsi="Garamond"/>
                <w:lang w:val="en-AU"/>
              </w:rPr>
              <w:t xml:space="preserve">.’ The analyses of the results of the </w:t>
            </w:r>
            <w:r w:rsidR="0060527B" w:rsidRPr="0060527B">
              <w:rPr>
                <w:rFonts w:ascii="Garamond" w:hAnsi="Garamond"/>
                <w:lang w:val="en-AU"/>
              </w:rPr>
              <w:t>semi</w:t>
            </w:r>
            <w:r w:rsidR="0060527B">
              <w:rPr>
                <w:rFonts w:ascii="Garamond" w:hAnsi="Garamond"/>
                <w:lang w:val="en-AU"/>
              </w:rPr>
              <w:t>-</w:t>
            </w:r>
            <w:r w:rsidR="0060527B" w:rsidRPr="0060527B">
              <w:rPr>
                <w:rFonts w:ascii="Garamond" w:hAnsi="Garamond"/>
                <w:lang w:val="en-AU"/>
              </w:rPr>
              <w:t>structured interviews</w:t>
            </w:r>
            <w:r w:rsidR="0060527B">
              <w:rPr>
                <w:rFonts w:ascii="Garamond" w:hAnsi="Garamond"/>
                <w:lang w:val="en-AU"/>
              </w:rPr>
              <w:t xml:space="preserve"> revealed a number of themes, including </w:t>
            </w:r>
            <w:r w:rsidR="0060527B" w:rsidRPr="0060527B">
              <w:rPr>
                <w:rFonts w:ascii="Garamond" w:hAnsi="Garamond"/>
                <w:lang w:val="en-AU"/>
              </w:rPr>
              <w:t xml:space="preserve">Individual </w:t>
            </w:r>
            <w:r w:rsidR="0060527B">
              <w:rPr>
                <w:rFonts w:ascii="Garamond" w:hAnsi="Garamond"/>
                <w:lang w:val="en-AU"/>
              </w:rPr>
              <w:t xml:space="preserve">and structural </w:t>
            </w:r>
            <w:r w:rsidR="0060527B" w:rsidRPr="0060527B">
              <w:rPr>
                <w:rFonts w:ascii="Garamond" w:hAnsi="Garamond"/>
                <w:lang w:val="en-AU"/>
              </w:rPr>
              <w:t>factors influencing serious adverse events</w:t>
            </w:r>
            <w:r w:rsidR="0060527B">
              <w:rPr>
                <w:rFonts w:ascii="Garamond" w:hAnsi="Garamond"/>
                <w:lang w:val="en-AU"/>
              </w:rPr>
              <w:t xml:space="preserve"> and positive and n</w:t>
            </w:r>
            <w:r w:rsidR="0060527B" w:rsidRPr="0060527B">
              <w:rPr>
                <w:rFonts w:ascii="Garamond" w:hAnsi="Garamond"/>
                <w:lang w:val="en-AU"/>
              </w:rPr>
              <w:t>egative implications of transparency</w:t>
            </w:r>
            <w:r w:rsidR="0060527B">
              <w:rPr>
                <w:rFonts w:ascii="Garamond" w:hAnsi="Garamond"/>
                <w:lang w:val="en-AU"/>
              </w:rPr>
              <w:t xml:space="preserve">. </w:t>
            </w:r>
            <w:r w:rsidR="00074061">
              <w:rPr>
                <w:rFonts w:ascii="Garamond" w:hAnsi="Garamond"/>
                <w:lang w:val="en-AU"/>
              </w:rPr>
              <w:t xml:space="preserve">The </w:t>
            </w:r>
            <w:r w:rsidR="00EA1EE2">
              <w:rPr>
                <w:rFonts w:ascii="Garamond" w:hAnsi="Garamond"/>
                <w:lang w:val="en-AU"/>
              </w:rPr>
              <w:t>authors</w:t>
            </w:r>
            <w:r w:rsidR="00074061">
              <w:rPr>
                <w:rFonts w:ascii="Garamond" w:hAnsi="Garamond"/>
                <w:lang w:val="en-AU"/>
              </w:rPr>
              <w:t xml:space="preserve"> consider that ‘</w:t>
            </w:r>
            <w:r w:rsidR="00074061" w:rsidRPr="00074061">
              <w:rPr>
                <w:rFonts w:ascii="Garamond" w:hAnsi="Garamond"/>
                <w:lang w:val="en-AU"/>
              </w:rPr>
              <w:t>transparency associated with serious adverse events is hampered by concerns at both personal and professional levels among surgeons</w:t>
            </w:r>
            <w:r w:rsidR="00074061">
              <w:rPr>
                <w:rFonts w:ascii="Garamond" w:hAnsi="Garamond"/>
                <w:lang w:val="en-AU"/>
              </w:rPr>
              <w:t>’ and that the ‘</w:t>
            </w:r>
            <w:r w:rsidR="00074061" w:rsidRPr="00074061">
              <w:rPr>
                <w:rFonts w:ascii="Garamond" w:hAnsi="Garamond"/>
                <w:lang w:val="en-AU"/>
              </w:rPr>
              <w:t>results emphasise the importance of improved systemic learning and the need for structural changes; it is crucial to increase the focus on education and training curriculums and offer advice on coping strategies and establish arenas for safe discussions after serious adverse events.</w:t>
            </w:r>
            <w:r w:rsidR="00074061">
              <w:rPr>
                <w:rFonts w:ascii="Garamond" w:hAnsi="Garamond"/>
                <w:lang w:val="en-AU"/>
              </w:rPr>
              <w:t>’</w:t>
            </w:r>
          </w:p>
        </w:tc>
      </w:tr>
    </w:tbl>
    <w:p w14:paraId="1134A799" w14:textId="77777777" w:rsidR="00FC61E7" w:rsidRDefault="00FC61E7" w:rsidP="00FC61E7">
      <w:pPr>
        <w:keepLines/>
        <w:autoSpaceDE w:val="0"/>
        <w:autoSpaceDN w:val="0"/>
        <w:adjustRightInd w:val="0"/>
        <w:rPr>
          <w:rFonts w:ascii="Garamond" w:hAnsi="Garamond"/>
          <w:lang w:val="en-AU"/>
        </w:rPr>
      </w:pPr>
    </w:p>
    <w:p w14:paraId="3FA3F0C2" w14:textId="77777777" w:rsidR="00302F39" w:rsidRDefault="00302F39" w:rsidP="00302F39">
      <w:pPr>
        <w:keepNext/>
        <w:rPr>
          <w:rFonts w:ascii="Garamond" w:hAnsi="Garamond"/>
          <w:i/>
          <w:lang w:val="en-AU"/>
        </w:rPr>
      </w:pPr>
      <w:r>
        <w:rPr>
          <w:rFonts w:ascii="Garamond" w:hAnsi="Garamond"/>
          <w:i/>
          <w:lang w:val="en-AU"/>
        </w:rPr>
        <w:t>Health Affairs</w:t>
      </w:r>
    </w:p>
    <w:p w14:paraId="0F582922" w14:textId="5BC61731" w:rsidR="00302F39" w:rsidRDefault="00302F39" w:rsidP="00302F39">
      <w:pPr>
        <w:keepNext/>
        <w:rPr>
          <w:rFonts w:ascii="Garamond" w:hAnsi="Garamond"/>
          <w:lang w:val="en-AU"/>
        </w:rPr>
      </w:pPr>
      <w:r>
        <w:rPr>
          <w:rFonts w:ascii="Garamond" w:hAnsi="Garamond"/>
          <w:lang w:val="en-AU"/>
        </w:rPr>
        <w:t>Volume 42, Number 6, June 2023</w:t>
      </w:r>
    </w:p>
    <w:tbl>
      <w:tblPr>
        <w:tblStyle w:val="TableGrid"/>
        <w:tblW w:w="9360" w:type="dxa"/>
        <w:tblInd w:w="288" w:type="dxa"/>
        <w:tblLayout w:type="fixed"/>
        <w:tblLook w:val="01E0" w:firstRow="1" w:lastRow="1" w:firstColumn="1" w:lastColumn="1" w:noHBand="0" w:noVBand="0"/>
      </w:tblPr>
      <w:tblGrid>
        <w:gridCol w:w="1080"/>
        <w:gridCol w:w="8280"/>
      </w:tblGrid>
      <w:tr w:rsidR="00302F39" w14:paraId="4FC1A3DB" w14:textId="77777777" w:rsidTr="00FD4958">
        <w:tc>
          <w:tcPr>
            <w:tcW w:w="1080" w:type="dxa"/>
            <w:tcBorders>
              <w:top w:val="single" w:sz="4" w:space="0" w:color="auto"/>
              <w:left w:val="single" w:sz="4" w:space="0" w:color="auto"/>
              <w:bottom w:val="single" w:sz="4" w:space="0" w:color="auto"/>
              <w:right w:val="single" w:sz="4" w:space="0" w:color="auto"/>
            </w:tcBorders>
            <w:vAlign w:val="center"/>
            <w:hideMark/>
          </w:tcPr>
          <w:p w14:paraId="442EAAFC" w14:textId="77777777" w:rsidR="00302F39" w:rsidRDefault="00302F39" w:rsidP="00FD4958">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D6250C6" w14:textId="0CC83453" w:rsidR="00302F39" w:rsidRDefault="00283FDA" w:rsidP="00302F39">
            <w:pPr>
              <w:rPr>
                <w:rStyle w:val="Hyperlink"/>
                <w:rFonts w:ascii="Garamond" w:hAnsi="Garamond"/>
                <w:color w:val="auto"/>
                <w:u w:val="none"/>
                <w:lang w:val="en-AU"/>
              </w:rPr>
            </w:pPr>
            <w:hyperlink r:id="rId20" w:history="1">
              <w:r w:rsidR="00302F39" w:rsidRPr="00154FFF">
                <w:rPr>
                  <w:rStyle w:val="Hyperlink"/>
                  <w:rFonts w:ascii="Garamond" w:hAnsi="Garamond"/>
                  <w:lang w:val="en-AU"/>
                </w:rPr>
                <w:t>https://www.healthaffairs.org/toc/hlthaff/42/6</w:t>
              </w:r>
            </w:hyperlink>
          </w:p>
        </w:tc>
      </w:tr>
      <w:tr w:rsidR="00302F39" w14:paraId="668B644A" w14:textId="77777777" w:rsidTr="00FD4958">
        <w:tc>
          <w:tcPr>
            <w:tcW w:w="1080" w:type="dxa"/>
            <w:tcBorders>
              <w:top w:val="single" w:sz="4" w:space="0" w:color="auto"/>
              <w:left w:val="single" w:sz="4" w:space="0" w:color="auto"/>
              <w:bottom w:val="single" w:sz="4" w:space="0" w:color="auto"/>
              <w:right w:val="single" w:sz="4" w:space="0" w:color="auto"/>
            </w:tcBorders>
            <w:vAlign w:val="center"/>
            <w:hideMark/>
          </w:tcPr>
          <w:p w14:paraId="52B7DFED" w14:textId="77777777" w:rsidR="00302F39" w:rsidRDefault="00302F39" w:rsidP="00FD4958">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31658FE" w14:textId="3DF4FD4E" w:rsidR="00302F39" w:rsidRDefault="00302F39" w:rsidP="00302F39">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1173F1">
              <w:rPr>
                <w:rFonts w:ascii="Garamond" w:hAnsi="Garamond"/>
                <w:lang w:val="en-AU"/>
              </w:rPr>
              <w:t>‘</w:t>
            </w:r>
            <w:r w:rsidRPr="00302F39">
              <w:rPr>
                <w:rFonts w:ascii="Garamond" w:hAnsi="Garamond"/>
                <w:lang w:val="en-AU"/>
              </w:rPr>
              <w:t>Medicaid, Drug Pricing, Aging, And More</w:t>
            </w:r>
            <w:r w:rsidRPr="001173F1">
              <w:rPr>
                <w:rFonts w:ascii="Garamond" w:hAnsi="Garamond"/>
                <w:lang w:val="en-AU"/>
              </w:rPr>
              <w:t>’</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5F3473B8" w14:textId="51E478D0" w:rsidR="00302F39" w:rsidRPr="00302F39" w:rsidRDefault="00302F39" w:rsidP="00610687">
            <w:pPr>
              <w:pStyle w:val="ListParagraph"/>
              <w:numPr>
                <w:ilvl w:val="0"/>
                <w:numId w:val="17"/>
              </w:numPr>
              <w:rPr>
                <w:rFonts w:ascii="Garamond" w:hAnsi="Garamond"/>
                <w:lang w:val="en-AU"/>
              </w:rPr>
            </w:pPr>
            <w:r w:rsidRPr="00302F39">
              <w:rPr>
                <w:rFonts w:ascii="Garamond" w:hAnsi="Garamond"/>
                <w:b/>
                <w:bCs/>
                <w:lang w:val="en-AU"/>
              </w:rPr>
              <w:t>Health Insurance For People Younger Than Age 65</w:t>
            </w:r>
            <w:r w:rsidRPr="00302F39">
              <w:rPr>
                <w:rFonts w:ascii="Garamond" w:hAnsi="Garamond"/>
                <w:lang w:val="en-AU"/>
              </w:rPr>
              <w:t>: Expiration Of Temporary Policies Projected To Reshuffle Coverage (Caroline Hanson, Claire Hou, Allison Percy, Emily Vreeland, and Alexandra Minicozzi</w:t>
            </w:r>
            <w:r>
              <w:rPr>
                <w:rFonts w:ascii="Garamond" w:hAnsi="Garamond"/>
                <w:lang w:val="en-AU"/>
              </w:rPr>
              <w:t>)</w:t>
            </w:r>
          </w:p>
          <w:p w14:paraId="2EF6AAC4" w14:textId="690A1626" w:rsidR="00302F39" w:rsidRPr="00302F39" w:rsidRDefault="00302F39" w:rsidP="004B152B">
            <w:pPr>
              <w:pStyle w:val="ListParagraph"/>
              <w:numPr>
                <w:ilvl w:val="0"/>
                <w:numId w:val="17"/>
              </w:numPr>
              <w:rPr>
                <w:rFonts w:ascii="Garamond" w:hAnsi="Garamond"/>
                <w:lang w:val="en-AU"/>
              </w:rPr>
            </w:pPr>
            <w:r w:rsidRPr="00302F39">
              <w:rPr>
                <w:rFonts w:ascii="Garamond" w:hAnsi="Garamond"/>
                <w:lang w:val="en-AU"/>
              </w:rPr>
              <w:t xml:space="preserve">Continuous Eligibility And Coverage Policies Expanded </w:t>
            </w:r>
            <w:r w:rsidRPr="00302F39">
              <w:rPr>
                <w:rFonts w:ascii="Garamond" w:hAnsi="Garamond"/>
                <w:b/>
                <w:bCs/>
                <w:lang w:val="en-AU"/>
              </w:rPr>
              <w:t>Children’s Medicaid Enrollment</w:t>
            </w:r>
            <w:r w:rsidRPr="00302F39">
              <w:rPr>
                <w:rFonts w:ascii="Garamond" w:hAnsi="Garamond"/>
                <w:lang w:val="en-AU"/>
              </w:rPr>
              <w:t xml:space="preserve"> (Aditi Vasan, Chén C. Kenyon, Alexander G. Fiks, and Atheendar S. Venkataramani</w:t>
            </w:r>
            <w:r>
              <w:rPr>
                <w:rFonts w:ascii="Garamond" w:hAnsi="Garamond"/>
                <w:lang w:val="en-AU"/>
              </w:rPr>
              <w:t>)</w:t>
            </w:r>
          </w:p>
          <w:p w14:paraId="7F6B7DD5" w14:textId="10058249" w:rsidR="00302F39" w:rsidRPr="00302F39" w:rsidRDefault="00302F39" w:rsidP="00E814A5">
            <w:pPr>
              <w:pStyle w:val="ListParagraph"/>
              <w:numPr>
                <w:ilvl w:val="0"/>
                <w:numId w:val="17"/>
              </w:numPr>
              <w:rPr>
                <w:rFonts w:ascii="Garamond" w:hAnsi="Garamond"/>
                <w:lang w:val="en-AU"/>
              </w:rPr>
            </w:pPr>
            <w:r w:rsidRPr="00302F39">
              <w:rPr>
                <w:rFonts w:ascii="Garamond" w:hAnsi="Garamond"/>
                <w:lang w:val="en-AU"/>
              </w:rPr>
              <w:t xml:space="preserve">Evaluating </w:t>
            </w:r>
            <w:r w:rsidRPr="00302F39">
              <w:rPr>
                <w:rFonts w:ascii="Garamond" w:hAnsi="Garamond"/>
                <w:b/>
                <w:bCs/>
                <w:lang w:val="en-AU"/>
              </w:rPr>
              <w:t>Medicaid Managed Care Network Adequacy Standards</w:t>
            </w:r>
            <w:r w:rsidRPr="00302F39">
              <w:rPr>
                <w:rFonts w:ascii="Garamond" w:hAnsi="Garamond"/>
                <w:lang w:val="en-AU"/>
              </w:rPr>
              <w:t xml:space="preserve"> And Associations With Specialty Care Access For Children (Ju-Chen Hu, Janet R Cummings, Xu Ji, and Adam S Wilk</w:t>
            </w:r>
            <w:r>
              <w:rPr>
                <w:rFonts w:ascii="Garamond" w:hAnsi="Garamond"/>
                <w:lang w:val="en-AU"/>
              </w:rPr>
              <w:t>)</w:t>
            </w:r>
          </w:p>
          <w:p w14:paraId="667D9E3D" w14:textId="0678F7DF" w:rsidR="00302F39" w:rsidRPr="00302F39" w:rsidRDefault="00302F39" w:rsidP="00A2670B">
            <w:pPr>
              <w:pStyle w:val="ListParagraph"/>
              <w:numPr>
                <w:ilvl w:val="0"/>
                <w:numId w:val="17"/>
              </w:numPr>
              <w:rPr>
                <w:rFonts w:ascii="Garamond" w:hAnsi="Garamond"/>
                <w:lang w:val="en-AU"/>
              </w:rPr>
            </w:pPr>
            <w:r w:rsidRPr="00302F39">
              <w:rPr>
                <w:rFonts w:ascii="Garamond" w:hAnsi="Garamond"/>
                <w:b/>
                <w:bCs/>
                <w:lang w:val="en-AU"/>
              </w:rPr>
              <w:t>Inflationary Rebates For Generic Drugs Sold Through Medicaid</w:t>
            </w:r>
            <w:r w:rsidRPr="00302F39">
              <w:rPr>
                <w:rFonts w:ascii="Garamond" w:hAnsi="Garamond"/>
                <w:lang w:val="en-AU"/>
              </w:rPr>
              <w:t xml:space="preserve"> Saved Billions During 2017–20 (Benjamin N Rome, Aayan N Patel, and Aaron S Kesselheim</w:t>
            </w:r>
            <w:r>
              <w:rPr>
                <w:rFonts w:ascii="Garamond" w:hAnsi="Garamond"/>
                <w:lang w:val="en-AU"/>
              </w:rPr>
              <w:t>)</w:t>
            </w:r>
          </w:p>
          <w:p w14:paraId="1FB8FFF5" w14:textId="20584088" w:rsidR="00302F39" w:rsidRPr="00302F39" w:rsidRDefault="00302F39" w:rsidP="00EF4E64">
            <w:pPr>
              <w:pStyle w:val="ListParagraph"/>
              <w:numPr>
                <w:ilvl w:val="0"/>
                <w:numId w:val="17"/>
              </w:numPr>
              <w:rPr>
                <w:rFonts w:ascii="Garamond" w:hAnsi="Garamond"/>
                <w:lang w:val="en-AU"/>
              </w:rPr>
            </w:pPr>
            <w:r w:rsidRPr="00302F39">
              <w:rPr>
                <w:rFonts w:ascii="Garamond" w:hAnsi="Garamond"/>
                <w:b/>
                <w:bCs/>
                <w:lang w:val="en-AU"/>
              </w:rPr>
              <w:t>Cancer Drug Trastuzumab And Its Biosimilars</w:t>
            </w:r>
            <w:r w:rsidRPr="00302F39">
              <w:rPr>
                <w:rFonts w:ascii="Garamond" w:hAnsi="Garamond"/>
                <w:lang w:val="en-AU"/>
              </w:rPr>
              <w:t xml:space="preserve"> Compete On Price For Market Share (Alice J Chen, Katrina M Kaiser, Laura Gascue, Maria-Alice Manetas, and Karen Van Nuys</w:t>
            </w:r>
            <w:r>
              <w:rPr>
                <w:rFonts w:ascii="Garamond" w:hAnsi="Garamond"/>
                <w:lang w:val="en-AU"/>
              </w:rPr>
              <w:t>)</w:t>
            </w:r>
          </w:p>
          <w:p w14:paraId="4E407D95" w14:textId="44ED2E97" w:rsidR="00302F39" w:rsidRPr="00302F39" w:rsidRDefault="00302F39" w:rsidP="0090787B">
            <w:pPr>
              <w:pStyle w:val="ListParagraph"/>
              <w:numPr>
                <w:ilvl w:val="0"/>
                <w:numId w:val="17"/>
              </w:numPr>
              <w:rPr>
                <w:rFonts w:ascii="Garamond" w:hAnsi="Garamond"/>
                <w:lang w:val="en-AU"/>
              </w:rPr>
            </w:pPr>
            <w:r w:rsidRPr="00302F39">
              <w:rPr>
                <w:rFonts w:ascii="Garamond" w:hAnsi="Garamond"/>
                <w:b/>
                <w:bCs/>
                <w:lang w:val="en-AU"/>
              </w:rPr>
              <w:t>Access To Oncology Services In Rural Areas</w:t>
            </w:r>
            <w:r w:rsidRPr="00302F39">
              <w:rPr>
                <w:rFonts w:ascii="Garamond" w:hAnsi="Garamond"/>
                <w:lang w:val="en-AU"/>
              </w:rPr>
              <w:t>: Influence Of The 340B Drug Pricing Program (Kelsey M Owsley and Cathy J Bradley</w:t>
            </w:r>
            <w:r>
              <w:rPr>
                <w:rFonts w:ascii="Garamond" w:hAnsi="Garamond"/>
                <w:lang w:val="en-AU"/>
              </w:rPr>
              <w:t>)</w:t>
            </w:r>
          </w:p>
          <w:p w14:paraId="314CA837" w14:textId="2024EB36" w:rsidR="00302F39" w:rsidRPr="00302F39" w:rsidRDefault="00302F39" w:rsidP="006F2605">
            <w:pPr>
              <w:pStyle w:val="ListParagraph"/>
              <w:numPr>
                <w:ilvl w:val="0"/>
                <w:numId w:val="17"/>
              </w:numPr>
              <w:rPr>
                <w:rFonts w:ascii="Garamond" w:hAnsi="Garamond"/>
                <w:lang w:val="en-AU"/>
              </w:rPr>
            </w:pPr>
            <w:r w:rsidRPr="00302F39">
              <w:rPr>
                <w:rFonts w:ascii="Garamond" w:hAnsi="Garamond"/>
                <w:b/>
                <w:bCs/>
                <w:lang w:val="en-AU"/>
              </w:rPr>
              <w:t>Dementia Care</w:t>
            </w:r>
            <w:r w:rsidRPr="00302F39">
              <w:rPr>
                <w:rFonts w:ascii="Garamond" w:hAnsi="Garamond"/>
                <w:lang w:val="en-AU"/>
              </w:rPr>
              <w:t xml:space="preserve"> Is Widespread In US Nursing Homes; Facilities With The Most Dementia Patients May Offer Better Care (Dana B Mukamel, Debra Saliba, Heather Ladd, and R Tamara Konetzka</w:t>
            </w:r>
            <w:r>
              <w:rPr>
                <w:rFonts w:ascii="Garamond" w:hAnsi="Garamond"/>
                <w:lang w:val="en-AU"/>
              </w:rPr>
              <w:t>)</w:t>
            </w:r>
          </w:p>
          <w:p w14:paraId="6D350AB5" w14:textId="23F8692D" w:rsidR="00302F39" w:rsidRPr="00302F39" w:rsidRDefault="00302F39" w:rsidP="003A20F4">
            <w:pPr>
              <w:pStyle w:val="ListParagraph"/>
              <w:numPr>
                <w:ilvl w:val="0"/>
                <w:numId w:val="17"/>
              </w:numPr>
              <w:rPr>
                <w:rFonts w:ascii="Garamond" w:hAnsi="Garamond"/>
                <w:lang w:val="en-AU"/>
              </w:rPr>
            </w:pPr>
            <w:r w:rsidRPr="00302F39">
              <w:rPr>
                <w:rFonts w:ascii="Garamond" w:hAnsi="Garamond"/>
                <w:lang w:val="en-AU"/>
              </w:rPr>
              <w:t xml:space="preserve">Controlling </w:t>
            </w:r>
            <w:r w:rsidRPr="00302F39">
              <w:rPr>
                <w:rFonts w:ascii="Garamond" w:hAnsi="Garamond"/>
                <w:b/>
                <w:bCs/>
                <w:lang w:val="en-AU"/>
              </w:rPr>
              <w:t>Spending For Health Care And Long-Term Care</w:t>
            </w:r>
            <w:r w:rsidRPr="00302F39">
              <w:rPr>
                <w:rFonts w:ascii="Garamond" w:hAnsi="Garamond"/>
                <w:lang w:val="en-AU"/>
              </w:rPr>
              <w:t>: Japan’s Experience With A Rapidly Aging Society (Naoki Ikegami and Thomas Rice</w:t>
            </w:r>
            <w:r>
              <w:rPr>
                <w:rFonts w:ascii="Garamond" w:hAnsi="Garamond"/>
                <w:lang w:val="en-AU"/>
              </w:rPr>
              <w:t>)</w:t>
            </w:r>
          </w:p>
          <w:p w14:paraId="4781665A" w14:textId="063CD6A5" w:rsidR="00302F39" w:rsidRPr="00302F39" w:rsidRDefault="00302F39" w:rsidP="00042A13">
            <w:pPr>
              <w:pStyle w:val="ListParagraph"/>
              <w:numPr>
                <w:ilvl w:val="0"/>
                <w:numId w:val="17"/>
              </w:numPr>
              <w:rPr>
                <w:rFonts w:ascii="Garamond" w:hAnsi="Garamond"/>
                <w:lang w:val="en-AU"/>
              </w:rPr>
            </w:pPr>
            <w:r w:rsidRPr="00302F39">
              <w:rPr>
                <w:rFonts w:ascii="Garamond" w:hAnsi="Garamond"/>
                <w:b/>
                <w:bCs/>
                <w:lang w:val="en-AU"/>
              </w:rPr>
              <w:t>Value-Based Purchasing</w:t>
            </w:r>
            <w:r w:rsidRPr="00302F39">
              <w:rPr>
                <w:rFonts w:ascii="Garamond" w:hAnsi="Garamond"/>
                <w:lang w:val="en-AU"/>
              </w:rPr>
              <w:t xml:space="preserve"> Design And Effect: A Systematic Review And Analysis (Abhinav Pandey, Diana Eastman, Heather Hsu, Michaela J Kerrissey, Meredith B Rosenthal, and Alyna T Chien</w:t>
            </w:r>
            <w:r>
              <w:rPr>
                <w:rFonts w:ascii="Garamond" w:hAnsi="Garamond"/>
                <w:lang w:val="en-AU"/>
              </w:rPr>
              <w:t>)</w:t>
            </w:r>
          </w:p>
          <w:p w14:paraId="1D2520D3" w14:textId="6FB51BEE" w:rsidR="00302F39" w:rsidRPr="00302F39" w:rsidRDefault="00302F39" w:rsidP="0022204C">
            <w:pPr>
              <w:pStyle w:val="ListParagraph"/>
              <w:numPr>
                <w:ilvl w:val="0"/>
                <w:numId w:val="17"/>
              </w:numPr>
              <w:rPr>
                <w:rFonts w:ascii="Garamond" w:hAnsi="Garamond"/>
                <w:lang w:val="en-AU"/>
              </w:rPr>
            </w:pPr>
            <w:r w:rsidRPr="00302F39">
              <w:rPr>
                <w:rFonts w:ascii="Garamond" w:hAnsi="Garamond"/>
                <w:lang w:val="en-AU"/>
              </w:rPr>
              <w:t xml:space="preserve">Health Care Impacts Of </w:t>
            </w:r>
            <w:r w:rsidRPr="00302F39">
              <w:rPr>
                <w:rFonts w:ascii="Garamond" w:hAnsi="Garamond"/>
                <w:b/>
                <w:bCs/>
                <w:lang w:val="en-AU"/>
              </w:rPr>
              <w:t>Resource Navigation For Health-Related Social Needs</w:t>
            </w:r>
            <w:r w:rsidRPr="00302F39">
              <w:rPr>
                <w:rFonts w:ascii="Garamond" w:hAnsi="Garamond"/>
                <w:lang w:val="en-AU"/>
              </w:rPr>
              <w:t xml:space="preserve"> In The Accountable Health Communities Model (William Parish, Heather Beil, Fang He, Noah D’Arcangelo, Melissa Romaire, Lucia Rojas-Smith, and Susan G Haber</w:t>
            </w:r>
            <w:r>
              <w:rPr>
                <w:rFonts w:ascii="Garamond" w:hAnsi="Garamond"/>
                <w:lang w:val="en-AU"/>
              </w:rPr>
              <w:t>)</w:t>
            </w:r>
          </w:p>
          <w:p w14:paraId="6C8EE2CD" w14:textId="3B8DE63D" w:rsidR="00302F39" w:rsidRPr="00302F39" w:rsidRDefault="00302F39" w:rsidP="00347A46">
            <w:pPr>
              <w:pStyle w:val="ListParagraph"/>
              <w:numPr>
                <w:ilvl w:val="0"/>
                <w:numId w:val="17"/>
              </w:numPr>
              <w:rPr>
                <w:rFonts w:ascii="Garamond" w:hAnsi="Garamond"/>
                <w:lang w:val="en-AU"/>
              </w:rPr>
            </w:pPr>
            <w:r w:rsidRPr="00302F39">
              <w:rPr>
                <w:rFonts w:ascii="Garamond" w:hAnsi="Garamond"/>
                <w:lang w:val="en-AU"/>
              </w:rPr>
              <w:lastRenderedPageBreak/>
              <w:t xml:space="preserve">Addressing </w:t>
            </w:r>
            <w:r w:rsidRPr="00302F39">
              <w:rPr>
                <w:rFonts w:ascii="Garamond" w:hAnsi="Garamond"/>
                <w:b/>
                <w:bCs/>
                <w:lang w:val="en-AU"/>
              </w:rPr>
              <w:t>Health-Related Social Needs</w:t>
            </w:r>
            <w:r w:rsidRPr="00302F39">
              <w:rPr>
                <w:rFonts w:ascii="Garamond" w:hAnsi="Garamond"/>
                <w:lang w:val="en-AU"/>
              </w:rPr>
              <w:t xml:space="preserve"> Via Community Resources: Lessons From Accountable Health Communities (Jeanette Renaud, Sean R McClellan, Kelli DePriest, Katharine Witgert, Shannon O’Connor, Kate Abowd Johnson, Natalia Barolin, Laura M Gottlieb, Emilia H De Marchis, Lucia Rojas-Smith, and Susan G Haber</w:t>
            </w:r>
            <w:r>
              <w:rPr>
                <w:rFonts w:ascii="Garamond" w:hAnsi="Garamond"/>
                <w:lang w:val="en-AU"/>
              </w:rPr>
              <w:t>)</w:t>
            </w:r>
          </w:p>
          <w:p w14:paraId="0CBFAF5E" w14:textId="5A9467F8" w:rsidR="00302F39" w:rsidRPr="00302F39" w:rsidRDefault="00302F39" w:rsidP="000C5226">
            <w:pPr>
              <w:pStyle w:val="ListParagraph"/>
              <w:numPr>
                <w:ilvl w:val="0"/>
                <w:numId w:val="17"/>
              </w:numPr>
              <w:rPr>
                <w:rFonts w:ascii="Garamond" w:hAnsi="Garamond"/>
                <w:lang w:val="en-AU"/>
              </w:rPr>
            </w:pPr>
            <w:r w:rsidRPr="00302F39">
              <w:rPr>
                <w:rFonts w:ascii="Garamond" w:hAnsi="Garamond"/>
                <w:b/>
                <w:bCs/>
                <w:lang w:val="en-AU"/>
              </w:rPr>
              <w:t>COVID-19 Restrictions In Jails And Prisons</w:t>
            </w:r>
            <w:r w:rsidRPr="00302F39">
              <w:rPr>
                <w:rFonts w:ascii="Garamond" w:hAnsi="Garamond"/>
                <w:lang w:val="en-AU"/>
              </w:rPr>
              <w:t>: Perspectives From Carceral Leaders (Brendan Saloner, Camille Kramer, Minna Song, Brandon Doan, Gabriel B Eber, Leonard S. Rubenstein, and Carolyn Sufrin</w:t>
            </w:r>
            <w:r>
              <w:rPr>
                <w:rFonts w:ascii="Garamond" w:hAnsi="Garamond"/>
                <w:lang w:val="en-AU"/>
              </w:rPr>
              <w:t>)</w:t>
            </w:r>
          </w:p>
          <w:p w14:paraId="322D3AF5" w14:textId="35299BA0" w:rsidR="00302F39" w:rsidRPr="00302F39" w:rsidRDefault="00302F39" w:rsidP="0069346D">
            <w:pPr>
              <w:pStyle w:val="ListParagraph"/>
              <w:numPr>
                <w:ilvl w:val="0"/>
                <w:numId w:val="17"/>
              </w:numPr>
              <w:rPr>
                <w:rFonts w:ascii="Garamond" w:hAnsi="Garamond"/>
                <w:lang w:val="en-AU"/>
              </w:rPr>
            </w:pPr>
            <w:r w:rsidRPr="00302F39">
              <w:rPr>
                <w:rFonts w:ascii="Garamond" w:hAnsi="Garamond"/>
                <w:b/>
                <w:bCs/>
                <w:lang w:val="en-AU"/>
              </w:rPr>
              <w:t>Jail Conditions And Mortality</w:t>
            </w:r>
            <w:r w:rsidRPr="00302F39">
              <w:rPr>
                <w:rFonts w:ascii="Garamond" w:hAnsi="Garamond"/>
                <w:lang w:val="en-AU"/>
              </w:rPr>
              <w:t>: Death Rates Associated With Turnover, Jail Size, And Population Characteristics (Jessica L Adler and Weiwei Chen</w:t>
            </w:r>
            <w:r>
              <w:rPr>
                <w:rFonts w:ascii="Garamond" w:hAnsi="Garamond"/>
                <w:lang w:val="en-AU"/>
              </w:rPr>
              <w:t>)</w:t>
            </w:r>
          </w:p>
          <w:p w14:paraId="73FF5070" w14:textId="64B7B16C" w:rsidR="00302F39" w:rsidRPr="00302F39" w:rsidRDefault="00302F39" w:rsidP="0008371E">
            <w:pPr>
              <w:pStyle w:val="ListParagraph"/>
              <w:numPr>
                <w:ilvl w:val="0"/>
                <w:numId w:val="17"/>
              </w:numPr>
              <w:rPr>
                <w:rFonts w:ascii="Garamond" w:hAnsi="Garamond"/>
                <w:lang w:val="en-AU"/>
              </w:rPr>
            </w:pPr>
            <w:r w:rsidRPr="00302F39">
              <w:rPr>
                <w:rFonts w:ascii="Garamond" w:hAnsi="Garamond"/>
                <w:b/>
                <w:bCs/>
                <w:lang w:val="en-AU"/>
              </w:rPr>
              <w:t>Health Insurance Coverage And Access To Care Among LGBT Adults</w:t>
            </w:r>
            <w:r w:rsidRPr="00302F39">
              <w:rPr>
                <w:rFonts w:ascii="Garamond" w:hAnsi="Garamond"/>
                <w:lang w:val="en-AU"/>
              </w:rPr>
              <w:t>, 2013–19 (Andrew Bolibol, Thomas C Buchmueller, Benjamin Lewis, and Sarah Miller</w:t>
            </w:r>
            <w:r>
              <w:rPr>
                <w:rFonts w:ascii="Garamond" w:hAnsi="Garamond"/>
                <w:lang w:val="en-AU"/>
              </w:rPr>
              <w:t>)</w:t>
            </w:r>
          </w:p>
          <w:p w14:paraId="0FD1D97D" w14:textId="1DBE2E15" w:rsidR="00302F39" w:rsidRPr="00302F39" w:rsidRDefault="00302F39" w:rsidP="00303AAC">
            <w:pPr>
              <w:pStyle w:val="ListParagraph"/>
              <w:numPr>
                <w:ilvl w:val="0"/>
                <w:numId w:val="17"/>
              </w:numPr>
              <w:rPr>
                <w:rFonts w:ascii="Garamond" w:hAnsi="Garamond"/>
                <w:lang w:val="en-AU"/>
              </w:rPr>
            </w:pPr>
            <w:r w:rsidRPr="00302F39">
              <w:rPr>
                <w:rFonts w:ascii="Garamond" w:hAnsi="Garamond"/>
                <w:b/>
                <w:bCs/>
                <w:lang w:val="en-AU"/>
              </w:rPr>
              <w:t>Nonprofit Hospitals</w:t>
            </w:r>
            <w:r w:rsidRPr="00302F39">
              <w:rPr>
                <w:rFonts w:ascii="Garamond" w:hAnsi="Garamond"/>
                <w:lang w:val="en-AU"/>
              </w:rPr>
              <w:t>: Profits And Cash Reserves Grow, Charity Care Does Not (Derek Jenkins and Vivian Ho</w:t>
            </w:r>
            <w:r>
              <w:rPr>
                <w:rFonts w:ascii="Garamond" w:hAnsi="Garamond"/>
                <w:lang w:val="en-AU"/>
              </w:rPr>
              <w:t>)</w:t>
            </w:r>
          </w:p>
          <w:p w14:paraId="156BE05F" w14:textId="00F4E678" w:rsidR="00302F39" w:rsidRDefault="00302F39" w:rsidP="00302F39">
            <w:pPr>
              <w:pStyle w:val="ListParagraph"/>
              <w:numPr>
                <w:ilvl w:val="0"/>
                <w:numId w:val="17"/>
              </w:numPr>
              <w:rPr>
                <w:rFonts w:ascii="Garamond" w:hAnsi="Garamond"/>
                <w:lang w:val="en-AU"/>
              </w:rPr>
            </w:pPr>
            <w:r w:rsidRPr="00302F39">
              <w:rPr>
                <w:rFonts w:ascii="Garamond" w:hAnsi="Garamond"/>
                <w:b/>
                <w:bCs/>
                <w:lang w:val="en-AU"/>
              </w:rPr>
              <w:t>Caring For The Body And Mind In Long-Term Care</w:t>
            </w:r>
            <w:r>
              <w:rPr>
                <w:rFonts w:ascii="Garamond" w:hAnsi="Garamond"/>
                <w:lang w:val="en-AU"/>
              </w:rPr>
              <w:t xml:space="preserve"> (</w:t>
            </w:r>
            <w:r w:rsidRPr="00302F39">
              <w:rPr>
                <w:rFonts w:ascii="Garamond" w:hAnsi="Garamond"/>
                <w:lang w:val="en-AU"/>
              </w:rPr>
              <w:t>Sharon Joag</w:t>
            </w:r>
            <w:r>
              <w:rPr>
                <w:rFonts w:ascii="Garamond" w:hAnsi="Garamond"/>
                <w:lang w:val="en-AU"/>
              </w:rPr>
              <w:t>)</w:t>
            </w:r>
          </w:p>
        </w:tc>
      </w:tr>
    </w:tbl>
    <w:p w14:paraId="7693BDAD" w14:textId="77777777" w:rsidR="00822C2E" w:rsidRDefault="00822C2E" w:rsidP="004B47ED">
      <w:pPr>
        <w:keepNext/>
        <w:rPr>
          <w:rFonts w:ascii="Garamond" w:hAnsi="Garamond"/>
          <w:i/>
          <w:lang w:val="en-AU"/>
        </w:rPr>
      </w:pPr>
    </w:p>
    <w:p w14:paraId="3D3627E5" w14:textId="398320F2"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283FDA" w:rsidP="00B13BCF">
            <w:pPr>
              <w:keepNext/>
              <w:rPr>
                <w:rFonts w:ascii="Garamond" w:hAnsi="Garamond"/>
                <w:lang w:val="en-AU"/>
              </w:rPr>
            </w:pPr>
            <w:hyperlink r:id="rId21"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7064240D" w14:textId="77777777" w:rsidR="006A0BA1" w:rsidRDefault="00302707" w:rsidP="00302707">
            <w:pPr>
              <w:pStyle w:val="ListParagraph"/>
              <w:numPr>
                <w:ilvl w:val="0"/>
                <w:numId w:val="16"/>
              </w:numPr>
              <w:rPr>
                <w:rFonts w:ascii="Garamond" w:hAnsi="Garamond"/>
                <w:lang w:val="en-AU"/>
              </w:rPr>
            </w:pPr>
            <w:r w:rsidRPr="00302707">
              <w:rPr>
                <w:rFonts w:ascii="Garamond" w:hAnsi="Garamond"/>
                <w:b/>
                <w:bCs/>
                <w:lang w:val="en-AU"/>
              </w:rPr>
              <w:t>Choosing Wisely and the climate crisis</w:t>
            </w:r>
            <w:r w:rsidRPr="00302707">
              <w:rPr>
                <w:rFonts w:ascii="Garamond" w:hAnsi="Garamond"/>
                <w:lang w:val="en-AU"/>
              </w:rPr>
              <w:t>: a role for clinicians</w:t>
            </w:r>
            <w:r>
              <w:rPr>
                <w:rFonts w:ascii="Garamond" w:hAnsi="Garamond"/>
                <w:lang w:val="en-AU"/>
              </w:rPr>
              <w:t xml:space="preserve"> (</w:t>
            </w:r>
            <w:r w:rsidRPr="00302707">
              <w:rPr>
                <w:rFonts w:ascii="Garamond" w:hAnsi="Garamond"/>
                <w:lang w:val="en-AU"/>
              </w:rPr>
              <w:t>Karen B Born, Wendy Levinson, Emma Vaux</w:t>
            </w:r>
            <w:r>
              <w:rPr>
                <w:rFonts w:ascii="Garamond" w:hAnsi="Garamond"/>
                <w:lang w:val="en-AU"/>
              </w:rPr>
              <w:t>)</w:t>
            </w:r>
          </w:p>
          <w:p w14:paraId="1CF244EC" w14:textId="42DAEC4F" w:rsidR="00360A31" w:rsidRPr="00360A31" w:rsidRDefault="00360A31" w:rsidP="007F5C0C">
            <w:pPr>
              <w:pStyle w:val="ListParagraph"/>
              <w:numPr>
                <w:ilvl w:val="0"/>
                <w:numId w:val="16"/>
              </w:numPr>
              <w:rPr>
                <w:rFonts w:ascii="Garamond" w:hAnsi="Garamond"/>
                <w:lang w:val="en-AU"/>
              </w:rPr>
            </w:pPr>
            <w:r w:rsidRPr="00360A31">
              <w:rPr>
                <w:rFonts w:ascii="Garamond" w:hAnsi="Garamond"/>
                <w:lang w:val="en-AU"/>
              </w:rPr>
              <w:t xml:space="preserve">Factors that influence the </w:t>
            </w:r>
            <w:r w:rsidRPr="00360A31">
              <w:rPr>
                <w:rFonts w:ascii="Garamond" w:hAnsi="Garamond"/>
                <w:b/>
                <w:bCs/>
                <w:lang w:val="en-AU"/>
              </w:rPr>
              <w:t>implementation of (inter)nationally endorsed health and social care standards</w:t>
            </w:r>
            <w:r w:rsidRPr="00360A31">
              <w:rPr>
                <w:rFonts w:ascii="Garamond" w:hAnsi="Garamond"/>
                <w:lang w:val="en-AU"/>
              </w:rPr>
              <w:t>: a systematic review and meta-summary (Yvonne Kelly, Niamh O'Rourke, Rachel Flynn, Laura O’Connor, Josephine Hegarty</w:t>
            </w:r>
            <w:r>
              <w:rPr>
                <w:rFonts w:ascii="Garamond" w:hAnsi="Garamond"/>
                <w:lang w:val="en-AU"/>
              </w:rPr>
              <w:t>)</w:t>
            </w:r>
          </w:p>
          <w:p w14:paraId="2C386F5C" w14:textId="1C2450B2" w:rsidR="00360A31" w:rsidRPr="00E37911" w:rsidRDefault="00360A31" w:rsidP="00360A31">
            <w:pPr>
              <w:pStyle w:val="ListParagraph"/>
              <w:numPr>
                <w:ilvl w:val="0"/>
                <w:numId w:val="16"/>
              </w:numPr>
              <w:rPr>
                <w:rFonts w:ascii="Garamond" w:hAnsi="Garamond"/>
                <w:lang w:val="en-AU"/>
              </w:rPr>
            </w:pPr>
            <w:r w:rsidRPr="00360A31">
              <w:rPr>
                <w:rFonts w:ascii="Garamond" w:hAnsi="Garamond"/>
                <w:lang w:val="en-AU"/>
              </w:rPr>
              <w:t xml:space="preserve">Editorial: </w:t>
            </w:r>
            <w:r w:rsidRPr="00360A31">
              <w:rPr>
                <w:rFonts w:ascii="Garamond" w:hAnsi="Garamond"/>
                <w:b/>
                <w:bCs/>
                <w:lang w:val="en-AU"/>
              </w:rPr>
              <w:t>Clinical decision-making and algorithmic inequality</w:t>
            </w:r>
            <w:r w:rsidRPr="00360A31">
              <w:rPr>
                <w:rFonts w:ascii="Garamond" w:hAnsi="Garamond"/>
                <w:lang w:val="en-AU"/>
              </w:rPr>
              <w:t xml:space="preserve"> </w:t>
            </w:r>
            <w:r>
              <w:rPr>
                <w:rFonts w:ascii="Garamond" w:hAnsi="Garamond"/>
                <w:lang w:val="en-AU"/>
              </w:rPr>
              <w:t>(</w:t>
            </w:r>
            <w:r w:rsidRPr="00360A31">
              <w:rPr>
                <w:rFonts w:ascii="Garamond" w:hAnsi="Garamond"/>
                <w:lang w:val="en-AU"/>
              </w:rPr>
              <w:t>Robert Challen, Leon Danon</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283FDA" w:rsidP="00A6355B">
            <w:pPr>
              <w:keepNext/>
              <w:rPr>
                <w:rFonts w:ascii="Garamond" w:hAnsi="Garamond"/>
                <w:lang w:val="en-AU"/>
              </w:rPr>
            </w:pPr>
            <w:hyperlink r:id="rId22"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2E7FD116" w:rsidR="00B40C58" w:rsidRPr="009C237F" w:rsidRDefault="00D1061B" w:rsidP="00B40C58">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has published a number of ‘online first’ articles, including:</w:t>
            </w:r>
          </w:p>
          <w:p w14:paraId="22962DD7" w14:textId="5D877AC0" w:rsidR="00302707" w:rsidRPr="00302707" w:rsidRDefault="00302707" w:rsidP="00F05E85">
            <w:pPr>
              <w:pStyle w:val="ListParagraph"/>
              <w:numPr>
                <w:ilvl w:val="0"/>
                <w:numId w:val="14"/>
              </w:numPr>
              <w:rPr>
                <w:rFonts w:ascii="Garamond" w:hAnsi="Garamond"/>
                <w:lang w:val="en-AU"/>
              </w:rPr>
            </w:pPr>
            <w:r w:rsidRPr="00302707">
              <w:rPr>
                <w:rFonts w:ascii="Garamond" w:hAnsi="Garamond"/>
                <w:lang w:val="en-AU"/>
              </w:rPr>
              <w:t xml:space="preserve">With much of England’s NHS under severe pressure, should </w:t>
            </w:r>
            <w:r w:rsidRPr="00302707">
              <w:rPr>
                <w:rFonts w:ascii="Garamond" w:hAnsi="Garamond"/>
                <w:b/>
                <w:bCs/>
                <w:lang w:val="en-AU"/>
              </w:rPr>
              <w:t>health inequalities</w:t>
            </w:r>
            <w:r w:rsidRPr="00302707">
              <w:rPr>
                <w:rFonts w:ascii="Garamond" w:hAnsi="Garamond"/>
                <w:lang w:val="en-AU"/>
              </w:rPr>
              <w:t xml:space="preserve"> be a priority? (Richard M Wood</w:t>
            </w:r>
            <w:r>
              <w:rPr>
                <w:rFonts w:ascii="Garamond" w:hAnsi="Garamond"/>
                <w:lang w:val="en-AU"/>
              </w:rPr>
              <w:t>)</w:t>
            </w:r>
          </w:p>
          <w:p w14:paraId="730B1CCA" w14:textId="46B2362E" w:rsidR="004C7197" w:rsidRPr="009C237F" w:rsidRDefault="00302707" w:rsidP="00302707">
            <w:pPr>
              <w:pStyle w:val="ListParagraph"/>
              <w:numPr>
                <w:ilvl w:val="0"/>
                <w:numId w:val="14"/>
              </w:numPr>
              <w:rPr>
                <w:rFonts w:ascii="Garamond" w:hAnsi="Garamond"/>
                <w:lang w:val="en-AU"/>
              </w:rPr>
            </w:pPr>
            <w:r w:rsidRPr="00302707">
              <w:rPr>
                <w:rFonts w:ascii="Garamond" w:hAnsi="Garamond"/>
                <w:lang w:val="en-AU"/>
              </w:rPr>
              <w:t xml:space="preserve">Developing </w:t>
            </w:r>
            <w:r w:rsidRPr="00302707">
              <w:rPr>
                <w:rFonts w:ascii="Garamond" w:hAnsi="Garamond"/>
                <w:b/>
                <w:bCs/>
                <w:lang w:val="en-AU"/>
              </w:rPr>
              <w:t>online medical service quality indicators</w:t>
            </w:r>
            <w:r w:rsidRPr="00302707">
              <w:rPr>
                <w:rFonts w:ascii="Garamond" w:hAnsi="Garamond"/>
                <w:lang w:val="en-AU"/>
              </w:rPr>
              <w:t xml:space="preserve"> in China from the perspective of online-offline integration: a modified Delphi-AHP study </w:t>
            </w:r>
            <w:r>
              <w:rPr>
                <w:rFonts w:ascii="Garamond" w:hAnsi="Garamond"/>
                <w:lang w:val="en-AU"/>
              </w:rPr>
              <w:t>(</w:t>
            </w:r>
            <w:r w:rsidRPr="00302707">
              <w:rPr>
                <w:rFonts w:ascii="Garamond" w:hAnsi="Garamond"/>
                <w:lang w:val="en-AU"/>
              </w:rPr>
              <w:t>Zhenlin Li and Rui Guo</w:t>
            </w:r>
            <w:r>
              <w:rPr>
                <w:rFonts w:ascii="Garamond" w:hAnsi="Garamond"/>
                <w:lang w:val="en-AU"/>
              </w:rPr>
              <w:t>)</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32274E77" w:rsidR="004B3A08" w:rsidRDefault="004B3A08">
      <w:pPr>
        <w:rPr>
          <w:rFonts w:ascii="Garamond" w:hAnsi="Garamond"/>
          <w:b/>
          <w:lang w:val="en-AU"/>
        </w:rPr>
      </w:pPr>
    </w:p>
    <w:p w14:paraId="013C36C3" w14:textId="77777777" w:rsidR="00D02459" w:rsidRDefault="00D02459" w:rsidP="00D02459">
      <w:pPr>
        <w:keepNext/>
        <w:rPr>
          <w:rFonts w:ascii="Garamond" w:hAnsi="Garamond"/>
          <w:b/>
          <w:bCs/>
          <w:i/>
          <w:lang w:val="en-AU"/>
        </w:rPr>
      </w:pPr>
    </w:p>
    <w:p w14:paraId="0C28F841" w14:textId="2E12D1FD"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05545019" w:rsidR="00C4268C" w:rsidRPr="008F3909" w:rsidRDefault="00283FDA" w:rsidP="00C4268C">
      <w:pPr>
        <w:keepNext/>
        <w:rPr>
          <w:rFonts w:ascii="Garamond" w:hAnsi="Garamond"/>
          <w:lang w:val="en-AU"/>
        </w:rPr>
      </w:pPr>
      <w:hyperlink r:id="rId23" w:history="1">
        <w:r w:rsidR="00D0239A" w:rsidRPr="00DD08AC">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57B13379" w14:textId="77777777" w:rsidR="00F347FB" w:rsidRDefault="00F347FB" w:rsidP="00F347FB">
      <w:pPr>
        <w:pStyle w:val="ListParagraph"/>
        <w:numPr>
          <w:ilvl w:val="0"/>
          <w:numId w:val="14"/>
        </w:numPr>
        <w:rPr>
          <w:rFonts w:ascii="Garamond" w:hAnsi="Garamond"/>
          <w:iCs/>
          <w:lang w:val="en-AU"/>
        </w:rPr>
      </w:pPr>
      <w:r w:rsidRPr="00226C0F">
        <w:rPr>
          <w:rFonts w:ascii="Garamond" w:hAnsi="Garamond"/>
          <w:iCs/>
          <w:lang w:val="en-AU"/>
        </w:rPr>
        <w:t>Clinical Guideline CG</w:t>
      </w:r>
      <w:r>
        <w:rPr>
          <w:rFonts w:ascii="Garamond" w:hAnsi="Garamond"/>
          <w:iCs/>
          <w:lang w:val="en-AU"/>
        </w:rPr>
        <w:t xml:space="preserve">57 </w:t>
      </w:r>
      <w:r w:rsidRPr="00F347FB">
        <w:rPr>
          <w:rFonts w:ascii="Garamond" w:hAnsi="Garamond"/>
          <w:b/>
          <w:bCs/>
          <w:i/>
          <w:lang w:val="en-AU"/>
        </w:rPr>
        <w:t>Atopic eczema</w:t>
      </w:r>
      <w:r w:rsidRPr="00F347FB">
        <w:rPr>
          <w:rFonts w:ascii="Garamond" w:hAnsi="Garamond"/>
          <w:i/>
          <w:lang w:val="en-AU"/>
        </w:rPr>
        <w:t xml:space="preserve"> in under 12s: diagnosis and management</w:t>
      </w:r>
      <w:r>
        <w:rPr>
          <w:rFonts w:ascii="Garamond" w:hAnsi="Garamond"/>
          <w:iCs/>
          <w:lang w:val="en-AU"/>
        </w:rPr>
        <w:t xml:space="preserve"> </w:t>
      </w:r>
      <w:hyperlink r:id="rId24" w:history="1">
        <w:r w:rsidRPr="00B52806">
          <w:rPr>
            <w:rStyle w:val="Hyperlink"/>
            <w:rFonts w:ascii="Garamond" w:hAnsi="Garamond"/>
            <w:iCs/>
            <w:lang w:val="en-AU"/>
          </w:rPr>
          <w:t>https://www.nice.org.uk/guidance/cg57</w:t>
        </w:r>
      </w:hyperlink>
    </w:p>
    <w:p w14:paraId="26104284" w14:textId="03AD5849" w:rsidR="00D1061B" w:rsidRPr="00D77160" w:rsidRDefault="00D1061B" w:rsidP="00D1061B">
      <w:pPr>
        <w:keepNext/>
        <w:keepLines/>
        <w:rPr>
          <w:rFonts w:ascii="Garamond" w:hAnsi="Garamond"/>
          <w:b/>
          <w:bCs/>
          <w:i/>
          <w:lang w:val="en-AU"/>
        </w:rPr>
      </w:pPr>
      <w:r w:rsidRPr="00D77160">
        <w:rPr>
          <w:rFonts w:ascii="Garamond" w:hAnsi="Garamond"/>
          <w:b/>
          <w:bCs/>
          <w:i/>
          <w:lang w:val="en-AU"/>
        </w:rPr>
        <w:lastRenderedPageBreak/>
        <w:t>[USA] Effective Health Care Program reports</w:t>
      </w:r>
    </w:p>
    <w:p w14:paraId="58D4767A" w14:textId="77777777" w:rsidR="00D1061B" w:rsidRPr="000170DA" w:rsidRDefault="00283FDA" w:rsidP="00D1061B">
      <w:pPr>
        <w:keepNext/>
        <w:keepLines/>
        <w:rPr>
          <w:rFonts w:ascii="Garamond" w:hAnsi="Garamond"/>
          <w:u w:val="single"/>
          <w:lang w:val="en-AU"/>
        </w:rPr>
      </w:pPr>
      <w:hyperlink r:id="rId25" w:history="1">
        <w:r w:rsidR="00D1061B" w:rsidRPr="000170DA">
          <w:rPr>
            <w:rStyle w:val="Hyperlink"/>
            <w:rFonts w:ascii="Garamond" w:hAnsi="Garamond"/>
            <w:lang w:val="en-AU"/>
          </w:rPr>
          <w:t>https://effectivehealthcare.ahrq.gov/</w:t>
        </w:r>
      </w:hyperlink>
    </w:p>
    <w:p w14:paraId="69D20CD2" w14:textId="77777777" w:rsidR="00D1061B" w:rsidRDefault="00D1061B" w:rsidP="00D1061B">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2D5E0D85" w14:textId="77777777" w:rsidR="00E85AB5" w:rsidRPr="00E85AB5" w:rsidRDefault="00E85AB5" w:rsidP="00B323EF">
      <w:pPr>
        <w:pStyle w:val="ListParagraph"/>
        <w:keepNext/>
        <w:numPr>
          <w:ilvl w:val="0"/>
          <w:numId w:val="14"/>
        </w:numPr>
        <w:rPr>
          <w:rFonts w:ascii="Garamond" w:hAnsi="Garamond"/>
          <w:i/>
          <w:lang w:val="en-AU"/>
        </w:rPr>
      </w:pPr>
      <w:r w:rsidRPr="00E85AB5">
        <w:rPr>
          <w:rFonts w:ascii="Garamond" w:hAnsi="Garamond"/>
          <w:b/>
          <w:bCs/>
          <w:i/>
          <w:lang w:val="en-AU"/>
        </w:rPr>
        <w:t>Postpartum Care</w:t>
      </w:r>
      <w:r w:rsidRPr="00E85AB5">
        <w:rPr>
          <w:rFonts w:ascii="Garamond" w:hAnsi="Garamond"/>
          <w:i/>
          <w:lang w:val="en-AU"/>
        </w:rPr>
        <w:t xml:space="preserve"> up to 1 Year After Pregnancy: A Systematic Review and Meta-analysis </w:t>
      </w:r>
      <w:hyperlink r:id="rId26" w:history="1">
        <w:r w:rsidRPr="00E85AB5">
          <w:rPr>
            <w:rStyle w:val="Hyperlink"/>
            <w:rFonts w:ascii="Garamond" w:hAnsi="Garamond"/>
            <w:iCs/>
            <w:lang w:val="en-AU"/>
          </w:rPr>
          <w:t>https://effectivehealthcare.ahrq.gov/products/postpartum-care-one-year/research</w:t>
        </w:r>
      </w:hyperlink>
    </w:p>
    <w:p w14:paraId="2F01E790" w14:textId="6E80D7E6" w:rsidR="00E85AB5" w:rsidRPr="00E85AB5" w:rsidRDefault="00E85AB5" w:rsidP="00B323EF">
      <w:pPr>
        <w:pStyle w:val="ListParagraph"/>
        <w:keepNext/>
        <w:numPr>
          <w:ilvl w:val="0"/>
          <w:numId w:val="14"/>
        </w:numPr>
        <w:rPr>
          <w:rFonts w:ascii="Garamond" w:hAnsi="Garamond"/>
          <w:i/>
          <w:lang w:val="en-AU"/>
        </w:rPr>
      </w:pPr>
      <w:r w:rsidRPr="00E85AB5">
        <w:rPr>
          <w:rFonts w:ascii="Garamond" w:hAnsi="Garamond"/>
          <w:i/>
          <w:lang w:val="en-AU"/>
        </w:rPr>
        <w:t xml:space="preserve">Management of </w:t>
      </w:r>
      <w:r w:rsidRPr="00E85AB5">
        <w:rPr>
          <w:rFonts w:ascii="Garamond" w:hAnsi="Garamond"/>
          <w:b/>
          <w:bCs/>
          <w:i/>
          <w:lang w:val="en-AU"/>
        </w:rPr>
        <w:t>Postpartum Hypertensive Disorders</w:t>
      </w:r>
      <w:r w:rsidRPr="00E85AB5">
        <w:rPr>
          <w:rFonts w:ascii="Garamond" w:hAnsi="Garamond"/>
          <w:i/>
          <w:lang w:val="en-AU"/>
        </w:rPr>
        <w:t xml:space="preserve"> of Pregnancy</w:t>
      </w:r>
      <w:r w:rsidRPr="00E85AB5">
        <w:rPr>
          <w:rFonts w:ascii="Garamond" w:hAnsi="Garamond"/>
          <w:iCs/>
          <w:lang w:val="en-AU"/>
        </w:rPr>
        <w:t xml:space="preserve"> </w:t>
      </w:r>
      <w:hyperlink r:id="rId27" w:history="1">
        <w:r w:rsidR="00822C2E" w:rsidRPr="003F190C">
          <w:rPr>
            <w:rStyle w:val="Hyperlink"/>
            <w:rFonts w:ascii="Garamond" w:hAnsi="Garamond"/>
            <w:iCs/>
            <w:lang w:val="en-AU"/>
          </w:rPr>
          <w:t>https://effectivehealthcare.ahrq.gov/products/hypertensive-disorders-pregnancy/research</w:t>
        </w:r>
      </w:hyperlink>
    </w:p>
    <w:p w14:paraId="42AB24F9" w14:textId="559F9F12" w:rsidR="00717962" w:rsidRPr="00822C2E" w:rsidRDefault="00717962" w:rsidP="00D1061B">
      <w:pPr>
        <w:rPr>
          <w:rFonts w:ascii="Garamond" w:hAnsi="Garamond"/>
          <w:bCs/>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8"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9"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0"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70AD21C4">
            <wp:extent cx="3348318" cy="4724534"/>
            <wp:effectExtent l="0" t="0" r="5080" b="0"/>
            <wp:docPr id="8" name="Picture 8" descr="COVID-19 poster - combined contact and droplet precaution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372805" cy="4759086"/>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2"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4"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5"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6"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9"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283FDA" w:rsidP="00D574D3">
      <w:pPr>
        <w:keepNext/>
        <w:keepLines/>
        <w:rPr>
          <w:rFonts w:ascii="Garamond" w:hAnsi="Garamond"/>
          <w:lang w:val="en-AU"/>
        </w:rPr>
      </w:pPr>
      <w:hyperlink r:id="rId42"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283FDA" w:rsidP="00D574D3">
      <w:pPr>
        <w:keepNext/>
        <w:keepLines/>
        <w:rPr>
          <w:rFonts w:ascii="Garamond" w:hAnsi="Garamond"/>
          <w:lang w:val="en-AU"/>
        </w:rPr>
      </w:pPr>
      <w:hyperlink r:id="rId43"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05B4C376"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4"/>
      <w:footerReference w:type="default" r:id="rId4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964B" w14:textId="77777777" w:rsidR="00AF45C4" w:rsidRDefault="00AF45C4">
      <w:r>
        <w:separator/>
      </w:r>
    </w:p>
  </w:endnote>
  <w:endnote w:type="continuationSeparator" w:id="0">
    <w:p w14:paraId="0EA9D804" w14:textId="77777777" w:rsidR="00AF45C4" w:rsidRDefault="00AF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FFFD586"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60</w:t>
    </w:r>
    <w:r w:rsidR="00FC61E7">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BF979A5"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60</w:t>
    </w:r>
    <w:r w:rsidR="00FC61E7">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39D9" w14:textId="77777777" w:rsidR="00AF45C4" w:rsidRDefault="00AF45C4">
      <w:r>
        <w:separator/>
      </w:r>
    </w:p>
  </w:footnote>
  <w:footnote w:type="continuationSeparator" w:id="0">
    <w:p w14:paraId="56AA6FA3" w14:textId="77777777" w:rsidR="00AF45C4" w:rsidRDefault="00AF4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22"/>
  </w:num>
  <w:num w:numId="16">
    <w:abstractNumId w:val="13"/>
  </w:num>
  <w:num w:numId="17">
    <w:abstractNumId w:val="14"/>
  </w:num>
  <w:num w:numId="18">
    <w:abstractNumId w:val="17"/>
  </w:num>
  <w:num w:numId="19">
    <w:abstractNumId w:val="24"/>
  </w:num>
  <w:num w:numId="20">
    <w:abstractNumId w:val="10"/>
  </w:num>
  <w:num w:numId="21">
    <w:abstractNumId w:val="21"/>
  </w:num>
  <w:num w:numId="22">
    <w:abstractNumId w:val="25"/>
  </w:num>
  <w:num w:numId="23">
    <w:abstractNumId w:val="12"/>
  </w:num>
  <w:num w:numId="24">
    <w:abstractNumId w:val="11"/>
  </w:num>
  <w:num w:numId="25">
    <w:abstractNumId w:val="20"/>
  </w:num>
  <w:num w:numId="26">
    <w:abstractNumId w:val="15"/>
  </w:num>
  <w:num w:numId="27">
    <w:abstractNumId w:val="16"/>
  </w:num>
  <w:num w:numId="2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C4F"/>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61"/>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3FDA"/>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31"/>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4FB8"/>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7B"/>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5F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C2E"/>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701"/>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53D"/>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5C4"/>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242"/>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CF6"/>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C9D"/>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EE2"/>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7FB"/>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1F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81D"/>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01/jamanetworkopen.2023.14185" TargetMode="External"/><Relationship Id="rId26" Type="http://schemas.openxmlformats.org/officeDocument/2006/relationships/hyperlink" Target="https://effectivehealthcare.ahrq.gov/products/postpartum-care-one-year/research" TargetMode="External"/><Relationship Id="rId39" Type="http://schemas.openxmlformats.org/officeDocument/2006/relationships/hyperlink" Target="https://www.safetyandquality.gov.au/publications-and-resources/resource-library/covid-19-and-face-masks-information-consumers" TargetMode="External"/><Relationship Id="rId3" Type="http://schemas.openxmlformats.org/officeDocument/2006/relationships/styles" Target="styles.xml"/><Relationship Id="rId21" Type="http://schemas.openxmlformats.org/officeDocument/2006/relationships/hyperlink" Target="https://qualitysafety.bmj.com/content/early/recent" TargetMode="External"/><Relationship Id="rId34" Type="http://schemas.openxmlformats.org/officeDocument/2006/relationships/hyperlink" Target="http://www.safetyandquality.gov.au/environmental-cleaning" TargetMode="External"/><Relationship Id="rId42" Type="http://schemas.openxmlformats.org/officeDocument/2006/relationships/hyperlink" Target="https://covid19evidence.net.a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16/j.ajmo.2022.100028" TargetMode="External"/><Relationship Id="rId25" Type="http://schemas.openxmlformats.org/officeDocument/2006/relationships/hyperlink" Target="https://effectivehealthcare.ahrq.gov/" TargetMode="External"/><Relationship Id="rId33" Type="http://schemas.openxmlformats.org/officeDocument/2006/relationships/image" Target="media/image3.PNG"/><Relationship Id="rId38" Type="http://schemas.openxmlformats.org/officeDocument/2006/relationships/image" Target="media/image4.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10376178.2023.2207687" TargetMode="External"/><Relationship Id="rId20" Type="http://schemas.openxmlformats.org/officeDocument/2006/relationships/hyperlink" Target="https://www.healthaffairs.org/toc/hlthaff/42/6" TargetMode="External"/><Relationship Id="rId29" Type="http://schemas.openxmlformats.org/officeDocument/2006/relationships/hyperlink" Target="https://www.safetyandquality.gov.au/publications-and-resources/resource-library/covid-19-infection-prevention-and-control-risk-management-guidance"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nice.org.uk/guidance/cg57" TargetMode="External"/><Relationship Id="rId32" Type="http://schemas.openxmlformats.org/officeDocument/2006/relationships/hyperlink" Target="https://www.safetyandquality.gov.au/publications-and-resources/resource-library/poster-combined-airborne-and-contact-precautions" TargetMode="External"/><Relationship Id="rId3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0" Type="http://schemas.openxmlformats.org/officeDocument/2006/relationships/hyperlink" Target="https://www.safetyandquality.gov.au/sites/default/files/2020-07/covid-19_and_face_masks_-_information_for_consumers.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77/13558196231174732" TargetMode="External"/><Relationship Id="rId23" Type="http://schemas.openxmlformats.org/officeDocument/2006/relationships/hyperlink" Target="https://www.nice.org.uk/guidance" TargetMode="External"/><Relationship Id="rId28" Type="http://schemas.openxmlformats.org/officeDocument/2006/relationships/hyperlink" Target="https://www.safetyandquality.gov.au/covid-19" TargetMode="External"/><Relationship Id="rId36" Type="http://schemas.openxmlformats.org/officeDocument/2006/relationships/hyperlink" Target="https://www.safetyandquality.gov.au/our-work/cognitive-impairment/cognitive-impairment-and-covid-19"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x.doi.org/10.1136/bmjoq-2023-002368" TargetMode="External"/><Relationship Id="rId31" Type="http://schemas.openxmlformats.org/officeDocument/2006/relationships/image" Target="media/image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academic.oup.com/intqhc/advance-articles" TargetMode="External"/><Relationship Id="rId27" Type="http://schemas.openxmlformats.org/officeDocument/2006/relationships/hyperlink" Target="https://effectivehealthcare.ahrq.gov/products/hypertensive-disorders-pregnancy/research" TargetMode="External"/><Relationship Id="rId30" Type="http://schemas.openxmlformats.org/officeDocument/2006/relationships/hyperlink" Target="https://www.safetyandquality.gov.au/publications-and-resources/resource-library/infection-prevention-and-control-poster-combined-contact-and-droplet-precautions"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hyperlink" Target="https://www.aci.health.nsw.gov.au/covid-19/critical-intelligence-u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Draft On the Radar Issue 606</vt:lpstr>
    </vt:vector>
  </TitlesOfParts>
  <Company>ACSQHC</Company>
  <LinksUpToDate>false</LinksUpToDate>
  <CharactersWithSpaces>22663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606</dc:title>
  <dc:subject/>
  <dc:creator>Dr Niall Johnson</dc:creator>
  <cp:keywords>On the Radar</cp:keywords>
  <dc:description/>
  <cp:lastModifiedBy>JOHNSON, Niall</cp:lastModifiedBy>
  <cp:revision>14</cp:revision>
  <cp:lastPrinted>2018-03-02T02:34:00Z</cp:lastPrinted>
  <dcterms:created xsi:type="dcterms:W3CDTF">2023-06-04T21:17:00Z</dcterms:created>
  <dcterms:modified xsi:type="dcterms:W3CDTF">2023-06-09T01:32:00Z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