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50F18D1B" w:rsidR="00B160EF" w:rsidRPr="00DD7416" w:rsidRDefault="00824B99" w:rsidP="00873536">
      <w:pPr>
        <w:pStyle w:val="Heading1"/>
        <w:spacing w:before="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EAF03E4">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68FAB6FB" w:rsidR="009932E9" w:rsidRDefault="009932E9" w:rsidP="00F738B5">
      <w:pPr>
        <w:rPr>
          <w:rFonts w:ascii="Garamond" w:hAnsi="Garamond"/>
          <w:lang w:val="en-AU"/>
        </w:rPr>
      </w:pPr>
      <w:r>
        <w:rPr>
          <w:rFonts w:ascii="Garamond" w:hAnsi="Garamond"/>
          <w:lang w:val="en-AU"/>
        </w:rPr>
        <w:t>Issue 6</w:t>
      </w:r>
      <w:r w:rsidR="008B3B0E">
        <w:rPr>
          <w:rFonts w:ascii="Garamond" w:hAnsi="Garamond"/>
          <w:lang w:val="en-AU"/>
        </w:rPr>
        <w:t>1</w:t>
      </w:r>
      <w:r w:rsidR="00C41722">
        <w:rPr>
          <w:rFonts w:ascii="Garamond" w:hAnsi="Garamond"/>
          <w:lang w:val="en-AU"/>
        </w:rPr>
        <w:t>1</w:t>
      </w:r>
    </w:p>
    <w:p w14:paraId="5081D681" w14:textId="58A017F6" w:rsidR="001A4346" w:rsidRDefault="008B3B0E" w:rsidP="00F738B5">
      <w:pPr>
        <w:rPr>
          <w:rFonts w:ascii="Garamond" w:hAnsi="Garamond"/>
          <w:lang w:val="en-AU"/>
        </w:rPr>
      </w:pPr>
      <w:r>
        <w:rPr>
          <w:rFonts w:ascii="Garamond" w:hAnsi="Garamond"/>
          <w:lang w:val="en-AU"/>
        </w:rPr>
        <w:t>1</w:t>
      </w:r>
      <w:r w:rsidR="00C41722">
        <w:rPr>
          <w:rFonts w:ascii="Garamond" w:hAnsi="Garamond"/>
          <w:lang w:val="en-AU"/>
        </w:rPr>
        <w:t>7</w:t>
      </w:r>
      <w:r w:rsidR="004C0708">
        <w:rPr>
          <w:rFonts w:ascii="Garamond" w:hAnsi="Garamond"/>
          <w:lang w:val="en-AU"/>
        </w:rPr>
        <w:t xml:space="preserve"> Ju</w:t>
      </w:r>
      <w:r w:rsidR="007E7ADF">
        <w:rPr>
          <w:rFonts w:ascii="Garamond" w:hAnsi="Garamond"/>
          <w:lang w:val="en-AU"/>
        </w:rPr>
        <w:t>ly</w:t>
      </w:r>
      <w:r w:rsidR="00AA6F24">
        <w:rPr>
          <w:rFonts w:ascii="Garamond" w:hAnsi="Garamond"/>
          <w:lang w:val="en-AU"/>
        </w:rPr>
        <w:t xml:space="preserve"> </w:t>
      </w:r>
      <w:r w:rsidR="001A4346">
        <w:rPr>
          <w:rFonts w:ascii="Garamond" w:hAnsi="Garamond"/>
          <w:lang w:val="en-AU"/>
        </w:rPr>
        <w:t>2023</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44E8CAB9" w14:textId="69C70AB1" w:rsidR="00394B64"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94B64" w:rsidRPr="005B0DF4">
          <w:rPr>
            <w:rStyle w:val="Hyperlink"/>
            <w:rFonts w:ascii="Garamond" w:hAnsi="Garamond"/>
            <w:lang w:val="en-AU"/>
          </w:rPr>
          <w:t>https://www.safetyandquality.gov.au/newsroom/subscribe-news/radar</w:t>
        </w:r>
      </w:hyperlink>
    </w:p>
    <w:p w14:paraId="68B785DC" w14:textId="77777777" w:rsidR="003E0F57" w:rsidRPr="00467B47" w:rsidRDefault="003E0F57" w:rsidP="0045757F">
      <w:pPr>
        <w:autoSpaceDE w:val="0"/>
        <w:rPr>
          <w:rFonts w:ascii="Garamond" w:hAnsi="Garamond"/>
          <w:lang w:val="en-AU"/>
        </w:rPr>
      </w:pPr>
    </w:p>
    <w:p w14:paraId="63972801" w14:textId="634548E3"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394B64" w:rsidRPr="005B0DF4">
          <w:rPr>
            <w:rStyle w:val="Hyperlink"/>
            <w:rFonts w:ascii="Garamond" w:hAnsi="Garamond"/>
            <w:lang w:val="en-AU"/>
          </w:rPr>
          <w:t>https://www.safetyandquality.gov.au/newsroom/subscribe-news</w:t>
        </w:r>
      </w:hyperlink>
      <w:r w:rsidR="00394B64">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47421D79" w14:textId="07C6A4F8" w:rsidR="00361F74"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15104A">
        <w:rPr>
          <w:rFonts w:ascii="Garamond" w:hAnsi="Garamond"/>
          <w:bCs/>
          <w:lang w:val="en-AU"/>
        </w:rPr>
        <w:t>, Kristin Xenos</w:t>
      </w:r>
    </w:p>
    <w:p w14:paraId="3A890F04" w14:textId="7691C54C" w:rsidR="00106440" w:rsidRDefault="00106440" w:rsidP="009525CC">
      <w:pPr>
        <w:rPr>
          <w:rFonts w:ascii="Garamond" w:hAnsi="Garamond"/>
          <w:bCs/>
          <w:lang w:val="en-AU"/>
        </w:rPr>
      </w:pPr>
    </w:p>
    <w:p w14:paraId="514ADE42" w14:textId="403D6850" w:rsidR="0015104A" w:rsidRDefault="0015104A" w:rsidP="009525CC">
      <w:pPr>
        <w:rPr>
          <w:rFonts w:ascii="Garamond" w:hAnsi="Garamond"/>
          <w:bCs/>
          <w:lang w:val="en-AU"/>
        </w:rPr>
      </w:pPr>
    </w:p>
    <w:p w14:paraId="0ED792D7" w14:textId="77777777" w:rsidR="0015104A" w:rsidRDefault="0015104A" w:rsidP="009525CC">
      <w:pPr>
        <w:rPr>
          <w:rFonts w:ascii="Garamond" w:hAnsi="Garamond"/>
          <w:bCs/>
          <w:lang w:val="en-AU"/>
        </w:rPr>
      </w:pPr>
    </w:p>
    <w:p w14:paraId="483DB1C4" w14:textId="3369417C" w:rsidR="00940ACD" w:rsidRPr="0015104A" w:rsidRDefault="0015104A" w:rsidP="009525CC">
      <w:pPr>
        <w:rPr>
          <w:rFonts w:ascii="Garamond" w:hAnsi="Garamond"/>
          <w:b/>
          <w:i/>
          <w:iCs/>
          <w:lang w:val="en-AU"/>
        </w:rPr>
      </w:pPr>
      <w:r w:rsidRPr="0015104A">
        <w:rPr>
          <w:rFonts w:ascii="Garamond" w:hAnsi="Garamond"/>
          <w:b/>
          <w:i/>
          <w:iCs/>
          <w:lang w:val="en-AU"/>
        </w:rPr>
        <w:t>Antimicrobial Stewardship and Outpatient Parenteral Antimicrobial Therapy (OPAT) in Hospital in the Home (HITH) and other settings</w:t>
      </w:r>
    </w:p>
    <w:p w14:paraId="0DFAB3AD" w14:textId="77777777" w:rsidR="0015104A" w:rsidRPr="009470EB" w:rsidRDefault="0015104A" w:rsidP="0015104A">
      <w:pPr>
        <w:keepLines/>
        <w:autoSpaceDE w:val="0"/>
        <w:autoSpaceDN w:val="0"/>
        <w:adjustRightInd w:val="0"/>
        <w:rPr>
          <w:i/>
          <w:iCs/>
        </w:rPr>
      </w:pPr>
      <w:r w:rsidRPr="009470EB">
        <w:rPr>
          <w:i/>
          <w:iCs/>
        </w:rPr>
        <w:t>Antimicrobial Stewardship in Australian Health Care.</w:t>
      </w:r>
    </w:p>
    <w:p w14:paraId="65CBBC87" w14:textId="77777777" w:rsidR="0015104A" w:rsidRDefault="0015104A" w:rsidP="0015104A">
      <w:pPr>
        <w:keepLines/>
        <w:autoSpaceDE w:val="0"/>
        <w:autoSpaceDN w:val="0"/>
        <w:adjustRightInd w:val="0"/>
      </w:pPr>
      <w:r>
        <w:t>Australian Commission on Safety and Quality in Health Care</w:t>
      </w:r>
    </w:p>
    <w:p w14:paraId="540C6839" w14:textId="2064569F" w:rsidR="0015104A" w:rsidRDefault="0015104A" w:rsidP="0015104A">
      <w:pPr>
        <w:keepLines/>
        <w:autoSpaceDE w:val="0"/>
        <w:autoSpaceDN w:val="0"/>
        <w:adjustRightInd w:val="0"/>
      </w:pPr>
      <w:r>
        <w:t>Sydney: ACSQHC</w:t>
      </w:r>
    </w:p>
    <w:p w14:paraId="110EF6CC" w14:textId="1D766378" w:rsidR="0015104A" w:rsidRDefault="002645F8" w:rsidP="0015104A">
      <w:pPr>
        <w:keepLines/>
        <w:autoSpaceDE w:val="0"/>
        <w:autoSpaceDN w:val="0"/>
        <w:adjustRightInd w:val="0"/>
      </w:pPr>
      <w:hyperlink r:id="rId15" w:history="1">
        <w:r w:rsidR="0015104A" w:rsidRPr="00EB6273">
          <w:rPr>
            <w:rStyle w:val="Hyperlink"/>
          </w:rPr>
          <w:t>https://www.safetyandquality.gov.au/publications-and-resources/resource-library/antimicrobial-stewardship-australian-health-care</w:t>
        </w:r>
      </w:hyperlink>
    </w:p>
    <w:p w14:paraId="40BC0955" w14:textId="6AAD77F0" w:rsidR="0015104A" w:rsidRDefault="0015104A" w:rsidP="0015104A">
      <w:pPr>
        <w:keepLines/>
        <w:autoSpaceDE w:val="0"/>
        <w:autoSpaceDN w:val="0"/>
        <w:adjustRightInd w:val="0"/>
        <w:rPr>
          <w:rFonts w:ascii="Garamond" w:hAnsi="Garamond"/>
          <w:bCs/>
          <w:lang w:val="en-AU"/>
        </w:rPr>
      </w:pPr>
      <w:r w:rsidRPr="009470EB">
        <w:rPr>
          <w:rFonts w:ascii="Garamond" w:hAnsi="Garamond"/>
          <w:bCs/>
          <w:lang w:val="en-AU"/>
        </w:rPr>
        <w:t xml:space="preserve">Chapter </w:t>
      </w:r>
      <w:r>
        <w:rPr>
          <w:rFonts w:ascii="Garamond" w:hAnsi="Garamond"/>
          <w:bCs/>
          <w:lang w:val="en-AU"/>
        </w:rPr>
        <w:t>20</w:t>
      </w:r>
      <w:r w:rsidRPr="009470EB">
        <w:rPr>
          <w:rFonts w:ascii="Garamond" w:hAnsi="Garamond"/>
          <w:bCs/>
          <w:lang w:val="en-AU"/>
        </w:rPr>
        <w:t xml:space="preserve"> of </w:t>
      </w:r>
      <w:r w:rsidRPr="009470EB">
        <w:rPr>
          <w:rFonts w:ascii="Garamond" w:hAnsi="Garamond"/>
          <w:bCs/>
          <w:i/>
          <w:iCs/>
          <w:lang w:val="en-AU"/>
        </w:rPr>
        <w:t>Antimicrobial Stewardship in Australian Health Care</w:t>
      </w:r>
      <w:r w:rsidRPr="009470EB">
        <w:rPr>
          <w:rFonts w:ascii="Garamond" w:hAnsi="Garamond"/>
          <w:bCs/>
          <w:lang w:val="en-AU"/>
        </w:rPr>
        <w:t xml:space="preserve"> (the AMS Book) is now available on the Commission’s website.</w:t>
      </w:r>
      <w:r>
        <w:rPr>
          <w:rFonts w:ascii="Garamond" w:hAnsi="Garamond"/>
          <w:bCs/>
          <w:lang w:val="en-AU"/>
        </w:rPr>
        <w:t xml:space="preserve"> </w:t>
      </w:r>
      <w:r w:rsidRPr="009470EB">
        <w:rPr>
          <w:rFonts w:ascii="Garamond" w:hAnsi="Garamond"/>
          <w:bCs/>
          <w:lang w:val="en-AU"/>
        </w:rPr>
        <w:t xml:space="preserve">This chapter </w:t>
      </w:r>
      <w:r w:rsidRPr="0015104A">
        <w:rPr>
          <w:rFonts w:ascii="Garamond" w:hAnsi="Garamond"/>
          <w:bCs/>
          <w:i/>
          <w:iCs/>
          <w:lang w:val="en-AU"/>
        </w:rPr>
        <w:t>Antimicrobial Stewardship and Outpatient Parenteral Antimicrobial Therapy (OPAT) in Hospital in the Home (HITH) and other settings</w:t>
      </w:r>
      <w:r>
        <w:rPr>
          <w:rFonts w:ascii="Garamond" w:hAnsi="Garamond"/>
          <w:bCs/>
          <w:lang w:val="en-AU"/>
        </w:rPr>
        <w:t xml:space="preserve"> </w:t>
      </w:r>
      <w:r w:rsidRPr="0015104A">
        <w:rPr>
          <w:rFonts w:ascii="Garamond" w:hAnsi="Garamond"/>
          <w:bCs/>
          <w:lang w:val="en-AU"/>
        </w:rPr>
        <w:t>focuses on outpatient antimicrobial use and appropriateness of use in hospital in the home and other settings. The chapter describes the importance of governance, partnering with consumers, the role of a multidisciplinary team for service delivery and considerations for de-escalation of therapy and transitions of care.</w:t>
      </w:r>
    </w:p>
    <w:p w14:paraId="39A787E5" w14:textId="77777777" w:rsidR="00191214" w:rsidRDefault="00191214" w:rsidP="009525CC">
      <w:pPr>
        <w:rPr>
          <w:rFonts w:ascii="Garamond" w:hAnsi="Garamond"/>
          <w:bCs/>
          <w:lang w:val="en-AU"/>
        </w:rPr>
      </w:pPr>
    </w:p>
    <w:p w14:paraId="738B1966" w14:textId="77777777" w:rsidR="00D0490E" w:rsidRDefault="00D0490E" w:rsidP="00E02472">
      <w:pPr>
        <w:keepNext/>
        <w:keepLines/>
        <w:autoSpaceDE w:val="0"/>
        <w:autoSpaceDN w:val="0"/>
        <w:adjustRightInd w:val="0"/>
        <w:rPr>
          <w:rFonts w:ascii="Garamond" w:hAnsi="Garamond"/>
          <w:b/>
          <w:lang w:val="en-AU"/>
        </w:rPr>
      </w:pPr>
      <w:r>
        <w:rPr>
          <w:rFonts w:ascii="Garamond" w:hAnsi="Garamond"/>
          <w:b/>
          <w:lang w:val="en-AU"/>
        </w:rPr>
        <w:lastRenderedPageBreak/>
        <w:t>Reports</w:t>
      </w:r>
    </w:p>
    <w:p w14:paraId="73B8F730" w14:textId="248B0D0C" w:rsidR="00D0490E" w:rsidRDefault="00D0490E" w:rsidP="00D0490E">
      <w:pPr>
        <w:keepNext/>
        <w:rPr>
          <w:rFonts w:ascii="Garamond" w:hAnsi="Garamond"/>
          <w:lang w:val="en-AU"/>
        </w:rPr>
      </w:pPr>
    </w:p>
    <w:p w14:paraId="2F3E1118" w14:textId="7412DAC0" w:rsidR="000E0300" w:rsidRPr="000E0300" w:rsidRDefault="000E0300" w:rsidP="000E0300">
      <w:pPr>
        <w:keepNext/>
        <w:rPr>
          <w:rFonts w:ascii="Garamond" w:hAnsi="Garamond"/>
          <w:i/>
          <w:iCs/>
          <w:lang w:val="en-AU"/>
        </w:rPr>
      </w:pPr>
      <w:r w:rsidRPr="000E0300">
        <w:rPr>
          <w:rFonts w:ascii="Garamond" w:hAnsi="Garamond"/>
          <w:i/>
          <w:iCs/>
          <w:lang w:val="en-AU"/>
        </w:rPr>
        <w:t>Improving patient safety culture – a practical guide</w:t>
      </w:r>
    </w:p>
    <w:p w14:paraId="605EEB61" w14:textId="1AC827C3" w:rsidR="000E0300" w:rsidRDefault="000E0300" w:rsidP="000E0300">
      <w:pPr>
        <w:keepNext/>
        <w:rPr>
          <w:rFonts w:ascii="Garamond" w:hAnsi="Garamond"/>
          <w:lang w:val="en-AU"/>
        </w:rPr>
      </w:pPr>
      <w:r w:rsidRPr="000E0300">
        <w:rPr>
          <w:rFonts w:ascii="Garamond" w:hAnsi="Garamond"/>
          <w:lang w:val="en-AU"/>
        </w:rPr>
        <w:t>NHS England</w:t>
      </w:r>
    </w:p>
    <w:p w14:paraId="7B228EFF" w14:textId="2E647EBD" w:rsidR="000E0300" w:rsidRPr="00D65371" w:rsidRDefault="000E0300" w:rsidP="000E0300">
      <w:pPr>
        <w:keepNext/>
        <w:rPr>
          <w:rFonts w:ascii="Garamond" w:hAnsi="Garamond"/>
          <w:lang w:val="en-AU"/>
        </w:rPr>
      </w:pPr>
      <w:r w:rsidRPr="000E0300">
        <w:rPr>
          <w:rFonts w:ascii="Garamond" w:hAnsi="Garamond"/>
          <w:lang w:val="en-AU"/>
        </w:rPr>
        <w:t>2023. p. 40.</w:t>
      </w:r>
    </w:p>
    <w:tbl>
      <w:tblPr>
        <w:tblStyle w:val="TableGrid"/>
        <w:tblW w:w="9360" w:type="dxa"/>
        <w:tblInd w:w="288" w:type="dxa"/>
        <w:tblLayout w:type="fixed"/>
        <w:tblLook w:val="01E0" w:firstRow="1" w:lastRow="1" w:firstColumn="1" w:lastColumn="1" w:noHBand="0" w:noVBand="0"/>
      </w:tblPr>
      <w:tblGrid>
        <w:gridCol w:w="1080"/>
        <w:gridCol w:w="8280"/>
      </w:tblGrid>
      <w:tr w:rsidR="000E0300" w:rsidRPr="000170DA" w14:paraId="2880B487" w14:textId="77777777" w:rsidTr="000C5247">
        <w:tc>
          <w:tcPr>
            <w:tcW w:w="1080" w:type="dxa"/>
            <w:tcBorders>
              <w:top w:val="single" w:sz="4" w:space="0" w:color="auto"/>
              <w:left w:val="single" w:sz="4" w:space="0" w:color="auto"/>
              <w:bottom w:val="single" w:sz="4" w:space="0" w:color="auto"/>
              <w:right w:val="single" w:sz="4" w:space="0" w:color="auto"/>
            </w:tcBorders>
            <w:vAlign w:val="center"/>
          </w:tcPr>
          <w:p w14:paraId="77D4BF33" w14:textId="77777777" w:rsidR="000E0300" w:rsidRPr="000170DA" w:rsidRDefault="000E0300" w:rsidP="000C5247">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7B7FD64" w14:textId="5722FBB7" w:rsidR="000E0300" w:rsidRPr="000170DA" w:rsidRDefault="002645F8" w:rsidP="000C5247">
            <w:pPr>
              <w:keepNext/>
              <w:rPr>
                <w:rStyle w:val="Hyperlink"/>
                <w:rFonts w:ascii="Garamond" w:hAnsi="Garamond"/>
                <w:color w:val="auto"/>
                <w:u w:val="none"/>
                <w:lang w:val="en-AU"/>
              </w:rPr>
            </w:pPr>
            <w:hyperlink r:id="rId16" w:history="1">
              <w:r w:rsidR="000E0300" w:rsidRPr="000D046A">
                <w:rPr>
                  <w:rStyle w:val="Hyperlink"/>
                  <w:rFonts w:ascii="Garamond" w:hAnsi="Garamond"/>
                  <w:lang w:val="en-AU"/>
                </w:rPr>
                <w:t>https://www.england.nhs.uk/publication/improving-patient-safety-culture-a-practical-guide/</w:t>
              </w:r>
            </w:hyperlink>
          </w:p>
        </w:tc>
      </w:tr>
      <w:tr w:rsidR="000E0300" w:rsidRPr="000170DA" w14:paraId="762712B8" w14:textId="77777777" w:rsidTr="000C5247">
        <w:tc>
          <w:tcPr>
            <w:tcW w:w="1080" w:type="dxa"/>
            <w:tcBorders>
              <w:top w:val="single" w:sz="4" w:space="0" w:color="auto"/>
              <w:left w:val="single" w:sz="4" w:space="0" w:color="auto"/>
              <w:bottom w:val="single" w:sz="4" w:space="0" w:color="auto"/>
              <w:right w:val="single" w:sz="4" w:space="0" w:color="auto"/>
            </w:tcBorders>
            <w:vAlign w:val="center"/>
          </w:tcPr>
          <w:p w14:paraId="6C9A78A8" w14:textId="77777777" w:rsidR="000E0300" w:rsidRPr="000170DA" w:rsidRDefault="000E0300" w:rsidP="000C524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915B527" w14:textId="0BAA34D7" w:rsidR="000E0300" w:rsidRDefault="000E0300" w:rsidP="000C5247">
            <w:pPr>
              <w:rPr>
                <w:rFonts w:ascii="Garamond" w:hAnsi="Garamond"/>
                <w:lang w:val="en-AU"/>
              </w:rPr>
            </w:pPr>
            <w:r>
              <w:rPr>
                <w:rFonts w:ascii="Garamond" w:hAnsi="Garamond"/>
                <w:lang w:val="en-AU"/>
              </w:rPr>
              <w:t>NHS England has produced this guide ‘</w:t>
            </w:r>
            <w:r w:rsidRPr="000E0300">
              <w:rPr>
                <w:rFonts w:ascii="Garamond" w:hAnsi="Garamond"/>
                <w:lang w:val="en-AU"/>
              </w:rPr>
              <w:t>as a resource to support teams to understand their safety culture and how to approach improving it.</w:t>
            </w:r>
            <w:r>
              <w:rPr>
                <w:rFonts w:ascii="Garamond" w:hAnsi="Garamond"/>
                <w:lang w:val="en-AU"/>
              </w:rPr>
              <w:t>’ This short guide includes sections on:</w:t>
            </w:r>
          </w:p>
          <w:p w14:paraId="1168A31C" w14:textId="77777777" w:rsidR="000E0300" w:rsidRDefault="000E0300" w:rsidP="000E0300">
            <w:pPr>
              <w:pStyle w:val="ListParagraph"/>
              <w:numPr>
                <w:ilvl w:val="0"/>
                <w:numId w:val="35"/>
              </w:numPr>
              <w:rPr>
                <w:rFonts w:ascii="Garamond" w:hAnsi="Garamond"/>
                <w:lang w:val="en-AU"/>
              </w:rPr>
            </w:pPr>
            <w:r w:rsidRPr="000E0300">
              <w:rPr>
                <w:rFonts w:ascii="Garamond" w:hAnsi="Garamond"/>
                <w:lang w:val="en-AU"/>
              </w:rPr>
              <w:t>Safety culture</w:t>
            </w:r>
          </w:p>
          <w:p w14:paraId="1815404C" w14:textId="3B670634" w:rsidR="000E0300" w:rsidRPr="000E0300" w:rsidRDefault="000E0300" w:rsidP="00271FC6">
            <w:pPr>
              <w:pStyle w:val="ListParagraph"/>
              <w:numPr>
                <w:ilvl w:val="0"/>
                <w:numId w:val="35"/>
              </w:numPr>
              <w:rPr>
                <w:rFonts w:ascii="Garamond" w:hAnsi="Garamond"/>
                <w:lang w:val="en-AU"/>
              </w:rPr>
            </w:pPr>
            <w:r w:rsidRPr="000E0300">
              <w:rPr>
                <w:rFonts w:ascii="Garamond" w:hAnsi="Garamond"/>
                <w:lang w:val="en-AU"/>
              </w:rPr>
              <w:t>Teamwork and</w:t>
            </w:r>
            <w:r>
              <w:rPr>
                <w:rFonts w:ascii="Garamond" w:hAnsi="Garamond"/>
                <w:lang w:val="en-AU"/>
              </w:rPr>
              <w:t xml:space="preserve"> </w:t>
            </w:r>
            <w:r w:rsidRPr="000E0300">
              <w:rPr>
                <w:rFonts w:ascii="Garamond" w:hAnsi="Garamond"/>
                <w:lang w:val="en-AU"/>
              </w:rPr>
              <w:t>communication</w:t>
            </w:r>
          </w:p>
          <w:p w14:paraId="5EA29EBE" w14:textId="2B8E8216" w:rsidR="000E0300" w:rsidRPr="000E0300" w:rsidRDefault="000E0300" w:rsidP="00544019">
            <w:pPr>
              <w:pStyle w:val="ListParagraph"/>
              <w:numPr>
                <w:ilvl w:val="0"/>
                <w:numId w:val="35"/>
              </w:numPr>
              <w:rPr>
                <w:rFonts w:ascii="Garamond" w:hAnsi="Garamond"/>
                <w:lang w:val="en-AU"/>
              </w:rPr>
            </w:pPr>
            <w:r w:rsidRPr="000E0300">
              <w:rPr>
                <w:rFonts w:ascii="Garamond" w:hAnsi="Garamond"/>
                <w:lang w:val="en-AU"/>
              </w:rPr>
              <w:t>Just and</w:t>
            </w:r>
            <w:r>
              <w:rPr>
                <w:rFonts w:ascii="Garamond" w:hAnsi="Garamond"/>
                <w:lang w:val="en-AU"/>
              </w:rPr>
              <w:t xml:space="preserve"> </w:t>
            </w:r>
            <w:r w:rsidRPr="000E0300">
              <w:rPr>
                <w:rFonts w:ascii="Garamond" w:hAnsi="Garamond"/>
                <w:lang w:val="en-AU"/>
              </w:rPr>
              <w:t>restorative culture</w:t>
            </w:r>
          </w:p>
          <w:p w14:paraId="59E77C80" w14:textId="14E9B5B7" w:rsidR="000E0300" w:rsidRPr="000E0300" w:rsidRDefault="000E0300" w:rsidP="007A09A1">
            <w:pPr>
              <w:pStyle w:val="ListParagraph"/>
              <w:numPr>
                <w:ilvl w:val="0"/>
                <w:numId w:val="35"/>
              </w:numPr>
              <w:rPr>
                <w:rFonts w:ascii="Garamond" w:hAnsi="Garamond"/>
                <w:lang w:val="en-AU"/>
              </w:rPr>
            </w:pPr>
            <w:r w:rsidRPr="000E0300">
              <w:rPr>
                <w:rFonts w:ascii="Garamond" w:hAnsi="Garamond"/>
                <w:lang w:val="en-AU"/>
              </w:rPr>
              <w:t>Psychological</w:t>
            </w:r>
            <w:r>
              <w:rPr>
                <w:rFonts w:ascii="Garamond" w:hAnsi="Garamond"/>
                <w:lang w:val="en-AU"/>
              </w:rPr>
              <w:t xml:space="preserve"> </w:t>
            </w:r>
            <w:r w:rsidRPr="000E0300">
              <w:rPr>
                <w:rFonts w:ascii="Garamond" w:hAnsi="Garamond"/>
                <w:lang w:val="en-AU"/>
              </w:rPr>
              <w:t>safety</w:t>
            </w:r>
          </w:p>
          <w:p w14:paraId="706792B0" w14:textId="4C2C6E51" w:rsidR="000E0300" w:rsidRDefault="000E0300" w:rsidP="000E0300">
            <w:pPr>
              <w:pStyle w:val="ListParagraph"/>
              <w:numPr>
                <w:ilvl w:val="0"/>
                <w:numId w:val="35"/>
              </w:numPr>
              <w:rPr>
                <w:rFonts w:ascii="Garamond" w:hAnsi="Garamond"/>
                <w:lang w:val="en-AU"/>
              </w:rPr>
            </w:pPr>
            <w:r w:rsidRPr="000E0300">
              <w:rPr>
                <w:rFonts w:ascii="Garamond" w:hAnsi="Garamond"/>
                <w:lang w:val="en-AU"/>
              </w:rPr>
              <w:t>Promoting diversity &amp; inclusive behaviours</w:t>
            </w:r>
          </w:p>
          <w:p w14:paraId="7D13A828" w14:textId="2DE0BC95" w:rsidR="000E0300" w:rsidRPr="000E0300" w:rsidRDefault="000E0300" w:rsidP="000E0300">
            <w:pPr>
              <w:pStyle w:val="ListParagraph"/>
              <w:numPr>
                <w:ilvl w:val="0"/>
                <w:numId w:val="35"/>
              </w:numPr>
              <w:rPr>
                <w:rFonts w:ascii="Garamond" w:hAnsi="Garamond"/>
                <w:lang w:val="en-AU"/>
              </w:rPr>
            </w:pPr>
            <w:r w:rsidRPr="000E0300">
              <w:rPr>
                <w:rFonts w:ascii="Garamond" w:hAnsi="Garamond"/>
                <w:lang w:val="en-AU"/>
              </w:rPr>
              <w:t>Civility</w:t>
            </w:r>
            <w:r>
              <w:rPr>
                <w:rFonts w:ascii="Garamond" w:hAnsi="Garamond"/>
                <w:lang w:val="en-AU"/>
              </w:rPr>
              <w:t>.</w:t>
            </w:r>
          </w:p>
        </w:tc>
      </w:tr>
    </w:tbl>
    <w:p w14:paraId="5406175A" w14:textId="77777777" w:rsidR="000E0300" w:rsidRDefault="000E0300" w:rsidP="000E0300">
      <w:pPr>
        <w:keepLines/>
        <w:autoSpaceDE w:val="0"/>
        <w:autoSpaceDN w:val="0"/>
        <w:adjustRightInd w:val="0"/>
        <w:rPr>
          <w:rFonts w:ascii="Garamond" w:hAnsi="Garamond"/>
          <w:lang w:val="en-AU"/>
        </w:rPr>
      </w:pPr>
    </w:p>
    <w:p w14:paraId="6BD5399F" w14:textId="664D921C" w:rsidR="00C41722" w:rsidRPr="002C6DF1" w:rsidRDefault="002C6DF1" w:rsidP="00C41722">
      <w:pPr>
        <w:keepLines/>
        <w:autoSpaceDE w:val="0"/>
        <w:autoSpaceDN w:val="0"/>
        <w:adjustRightInd w:val="0"/>
        <w:rPr>
          <w:rFonts w:ascii="Garamond" w:hAnsi="Garamond"/>
          <w:i/>
          <w:iCs/>
          <w:lang w:val="en-AU"/>
        </w:rPr>
      </w:pPr>
      <w:r w:rsidRPr="002C6DF1">
        <w:rPr>
          <w:rFonts w:ascii="Garamond" w:hAnsi="Garamond"/>
          <w:i/>
          <w:iCs/>
          <w:lang w:val="en-AU"/>
        </w:rPr>
        <w:t>Six Steps to Better Care for Older People in Acute Hospitals</w:t>
      </w:r>
    </w:p>
    <w:p w14:paraId="5D1E6F0A" w14:textId="77777777" w:rsidR="004D35E1" w:rsidRDefault="004D35E1" w:rsidP="004D35E1">
      <w:pPr>
        <w:keepLines/>
        <w:autoSpaceDE w:val="0"/>
        <w:autoSpaceDN w:val="0"/>
        <w:adjustRightInd w:val="0"/>
        <w:rPr>
          <w:rFonts w:ascii="Garamond" w:hAnsi="Garamond"/>
          <w:lang w:val="en-AU"/>
        </w:rPr>
      </w:pPr>
      <w:r w:rsidRPr="004D35E1">
        <w:rPr>
          <w:rFonts w:ascii="Garamond" w:hAnsi="Garamond"/>
          <w:lang w:val="en-AU"/>
        </w:rPr>
        <w:t>Getting It Right First time (GIRFT)</w:t>
      </w:r>
      <w:r>
        <w:rPr>
          <w:rFonts w:ascii="Garamond" w:hAnsi="Garamond"/>
          <w:lang w:val="en-AU"/>
        </w:rPr>
        <w:t xml:space="preserve"> and </w:t>
      </w:r>
      <w:r w:rsidRPr="004D35E1">
        <w:rPr>
          <w:rFonts w:ascii="Garamond" w:hAnsi="Garamond"/>
          <w:lang w:val="en-AU"/>
        </w:rPr>
        <w:t>British Geriatrics Society</w:t>
      </w:r>
    </w:p>
    <w:p w14:paraId="48EB2599" w14:textId="6B9EE59D" w:rsidR="002C6DF1" w:rsidRDefault="004D35E1" w:rsidP="004D35E1">
      <w:pPr>
        <w:keepLines/>
        <w:autoSpaceDE w:val="0"/>
        <w:autoSpaceDN w:val="0"/>
        <w:adjustRightInd w:val="0"/>
        <w:rPr>
          <w:rFonts w:ascii="Garamond" w:hAnsi="Garamond"/>
          <w:lang w:val="en-AU"/>
        </w:rPr>
      </w:pPr>
      <w:r w:rsidRPr="004D35E1">
        <w:rPr>
          <w:rFonts w:ascii="Garamond" w:hAnsi="Garamond"/>
          <w:lang w:val="en-AU"/>
        </w:rPr>
        <w:t>Getting It Right First time (GIRFT),</w:t>
      </w:r>
      <w:r>
        <w:rPr>
          <w:rFonts w:ascii="Garamond" w:hAnsi="Garamond"/>
          <w:lang w:val="en-AU"/>
        </w:rPr>
        <w:t xml:space="preserve"> </w:t>
      </w:r>
      <w:r w:rsidRPr="004D35E1">
        <w:rPr>
          <w:rFonts w:ascii="Garamond" w:hAnsi="Garamond"/>
          <w:lang w:val="en-AU"/>
        </w:rPr>
        <w:t>2023. p. 7.</w:t>
      </w:r>
    </w:p>
    <w:tbl>
      <w:tblPr>
        <w:tblStyle w:val="TableGrid"/>
        <w:tblW w:w="9360" w:type="dxa"/>
        <w:tblInd w:w="288" w:type="dxa"/>
        <w:tblLayout w:type="fixed"/>
        <w:tblLook w:val="01E0" w:firstRow="1" w:lastRow="1" w:firstColumn="1" w:lastColumn="1" w:noHBand="0" w:noVBand="0"/>
      </w:tblPr>
      <w:tblGrid>
        <w:gridCol w:w="1080"/>
        <w:gridCol w:w="8280"/>
      </w:tblGrid>
      <w:tr w:rsidR="00C41722" w:rsidRPr="000170DA" w14:paraId="4C82EB6E" w14:textId="77777777" w:rsidTr="00C70D65">
        <w:tc>
          <w:tcPr>
            <w:tcW w:w="1080" w:type="dxa"/>
            <w:tcBorders>
              <w:top w:val="single" w:sz="4" w:space="0" w:color="auto"/>
              <w:left w:val="single" w:sz="4" w:space="0" w:color="auto"/>
              <w:bottom w:val="single" w:sz="4" w:space="0" w:color="auto"/>
              <w:right w:val="single" w:sz="4" w:space="0" w:color="auto"/>
            </w:tcBorders>
            <w:vAlign w:val="center"/>
          </w:tcPr>
          <w:p w14:paraId="6E1071E2" w14:textId="2AAB8689" w:rsidR="00C41722" w:rsidRPr="000170DA" w:rsidRDefault="002C6DF1" w:rsidP="00C70D65">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7EDE550" w14:textId="2BF178BF" w:rsidR="00C41722" w:rsidRPr="000170DA" w:rsidRDefault="002645F8" w:rsidP="00C70D65">
            <w:pPr>
              <w:keepNext/>
              <w:rPr>
                <w:rStyle w:val="Hyperlink"/>
                <w:rFonts w:ascii="Garamond" w:hAnsi="Garamond"/>
                <w:color w:val="auto"/>
                <w:u w:val="none"/>
                <w:lang w:val="en-AU"/>
              </w:rPr>
            </w:pPr>
            <w:hyperlink r:id="rId17" w:history="1">
              <w:r w:rsidR="002C6DF1" w:rsidRPr="00C50FDC">
                <w:rPr>
                  <w:rStyle w:val="Hyperlink"/>
                  <w:rFonts w:ascii="Garamond" w:hAnsi="Garamond"/>
                  <w:lang w:val="en-AU"/>
                </w:rPr>
                <w:t>https://gettingitrightfirsttime.co.uk/wp-content/uploads/2023/06/GIRFT-BGS-Six-Steps-to-Better-Care-for-Older-People-FINAL-V1-June-2023-1.pdf</w:t>
              </w:r>
            </w:hyperlink>
          </w:p>
        </w:tc>
      </w:tr>
      <w:tr w:rsidR="00C41722" w:rsidRPr="000170DA" w14:paraId="2506CE10" w14:textId="77777777" w:rsidTr="00C70D65">
        <w:tc>
          <w:tcPr>
            <w:tcW w:w="1080" w:type="dxa"/>
            <w:tcBorders>
              <w:top w:val="single" w:sz="4" w:space="0" w:color="auto"/>
              <w:left w:val="single" w:sz="4" w:space="0" w:color="auto"/>
              <w:bottom w:val="single" w:sz="4" w:space="0" w:color="auto"/>
              <w:right w:val="single" w:sz="4" w:space="0" w:color="auto"/>
            </w:tcBorders>
            <w:vAlign w:val="center"/>
          </w:tcPr>
          <w:p w14:paraId="558EABBC" w14:textId="77777777" w:rsidR="00C41722" w:rsidRPr="000170DA" w:rsidRDefault="00C41722" w:rsidP="00C70D6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A88A87F" w14:textId="2B7DCF28" w:rsidR="004D35E1" w:rsidRPr="004D35E1" w:rsidRDefault="004D35E1" w:rsidP="004D35E1">
            <w:pPr>
              <w:rPr>
                <w:rFonts w:ascii="Garamond" w:hAnsi="Garamond"/>
                <w:lang w:val="en-AU"/>
              </w:rPr>
            </w:pPr>
            <w:r>
              <w:rPr>
                <w:rFonts w:ascii="Garamond" w:hAnsi="Garamond"/>
                <w:lang w:val="en-AU"/>
              </w:rPr>
              <w:t xml:space="preserve">This resource is aimed at supporting (UK) </w:t>
            </w:r>
            <w:r w:rsidRPr="004D35E1">
              <w:rPr>
                <w:rFonts w:ascii="Garamond" w:hAnsi="Garamond"/>
                <w:lang w:val="en-AU"/>
              </w:rPr>
              <w:t xml:space="preserve">hospital teams to improve </w:t>
            </w:r>
            <w:r>
              <w:rPr>
                <w:rFonts w:ascii="Garamond" w:hAnsi="Garamond"/>
                <w:lang w:val="en-AU"/>
              </w:rPr>
              <w:t xml:space="preserve">the </w:t>
            </w:r>
            <w:r w:rsidRPr="004D35E1">
              <w:rPr>
                <w:rFonts w:ascii="Garamond" w:hAnsi="Garamond"/>
                <w:lang w:val="en-AU"/>
              </w:rPr>
              <w:t>care of older people living with frailty</w:t>
            </w:r>
            <w:r>
              <w:rPr>
                <w:rFonts w:ascii="Garamond" w:hAnsi="Garamond"/>
                <w:lang w:val="en-AU"/>
              </w:rPr>
              <w:t xml:space="preserve">. The resource was developed </w:t>
            </w:r>
            <w:r w:rsidRPr="004D35E1">
              <w:rPr>
                <w:rFonts w:ascii="Garamond" w:hAnsi="Garamond"/>
                <w:lang w:val="en-AU"/>
              </w:rPr>
              <w:t>in a collaboration between Getting It Right First Time (GIRFT) and the British Geriatrics Society (BGS).</w:t>
            </w:r>
            <w:r>
              <w:rPr>
                <w:rFonts w:ascii="Garamond" w:hAnsi="Garamond"/>
                <w:lang w:val="en-AU"/>
              </w:rPr>
              <w:t xml:space="preserve"> T</w:t>
            </w:r>
            <w:r w:rsidRPr="004D35E1">
              <w:rPr>
                <w:rFonts w:ascii="Garamond" w:hAnsi="Garamond"/>
                <w:lang w:val="en-AU"/>
              </w:rPr>
              <w:t xml:space="preserve">his </w:t>
            </w:r>
            <w:r>
              <w:rPr>
                <w:rFonts w:ascii="Garamond" w:hAnsi="Garamond"/>
                <w:lang w:val="en-AU"/>
              </w:rPr>
              <w:t xml:space="preserve">resource accompanies </w:t>
            </w:r>
            <w:r w:rsidRPr="004D35E1">
              <w:rPr>
                <w:rFonts w:ascii="Garamond" w:hAnsi="Garamond"/>
                <w:lang w:val="en-AU"/>
              </w:rPr>
              <w:t xml:space="preserve">the GIRFT </w:t>
            </w:r>
            <w:r w:rsidRPr="004D35E1">
              <w:rPr>
                <w:rFonts w:ascii="Garamond" w:hAnsi="Garamond"/>
                <w:i/>
                <w:iCs/>
                <w:lang w:val="en-AU"/>
              </w:rPr>
              <w:t>Hospital Acute Care Frailty Pathway</w:t>
            </w:r>
            <w:r w:rsidRPr="004D35E1">
              <w:rPr>
                <w:rFonts w:ascii="Garamond" w:hAnsi="Garamond"/>
                <w:lang w:val="en-AU"/>
              </w:rPr>
              <w:t xml:space="preserve">. </w:t>
            </w:r>
          </w:p>
          <w:p w14:paraId="37B4BB85" w14:textId="77777777" w:rsidR="004D35E1" w:rsidRPr="004D35E1" w:rsidRDefault="004D35E1" w:rsidP="004D35E1">
            <w:pPr>
              <w:rPr>
                <w:rFonts w:ascii="Garamond" w:hAnsi="Garamond"/>
                <w:lang w:val="en-AU"/>
              </w:rPr>
            </w:pPr>
            <w:r w:rsidRPr="004D35E1">
              <w:rPr>
                <w:rFonts w:ascii="Garamond" w:hAnsi="Garamond"/>
                <w:lang w:val="en-AU"/>
              </w:rPr>
              <w:t>The six steps include:</w:t>
            </w:r>
          </w:p>
          <w:p w14:paraId="2B8ABDAD" w14:textId="04056595" w:rsidR="004D35E1" w:rsidRPr="004D35E1" w:rsidRDefault="004D35E1" w:rsidP="004D35E1">
            <w:pPr>
              <w:pStyle w:val="ListParagraph"/>
              <w:numPr>
                <w:ilvl w:val="0"/>
                <w:numId w:val="33"/>
              </w:numPr>
              <w:rPr>
                <w:rFonts w:ascii="Garamond" w:hAnsi="Garamond"/>
                <w:lang w:val="en-AU"/>
              </w:rPr>
            </w:pPr>
            <w:r w:rsidRPr="004D35E1">
              <w:rPr>
                <w:rFonts w:ascii="Garamond" w:hAnsi="Garamond"/>
                <w:b/>
                <w:bCs/>
                <w:lang w:val="en-AU"/>
              </w:rPr>
              <w:t>Assess for frailty</w:t>
            </w:r>
            <w:r w:rsidRPr="004D35E1">
              <w:rPr>
                <w:rFonts w:ascii="Garamond" w:hAnsi="Garamond"/>
                <w:lang w:val="en-AU"/>
              </w:rPr>
              <w:t>: Systematically identify frailty in all settings using the Clinical Frailty Scale.</w:t>
            </w:r>
          </w:p>
          <w:p w14:paraId="049B5FF5" w14:textId="33EC5C26" w:rsidR="004D35E1" w:rsidRPr="004D35E1" w:rsidRDefault="004D35E1" w:rsidP="004D35E1">
            <w:pPr>
              <w:pStyle w:val="ListParagraph"/>
              <w:numPr>
                <w:ilvl w:val="0"/>
                <w:numId w:val="33"/>
              </w:numPr>
              <w:rPr>
                <w:rFonts w:ascii="Garamond" w:hAnsi="Garamond"/>
                <w:lang w:val="en-AU"/>
              </w:rPr>
            </w:pPr>
            <w:r w:rsidRPr="004D35E1">
              <w:rPr>
                <w:rFonts w:ascii="Garamond" w:hAnsi="Garamond"/>
                <w:b/>
                <w:bCs/>
                <w:lang w:val="en-AU"/>
              </w:rPr>
              <w:t>Prevent complications</w:t>
            </w:r>
            <w:r w:rsidRPr="004D35E1">
              <w:rPr>
                <w:rFonts w:ascii="Garamond" w:hAnsi="Garamond"/>
                <w:lang w:val="en-AU"/>
              </w:rPr>
              <w:t>: Prevent, identify and effectively manage delirium and reduce hospital-acquired deconditioning.</w:t>
            </w:r>
          </w:p>
          <w:p w14:paraId="57BCDFC4" w14:textId="0C01877B" w:rsidR="004D35E1" w:rsidRPr="004D35E1" w:rsidRDefault="004D35E1" w:rsidP="004D35E1">
            <w:pPr>
              <w:pStyle w:val="ListParagraph"/>
              <w:numPr>
                <w:ilvl w:val="0"/>
                <w:numId w:val="33"/>
              </w:numPr>
              <w:rPr>
                <w:rFonts w:ascii="Garamond" w:hAnsi="Garamond"/>
                <w:lang w:val="en-AU"/>
              </w:rPr>
            </w:pPr>
            <w:r w:rsidRPr="004D35E1">
              <w:rPr>
                <w:rFonts w:ascii="Garamond" w:hAnsi="Garamond"/>
                <w:b/>
                <w:bCs/>
                <w:lang w:val="en-AU"/>
              </w:rPr>
              <w:t>Home First</w:t>
            </w:r>
            <w:r w:rsidRPr="004D35E1">
              <w:rPr>
                <w:rFonts w:ascii="Garamond" w:hAnsi="Garamond"/>
                <w:lang w:val="en-AU"/>
              </w:rPr>
              <w:t>: Start discharge planning for older people with frailty and/or dementia as soon as possible after admission using a Home First principle.</w:t>
            </w:r>
          </w:p>
          <w:p w14:paraId="03E15107" w14:textId="6EB41114" w:rsidR="004D35E1" w:rsidRPr="004D35E1" w:rsidRDefault="004D35E1" w:rsidP="004D35E1">
            <w:pPr>
              <w:pStyle w:val="ListParagraph"/>
              <w:numPr>
                <w:ilvl w:val="0"/>
                <w:numId w:val="33"/>
              </w:numPr>
              <w:rPr>
                <w:rFonts w:ascii="Garamond" w:hAnsi="Garamond"/>
                <w:lang w:val="en-AU"/>
              </w:rPr>
            </w:pPr>
            <w:r w:rsidRPr="004D35E1">
              <w:rPr>
                <w:rFonts w:ascii="Garamond" w:hAnsi="Garamond"/>
                <w:b/>
                <w:bCs/>
                <w:lang w:val="en-AU"/>
              </w:rPr>
              <w:t>Surgical Liaison</w:t>
            </w:r>
            <w:r w:rsidRPr="004D35E1">
              <w:rPr>
                <w:rFonts w:ascii="Garamond" w:hAnsi="Garamond"/>
                <w:lang w:val="en-AU"/>
              </w:rPr>
              <w:t>: Provide evidence-based surgical specialty liaison that improves individual and service-level outcomes for older people.</w:t>
            </w:r>
          </w:p>
          <w:p w14:paraId="6059EC1B" w14:textId="77777777" w:rsidR="004D35E1" w:rsidRDefault="004D35E1" w:rsidP="004D35E1">
            <w:pPr>
              <w:pStyle w:val="ListParagraph"/>
              <w:numPr>
                <w:ilvl w:val="0"/>
                <w:numId w:val="33"/>
              </w:numPr>
              <w:rPr>
                <w:rFonts w:ascii="Garamond" w:hAnsi="Garamond"/>
                <w:lang w:val="en-AU"/>
              </w:rPr>
            </w:pPr>
            <w:r w:rsidRPr="004D35E1">
              <w:rPr>
                <w:rFonts w:ascii="Garamond" w:hAnsi="Garamond"/>
                <w:b/>
                <w:bCs/>
                <w:lang w:val="en-AU"/>
              </w:rPr>
              <w:t>Rehabilitation</w:t>
            </w:r>
            <w:r w:rsidRPr="004D35E1">
              <w:rPr>
                <w:rFonts w:ascii="Garamond" w:hAnsi="Garamond"/>
                <w:lang w:val="en-AU"/>
              </w:rPr>
              <w:t>: Ensure there is effective recuperative rehabilitation for older people on all wards in hospital and linked community services.</w:t>
            </w:r>
          </w:p>
          <w:p w14:paraId="5D5F1DCB" w14:textId="627C9480" w:rsidR="004D35E1" w:rsidRPr="004D35E1" w:rsidRDefault="004D35E1" w:rsidP="004D35E1">
            <w:pPr>
              <w:pStyle w:val="ListParagraph"/>
              <w:numPr>
                <w:ilvl w:val="0"/>
                <w:numId w:val="33"/>
              </w:numPr>
              <w:rPr>
                <w:rFonts w:ascii="Garamond" w:hAnsi="Garamond"/>
                <w:lang w:val="en-AU"/>
              </w:rPr>
            </w:pPr>
            <w:r w:rsidRPr="004D35E1">
              <w:rPr>
                <w:rFonts w:ascii="Garamond" w:hAnsi="Garamond"/>
                <w:b/>
                <w:bCs/>
                <w:lang w:val="en-AU"/>
              </w:rPr>
              <w:t>Primary and Community Care</w:t>
            </w:r>
            <w:r w:rsidRPr="004D35E1">
              <w:rPr>
                <w:rFonts w:ascii="Garamond" w:hAnsi="Garamond"/>
                <w:lang w:val="en-AU"/>
              </w:rPr>
              <w:t>: Develop effective primary and community care services that support older people to remain in or return to their usual residence.</w:t>
            </w:r>
          </w:p>
        </w:tc>
      </w:tr>
    </w:tbl>
    <w:p w14:paraId="111C0313" w14:textId="77777777" w:rsidR="00C41722" w:rsidRDefault="00C41722" w:rsidP="00C41722">
      <w:pPr>
        <w:keepLines/>
        <w:autoSpaceDE w:val="0"/>
        <w:autoSpaceDN w:val="0"/>
        <w:adjustRightInd w:val="0"/>
        <w:rPr>
          <w:rFonts w:ascii="Garamond" w:hAnsi="Garamond"/>
          <w:lang w:val="en-AU"/>
        </w:rPr>
      </w:pPr>
    </w:p>
    <w:p w14:paraId="50230EC3" w14:textId="77777777" w:rsidR="001650D7" w:rsidRPr="002C6DF1" w:rsidRDefault="001650D7" w:rsidP="001650D7">
      <w:pPr>
        <w:keepNext/>
        <w:keepLines/>
        <w:autoSpaceDE w:val="0"/>
        <w:autoSpaceDN w:val="0"/>
        <w:adjustRightInd w:val="0"/>
        <w:rPr>
          <w:rFonts w:ascii="Garamond" w:hAnsi="Garamond"/>
          <w:i/>
          <w:iCs/>
          <w:lang w:val="en-AU"/>
        </w:rPr>
      </w:pPr>
      <w:r w:rsidRPr="002C6DF1">
        <w:rPr>
          <w:rFonts w:ascii="Garamond" w:hAnsi="Garamond"/>
          <w:i/>
          <w:iCs/>
          <w:lang w:val="en-AU"/>
        </w:rPr>
        <w:t>Broken trust: making patient safety more than just a promise</w:t>
      </w:r>
    </w:p>
    <w:p w14:paraId="6BFA24C8" w14:textId="77777777" w:rsidR="001650D7" w:rsidRDefault="001650D7" w:rsidP="001650D7">
      <w:pPr>
        <w:keepNext/>
        <w:keepLines/>
        <w:autoSpaceDE w:val="0"/>
        <w:autoSpaceDN w:val="0"/>
        <w:adjustRightInd w:val="0"/>
        <w:rPr>
          <w:rFonts w:ascii="Garamond" w:hAnsi="Garamond"/>
          <w:lang w:val="en-AU"/>
        </w:rPr>
      </w:pPr>
      <w:r w:rsidRPr="00552654">
        <w:rPr>
          <w:rFonts w:ascii="Garamond" w:hAnsi="Garamond"/>
          <w:lang w:val="en-AU"/>
        </w:rPr>
        <w:t>Parliamentary and Health Service Ombudsman</w:t>
      </w:r>
    </w:p>
    <w:p w14:paraId="7661F39B" w14:textId="77777777" w:rsidR="001650D7" w:rsidRDefault="001650D7" w:rsidP="001650D7">
      <w:pPr>
        <w:keepNext/>
        <w:keepLines/>
        <w:autoSpaceDE w:val="0"/>
        <w:autoSpaceDN w:val="0"/>
        <w:adjustRightInd w:val="0"/>
        <w:rPr>
          <w:rFonts w:ascii="Garamond" w:hAnsi="Garamond"/>
          <w:lang w:val="en-AU"/>
        </w:rPr>
      </w:pPr>
      <w:r w:rsidRPr="00552654">
        <w:rPr>
          <w:rFonts w:ascii="Garamond" w:hAnsi="Garamond"/>
          <w:lang w:val="en-AU"/>
        </w:rPr>
        <w:t>London: His Majesty’s Stationery Office; 2023. p. 44.</w:t>
      </w:r>
    </w:p>
    <w:tbl>
      <w:tblPr>
        <w:tblStyle w:val="TableGrid"/>
        <w:tblW w:w="9360" w:type="dxa"/>
        <w:tblInd w:w="288" w:type="dxa"/>
        <w:tblLayout w:type="fixed"/>
        <w:tblLook w:val="01E0" w:firstRow="1" w:lastRow="1" w:firstColumn="1" w:lastColumn="1" w:noHBand="0" w:noVBand="0"/>
      </w:tblPr>
      <w:tblGrid>
        <w:gridCol w:w="1080"/>
        <w:gridCol w:w="8280"/>
      </w:tblGrid>
      <w:tr w:rsidR="001650D7" w:rsidRPr="000170DA" w14:paraId="2E917B38" w14:textId="77777777" w:rsidTr="005D408E">
        <w:tc>
          <w:tcPr>
            <w:tcW w:w="1080" w:type="dxa"/>
            <w:tcBorders>
              <w:top w:val="single" w:sz="4" w:space="0" w:color="auto"/>
              <w:left w:val="single" w:sz="4" w:space="0" w:color="auto"/>
              <w:bottom w:val="single" w:sz="4" w:space="0" w:color="auto"/>
              <w:right w:val="single" w:sz="4" w:space="0" w:color="auto"/>
            </w:tcBorders>
            <w:vAlign w:val="center"/>
          </w:tcPr>
          <w:p w14:paraId="26CB7154" w14:textId="77777777" w:rsidR="001650D7" w:rsidRPr="000170DA" w:rsidRDefault="001650D7" w:rsidP="005D408E">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5C76C45" w14:textId="77777777" w:rsidR="001650D7" w:rsidRPr="000170DA" w:rsidRDefault="002645F8" w:rsidP="005D408E">
            <w:pPr>
              <w:keepNext/>
              <w:rPr>
                <w:rStyle w:val="Hyperlink"/>
                <w:rFonts w:ascii="Garamond" w:hAnsi="Garamond"/>
                <w:color w:val="auto"/>
                <w:u w:val="none"/>
                <w:lang w:val="en-AU"/>
              </w:rPr>
            </w:pPr>
            <w:hyperlink r:id="rId18" w:history="1">
              <w:r w:rsidR="001650D7" w:rsidRPr="00C50FDC">
                <w:rPr>
                  <w:rStyle w:val="Hyperlink"/>
                  <w:rFonts w:ascii="Garamond" w:hAnsi="Garamond"/>
                  <w:lang w:val="en-AU"/>
                </w:rPr>
                <w:t>https://www.ombudsman.org.uk/publications/broken-trust-making-patient-safety-more-just-promise</w:t>
              </w:r>
            </w:hyperlink>
          </w:p>
        </w:tc>
      </w:tr>
      <w:tr w:rsidR="001650D7" w:rsidRPr="000170DA" w14:paraId="05BB6C68" w14:textId="77777777" w:rsidTr="005D408E">
        <w:tc>
          <w:tcPr>
            <w:tcW w:w="1080" w:type="dxa"/>
            <w:tcBorders>
              <w:top w:val="single" w:sz="4" w:space="0" w:color="auto"/>
              <w:left w:val="single" w:sz="4" w:space="0" w:color="auto"/>
              <w:bottom w:val="single" w:sz="4" w:space="0" w:color="auto"/>
              <w:right w:val="single" w:sz="4" w:space="0" w:color="auto"/>
            </w:tcBorders>
            <w:vAlign w:val="center"/>
          </w:tcPr>
          <w:p w14:paraId="1E30D941" w14:textId="77777777" w:rsidR="001650D7" w:rsidRPr="000170DA" w:rsidRDefault="001650D7" w:rsidP="005D408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925F359" w14:textId="77777777" w:rsidR="001650D7" w:rsidRDefault="001650D7" w:rsidP="005D408E">
            <w:pPr>
              <w:rPr>
                <w:rFonts w:ascii="Garamond" w:hAnsi="Garamond"/>
                <w:lang w:val="en-AU"/>
              </w:rPr>
            </w:pPr>
            <w:r>
              <w:rPr>
                <w:rFonts w:ascii="Garamond" w:hAnsi="Garamond"/>
                <w:lang w:val="en-AU"/>
              </w:rPr>
              <w:t xml:space="preserve">The </w:t>
            </w:r>
            <w:r w:rsidRPr="005B244C">
              <w:rPr>
                <w:rFonts w:ascii="Garamond" w:hAnsi="Garamond"/>
                <w:lang w:val="en-AU"/>
              </w:rPr>
              <w:t xml:space="preserve">Parliamentary and Health Service Ombudsman </w:t>
            </w:r>
            <w:r>
              <w:rPr>
                <w:rFonts w:ascii="Garamond" w:hAnsi="Garamond"/>
                <w:lang w:val="en-AU"/>
              </w:rPr>
              <w:t xml:space="preserve">in England has produced this report, </w:t>
            </w:r>
            <w:r w:rsidRPr="005B244C">
              <w:rPr>
                <w:rFonts w:ascii="Garamond" w:hAnsi="Garamond"/>
                <w:i/>
                <w:iCs/>
                <w:lang w:val="en-AU"/>
              </w:rPr>
              <w:t>Broken trust: making patient safety more than just a promise</w:t>
            </w:r>
            <w:r>
              <w:rPr>
                <w:rFonts w:ascii="Garamond" w:hAnsi="Garamond"/>
                <w:lang w:val="en-AU"/>
              </w:rPr>
              <w:t xml:space="preserve">, stating that the UK’s National Health Service </w:t>
            </w:r>
            <w:r w:rsidRPr="005B244C">
              <w:rPr>
                <w:rFonts w:ascii="Garamond" w:hAnsi="Garamond"/>
                <w:lang w:val="en-AU"/>
              </w:rPr>
              <w:t>must do more to accept accountability and learn from mistakes, particularly when there is serious harm or, worse, loss of life.</w:t>
            </w:r>
            <w:r>
              <w:rPr>
                <w:rFonts w:ascii="Garamond" w:hAnsi="Garamond"/>
                <w:lang w:val="en-AU"/>
              </w:rPr>
              <w:t xml:space="preserve"> </w:t>
            </w:r>
          </w:p>
          <w:p w14:paraId="530B5825" w14:textId="194DCFB4" w:rsidR="001650D7" w:rsidRPr="005B244C" w:rsidRDefault="001650D7" w:rsidP="005D408E">
            <w:pPr>
              <w:rPr>
                <w:rFonts w:ascii="Garamond" w:hAnsi="Garamond"/>
                <w:lang w:val="en-AU"/>
              </w:rPr>
            </w:pPr>
            <w:r>
              <w:rPr>
                <w:rFonts w:ascii="Garamond" w:hAnsi="Garamond"/>
                <w:lang w:val="en-AU"/>
              </w:rPr>
              <w:lastRenderedPageBreak/>
              <w:t xml:space="preserve">The Ombudsman </w:t>
            </w:r>
            <w:r w:rsidRPr="005B244C">
              <w:rPr>
                <w:rFonts w:ascii="Garamond" w:hAnsi="Garamond"/>
                <w:lang w:val="en-AU"/>
              </w:rPr>
              <w:t>considered over 400 serious health complaints from the last 3 years and found 22 cases of avoidable death.</w:t>
            </w:r>
            <w:r>
              <w:rPr>
                <w:rFonts w:ascii="Garamond" w:hAnsi="Garamond"/>
                <w:lang w:val="en-AU"/>
              </w:rPr>
              <w:t xml:space="preserve"> </w:t>
            </w:r>
            <w:r w:rsidRPr="005B244C">
              <w:rPr>
                <w:rFonts w:ascii="Garamond" w:hAnsi="Garamond"/>
                <w:lang w:val="en-AU"/>
              </w:rPr>
              <w:t xml:space="preserve">The report </w:t>
            </w:r>
            <w:r>
              <w:rPr>
                <w:rFonts w:ascii="Garamond" w:hAnsi="Garamond"/>
                <w:lang w:val="en-AU"/>
              </w:rPr>
              <w:t xml:space="preserve">offers </w:t>
            </w:r>
            <w:r w:rsidRPr="005B244C">
              <w:rPr>
                <w:rFonts w:ascii="Garamond" w:hAnsi="Garamond"/>
                <w:lang w:val="en-AU"/>
              </w:rPr>
              <w:t>recommendations to improve patient safety</w:t>
            </w:r>
            <w:r>
              <w:rPr>
                <w:rFonts w:ascii="Garamond" w:hAnsi="Garamond"/>
                <w:lang w:val="en-AU"/>
              </w:rPr>
              <w:t>, including</w:t>
            </w:r>
            <w:r w:rsidRPr="005B244C">
              <w:rPr>
                <w:rFonts w:ascii="Garamond" w:hAnsi="Garamond"/>
                <w:lang w:val="en-AU"/>
              </w:rPr>
              <w:t>:</w:t>
            </w:r>
          </w:p>
          <w:p w14:paraId="754172DB" w14:textId="77777777" w:rsidR="001650D7" w:rsidRPr="005B244C" w:rsidRDefault="001650D7" w:rsidP="005D408E">
            <w:pPr>
              <w:pStyle w:val="ListParagraph"/>
              <w:numPr>
                <w:ilvl w:val="0"/>
                <w:numId w:val="31"/>
              </w:numPr>
              <w:rPr>
                <w:rFonts w:ascii="Garamond" w:hAnsi="Garamond"/>
                <w:lang w:val="en-AU"/>
              </w:rPr>
            </w:pPr>
            <w:r w:rsidRPr="005B244C">
              <w:rPr>
                <w:rFonts w:ascii="Garamond" w:hAnsi="Garamond"/>
                <w:lang w:val="en-AU"/>
              </w:rPr>
              <w:t>better support for families affected by harm</w:t>
            </w:r>
          </w:p>
          <w:p w14:paraId="6AE03F94" w14:textId="77777777" w:rsidR="001650D7" w:rsidRPr="005B244C" w:rsidRDefault="001650D7" w:rsidP="005D408E">
            <w:pPr>
              <w:pStyle w:val="ListParagraph"/>
              <w:numPr>
                <w:ilvl w:val="0"/>
                <w:numId w:val="31"/>
              </w:numPr>
              <w:rPr>
                <w:rFonts w:ascii="Garamond" w:hAnsi="Garamond"/>
                <w:lang w:val="en-AU"/>
              </w:rPr>
            </w:pPr>
            <w:r w:rsidRPr="005B244C">
              <w:rPr>
                <w:rFonts w:ascii="Garamond" w:hAnsi="Garamond"/>
                <w:lang w:val="en-AU"/>
              </w:rPr>
              <w:t>embedding cultures that promote honesty and learning from mistakes</w:t>
            </w:r>
          </w:p>
          <w:p w14:paraId="37F41311" w14:textId="77777777" w:rsidR="001650D7" w:rsidRPr="005B244C" w:rsidRDefault="001650D7" w:rsidP="005D408E">
            <w:pPr>
              <w:pStyle w:val="ListParagraph"/>
              <w:numPr>
                <w:ilvl w:val="0"/>
                <w:numId w:val="31"/>
              </w:numPr>
              <w:rPr>
                <w:rFonts w:ascii="Garamond" w:hAnsi="Garamond"/>
                <w:lang w:val="en-AU"/>
              </w:rPr>
            </w:pPr>
            <w:r w:rsidRPr="005B244C">
              <w:rPr>
                <w:rFonts w:ascii="Garamond" w:hAnsi="Garamond"/>
                <w:lang w:val="en-AU"/>
              </w:rPr>
              <w:t>getting the right oversight and regulatory structures to prioritise patient safety</w:t>
            </w:r>
          </w:p>
          <w:p w14:paraId="298C4839" w14:textId="77777777" w:rsidR="001650D7" w:rsidRPr="005B244C" w:rsidRDefault="001650D7" w:rsidP="005D408E">
            <w:pPr>
              <w:pStyle w:val="ListParagraph"/>
              <w:numPr>
                <w:ilvl w:val="0"/>
                <w:numId w:val="31"/>
              </w:numPr>
              <w:rPr>
                <w:rFonts w:ascii="Garamond" w:hAnsi="Garamond"/>
                <w:lang w:val="en-AU"/>
              </w:rPr>
            </w:pPr>
            <w:r w:rsidRPr="005B244C">
              <w:rPr>
                <w:rFonts w:ascii="Garamond" w:hAnsi="Garamond"/>
                <w:lang w:val="en-AU"/>
              </w:rPr>
              <w:t>and an evidence-based and long-term workforce strategy that has cross-party support.</w:t>
            </w:r>
          </w:p>
        </w:tc>
      </w:tr>
    </w:tbl>
    <w:p w14:paraId="023A8004" w14:textId="77777777" w:rsidR="001650D7" w:rsidRDefault="001650D7" w:rsidP="001650D7">
      <w:pPr>
        <w:keepLines/>
        <w:autoSpaceDE w:val="0"/>
        <w:autoSpaceDN w:val="0"/>
        <w:adjustRightInd w:val="0"/>
        <w:rPr>
          <w:rFonts w:ascii="Garamond" w:hAnsi="Garamond"/>
          <w:lang w:val="en-AU"/>
        </w:rPr>
      </w:pPr>
    </w:p>
    <w:p w14:paraId="50E720A4" w14:textId="77777777" w:rsidR="00AC2AB9" w:rsidRDefault="00AC2AB9" w:rsidP="00E02472">
      <w:pPr>
        <w:keepNext/>
        <w:keepLines/>
        <w:autoSpaceDE w:val="0"/>
        <w:autoSpaceDN w:val="0"/>
        <w:adjustRightInd w:val="0"/>
        <w:rPr>
          <w:rFonts w:ascii="Garamond" w:hAnsi="Garamond"/>
          <w:b/>
          <w:lang w:val="en-AU"/>
        </w:rPr>
      </w:pPr>
    </w:p>
    <w:p w14:paraId="604EB9F1" w14:textId="512699CD" w:rsidR="00E02472" w:rsidRDefault="00E02472" w:rsidP="00E02472">
      <w:pPr>
        <w:keepNext/>
        <w:keepLines/>
        <w:autoSpaceDE w:val="0"/>
        <w:autoSpaceDN w:val="0"/>
        <w:adjustRightInd w:val="0"/>
        <w:rPr>
          <w:rFonts w:ascii="Garamond" w:hAnsi="Garamond"/>
          <w:b/>
          <w:lang w:val="en-AU"/>
        </w:rPr>
      </w:pPr>
      <w:r>
        <w:rPr>
          <w:rFonts w:ascii="Garamond" w:hAnsi="Garamond"/>
          <w:b/>
          <w:lang w:val="en-AU"/>
        </w:rPr>
        <w:t>Journal articles</w:t>
      </w:r>
    </w:p>
    <w:p w14:paraId="76651D76" w14:textId="5BB0E23F" w:rsidR="007E7ADF" w:rsidRDefault="007E7ADF" w:rsidP="007E7ADF">
      <w:pPr>
        <w:keepLines/>
        <w:autoSpaceDE w:val="0"/>
        <w:autoSpaceDN w:val="0"/>
        <w:adjustRightInd w:val="0"/>
        <w:rPr>
          <w:rFonts w:ascii="Garamond" w:hAnsi="Garamond"/>
          <w:lang w:val="en-AU"/>
        </w:rPr>
      </w:pPr>
    </w:p>
    <w:p w14:paraId="4475DB87" w14:textId="3E140640" w:rsidR="007E7ADF" w:rsidRPr="002C6DF1" w:rsidRDefault="002C6DF1" w:rsidP="00AD62B3">
      <w:pPr>
        <w:keepNext/>
        <w:keepLines/>
        <w:autoSpaceDE w:val="0"/>
        <w:autoSpaceDN w:val="0"/>
        <w:adjustRightInd w:val="0"/>
        <w:rPr>
          <w:rFonts w:ascii="Garamond" w:hAnsi="Garamond"/>
          <w:i/>
          <w:iCs/>
          <w:lang w:val="en-AU"/>
        </w:rPr>
      </w:pPr>
      <w:r w:rsidRPr="002C6DF1">
        <w:rPr>
          <w:rFonts w:ascii="Garamond" w:hAnsi="Garamond"/>
          <w:i/>
          <w:iCs/>
          <w:lang w:val="en-AU"/>
        </w:rPr>
        <w:t>Patient safety and sense of security when telemonitoring chronic conditions at home: the views of patients and healthcare professionals - a qualitative study</w:t>
      </w:r>
    </w:p>
    <w:p w14:paraId="7D86B967" w14:textId="77777777" w:rsidR="00AD62B3" w:rsidRDefault="00AD62B3" w:rsidP="00AD62B3">
      <w:pPr>
        <w:keepNext/>
        <w:keepLines/>
        <w:autoSpaceDE w:val="0"/>
        <w:autoSpaceDN w:val="0"/>
        <w:adjustRightInd w:val="0"/>
        <w:rPr>
          <w:rFonts w:ascii="Garamond" w:hAnsi="Garamond"/>
          <w:lang w:val="en-AU"/>
        </w:rPr>
      </w:pPr>
      <w:proofErr w:type="spellStart"/>
      <w:r w:rsidRPr="00AD62B3">
        <w:rPr>
          <w:rFonts w:ascii="Garamond" w:hAnsi="Garamond"/>
          <w:lang w:val="en-AU"/>
        </w:rPr>
        <w:t>Ekstedt</w:t>
      </w:r>
      <w:proofErr w:type="spellEnd"/>
      <w:r w:rsidRPr="00AD62B3">
        <w:rPr>
          <w:rFonts w:ascii="Garamond" w:hAnsi="Garamond"/>
          <w:lang w:val="en-AU"/>
        </w:rPr>
        <w:t xml:space="preserve"> M, </w:t>
      </w:r>
      <w:proofErr w:type="spellStart"/>
      <w:r w:rsidRPr="00AD62B3">
        <w:rPr>
          <w:rFonts w:ascii="Garamond" w:hAnsi="Garamond"/>
          <w:lang w:val="en-AU"/>
        </w:rPr>
        <w:t>Nordheim</w:t>
      </w:r>
      <w:proofErr w:type="spellEnd"/>
      <w:r w:rsidRPr="00AD62B3">
        <w:rPr>
          <w:rFonts w:ascii="Garamond" w:hAnsi="Garamond"/>
          <w:lang w:val="en-AU"/>
        </w:rPr>
        <w:t xml:space="preserve"> ES, Hellström A, Strandberg S, Hagerman H</w:t>
      </w:r>
    </w:p>
    <w:p w14:paraId="214092F5" w14:textId="56FB30A9" w:rsidR="002C6DF1" w:rsidRDefault="00AD62B3" w:rsidP="00AD62B3">
      <w:pPr>
        <w:keepNext/>
        <w:keepLines/>
        <w:autoSpaceDE w:val="0"/>
        <w:autoSpaceDN w:val="0"/>
        <w:adjustRightInd w:val="0"/>
        <w:rPr>
          <w:rFonts w:ascii="Garamond" w:hAnsi="Garamond"/>
          <w:lang w:val="en-AU"/>
        </w:rPr>
      </w:pPr>
      <w:r w:rsidRPr="00AD62B3">
        <w:rPr>
          <w:rFonts w:ascii="Garamond" w:hAnsi="Garamond"/>
          <w:lang w:val="en-AU"/>
        </w:rPr>
        <w:t>BMC Health Services Research. 2023;23(1):581.</w:t>
      </w:r>
    </w:p>
    <w:tbl>
      <w:tblPr>
        <w:tblStyle w:val="TableGrid"/>
        <w:tblW w:w="9360" w:type="dxa"/>
        <w:tblInd w:w="288" w:type="dxa"/>
        <w:tblLayout w:type="fixed"/>
        <w:tblLook w:val="01E0" w:firstRow="1" w:lastRow="1" w:firstColumn="1" w:lastColumn="1" w:noHBand="0" w:noVBand="0"/>
      </w:tblPr>
      <w:tblGrid>
        <w:gridCol w:w="1080"/>
        <w:gridCol w:w="8280"/>
      </w:tblGrid>
      <w:tr w:rsidR="007E7ADF" w:rsidRPr="000170DA" w14:paraId="5A3F593A" w14:textId="77777777" w:rsidTr="00126E4F">
        <w:tc>
          <w:tcPr>
            <w:tcW w:w="1080" w:type="dxa"/>
            <w:tcBorders>
              <w:top w:val="single" w:sz="4" w:space="0" w:color="auto"/>
              <w:left w:val="single" w:sz="4" w:space="0" w:color="auto"/>
              <w:bottom w:val="single" w:sz="4" w:space="0" w:color="auto"/>
              <w:right w:val="single" w:sz="4" w:space="0" w:color="auto"/>
            </w:tcBorders>
            <w:vAlign w:val="center"/>
          </w:tcPr>
          <w:p w14:paraId="7873B5DD" w14:textId="77777777" w:rsidR="007E7ADF" w:rsidRPr="000170DA" w:rsidRDefault="007E7ADF" w:rsidP="00126E4F">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0A14C7BD" w14:textId="40EE7C5F" w:rsidR="007E7ADF" w:rsidRPr="000170DA" w:rsidRDefault="002645F8" w:rsidP="00126E4F">
            <w:pPr>
              <w:keepNext/>
              <w:rPr>
                <w:rStyle w:val="Hyperlink"/>
                <w:rFonts w:ascii="Garamond" w:hAnsi="Garamond"/>
                <w:color w:val="auto"/>
                <w:u w:val="none"/>
                <w:lang w:val="en-AU"/>
              </w:rPr>
            </w:pPr>
            <w:hyperlink r:id="rId19" w:history="1">
              <w:r w:rsidR="002C6DF1" w:rsidRPr="00C50FDC">
                <w:rPr>
                  <w:rStyle w:val="Hyperlink"/>
                  <w:rFonts w:ascii="Garamond" w:hAnsi="Garamond"/>
                  <w:lang w:val="en-AU"/>
                </w:rPr>
                <w:t>https://doi.org/10.1186/s12913-023-09428-1</w:t>
              </w:r>
            </w:hyperlink>
          </w:p>
        </w:tc>
      </w:tr>
      <w:tr w:rsidR="007E7ADF" w:rsidRPr="000170DA" w14:paraId="78D7FF2E" w14:textId="77777777" w:rsidTr="00126E4F">
        <w:tc>
          <w:tcPr>
            <w:tcW w:w="1080" w:type="dxa"/>
            <w:tcBorders>
              <w:top w:val="single" w:sz="4" w:space="0" w:color="auto"/>
              <w:left w:val="single" w:sz="4" w:space="0" w:color="auto"/>
              <w:bottom w:val="single" w:sz="4" w:space="0" w:color="auto"/>
              <w:right w:val="single" w:sz="4" w:space="0" w:color="auto"/>
            </w:tcBorders>
            <w:vAlign w:val="center"/>
          </w:tcPr>
          <w:p w14:paraId="4B4EEF6B" w14:textId="77777777" w:rsidR="007E7ADF" w:rsidRPr="000170DA" w:rsidRDefault="007E7ADF" w:rsidP="00126E4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E43C48C" w14:textId="2EB213D7" w:rsidR="00AD62B3" w:rsidRPr="00D0490E" w:rsidRDefault="00AD62B3" w:rsidP="00AD62B3">
            <w:pPr>
              <w:rPr>
                <w:rFonts w:ascii="Garamond" w:hAnsi="Garamond"/>
                <w:lang w:val="en-AU"/>
              </w:rPr>
            </w:pPr>
            <w:r>
              <w:rPr>
                <w:rFonts w:ascii="Garamond" w:hAnsi="Garamond"/>
                <w:lang w:val="en-AU"/>
              </w:rPr>
              <w:t>The COVID-19 pandemic brought many changes to health care. One was increasing interest in remote patient monitoring (RPM). The paper reports on a Swedish study that sought to ‘</w:t>
            </w:r>
            <w:r w:rsidRPr="00AD62B3">
              <w:rPr>
                <w:rFonts w:ascii="Garamond" w:hAnsi="Garamond"/>
                <w:lang w:val="en-AU"/>
              </w:rPr>
              <w:t>explore patients’ and healthcare professionals’ experiences of safety and sense of security when using telemonitoring of chronic conditions at home.</w:t>
            </w:r>
            <w:r>
              <w:rPr>
                <w:rFonts w:ascii="Garamond" w:hAnsi="Garamond"/>
                <w:lang w:val="en-AU"/>
              </w:rPr>
              <w:t>’ The authors report that ‘</w:t>
            </w:r>
            <w:r w:rsidRPr="00AD62B3">
              <w:rPr>
                <w:rFonts w:ascii="Garamond" w:hAnsi="Garamond"/>
                <w:lang w:val="en-AU"/>
              </w:rPr>
              <w:t>T</w:t>
            </w:r>
            <w:r w:rsidRPr="00AD62B3">
              <w:rPr>
                <w:rFonts w:ascii="Garamond" w:hAnsi="Garamond"/>
                <w:b/>
                <w:bCs/>
                <w:lang w:val="en-AU"/>
              </w:rPr>
              <w:t>elemonitoring was perceived to increase symptom awareness and promote early detection of deterioration</w:t>
            </w:r>
            <w:r w:rsidRPr="00AD62B3">
              <w:rPr>
                <w:rFonts w:ascii="Garamond" w:hAnsi="Garamond"/>
                <w:lang w:val="en-AU"/>
              </w:rPr>
              <w:t xml:space="preserve"> promoting patient safety</w:t>
            </w:r>
            <w:r>
              <w:rPr>
                <w:rFonts w:ascii="Garamond" w:hAnsi="Garamond"/>
                <w:lang w:val="en-AU"/>
              </w:rPr>
              <w:t>’ with clinicians and patients both reporting positive perceptions.</w:t>
            </w:r>
          </w:p>
        </w:tc>
      </w:tr>
    </w:tbl>
    <w:p w14:paraId="164477B4" w14:textId="77777777" w:rsidR="007E7ADF" w:rsidRDefault="007E7ADF" w:rsidP="007E7ADF">
      <w:pPr>
        <w:keepLines/>
        <w:autoSpaceDE w:val="0"/>
        <w:autoSpaceDN w:val="0"/>
        <w:adjustRightInd w:val="0"/>
        <w:rPr>
          <w:rFonts w:ascii="Garamond" w:hAnsi="Garamond"/>
          <w:lang w:val="en-AU"/>
        </w:rPr>
      </w:pPr>
    </w:p>
    <w:p w14:paraId="31547177" w14:textId="1C4CEABC" w:rsidR="00C41722" w:rsidRPr="003C6B81" w:rsidRDefault="003C6B81" w:rsidP="004919A0">
      <w:pPr>
        <w:keepNext/>
        <w:keepLines/>
        <w:autoSpaceDE w:val="0"/>
        <w:autoSpaceDN w:val="0"/>
        <w:adjustRightInd w:val="0"/>
        <w:rPr>
          <w:rFonts w:ascii="Garamond" w:hAnsi="Garamond"/>
          <w:i/>
          <w:iCs/>
          <w:lang w:val="en-AU"/>
        </w:rPr>
      </w:pPr>
      <w:r w:rsidRPr="003C6B81">
        <w:rPr>
          <w:rFonts w:ascii="Garamond" w:hAnsi="Garamond"/>
          <w:i/>
          <w:iCs/>
          <w:lang w:val="en-AU"/>
        </w:rPr>
        <w:t>Systematic review of the impact of physician work schedules on patient safety with meta-analyses of mortality risk</w:t>
      </w:r>
    </w:p>
    <w:p w14:paraId="1D991493" w14:textId="77777777" w:rsidR="003C6B81" w:rsidRDefault="003C6B81" w:rsidP="004919A0">
      <w:pPr>
        <w:keepNext/>
        <w:keepLines/>
        <w:autoSpaceDE w:val="0"/>
        <w:autoSpaceDN w:val="0"/>
        <w:adjustRightInd w:val="0"/>
        <w:rPr>
          <w:rFonts w:ascii="Garamond" w:hAnsi="Garamond"/>
          <w:lang w:val="en-AU"/>
        </w:rPr>
      </w:pPr>
      <w:r w:rsidRPr="003C6B81">
        <w:rPr>
          <w:rFonts w:ascii="Garamond" w:hAnsi="Garamond"/>
          <w:lang w:val="en-AU"/>
        </w:rPr>
        <w:t>Weaver MD, Sullivan JP, Landrigan CP, Barger LK</w:t>
      </w:r>
    </w:p>
    <w:p w14:paraId="4DD5EEA9" w14:textId="6CB2ADCC" w:rsidR="003C6B81" w:rsidRDefault="003C6B81" w:rsidP="004919A0">
      <w:pPr>
        <w:keepNext/>
        <w:keepLines/>
        <w:autoSpaceDE w:val="0"/>
        <w:autoSpaceDN w:val="0"/>
        <w:adjustRightInd w:val="0"/>
        <w:rPr>
          <w:rFonts w:ascii="Garamond" w:hAnsi="Garamond"/>
          <w:lang w:val="en-AU"/>
        </w:rPr>
      </w:pPr>
      <w:r w:rsidRPr="003C6B81">
        <w:rPr>
          <w:rFonts w:ascii="Garamond" w:hAnsi="Garamond"/>
          <w:lang w:val="en-AU"/>
        </w:rPr>
        <w:t>The Joint Commission Journal on Quality and Patient Safety. 2023</w:t>
      </w:r>
      <w:r>
        <w:rPr>
          <w:rFonts w:ascii="Garamond" w:hAnsi="Garamond"/>
          <w:lang w:val="en-AU"/>
        </w:rPr>
        <w:t xml:space="preserve"> [epub]</w:t>
      </w:r>
      <w:r w:rsidRPr="003C6B81">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C41722" w:rsidRPr="000170DA" w14:paraId="587B6769" w14:textId="77777777" w:rsidTr="00C70D65">
        <w:tc>
          <w:tcPr>
            <w:tcW w:w="1080" w:type="dxa"/>
            <w:tcBorders>
              <w:top w:val="single" w:sz="4" w:space="0" w:color="auto"/>
              <w:left w:val="single" w:sz="4" w:space="0" w:color="auto"/>
              <w:bottom w:val="single" w:sz="4" w:space="0" w:color="auto"/>
              <w:right w:val="single" w:sz="4" w:space="0" w:color="auto"/>
            </w:tcBorders>
            <w:vAlign w:val="center"/>
          </w:tcPr>
          <w:p w14:paraId="0F91BA6D" w14:textId="77777777" w:rsidR="00C41722" w:rsidRPr="000170DA" w:rsidRDefault="00C41722" w:rsidP="00C70D65">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64A9930E" w14:textId="1FA7A42A" w:rsidR="00C41722" w:rsidRPr="000170DA" w:rsidRDefault="002645F8" w:rsidP="00C70D65">
            <w:pPr>
              <w:keepNext/>
              <w:rPr>
                <w:rStyle w:val="Hyperlink"/>
                <w:rFonts w:ascii="Garamond" w:hAnsi="Garamond"/>
                <w:color w:val="auto"/>
                <w:u w:val="none"/>
                <w:lang w:val="en-AU"/>
              </w:rPr>
            </w:pPr>
            <w:hyperlink r:id="rId20" w:history="1">
              <w:r w:rsidR="003C6B81" w:rsidRPr="00C50FDC">
                <w:rPr>
                  <w:rStyle w:val="Hyperlink"/>
                  <w:rFonts w:ascii="Garamond" w:hAnsi="Garamond"/>
                  <w:lang w:val="en-AU"/>
                </w:rPr>
                <w:t>https://doi.org/10.1016/j.jcjq.2023.06.014</w:t>
              </w:r>
            </w:hyperlink>
          </w:p>
        </w:tc>
      </w:tr>
      <w:tr w:rsidR="00C41722" w:rsidRPr="000170DA" w14:paraId="7AD689B9" w14:textId="77777777" w:rsidTr="00C70D65">
        <w:tc>
          <w:tcPr>
            <w:tcW w:w="1080" w:type="dxa"/>
            <w:tcBorders>
              <w:top w:val="single" w:sz="4" w:space="0" w:color="auto"/>
              <w:left w:val="single" w:sz="4" w:space="0" w:color="auto"/>
              <w:bottom w:val="single" w:sz="4" w:space="0" w:color="auto"/>
              <w:right w:val="single" w:sz="4" w:space="0" w:color="auto"/>
            </w:tcBorders>
            <w:vAlign w:val="center"/>
          </w:tcPr>
          <w:p w14:paraId="113B137E" w14:textId="77777777" w:rsidR="00C41722" w:rsidRPr="000170DA" w:rsidRDefault="00C41722" w:rsidP="00C70D6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2679547" w14:textId="701BA247" w:rsidR="003C6B81" w:rsidRPr="00D0490E" w:rsidRDefault="00F97ECD" w:rsidP="00F97ECD">
            <w:pPr>
              <w:rPr>
                <w:rFonts w:ascii="Garamond" w:hAnsi="Garamond"/>
                <w:lang w:val="en-AU"/>
              </w:rPr>
            </w:pPr>
            <w:r>
              <w:rPr>
                <w:rFonts w:ascii="Garamond" w:hAnsi="Garamond"/>
                <w:lang w:val="en-AU"/>
              </w:rPr>
              <w:t xml:space="preserve">The issue of (excessive) working hours and the impact on safety and quality of care has been debated for many years. This paper reports on a US study using </w:t>
            </w:r>
            <w:r w:rsidR="003C6B81">
              <w:rPr>
                <w:rFonts w:ascii="Garamond" w:hAnsi="Garamond"/>
                <w:lang w:val="en-AU"/>
              </w:rPr>
              <w:t>‘</w:t>
            </w:r>
            <w:r w:rsidR="003C6B81" w:rsidRPr="003C6B81">
              <w:rPr>
                <w:rFonts w:ascii="Garamond" w:hAnsi="Garamond"/>
                <w:lang w:val="en-AU"/>
              </w:rPr>
              <w:t>meta-analyses to evaluate the impact of work hour policies and work schedules on patient safety</w:t>
            </w:r>
            <w:r w:rsidR="003C6B81">
              <w:rPr>
                <w:rFonts w:ascii="Garamond" w:hAnsi="Garamond"/>
                <w:lang w:val="en-AU"/>
              </w:rPr>
              <w:t>’</w:t>
            </w:r>
            <w:r>
              <w:rPr>
                <w:rFonts w:ascii="Garamond" w:hAnsi="Garamond"/>
                <w:lang w:val="en-AU"/>
              </w:rPr>
              <w:t xml:space="preserve">. </w:t>
            </w:r>
            <w:r w:rsidR="003C6B81">
              <w:rPr>
                <w:rFonts w:ascii="Garamond" w:hAnsi="Garamond"/>
                <w:lang w:val="en-AU"/>
              </w:rPr>
              <w:t>Based on 68 studies</w:t>
            </w:r>
            <w:r>
              <w:rPr>
                <w:rFonts w:ascii="Garamond" w:hAnsi="Garamond"/>
                <w:lang w:val="en-AU"/>
              </w:rPr>
              <w:t xml:space="preserve"> that ‘</w:t>
            </w:r>
            <w:r w:rsidRPr="00F97ECD">
              <w:rPr>
                <w:rFonts w:ascii="Garamond" w:hAnsi="Garamond"/>
                <w:lang w:val="en-AU"/>
              </w:rPr>
              <w:t>provided enough information for consideration in meta-analyses</w:t>
            </w:r>
            <w:r>
              <w:rPr>
                <w:rFonts w:ascii="Garamond" w:hAnsi="Garamond"/>
                <w:lang w:val="en-AU"/>
              </w:rPr>
              <w:t xml:space="preserve">’, the authors report </w:t>
            </w:r>
            <w:r w:rsidR="003C6B81">
              <w:rPr>
                <w:rFonts w:ascii="Garamond" w:hAnsi="Garamond"/>
                <w:lang w:val="en-AU"/>
              </w:rPr>
              <w:t>‘</w:t>
            </w:r>
            <w:r w:rsidR="003C6B81" w:rsidRPr="003C6B81">
              <w:rPr>
                <w:rFonts w:ascii="Garamond" w:hAnsi="Garamond"/>
                <w:lang w:val="en-AU"/>
              </w:rPr>
              <w:t>We found that patient safety improved following implementation of the Accreditation Council for Graduate Medical Education's 2003 and 2011 resident physicians work hour guidelines. Limiting all resident physicians to 80-hour work weeks and 28-hour shifts in 2003 was associated with an 11% reduction in mortality (p &lt; 0.001). Limited shift durations and shorter work weeks were also associated with improved patient safety in clinical trials and observational studies not specifically tied to policy changes.</w:t>
            </w:r>
            <w:r w:rsidR="003C6B81">
              <w:rPr>
                <w:rFonts w:ascii="Garamond" w:hAnsi="Garamond"/>
                <w:lang w:val="en-AU"/>
              </w:rPr>
              <w:t>’</w:t>
            </w:r>
          </w:p>
        </w:tc>
      </w:tr>
    </w:tbl>
    <w:p w14:paraId="136E829C" w14:textId="77777777" w:rsidR="00C41722" w:rsidRDefault="00C41722" w:rsidP="00C41722">
      <w:pPr>
        <w:keepLines/>
        <w:autoSpaceDE w:val="0"/>
        <w:autoSpaceDN w:val="0"/>
        <w:adjustRightInd w:val="0"/>
        <w:rPr>
          <w:rFonts w:ascii="Garamond" w:hAnsi="Garamond"/>
          <w:lang w:val="en-AU"/>
        </w:rPr>
      </w:pPr>
    </w:p>
    <w:p w14:paraId="0D5C6257" w14:textId="77777777" w:rsidR="00AC2AB9" w:rsidRPr="00552654" w:rsidRDefault="00AC2AB9" w:rsidP="00AC2AB9">
      <w:pPr>
        <w:keepNext/>
        <w:keepLines/>
        <w:autoSpaceDE w:val="0"/>
        <w:autoSpaceDN w:val="0"/>
        <w:adjustRightInd w:val="0"/>
        <w:rPr>
          <w:rFonts w:ascii="Garamond" w:hAnsi="Garamond"/>
          <w:i/>
          <w:iCs/>
          <w:lang w:val="en-AU"/>
        </w:rPr>
      </w:pPr>
      <w:r w:rsidRPr="00552654">
        <w:rPr>
          <w:rFonts w:ascii="Garamond" w:hAnsi="Garamond"/>
          <w:i/>
          <w:iCs/>
          <w:lang w:val="en-AU"/>
        </w:rPr>
        <w:t>The Additional Cost of Perioperative Medication Errors</w:t>
      </w:r>
    </w:p>
    <w:p w14:paraId="2C3563AC" w14:textId="77777777" w:rsidR="00AC2AB9" w:rsidRDefault="00AC2AB9" w:rsidP="00AC2AB9">
      <w:pPr>
        <w:keepNext/>
        <w:keepLines/>
        <w:autoSpaceDE w:val="0"/>
        <w:autoSpaceDN w:val="0"/>
        <w:adjustRightInd w:val="0"/>
        <w:rPr>
          <w:rFonts w:ascii="Garamond" w:hAnsi="Garamond"/>
          <w:lang w:val="en-AU"/>
        </w:rPr>
      </w:pPr>
      <w:r w:rsidRPr="00552654">
        <w:rPr>
          <w:rFonts w:ascii="Garamond" w:hAnsi="Garamond"/>
          <w:lang w:val="en-AU"/>
        </w:rPr>
        <w:t>Langlieb ME, Sharma P, Hocevar M, Nanji KC</w:t>
      </w:r>
    </w:p>
    <w:p w14:paraId="173D7C94" w14:textId="77777777" w:rsidR="00AC2AB9" w:rsidRDefault="00AC2AB9" w:rsidP="00AC2AB9">
      <w:pPr>
        <w:keepNext/>
        <w:keepLines/>
        <w:autoSpaceDE w:val="0"/>
        <w:autoSpaceDN w:val="0"/>
        <w:adjustRightInd w:val="0"/>
        <w:rPr>
          <w:rFonts w:ascii="Garamond" w:hAnsi="Garamond"/>
          <w:lang w:val="en-AU"/>
        </w:rPr>
      </w:pPr>
      <w:r w:rsidRPr="00552654">
        <w:rPr>
          <w:rFonts w:ascii="Garamond" w:hAnsi="Garamond"/>
          <w:lang w:val="en-AU"/>
        </w:rPr>
        <w:t>Journal of Patient Safety. 2023</w:t>
      </w:r>
      <w:r>
        <w:rPr>
          <w:rFonts w:ascii="Garamond" w:hAnsi="Garamond"/>
          <w:lang w:val="en-AU"/>
        </w:rPr>
        <w:t xml:space="preserve"> [epub]</w:t>
      </w:r>
      <w:r w:rsidRPr="00552654">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AC2AB9" w:rsidRPr="000170DA" w14:paraId="6C972FD5" w14:textId="77777777" w:rsidTr="005D408E">
        <w:tc>
          <w:tcPr>
            <w:tcW w:w="1080" w:type="dxa"/>
            <w:tcBorders>
              <w:top w:val="single" w:sz="4" w:space="0" w:color="auto"/>
              <w:left w:val="single" w:sz="4" w:space="0" w:color="auto"/>
              <w:bottom w:val="single" w:sz="4" w:space="0" w:color="auto"/>
              <w:right w:val="single" w:sz="4" w:space="0" w:color="auto"/>
            </w:tcBorders>
            <w:vAlign w:val="center"/>
          </w:tcPr>
          <w:p w14:paraId="2CE0EAFF" w14:textId="77777777" w:rsidR="00AC2AB9" w:rsidRPr="000170DA" w:rsidRDefault="00AC2AB9" w:rsidP="005D408E">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BA3F913" w14:textId="77777777" w:rsidR="00AC2AB9" w:rsidRPr="000170DA" w:rsidRDefault="002645F8" w:rsidP="005D408E">
            <w:pPr>
              <w:keepNext/>
              <w:rPr>
                <w:rStyle w:val="Hyperlink"/>
                <w:rFonts w:ascii="Garamond" w:hAnsi="Garamond"/>
                <w:color w:val="auto"/>
                <w:u w:val="none"/>
                <w:lang w:val="en-AU"/>
              </w:rPr>
            </w:pPr>
            <w:hyperlink r:id="rId21" w:history="1">
              <w:r w:rsidR="00AC2AB9" w:rsidRPr="00C50FDC">
                <w:rPr>
                  <w:rStyle w:val="Hyperlink"/>
                  <w:rFonts w:ascii="Garamond" w:hAnsi="Garamond"/>
                  <w:lang w:val="en-AU"/>
                </w:rPr>
                <w:t>https://doi.org/10.1097/pts.0000000000001136</w:t>
              </w:r>
            </w:hyperlink>
          </w:p>
        </w:tc>
      </w:tr>
      <w:tr w:rsidR="00AC2AB9" w:rsidRPr="000170DA" w14:paraId="19FF0807" w14:textId="77777777" w:rsidTr="005D408E">
        <w:tc>
          <w:tcPr>
            <w:tcW w:w="1080" w:type="dxa"/>
            <w:tcBorders>
              <w:top w:val="single" w:sz="4" w:space="0" w:color="auto"/>
              <w:left w:val="single" w:sz="4" w:space="0" w:color="auto"/>
              <w:bottom w:val="single" w:sz="4" w:space="0" w:color="auto"/>
              <w:right w:val="single" w:sz="4" w:space="0" w:color="auto"/>
            </w:tcBorders>
            <w:vAlign w:val="center"/>
          </w:tcPr>
          <w:p w14:paraId="7F12E7B9" w14:textId="77777777" w:rsidR="00AC2AB9" w:rsidRPr="000170DA" w:rsidRDefault="00AC2AB9" w:rsidP="005D408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350B366" w14:textId="27D74F68" w:rsidR="00AC2AB9" w:rsidRPr="00D0490E" w:rsidRDefault="00AC2AB9" w:rsidP="005D408E">
            <w:pPr>
              <w:rPr>
                <w:rFonts w:ascii="Garamond" w:hAnsi="Garamond"/>
                <w:lang w:val="en-AU"/>
              </w:rPr>
            </w:pPr>
            <w:r>
              <w:rPr>
                <w:rFonts w:ascii="Garamond" w:hAnsi="Garamond"/>
                <w:lang w:val="en-AU"/>
              </w:rPr>
              <w:t>Paper reporting on an attempt to ‘</w:t>
            </w:r>
            <w:r w:rsidRPr="00552654">
              <w:rPr>
                <w:rFonts w:ascii="Garamond" w:hAnsi="Garamond"/>
                <w:lang w:val="en-AU"/>
              </w:rPr>
              <w:t>estimate the additional annual cost to the U.S. healthcare system attributable to preventable medication errors (MEs) in the operating room</w:t>
            </w:r>
            <w:r>
              <w:rPr>
                <w:rFonts w:ascii="Garamond" w:hAnsi="Garamond"/>
                <w:lang w:val="en-AU"/>
              </w:rPr>
              <w:t xml:space="preserve">’. With estimates of the incidence of the </w:t>
            </w:r>
            <w:r w:rsidR="0061565E">
              <w:rPr>
                <w:rFonts w:ascii="Garamond" w:hAnsi="Garamond"/>
                <w:lang w:val="en-AU"/>
              </w:rPr>
              <w:t>MEs and</w:t>
            </w:r>
            <w:r>
              <w:rPr>
                <w:rFonts w:ascii="Garamond" w:hAnsi="Garamond"/>
                <w:lang w:val="en-AU"/>
              </w:rPr>
              <w:t xml:space="preserve"> the likelihood of downstream patient harm and additional costs, the researchers </w:t>
            </w:r>
            <w:r w:rsidRPr="00552654">
              <w:rPr>
                <w:rFonts w:ascii="Garamond" w:hAnsi="Garamond"/>
                <w:lang w:val="en-AU"/>
              </w:rPr>
              <w:t xml:space="preserve">estimated that the </w:t>
            </w:r>
            <w:r w:rsidRPr="00AD62B3">
              <w:rPr>
                <w:rFonts w:ascii="Garamond" w:hAnsi="Garamond"/>
                <w:b/>
                <w:bCs/>
                <w:lang w:val="en-AU"/>
              </w:rPr>
              <w:t>total additional annual cost of care due to perioperative medication errors was $5.33 billion US. dollars</w:t>
            </w:r>
            <w:r>
              <w:rPr>
                <w:rFonts w:ascii="Garamond" w:hAnsi="Garamond"/>
                <w:lang w:val="en-AU"/>
              </w:rPr>
              <w:t>.</w:t>
            </w:r>
          </w:p>
        </w:tc>
      </w:tr>
    </w:tbl>
    <w:p w14:paraId="27A28C19" w14:textId="62975A30" w:rsidR="00AC2AB9" w:rsidRDefault="00AC2AB9" w:rsidP="00AC2AB9">
      <w:pPr>
        <w:keepLines/>
        <w:autoSpaceDE w:val="0"/>
        <w:autoSpaceDN w:val="0"/>
        <w:adjustRightInd w:val="0"/>
        <w:rPr>
          <w:rFonts w:ascii="Garamond" w:hAnsi="Garamond"/>
          <w:lang w:val="en-AU"/>
        </w:rPr>
      </w:pPr>
      <w:r>
        <w:rPr>
          <w:rFonts w:ascii="Garamond" w:hAnsi="Garamond"/>
          <w:lang w:val="en-AU"/>
        </w:rPr>
        <w:lastRenderedPageBreak/>
        <w:t xml:space="preserve">For information on the Commission’s work on medication safety, see </w:t>
      </w:r>
      <w:hyperlink r:id="rId22" w:history="1">
        <w:r w:rsidRPr="007E0679">
          <w:rPr>
            <w:rStyle w:val="Hyperlink"/>
            <w:rFonts w:ascii="Garamond" w:hAnsi="Garamond"/>
            <w:lang w:val="en-AU"/>
          </w:rPr>
          <w:t>https://www.safetyandquality.gov.au/our-work/medication-safety</w:t>
        </w:r>
      </w:hyperlink>
    </w:p>
    <w:p w14:paraId="31C43D77" w14:textId="77777777" w:rsidR="00AC2AB9" w:rsidRDefault="00AC2AB9" w:rsidP="00AC2AB9">
      <w:pPr>
        <w:keepLines/>
        <w:autoSpaceDE w:val="0"/>
        <w:autoSpaceDN w:val="0"/>
        <w:adjustRightInd w:val="0"/>
        <w:rPr>
          <w:rFonts w:ascii="Garamond" w:hAnsi="Garamond"/>
          <w:lang w:val="en-AU"/>
        </w:rPr>
      </w:pPr>
    </w:p>
    <w:p w14:paraId="5076C8EF" w14:textId="77777777" w:rsidR="00AC2AB9" w:rsidRPr="00745AE0" w:rsidRDefault="00AC2AB9" w:rsidP="00AC2AB9">
      <w:pPr>
        <w:keepLines/>
        <w:autoSpaceDE w:val="0"/>
        <w:autoSpaceDN w:val="0"/>
        <w:adjustRightInd w:val="0"/>
        <w:rPr>
          <w:rFonts w:ascii="Garamond" w:hAnsi="Garamond"/>
          <w:i/>
          <w:iCs/>
          <w:lang w:val="en-AU"/>
        </w:rPr>
      </w:pPr>
      <w:r w:rsidRPr="00745AE0">
        <w:rPr>
          <w:rFonts w:ascii="Garamond" w:hAnsi="Garamond"/>
          <w:i/>
          <w:iCs/>
          <w:lang w:val="en-AU"/>
        </w:rPr>
        <w:t>What makes an effective Quality Improvement Manager? A qualitative study in the New Zealand Health System</w:t>
      </w:r>
    </w:p>
    <w:p w14:paraId="78075655" w14:textId="77777777" w:rsidR="00AC2AB9" w:rsidRDefault="00AC2AB9" w:rsidP="00AC2AB9">
      <w:pPr>
        <w:keepLines/>
        <w:autoSpaceDE w:val="0"/>
        <w:autoSpaceDN w:val="0"/>
        <w:adjustRightInd w:val="0"/>
        <w:rPr>
          <w:rFonts w:ascii="Garamond" w:hAnsi="Garamond"/>
          <w:lang w:val="en-AU"/>
        </w:rPr>
      </w:pPr>
      <w:r w:rsidRPr="00745AE0">
        <w:rPr>
          <w:rFonts w:ascii="Garamond" w:hAnsi="Garamond"/>
          <w:lang w:val="en-AU"/>
        </w:rPr>
        <w:t>Akmal A, Podgorodnichenko N, Stokes T, Foote J, Greatbanks R, Gauld R</w:t>
      </w:r>
    </w:p>
    <w:p w14:paraId="4C87EF18" w14:textId="77777777" w:rsidR="00AC2AB9" w:rsidRDefault="00AC2AB9" w:rsidP="00AC2AB9">
      <w:pPr>
        <w:keepLines/>
        <w:autoSpaceDE w:val="0"/>
        <w:autoSpaceDN w:val="0"/>
        <w:adjustRightInd w:val="0"/>
        <w:rPr>
          <w:rFonts w:ascii="Garamond" w:hAnsi="Garamond"/>
          <w:lang w:val="en-AU"/>
        </w:rPr>
      </w:pPr>
      <w:r w:rsidRPr="00745AE0">
        <w:rPr>
          <w:rFonts w:ascii="Garamond" w:hAnsi="Garamond"/>
          <w:lang w:val="en-AU"/>
        </w:rPr>
        <w:t>BMC Health Services Research. 2022;22(1):50.</w:t>
      </w:r>
    </w:p>
    <w:tbl>
      <w:tblPr>
        <w:tblStyle w:val="TableGrid"/>
        <w:tblW w:w="9360" w:type="dxa"/>
        <w:tblInd w:w="288" w:type="dxa"/>
        <w:tblLayout w:type="fixed"/>
        <w:tblLook w:val="01E0" w:firstRow="1" w:lastRow="1" w:firstColumn="1" w:lastColumn="1" w:noHBand="0" w:noVBand="0"/>
      </w:tblPr>
      <w:tblGrid>
        <w:gridCol w:w="1080"/>
        <w:gridCol w:w="8280"/>
      </w:tblGrid>
      <w:tr w:rsidR="00AC2AB9" w:rsidRPr="000170DA" w14:paraId="5DE0D475" w14:textId="77777777" w:rsidTr="005D408E">
        <w:tc>
          <w:tcPr>
            <w:tcW w:w="1080" w:type="dxa"/>
            <w:tcBorders>
              <w:top w:val="single" w:sz="4" w:space="0" w:color="auto"/>
              <w:left w:val="single" w:sz="4" w:space="0" w:color="auto"/>
              <w:bottom w:val="single" w:sz="4" w:space="0" w:color="auto"/>
              <w:right w:val="single" w:sz="4" w:space="0" w:color="auto"/>
            </w:tcBorders>
            <w:vAlign w:val="center"/>
          </w:tcPr>
          <w:p w14:paraId="15EC3B12" w14:textId="77777777" w:rsidR="00AC2AB9" w:rsidRPr="000170DA" w:rsidRDefault="00AC2AB9" w:rsidP="005D408E">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2A2E2BB" w14:textId="77777777" w:rsidR="00AC2AB9" w:rsidRPr="000170DA" w:rsidRDefault="002645F8" w:rsidP="005D408E">
            <w:pPr>
              <w:keepNext/>
              <w:rPr>
                <w:rStyle w:val="Hyperlink"/>
                <w:rFonts w:ascii="Garamond" w:hAnsi="Garamond"/>
                <w:color w:val="auto"/>
                <w:u w:val="none"/>
                <w:lang w:val="en-AU"/>
              </w:rPr>
            </w:pPr>
            <w:hyperlink r:id="rId23" w:history="1">
              <w:r w:rsidR="00AC2AB9" w:rsidRPr="00C50FDC">
                <w:rPr>
                  <w:rStyle w:val="Hyperlink"/>
                  <w:rFonts w:ascii="Garamond" w:hAnsi="Garamond"/>
                  <w:lang w:val="en-AU"/>
                </w:rPr>
                <w:t>https://doi.org/10.1186/s12913-021-07433-w</w:t>
              </w:r>
            </w:hyperlink>
          </w:p>
        </w:tc>
      </w:tr>
      <w:tr w:rsidR="00AC2AB9" w:rsidRPr="000170DA" w14:paraId="2A72C77E" w14:textId="77777777" w:rsidTr="005D408E">
        <w:tc>
          <w:tcPr>
            <w:tcW w:w="1080" w:type="dxa"/>
            <w:tcBorders>
              <w:top w:val="single" w:sz="4" w:space="0" w:color="auto"/>
              <w:left w:val="single" w:sz="4" w:space="0" w:color="auto"/>
              <w:bottom w:val="single" w:sz="4" w:space="0" w:color="auto"/>
              <w:right w:val="single" w:sz="4" w:space="0" w:color="auto"/>
            </w:tcBorders>
            <w:vAlign w:val="center"/>
          </w:tcPr>
          <w:p w14:paraId="15437302" w14:textId="77777777" w:rsidR="00AC2AB9" w:rsidRPr="000170DA" w:rsidRDefault="00AC2AB9" w:rsidP="005D408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79FD9C9" w14:textId="77777777" w:rsidR="00AC2AB9" w:rsidRPr="00D0490E" w:rsidRDefault="00AC2AB9" w:rsidP="005D408E">
            <w:pPr>
              <w:rPr>
                <w:rFonts w:ascii="Garamond" w:hAnsi="Garamond"/>
                <w:lang w:val="en-AU"/>
              </w:rPr>
            </w:pPr>
            <w:r>
              <w:rPr>
                <w:rFonts w:ascii="Garamond" w:hAnsi="Garamond"/>
                <w:lang w:val="en-AU"/>
              </w:rPr>
              <w:t xml:space="preserve">Paper examining the views on quality improvement managers in New Zealand on the </w:t>
            </w:r>
            <w:r w:rsidRPr="002C5B2F">
              <w:rPr>
                <w:rFonts w:ascii="Garamond" w:hAnsi="Garamond"/>
                <w:lang w:val="en-AU"/>
              </w:rPr>
              <w:t>competencies and qualities</w:t>
            </w:r>
            <w:r>
              <w:rPr>
                <w:rFonts w:ascii="Garamond" w:hAnsi="Garamond"/>
                <w:lang w:val="en-AU"/>
              </w:rPr>
              <w:t xml:space="preserve"> required ‘</w:t>
            </w:r>
            <w:r w:rsidRPr="002C5B2F">
              <w:rPr>
                <w:rFonts w:ascii="Garamond" w:hAnsi="Garamond"/>
                <w:lang w:val="en-AU"/>
              </w:rPr>
              <w:t>to achieve day-to-day and long-term quality improvement objectives.</w:t>
            </w:r>
            <w:r>
              <w:rPr>
                <w:rFonts w:ascii="Garamond" w:hAnsi="Garamond"/>
                <w:lang w:val="en-AU"/>
              </w:rPr>
              <w:t xml:space="preserve">’ Based on interviews with </w:t>
            </w:r>
            <w:r w:rsidRPr="002C5B2F">
              <w:rPr>
                <w:rFonts w:ascii="Garamond" w:hAnsi="Garamond"/>
                <w:lang w:val="en-AU"/>
              </w:rPr>
              <w:t xml:space="preserve">56 quality improvement managers </w:t>
            </w:r>
            <w:r>
              <w:rPr>
                <w:rFonts w:ascii="Garamond" w:hAnsi="Garamond"/>
                <w:lang w:val="en-AU"/>
              </w:rPr>
              <w:t>from across New Zealand, the study identified two groups ‘</w:t>
            </w:r>
            <w:r w:rsidRPr="002C5B2F">
              <w:rPr>
                <w:rFonts w:ascii="Garamond" w:hAnsi="Garamond"/>
                <w:lang w:val="en-AU"/>
              </w:rPr>
              <w:t>traditional and clinical quality improvement managers</w:t>
            </w:r>
            <w:r>
              <w:rPr>
                <w:rFonts w:ascii="Garamond" w:hAnsi="Garamond"/>
                <w:lang w:val="en-AU"/>
              </w:rPr>
              <w:t>’ with the traditional group being ‘</w:t>
            </w:r>
            <w:r w:rsidRPr="002C5B2F">
              <w:rPr>
                <w:rFonts w:ascii="Garamond" w:hAnsi="Garamond"/>
                <w:lang w:val="en-AU"/>
              </w:rPr>
              <w:t>those with formal quality improvement educatio</w:t>
            </w:r>
            <w:r>
              <w:rPr>
                <w:rFonts w:ascii="Garamond" w:hAnsi="Garamond"/>
                <w:lang w:val="en-AU"/>
              </w:rPr>
              <w:t>n’ while the clinical group ‘</w:t>
            </w:r>
            <w:r w:rsidRPr="002C5B2F">
              <w:rPr>
                <w:rFonts w:ascii="Garamond" w:hAnsi="Garamond"/>
                <w:lang w:val="en-AU"/>
              </w:rPr>
              <w:t>was represented by clinical staff—physicians and nurses—who received on-the-job training.</w:t>
            </w:r>
            <w:r>
              <w:rPr>
                <w:rFonts w:ascii="Garamond" w:hAnsi="Garamond"/>
                <w:lang w:val="en-AU"/>
              </w:rPr>
              <w:t xml:space="preserve">’ The authors report three major themes emerged from the interviews: </w:t>
            </w:r>
            <w:r w:rsidRPr="002C5B2F">
              <w:rPr>
                <w:rFonts w:ascii="Garamond" w:hAnsi="Garamond"/>
                <w:b/>
                <w:bCs/>
                <w:lang w:val="en-AU"/>
              </w:rPr>
              <w:t>quality improvement expertise, leadership competencies and interpersonal competencies</w:t>
            </w:r>
            <w:r>
              <w:rPr>
                <w:rFonts w:ascii="Garamond" w:hAnsi="Garamond"/>
                <w:lang w:val="en-AU"/>
              </w:rPr>
              <w:t>. The ‘t</w:t>
            </w:r>
            <w:r w:rsidRPr="002C5B2F">
              <w:rPr>
                <w:rFonts w:ascii="Garamond" w:hAnsi="Garamond"/>
                <w:lang w:val="en-AU"/>
              </w:rPr>
              <w:t>raditional quality improvement managers emphasising leadership competencies and interpersonal skills more than clinical quality improvement managers</w:t>
            </w:r>
            <w:r>
              <w:rPr>
                <w:rFonts w:ascii="Garamond" w:hAnsi="Garamond"/>
                <w:lang w:val="en-AU"/>
              </w:rPr>
              <w:t>’</w:t>
            </w:r>
            <w:r w:rsidRPr="002C5B2F">
              <w:rPr>
                <w:rFonts w:ascii="Garamond" w:hAnsi="Garamond"/>
                <w:lang w:val="en-AU"/>
              </w:rPr>
              <w:t>.</w:t>
            </w:r>
          </w:p>
        </w:tc>
      </w:tr>
    </w:tbl>
    <w:p w14:paraId="105BED97" w14:textId="77777777" w:rsidR="00AC2AB9" w:rsidRDefault="00AC2AB9" w:rsidP="00AC2AB9">
      <w:pPr>
        <w:keepLines/>
        <w:autoSpaceDE w:val="0"/>
        <w:autoSpaceDN w:val="0"/>
        <w:adjustRightInd w:val="0"/>
        <w:rPr>
          <w:rFonts w:ascii="Garamond" w:hAnsi="Garamond"/>
          <w:lang w:val="en-AU"/>
        </w:rPr>
      </w:pPr>
    </w:p>
    <w:p w14:paraId="31B671E7" w14:textId="77777777" w:rsidR="00AC2AB9" w:rsidRPr="0086177D" w:rsidRDefault="00AC2AB9" w:rsidP="00AC2AB9">
      <w:pPr>
        <w:keepLines/>
        <w:autoSpaceDE w:val="0"/>
        <w:autoSpaceDN w:val="0"/>
        <w:adjustRightInd w:val="0"/>
        <w:rPr>
          <w:rFonts w:ascii="Garamond" w:hAnsi="Garamond"/>
          <w:i/>
          <w:iCs/>
          <w:lang w:val="en-AU"/>
        </w:rPr>
      </w:pPr>
      <w:r w:rsidRPr="0086177D">
        <w:rPr>
          <w:rFonts w:ascii="Garamond" w:hAnsi="Garamond"/>
          <w:i/>
          <w:iCs/>
          <w:lang w:val="en-AU"/>
        </w:rPr>
        <w:t>Workplace interventions to improve well-being and reduce burnout for nurses, physicians and allied healthcare professionals: a systematic review</w:t>
      </w:r>
    </w:p>
    <w:p w14:paraId="3F3C7FAA" w14:textId="77777777" w:rsidR="00AC2AB9" w:rsidRDefault="00AC2AB9" w:rsidP="00AC2AB9">
      <w:pPr>
        <w:keepLines/>
        <w:autoSpaceDE w:val="0"/>
        <w:autoSpaceDN w:val="0"/>
        <w:adjustRightInd w:val="0"/>
        <w:rPr>
          <w:rFonts w:ascii="Garamond" w:hAnsi="Garamond"/>
          <w:lang w:val="en-AU"/>
        </w:rPr>
      </w:pPr>
      <w:r w:rsidRPr="008A16E2">
        <w:rPr>
          <w:rFonts w:ascii="Garamond" w:hAnsi="Garamond"/>
          <w:lang w:val="en-AU"/>
        </w:rPr>
        <w:t>Catherine C, Silvia P, Eva B, Mark T, Jessie C</w:t>
      </w:r>
      <w:r>
        <w:rPr>
          <w:rFonts w:ascii="Garamond" w:hAnsi="Garamond"/>
          <w:lang w:val="en-AU"/>
        </w:rPr>
        <w:br/>
      </w:r>
      <w:r w:rsidRPr="008A16E2">
        <w:rPr>
          <w:rFonts w:ascii="Garamond" w:hAnsi="Garamond"/>
          <w:lang w:val="en-AU"/>
        </w:rPr>
        <w:t>BMJ Open. 2023;13(6):e071203.</w:t>
      </w:r>
    </w:p>
    <w:tbl>
      <w:tblPr>
        <w:tblStyle w:val="TableGrid"/>
        <w:tblW w:w="9360" w:type="dxa"/>
        <w:tblInd w:w="288" w:type="dxa"/>
        <w:tblLayout w:type="fixed"/>
        <w:tblLook w:val="01E0" w:firstRow="1" w:lastRow="1" w:firstColumn="1" w:lastColumn="1" w:noHBand="0" w:noVBand="0"/>
      </w:tblPr>
      <w:tblGrid>
        <w:gridCol w:w="1080"/>
        <w:gridCol w:w="8280"/>
      </w:tblGrid>
      <w:tr w:rsidR="00AC2AB9" w:rsidRPr="000170DA" w14:paraId="7DB41599" w14:textId="77777777" w:rsidTr="005D408E">
        <w:tc>
          <w:tcPr>
            <w:tcW w:w="1080" w:type="dxa"/>
            <w:tcBorders>
              <w:top w:val="single" w:sz="4" w:space="0" w:color="auto"/>
              <w:left w:val="single" w:sz="4" w:space="0" w:color="auto"/>
              <w:bottom w:val="single" w:sz="4" w:space="0" w:color="auto"/>
              <w:right w:val="single" w:sz="4" w:space="0" w:color="auto"/>
            </w:tcBorders>
            <w:vAlign w:val="center"/>
          </w:tcPr>
          <w:p w14:paraId="0EFA60F2" w14:textId="77777777" w:rsidR="00AC2AB9" w:rsidRPr="000170DA" w:rsidRDefault="00AC2AB9" w:rsidP="005D408E">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3665E2A1" w14:textId="5A1D6669" w:rsidR="00AC2AB9" w:rsidRPr="000170DA" w:rsidRDefault="000C6125" w:rsidP="005D408E">
            <w:pPr>
              <w:keepNext/>
              <w:rPr>
                <w:rStyle w:val="Hyperlink"/>
                <w:rFonts w:ascii="Garamond" w:hAnsi="Garamond"/>
                <w:color w:val="auto"/>
                <w:u w:val="none"/>
                <w:lang w:val="en-AU"/>
              </w:rPr>
            </w:pPr>
            <w:hyperlink r:id="rId24" w:history="1">
              <w:r w:rsidRPr="00415A54">
                <w:rPr>
                  <w:rStyle w:val="Hyperlink"/>
                  <w:rFonts w:ascii="Garamond" w:hAnsi="Garamond"/>
                  <w:lang w:val="en-AU"/>
                </w:rPr>
                <w:t>https://doi.org/10.1136/bmjopen-2022-071203</w:t>
              </w:r>
            </w:hyperlink>
          </w:p>
        </w:tc>
      </w:tr>
      <w:tr w:rsidR="00AC2AB9" w:rsidRPr="000170DA" w14:paraId="63E3748F" w14:textId="77777777" w:rsidTr="005D408E">
        <w:tc>
          <w:tcPr>
            <w:tcW w:w="1080" w:type="dxa"/>
            <w:tcBorders>
              <w:top w:val="single" w:sz="4" w:space="0" w:color="auto"/>
              <w:left w:val="single" w:sz="4" w:space="0" w:color="auto"/>
              <w:bottom w:val="single" w:sz="4" w:space="0" w:color="auto"/>
              <w:right w:val="single" w:sz="4" w:space="0" w:color="auto"/>
            </w:tcBorders>
            <w:vAlign w:val="center"/>
          </w:tcPr>
          <w:p w14:paraId="00AD89FE" w14:textId="77777777" w:rsidR="00AC2AB9" w:rsidRPr="000170DA" w:rsidRDefault="00AC2AB9" w:rsidP="005D408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C938F0C" w14:textId="77777777" w:rsidR="00AC2AB9" w:rsidRPr="00D0490E" w:rsidRDefault="00AC2AB9" w:rsidP="005D408E">
            <w:pPr>
              <w:rPr>
                <w:rFonts w:ascii="Garamond" w:hAnsi="Garamond"/>
                <w:lang w:val="en-AU"/>
              </w:rPr>
            </w:pPr>
            <w:r>
              <w:rPr>
                <w:rFonts w:ascii="Garamond" w:hAnsi="Garamond"/>
                <w:lang w:val="en-AU"/>
              </w:rPr>
              <w:t>Paper reporting the result of a s</w:t>
            </w:r>
            <w:r w:rsidRPr="001650D7">
              <w:rPr>
                <w:rFonts w:ascii="Garamond" w:hAnsi="Garamond"/>
                <w:lang w:val="en-AU"/>
              </w:rPr>
              <w:t>ystematic literature review</w:t>
            </w:r>
            <w:r>
              <w:rPr>
                <w:rFonts w:ascii="Garamond" w:hAnsi="Garamond"/>
                <w:lang w:val="en-AU"/>
              </w:rPr>
              <w:t xml:space="preserve"> that sought to draw together the recent evidence on ‘t</w:t>
            </w:r>
            <w:r w:rsidRPr="008C6B94">
              <w:rPr>
                <w:rFonts w:ascii="Garamond" w:hAnsi="Garamond"/>
                <w:lang w:val="en-AU"/>
              </w:rPr>
              <w:t>he impact of interventions designed to address well-being and burnout in physicians, nurses and allied healthcare professionals.</w:t>
            </w:r>
            <w:r>
              <w:rPr>
                <w:rFonts w:ascii="Garamond" w:hAnsi="Garamond"/>
                <w:lang w:val="en-AU"/>
              </w:rPr>
              <w:t>’ Based on 33 studies published since 2015, the study found that most studies had used ‘</w:t>
            </w:r>
            <w:r w:rsidRPr="008C6B94">
              <w:rPr>
                <w:rFonts w:ascii="Garamond" w:hAnsi="Garamond"/>
                <w:lang w:val="en-AU"/>
              </w:rPr>
              <w:t>individually focused interventions</w:t>
            </w:r>
            <w:r>
              <w:rPr>
                <w:rFonts w:ascii="Garamond" w:hAnsi="Garamond"/>
                <w:lang w:val="en-AU"/>
              </w:rPr>
              <w:t>’, including m</w:t>
            </w:r>
            <w:r w:rsidRPr="008C6B94">
              <w:rPr>
                <w:rFonts w:ascii="Garamond" w:hAnsi="Garamond"/>
                <w:lang w:val="en-AU"/>
              </w:rPr>
              <w:t>indfulness-based practices</w:t>
            </w:r>
            <w:r>
              <w:rPr>
                <w:rFonts w:ascii="Garamond" w:hAnsi="Garamond"/>
                <w:lang w:val="en-AU"/>
              </w:rPr>
              <w:t>,</w:t>
            </w:r>
            <w:r w:rsidRPr="008C6B94">
              <w:rPr>
                <w:rFonts w:ascii="Garamond" w:hAnsi="Garamond"/>
                <w:lang w:val="en-AU"/>
              </w:rPr>
              <w:t xml:space="preserve"> meditation, yoga</w:t>
            </w:r>
            <w:r>
              <w:rPr>
                <w:rFonts w:ascii="Garamond" w:hAnsi="Garamond"/>
                <w:lang w:val="en-AU"/>
              </w:rPr>
              <w:t xml:space="preserve">, </w:t>
            </w:r>
            <w:r w:rsidRPr="008C6B94">
              <w:rPr>
                <w:rFonts w:ascii="Garamond" w:hAnsi="Garamond"/>
                <w:lang w:val="en-AU"/>
              </w:rPr>
              <w:t>acupuncture</w:t>
            </w:r>
            <w:r>
              <w:rPr>
                <w:rFonts w:ascii="Garamond" w:hAnsi="Garamond"/>
                <w:lang w:val="en-AU"/>
              </w:rPr>
              <w:t xml:space="preserve">, and </w:t>
            </w:r>
            <w:r w:rsidRPr="008C6B94">
              <w:rPr>
                <w:rFonts w:ascii="Garamond" w:hAnsi="Garamond"/>
                <w:lang w:val="en-AU"/>
              </w:rPr>
              <w:t xml:space="preserve">positive mindset </w:t>
            </w:r>
            <w:r>
              <w:rPr>
                <w:rFonts w:ascii="Garamond" w:hAnsi="Garamond"/>
                <w:lang w:val="en-AU"/>
              </w:rPr>
              <w:t xml:space="preserve">interventions </w:t>
            </w:r>
            <w:r w:rsidRPr="008C6B94">
              <w:rPr>
                <w:rFonts w:ascii="Garamond" w:hAnsi="Garamond"/>
                <w:lang w:val="en-AU"/>
              </w:rPr>
              <w:t>(gratitude journaling, choirs, coaching)</w:t>
            </w:r>
            <w:r>
              <w:rPr>
                <w:rFonts w:ascii="Garamond" w:hAnsi="Garamond"/>
                <w:lang w:val="en-AU"/>
              </w:rPr>
              <w:t>. O</w:t>
            </w:r>
            <w:r w:rsidRPr="008C6B94">
              <w:rPr>
                <w:rFonts w:ascii="Garamond" w:hAnsi="Garamond"/>
                <w:lang w:val="en-AU"/>
              </w:rPr>
              <w:t xml:space="preserve">rganisational interventions </w:t>
            </w:r>
            <w:r>
              <w:rPr>
                <w:rFonts w:ascii="Garamond" w:hAnsi="Garamond"/>
                <w:lang w:val="en-AU"/>
              </w:rPr>
              <w:t xml:space="preserve">focused </w:t>
            </w:r>
            <w:r w:rsidRPr="008C6B94">
              <w:rPr>
                <w:rFonts w:ascii="Garamond" w:hAnsi="Garamond"/>
                <w:lang w:val="en-AU"/>
              </w:rPr>
              <w:t>on workload reduction, job crafting and peer networks.</w:t>
            </w:r>
            <w:r>
              <w:rPr>
                <w:rFonts w:ascii="Garamond" w:hAnsi="Garamond"/>
                <w:lang w:val="en-AU"/>
              </w:rPr>
              <w:t xml:space="preserve"> Overall,, the review ‘</w:t>
            </w:r>
            <w:r w:rsidRPr="008C6B94">
              <w:rPr>
                <w:rFonts w:ascii="Garamond" w:hAnsi="Garamond"/>
                <w:lang w:val="en-AU"/>
              </w:rPr>
              <w:t>that interventions benefitted healthcare workers by increasing well-being, engagement and resilience, and reducing burnout. It is noted that the outcomes of numerous studies were impacted by design limitations that is, no control/waitlist control, and/or no post intervention follow-up.</w:t>
            </w:r>
            <w:r>
              <w:rPr>
                <w:rFonts w:ascii="Garamond" w:hAnsi="Garamond"/>
                <w:lang w:val="en-AU"/>
              </w:rPr>
              <w:t>’</w:t>
            </w:r>
          </w:p>
        </w:tc>
      </w:tr>
    </w:tbl>
    <w:p w14:paraId="37E6F14F" w14:textId="77777777" w:rsidR="00AC2AB9" w:rsidRDefault="00AC2AB9" w:rsidP="00AC2AB9">
      <w:pPr>
        <w:keepLines/>
        <w:autoSpaceDE w:val="0"/>
        <w:autoSpaceDN w:val="0"/>
        <w:adjustRightInd w:val="0"/>
        <w:rPr>
          <w:rFonts w:ascii="Garamond" w:hAnsi="Garamond"/>
          <w:lang w:val="en-AU"/>
        </w:rPr>
      </w:pPr>
    </w:p>
    <w:p w14:paraId="11954CA7" w14:textId="5B7EB94C" w:rsidR="00C41722" w:rsidRPr="0029253D" w:rsidRDefault="004D35E1" w:rsidP="00C41722">
      <w:pPr>
        <w:keepLines/>
        <w:autoSpaceDE w:val="0"/>
        <w:autoSpaceDN w:val="0"/>
        <w:adjustRightInd w:val="0"/>
        <w:rPr>
          <w:rFonts w:ascii="Garamond" w:hAnsi="Garamond"/>
          <w:i/>
          <w:iCs/>
          <w:lang w:val="en-AU"/>
        </w:rPr>
      </w:pPr>
      <w:r w:rsidRPr="0029253D">
        <w:rPr>
          <w:rFonts w:ascii="Garamond" w:hAnsi="Garamond"/>
          <w:i/>
          <w:iCs/>
          <w:lang w:val="en-AU"/>
        </w:rPr>
        <w:t>Mapping Health Disparities in 11 High-Income Nations</w:t>
      </w:r>
    </w:p>
    <w:p w14:paraId="704BFAB8" w14:textId="77777777" w:rsidR="0029253D" w:rsidRDefault="0029253D" w:rsidP="00C41722">
      <w:pPr>
        <w:keepLines/>
        <w:autoSpaceDE w:val="0"/>
        <w:autoSpaceDN w:val="0"/>
        <w:adjustRightInd w:val="0"/>
        <w:rPr>
          <w:rFonts w:ascii="Garamond" w:hAnsi="Garamond"/>
          <w:lang w:val="en-AU"/>
        </w:rPr>
      </w:pPr>
      <w:r w:rsidRPr="0029253D">
        <w:rPr>
          <w:rFonts w:ascii="Garamond" w:hAnsi="Garamond"/>
          <w:lang w:val="en-AU"/>
        </w:rPr>
        <w:t>MacKinnon NJ, Emery V, Waller J, Ange B, Ambade P, Gunja M, et al</w:t>
      </w:r>
    </w:p>
    <w:p w14:paraId="27977659" w14:textId="4F2D1B95" w:rsidR="004D35E1" w:rsidRDefault="0029253D" w:rsidP="00C41722">
      <w:pPr>
        <w:keepLines/>
        <w:autoSpaceDE w:val="0"/>
        <w:autoSpaceDN w:val="0"/>
        <w:adjustRightInd w:val="0"/>
        <w:rPr>
          <w:rFonts w:ascii="Garamond" w:hAnsi="Garamond"/>
          <w:lang w:val="en-AU"/>
        </w:rPr>
      </w:pPr>
      <w:r w:rsidRPr="0029253D">
        <w:rPr>
          <w:rFonts w:ascii="Garamond" w:hAnsi="Garamond"/>
          <w:lang w:val="en-AU"/>
        </w:rPr>
        <w:t>JAMA Network Open. 2023;6(7):e2322310-e2322310.</w:t>
      </w:r>
    </w:p>
    <w:tbl>
      <w:tblPr>
        <w:tblStyle w:val="TableGrid"/>
        <w:tblW w:w="9360" w:type="dxa"/>
        <w:tblInd w:w="288" w:type="dxa"/>
        <w:tblLayout w:type="fixed"/>
        <w:tblLook w:val="01E0" w:firstRow="1" w:lastRow="1" w:firstColumn="1" w:lastColumn="1" w:noHBand="0" w:noVBand="0"/>
      </w:tblPr>
      <w:tblGrid>
        <w:gridCol w:w="1080"/>
        <w:gridCol w:w="8280"/>
      </w:tblGrid>
      <w:tr w:rsidR="00C41722" w:rsidRPr="000170DA" w14:paraId="42812E4A" w14:textId="77777777" w:rsidTr="00C70D65">
        <w:tc>
          <w:tcPr>
            <w:tcW w:w="1080" w:type="dxa"/>
            <w:tcBorders>
              <w:top w:val="single" w:sz="4" w:space="0" w:color="auto"/>
              <w:left w:val="single" w:sz="4" w:space="0" w:color="auto"/>
              <w:bottom w:val="single" w:sz="4" w:space="0" w:color="auto"/>
              <w:right w:val="single" w:sz="4" w:space="0" w:color="auto"/>
            </w:tcBorders>
            <w:vAlign w:val="center"/>
          </w:tcPr>
          <w:p w14:paraId="27AA5C11" w14:textId="77777777" w:rsidR="00C41722" w:rsidRPr="000170DA" w:rsidRDefault="00C41722" w:rsidP="00C70D65">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4D9AB0E5" w14:textId="1B1AF7CE" w:rsidR="00C41722" w:rsidRPr="000170DA" w:rsidRDefault="002645F8" w:rsidP="00C70D65">
            <w:pPr>
              <w:keepNext/>
              <w:rPr>
                <w:rStyle w:val="Hyperlink"/>
                <w:rFonts w:ascii="Garamond" w:hAnsi="Garamond"/>
                <w:color w:val="auto"/>
                <w:u w:val="none"/>
                <w:lang w:val="en-AU"/>
              </w:rPr>
            </w:pPr>
            <w:hyperlink r:id="rId25" w:history="1">
              <w:r w:rsidR="0029253D" w:rsidRPr="00C50FDC">
                <w:rPr>
                  <w:rStyle w:val="Hyperlink"/>
                  <w:rFonts w:ascii="Garamond" w:hAnsi="Garamond"/>
                  <w:lang w:val="en-AU"/>
                </w:rPr>
                <w:t>https://doi.org/10.1001/jamanetworkopen.2023.22310</w:t>
              </w:r>
            </w:hyperlink>
          </w:p>
        </w:tc>
      </w:tr>
      <w:tr w:rsidR="00C41722" w:rsidRPr="000170DA" w14:paraId="77058704" w14:textId="77777777" w:rsidTr="00C70D65">
        <w:tc>
          <w:tcPr>
            <w:tcW w:w="1080" w:type="dxa"/>
            <w:tcBorders>
              <w:top w:val="single" w:sz="4" w:space="0" w:color="auto"/>
              <w:left w:val="single" w:sz="4" w:space="0" w:color="auto"/>
              <w:bottom w:val="single" w:sz="4" w:space="0" w:color="auto"/>
              <w:right w:val="single" w:sz="4" w:space="0" w:color="auto"/>
            </w:tcBorders>
            <w:vAlign w:val="center"/>
          </w:tcPr>
          <w:p w14:paraId="70D99257" w14:textId="77777777" w:rsidR="00C41722" w:rsidRPr="000170DA" w:rsidRDefault="00C41722" w:rsidP="00C70D6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5CFFC0E" w14:textId="6A9FE707" w:rsidR="0029253D" w:rsidRPr="00D0490E" w:rsidRDefault="004D35E1" w:rsidP="0029253D">
            <w:pPr>
              <w:rPr>
                <w:rFonts w:ascii="Garamond" w:hAnsi="Garamond"/>
                <w:lang w:val="en-AU"/>
              </w:rPr>
            </w:pPr>
            <w:r>
              <w:rPr>
                <w:rFonts w:ascii="Garamond" w:hAnsi="Garamond"/>
                <w:lang w:val="en-AU"/>
              </w:rPr>
              <w:t xml:space="preserve">Article reporting on the US Commonwealth Fund’s latest survey into health care in a group of eleven high-income nations, including Australia and the USA. </w:t>
            </w:r>
            <w:r w:rsidR="0029253D">
              <w:rPr>
                <w:rFonts w:ascii="Garamond" w:hAnsi="Garamond"/>
                <w:lang w:val="en-AU"/>
              </w:rPr>
              <w:t>This study sought to examine ‘</w:t>
            </w:r>
            <w:r w:rsidR="0029253D" w:rsidRPr="0029253D">
              <w:rPr>
                <w:rFonts w:ascii="Garamond" w:hAnsi="Garamond"/>
                <w:lang w:val="en-AU"/>
              </w:rPr>
              <w:t>geographic health disparities as measured by differences in respondents living in urban and rural settings in 10 health indicators across 3 domains.</w:t>
            </w:r>
            <w:r w:rsidR="0029253D">
              <w:rPr>
                <w:rFonts w:ascii="Garamond" w:hAnsi="Garamond"/>
                <w:lang w:val="en-AU"/>
              </w:rPr>
              <w:t xml:space="preserve">’ </w:t>
            </w:r>
            <w:r>
              <w:rPr>
                <w:rFonts w:ascii="Garamond" w:hAnsi="Garamond"/>
                <w:lang w:val="en-AU"/>
              </w:rPr>
              <w:t xml:space="preserve">The study found that </w:t>
            </w:r>
            <w:r w:rsidR="0029253D">
              <w:rPr>
                <w:rFonts w:ascii="Garamond" w:hAnsi="Garamond"/>
                <w:lang w:val="en-AU"/>
              </w:rPr>
              <w:t>‘</w:t>
            </w:r>
            <w:r w:rsidR="0029253D" w:rsidRPr="0029253D">
              <w:rPr>
                <w:rFonts w:ascii="Garamond" w:hAnsi="Garamond"/>
                <w:lang w:val="en-AU"/>
              </w:rPr>
              <w:t>using self-reported data from 22</w:t>
            </w:r>
            <w:r w:rsidR="0029253D" w:rsidRPr="0029253D">
              <w:rPr>
                <w:lang w:val="en-AU"/>
              </w:rPr>
              <w:t> </w:t>
            </w:r>
            <w:r w:rsidR="0029253D" w:rsidRPr="0029253D">
              <w:rPr>
                <w:rFonts w:ascii="Garamond" w:hAnsi="Garamond"/>
                <w:lang w:val="en-AU"/>
              </w:rPr>
              <w:t>402 participants across 11 countries, the mean number of geographic health disparities across 10 indicators and 3 domains (health status and socioeconomic risk factors, affordability of care, access to care) was 1.9, although there was wide variation among the nations. The US had significant geographic health disparities in 5 indicators, the most of any country, while Canada, Norway, and the Netherlands had no significant geographic health disparities.</w:t>
            </w:r>
            <w:r w:rsidR="0029253D">
              <w:rPr>
                <w:rFonts w:ascii="Garamond" w:hAnsi="Garamond"/>
                <w:lang w:val="en-AU"/>
              </w:rPr>
              <w:t xml:space="preserve">’ For Australia, it was observed that there </w:t>
            </w:r>
            <w:r w:rsidR="0029253D" w:rsidRPr="0029253D">
              <w:rPr>
                <w:rFonts w:ascii="Garamond" w:hAnsi="Garamond"/>
                <w:lang w:val="en-AU"/>
              </w:rPr>
              <w:t xml:space="preserve">statistically significant </w:t>
            </w:r>
            <w:r w:rsidR="0029253D" w:rsidRPr="0029253D">
              <w:rPr>
                <w:rFonts w:ascii="Garamond" w:hAnsi="Garamond"/>
                <w:lang w:val="en-AU"/>
              </w:rPr>
              <w:lastRenderedPageBreak/>
              <w:t xml:space="preserve">geographic health disparities in </w:t>
            </w:r>
            <w:r w:rsidR="0029253D">
              <w:rPr>
                <w:rFonts w:ascii="Garamond" w:hAnsi="Garamond"/>
                <w:lang w:val="en-AU"/>
              </w:rPr>
              <w:t>3</w:t>
            </w:r>
            <w:r w:rsidR="0029253D" w:rsidRPr="0029253D">
              <w:rPr>
                <w:rFonts w:ascii="Garamond" w:hAnsi="Garamond"/>
                <w:lang w:val="en-AU"/>
              </w:rPr>
              <w:t xml:space="preserve"> of the 10 indicators</w:t>
            </w:r>
            <w:r w:rsidR="0029253D">
              <w:rPr>
                <w:rFonts w:ascii="Garamond" w:hAnsi="Garamond"/>
                <w:lang w:val="en-AU"/>
              </w:rPr>
              <w:t>, including skipping medical and dental care because of cost.</w:t>
            </w:r>
          </w:p>
        </w:tc>
      </w:tr>
    </w:tbl>
    <w:p w14:paraId="2A198DCE" w14:textId="2F67E8AD" w:rsidR="00C41722" w:rsidRDefault="00C41722" w:rsidP="00C41722">
      <w:pPr>
        <w:keepLines/>
        <w:autoSpaceDE w:val="0"/>
        <w:autoSpaceDN w:val="0"/>
        <w:adjustRightInd w:val="0"/>
        <w:rPr>
          <w:rFonts w:ascii="Garamond" w:hAnsi="Garamond"/>
          <w:lang w:val="en-AU"/>
        </w:rPr>
      </w:pPr>
    </w:p>
    <w:p w14:paraId="4055FE21" w14:textId="74E87491" w:rsidR="0029253D" w:rsidRDefault="0029253D" w:rsidP="00C41722">
      <w:pPr>
        <w:keepLines/>
        <w:autoSpaceDE w:val="0"/>
        <w:autoSpaceDN w:val="0"/>
        <w:adjustRightInd w:val="0"/>
        <w:rPr>
          <w:rStyle w:val="Hyperlink"/>
          <w:rFonts w:ascii="Garamond" w:hAnsi="Garamond"/>
          <w:lang w:val="en-AU"/>
        </w:rPr>
      </w:pPr>
      <w:r>
        <w:rPr>
          <w:rFonts w:ascii="Garamond" w:hAnsi="Garamond"/>
          <w:lang w:val="en-AU"/>
        </w:rPr>
        <w:t xml:space="preserve">For information on the Commission’s work on healthcare variation, including the </w:t>
      </w:r>
      <w:r w:rsidRPr="0029253D">
        <w:rPr>
          <w:rFonts w:ascii="Garamond" w:hAnsi="Garamond"/>
          <w:i/>
          <w:iCs/>
          <w:lang w:val="en-AU"/>
        </w:rPr>
        <w:t>Australian Atlas of Healthcare Variation</w:t>
      </w:r>
      <w:r w:rsidRPr="0029253D">
        <w:rPr>
          <w:rFonts w:ascii="Garamond" w:hAnsi="Garamond"/>
          <w:lang w:val="en-AU"/>
        </w:rPr>
        <w:t xml:space="preserve"> series</w:t>
      </w:r>
      <w:r>
        <w:rPr>
          <w:rFonts w:ascii="Garamond" w:hAnsi="Garamond"/>
          <w:lang w:val="en-AU"/>
        </w:rPr>
        <w:t>,</w:t>
      </w:r>
      <w:r w:rsidRPr="0029253D">
        <w:rPr>
          <w:rFonts w:ascii="Garamond" w:hAnsi="Garamond"/>
          <w:lang w:val="en-AU"/>
        </w:rPr>
        <w:t xml:space="preserve"> </w:t>
      </w:r>
      <w:r>
        <w:rPr>
          <w:rFonts w:ascii="Garamond" w:hAnsi="Garamond"/>
          <w:lang w:val="en-AU"/>
        </w:rPr>
        <w:t xml:space="preserve">see </w:t>
      </w:r>
      <w:hyperlink r:id="rId26" w:history="1">
        <w:r w:rsidRPr="00C50FDC">
          <w:rPr>
            <w:rStyle w:val="Hyperlink"/>
            <w:rFonts w:ascii="Garamond" w:hAnsi="Garamond"/>
            <w:lang w:val="en-AU"/>
          </w:rPr>
          <w:t>https://www.safetyandquality.gov.au/our-work/healthcare-variation</w:t>
        </w:r>
      </w:hyperlink>
    </w:p>
    <w:p w14:paraId="14CCCC99" w14:textId="77777777" w:rsidR="00AC2AB9" w:rsidRDefault="00AC2AB9" w:rsidP="00C41722">
      <w:pPr>
        <w:keepLines/>
        <w:autoSpaceDE w:val="0"/>
        <w:autoSpaceDN w:val="0"/>
        <w:adjustRightInd w:val="0"/>
        <w:rPr>
          <w:rFonts w:ascii="Garamond" w:hAnsi="Garamond"/>
          <w:lang w:val="en-AU"/>
        </w:rPr>
      </w:pPr>
    </w:p>
    <w:p w14:paraId="77D22233" w14:textId="3723F221" w:rsidR="008F3167" w:rsidRDefault="008F3167" w:rsidP="00635832">
      <w:pPr>
        <w:keepNext/>
        <w:keepLines/>
        <w:autoSpaceDE w:val="0"/>
        <w:autoSpaceDN w:val="0"/>
        <w:adjustRightInd w:val="0"/>
        <w:rPr>
          <w:rFonts w:ascii="Garamond" w:hAnsi="Garamond"/>
          <w:i/>
          <w:iCs/>
          <w:lang w:val="en-AU"/>
        </w:rPr>
      </w:pPr>
      <w:r w:rsidRPr="008F3167">
        <w:rPr>
          <w:rFonts w:ascii="Garamond" w:hAnsi="Garamond"/>
          <w:i/>
          <w:iCs/>
          <w:lang w:val="en-AU"/>
        </w:rPr>
        <w:t>Australian Journal of Primary Health</w:t>
      </w:r>
    </w:p>
    <w:p w14:paraId="7C2C0330" w14:textId="790CB154" w:rsidR="009932E9" w:rsidRPr="006E6650" w:rsidRDefault="00635832" w:rsidP="009932E9">
      <w:pPr>
        <w:keepNext/>
        <w:keepLines/>
        <w:autoSpaceDE w:val="0"/>
        <w:autoSpaceDN w:val="0"/>
        <w:adjustRightInd w:val="0"/>
        <w:rPr>
          <w:rFonts w:ascii="Garamond" w:hAnsi="Garamond"/>
          <w:lang w:val="en-AU"/>
        </w:rPr>
      </w:pPr>
      <w:r w:rsidRPr="00635832">
        <w:rPr>
          <w:rFonts w:ascii="Garamond" w:hAnsi="Garamond"/>
          <w:lang w:val="en-AU"/>
        </w:rPr>
        <w:t>Vol</w:t>
      </w:r>
      <w:r>
        <w:rPr>
          <w:rFonts w:ascii="Garamond" w:hAnsi="Garamond"/>
          <w:lang w:val="en-AU"/>
        </w:rPr>
        <w:t>ume</w:t>
      </w:r>
      <w:r w:rsidRPr="00635832">
        <w:rPr>
          <w:rFonts w:ascii="Garamond" w:hAnsi="Garamond"/>
          <w:lang w:val="en-AU"/>
        </w:rPr>
        <w:t xml:space="preserve"> </w:t>
      </w:r>
      <w:r w:rsidR="008F3167">
        <w:rPr>
          <w:rFonts w:ascii="Garamond" w:hAnsi="Garamond"/>
          <w:lang w:val="en-AU"/>
        </w:rPr>
        <w:t>29</w:t>
      </w:r>
      <w:r w:rsidRPr="00635832">
        <w:rPr>
          <w:rFonts w:ascii="Garamond" w:hAnsi="Garamond"/>
          <w:lang w:val="en-AU"/>
        </w:rPr>
        <w:t>, N</w:t>
      </w:r>
      <w:r>
        <w:rPr>
          <w:rFonts w:ascii="Garamond" w:hAnsi="Garamond"/>
          <w:lang w:val="en-AU"/>
        </w:rPr>
        <w:t>umber</w:t>
      </w:r>
      <w:r w:rsidRPr="00635832">
        <w:rPr>
          <w:rFonts w:ascii="Garamond" w:hAnsi="Garamond"/>
          <w:lang w:val="en-AU"/>
        </w:rPr>
        <w:t xml:space="preserve"> </w:t>
      </w:r>
      <w:r w:rsidR="000D753D">
        <w:rPr>
          <w:rFonts w:ascii="Garamond" w:hAnsi="Garamond"/>
          <w:lang w:val="en-AU"/>
        </w:rPr>
        <w:t>3</w:t>
      </w:r>
      <w:r w:rsidRPr="00635832">
        <w:rPr>
          <w:rFonts w:ascii="Garamond" w:hAnsi="Garamond"/>
          <w:lang w:val="en-AU"/>
        </w:rPr>
        <w:t>, July 2023</w:t>
      </w:r>
    </w:p>
    <w:tbl>
      <w:tblPr>
        <w:tblStyle w:val="TableGrid"/>
        <w:tblW w:w="9360" w:type="dxa"/>
        <w:tblInd w:w="288" w:type="dxa"/>
        <w:tblLayout w:type="fixed"/>
        <w:tblLook w:val="01E0" w:firstRow="1" w:lastRow="1" w:firstColumn="1" w:lastColumn="1" w:noHBand="0" w:noVBand="0"/>
      </w:tblPr>
      <w:tblGrid>
        <w:gridCol w:w="1080"/>
        <w:gridCol w:w="8280"/>
      </w:tblGrid>
      <w:tr w:rsidR="009932E9" w:rsidRPr="00E37911" w14:paraId="28910EE7" w14:textId="77777777" w:rsidTr="00620DBA">
        <w:tc>
          <w:tcPr>
            <w:tcW w:w="1080" w:type="dxa"/>
            <w:tcBorders>
              <w:top w:val="single" w:sz="4" w:space="0" w:color="auto"/>
              <w:left w:val="single" w:sz="4" w:space="0" w:color="auto"/>
              <w:bottom w:val="single" w:sz="4" w:space="0" w:color="auto"/>
              <w:right w:val="single" w:sz="4" w:space="0" w:color="auto"/>
            </w:tcBorders>
            <w:vAlign w:val="center"/>
          </w:tcPr>
          <w:p w14:paraId="3F8340EC" w14:textId="77777777" w:rsidR="009932E9" w:rsidRPr="00E37911" w:rsidRDefault="009932E9" w:rsidP="00620DBA">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95E7A92" w14:textId="23FC25DF" w:rsidR="000F1FC5" w:rsidRPr="00E37911" w:rsidRDefault="002645F8" w:rsidP="00620DBA">
            <w:pPr>
              <w:rPr>
                <w:rStyle w:val="Hyperlink"/>
                <w:rFonts w:ascii="Garamond" w:hAnsi="Garamond"/>
                <w:color w:val="auto"/>
                <w:u w:val="none"/>
                <w:lang w:val="en-AU"/>
              </w:rPr>
            </w:pPr>
            <w:hyperlink r:id="rId27" w:history="1">
              <w:r w:rsidR="000D753D" w:rsidRPr="00C50FDC">
                <w:rPr>
                  <w:rStyle w:val="Hyperlink"/>
                  <w:rFonts w:ascii="Garamond" w:hAnsi="Garamond"/>
                  <w:lang w:val="en-AU"/>
                </w:rPr>
                <w:t>https://www.publish.csiro.au/py/issue/11378</w:t>
              </w:r>
            </w:hyperlink>
          </w:p>
        </w:tc>
      </w:tr>
      <w:tr w:rsidR="009932E9" w:rsidRPr="00E37911" w14:paraId="72851059" w14:textId="77777777" w:rsidTr="00620DBA">
        <w:tc>
          <w:tcPr>
            <w:tcW w:w="1080" w:type="dxa"/>
            <w:tcBorders>
              <w:top w:val="single" w:sz="4" w:space="0" w:color="auto"/>
              <w:left w:val="single" w:sz="4" w:space="0" w:color="auto"/>
              <w:bottom w:val="single" w:sz="4" w:space="0" w:color="auto"/>
              <w:right w:val="single" w:sz="4" w:space="0" w:color="auto"/>
            </w:tcBorders>
            <w:vAlign w:val="center"/>
          </w:tcPr>
          <w:p w14:paraId="5FF581EB" w14:textId="77777777" w:rsidR="009932E9" w:rsidRPr="00E37911" w:rsidRDefault="009932E9" w:rsidP="00620DBA">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885F194" w14:textId="228AB87B" w:rsidR="009932E9" w:rsidRPr="007C3778" w:rsidRDefault="009932E9" w:rsidP="000D753D">
            <w:pPr>
              <w:keepNext/>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00635832">
              <w:rPr>
                <w:rFonts w:ascii="Garamond" w:hAnsi="Garamond"/>
                <w:lang w:val="en-AU"/>
              </w:rPr>
              <w:t xml:space="preserve">the </w:t>
            </w:r>
            <w:r w:rsidR="000D753D" w:rsidRPr="008F3167">
              <w:rPr>
                <w:rFonts w:ascii="Garamond" w:hAnsi="Garamond"/>
                <w:i/>
                <w:iCs/>
                <w:lang w:val="en-AU"/>
              </w:rPr>
              <w:t>Australian Journal of Primary Health</w:t>
            </w:r>
            <w:r w:rsidR="000D753D" w:rsidRPr="00635832">
              <w:rPr>
                <w:rFonts w:ascii="Garamond" w:hAnsi="Garamond"/>
                <w:i/>
                <w:iCs/>
                <w:lang w:val="en-AU"/>
              </w:rPr>
              <w:t xml:space="preserve"> </w:t>
            </w:r>
            <w:r w:rsidRPr="00B440ED">
              <w:rPr>
                <w:rFonts w:ascii="Garamond" w:hAnsi="Garamond"/>
                <w:lang w:val="en-AU"/>
              </w:rPr>
              <w:t xml:space="preserve">has been published. </w:t>
            </w:r>
            <w:r w:rsidR="000D753D">
              <w:rPr>
                <w:rFonts w:ascii="Garamond" w:hAnsi="Garamond"/>
                <w:lang w:val="en-AU"/>
              </w:rPr>
              <w:t>This is a s</w:t>
            </w:r>
            <w:r w:rsidR="000D753D" w:rsidRPr="000D753D">
              <w:rPr>
                <w:rFonts w:ascii="Garamond" w:hAnsi="Garamond"/>
                <w:lang w:val="en-AU"/>
              </w:rPr>
              <w:t xml:space="preserve">pecial </w:t>
            </w:r>
            <w:r w:rsidR="000D753D">
              <w:rPr>
                <w:rFonts w:ascii="Garamond" w:hAnsi="Garamond"/>
                <w:lang w:val="en-AU"/>
              </w:rPr>
              <w:t>i</w:t>
            </w:r>
            <w:r w:rsidR="000D753D" w:rsidRPr="000D753D">
              <w:rPr>
                <w:rFonts w:ascii="Garamond" w:hAnsi="Garamond"/>
                <w:lang w:val="en-AU"/>
              </w:rPr>
              <w:t>ssue</w:t>
            </w:r>
            <w:r w:rsidR="000D753D">
              <w:rPr>
                <w:rFonts w:ascii="Garamond" w:hAnsi="Garamond"/>
                <w:lang w:val="en-AU"/>
              </w:rPr>
              <w:t xml:space="preserve"> with a theme of ‘</w:t>
            </w:r>
            <w:r w:rsidR="000D753D" w:rsidRPr="000D753D">
              <w:rPr>
                <w:rFonts w:ascii="Garamond" w:hAnsi="Garamond"/>
                <w:lang w:val="en-AU"/>
              </w:rPr>
              <w:t>Optimising Women’s Sexual and Reproductive Health in Australia: The Role of Primary Health Care</w:t>
            </w:r>
            <w:r w:rsidR="000D753D">
              <w:rPr>
                <w:rFonts w:ascii="Garamond" w:hAnsi="Garamond"/>
                <w:lang w:val="en-AU"/>
              </w:rPr>
              <w:t>’.</w:t>
            </w:r>
            <w:r w:rsidR="000D753D" w:rsidRPr="000D753D">
              <w:rPr>
                <w:rFonts w:ascii="Garamond" w:hAnsi="Garamond"/>
                <w:lang w:val="en-AU"/>
              </w:rPr>
              <w:t xml:space="preserve"> </w:t>
            </w:r>
            <w:r w:rsidR="00C80751">
              <w:rPr>
                <w:rFonts w:ascii="Garamond" w:hAnsi="Garamond"/>
                <w:lang w:val="en-AU"/>
              </w:rPr>
              <w:t xml:space="preserve">Content in this issue </w:t>
            </w:r>
            <w:r w:rsidR="00635832">
              <w:rPr>
                <w:rFonts w:ascii="Garamond" w:hAnsi="Garamond"/>
                <w:lang w:val="en-AU"/>
              </w:rPr>
              <w:t xml:space="preserve">of the </w:t>
            </w:r>
            <w:r w:rsidR="000D753D" w:rsidRPr="008F3167">
              <w:rPr>
                <w:rFonts w:ascii="Garamond" w:hAnsi="Garamond"/>
                <w:i/>
                <w:iCs/>
                <w:lang w:val="en-AU"/>
              </w:rPr>
              <w:t>Australian Journal of Primary Health</w:t>
            </w:r>
            <w:r w:rsidR="000D753D">
              <w:rPr>
                <w:rFonts w:ascii="Garamond" w:hAnsi="Garamond"/>
                <w:lang w:val="en-AU"/>
              </w:rPr>
              <w:t xml:space="preserve"> </w:t>
            </w:r>
            <w:r w:rsidR="00C80751">
              <w:rPr>
                <w:rFonts w:ascii="Garamond" w:hAnsi="Garamond"/>
                <w:lang w:val="en-AU"/>
              </w:rPr>
              <w:t>includes:</w:t>
            </w:r>
          </w:p>
          <w:p w14:paraId="708B1A5D" w14:textId="34CDE69A" w:rsidR="000D753D" w:rsidRPr="000D753D" w:rsidRDefault="000D753D" w:rsidP="00850E95">
            <w:pPr>
              <w:pStyle w:val="ListParagraph"/>
              <w:numPr>
                <w:ilvl w:val="0"/>
                <w:numId w:val="19"/>
              </w:numPr>
              <w:rPr>
                <w:rFonts w:ascii="Garamond" w:hAnsi="Garamond"/>
                <w:lang w:val="en-AU"/>
              </w:rPr>
            </w:pPr>
            <w:r w:rsidRPr="000D753D">
              <w:rPr>
                <w:rFonts w:ascii="Garamond" w:hAnsi="Garamond"/>
                <w:lang w:val="en-AU"/>
              </w:rPr>
              <w:t xml:space="preserve">The role of </w:t>
            </w:r>
            <w:r w:rsidRPr="000D753D">
              <w:rPr>
                <w:rFonts w:ascii="Garamond" w:hAnsi="Garamond"/>
                <w:b/>
                <w:bCs/>
                <w:lang w:val="en-AU"/>
              </w:rPr>
              <w:t>primary care in optimising women’s sexual and reproductive health</w:t>
            </w:r>
            <w:r w:rsidRPr="000D753D">
              <w:rPr>
                <w:rFonts w:ascii="Garamond" w:hAnsi="Garamond"/>
                <w:lang w:val="en-AU"/>
              </w:rPr>
              <w:t xml:space="preserve"> (Danielle Mazza and Jessica R. Botfield</w:t>
            </w:r>
            <w:r>
              <w:rPr>
                <w:rFonts w:ascii="Garamond" w:hAnsi="Garamond"/>
                <w:lang w:val="en-AU"/>
              </w:rPr>
              <w:t>)</w:t>
            </w:r>
          </w:p>
          <w:p w14:paraId="081F29A3" w14:textId="5A929BC2" w:rsidR="000D753D" w:rsidRPr="00B54B0B" w:rsidRDefault="000D753D" w:rsidP="0062629D">
            <w:pPr>
              <w:pStyle w:val="ListParagraph"/>
              <w:numPr>
                <w:ilvl w:val="0"/>
                <w:numId w:val="19"/>
              </w:numPr>
              <w:rPr>
                <w:rFonts w:ascii="Garamond" w:hAnsi="Garamond"/>
                <w:lang w:val="en-AU"/>
              </w:rPr>
            </w:pPr>
            <w:r w:rsidRPr="00B54B0B">
              <w:rPr>
                <w:rFonts w:ascii="Garamond" w:hAnsi="Garamond"/>
                <w:lang w:val="en-AU"/>
              </w:rPr>
              <w:t xml:space="preserve">Scoping review into </w:t>
            </w:r>
            <w:r w:rsidRPr="00B54B0B">
              <w:rPr>
                <w:rFonts w:ascii="Garamond" w:hAnsi="Garamond"/>
                <w:b/>
                <w:bCs/>
                <w:lang w:val="en-AU"/>
              </w:rPr>
              <w:t>models of interconception care</w:t>
            </w:r>
            <w:r w:rsidRPr="00B54B0B">
              <w:rPr>
                <w:rFonts w:ascii="Garamond" w:hAnsi="Garamond"/>
                <w:lang w:val="en-AU"/>
              </w:rPr>
              <w:t xml:space="preserve"> delivered at well-child visits for the Australian context</w:t>
            </w:r>
            <w:r w:rsidR="00B54B0B" w:rsidRPr="00B54B0B">
              <w:rPr>
                <w:rFonts w:ascii="Garamond" w:hAnsi="Garamond"/>
                <w:lang w:val="en-AU"/>
              </w:rPr>
              <w:t xml:space="preserve"> (</w:t>
            </w:r>
            <w:r w:rsidRPr="00B54B0B">
              <w:rPr>
                <w:rFonts w:ascii="Garamond" w:hAnsi="Garamond"/>
                <w:lang w:val="en-AU"/>
              </w:rPr>
              <w:t>Morgan Thomas, Kate Cheney and K I Black</w:t>
            </w:r>
            <w:r w:rsidR="00B54B0B">
              <w:rPr>
                <w:rFonts w:ascii="Garamond" w:hAnsi="Garamond"/>
                <w:lang w:val="en-AU"/>
              </w:rPr>
              <w:t>)</w:t>
            </w:r>
          </w:p>
          <w:p w14:paraId="368AD690" w14:textId="6E6C164C" w:rsidR="000D753D" w:rsidRPr="00B54B0B" w:rsidRDefault="000D753D" w:rsidP="00135CDC">
            <w:pPr>
              <w:pStyle w:val="ListParagraph"/>
              <w:numPr>
                <w:ilvl w:val="0"/>
                <w:numId w:val="19"/>
              </w:numPr>
              <w:rPr>
                <w:rFonts w:ascii="Garamond" w:hAnsi="Garamond"/>
                <w:lang w:val="en-AU"/>
              </w:rPr>
            </w:pPr>
            <w:r w:rsidRPr="00B54B0B">
              <w:rPr>
                <w:rFonts w:ascii="Garamond" w:hAnsi="Garamond"/>
                <w:lang w:val="en-AU"/>
              </w:rPr>
              <w:t xml:space="preserve">Are we overlooking the obvious? Addressing social determinants of health that contribute to </w:t>
            </w:r>
            <w:r w:rsidRPr="00B54B0B">
              <w:rPr>
                <w:rFonts w:ascii="Garamond" w:hAnsi="Garamond"/>
                <w:b/>
                <w:bCs/>
                <w:lang w:val="en-AU"/>
              </w:rPr>
              <w:t>perinatal depression</w:t>
            </w:r>
            <w:r w:rsidR="00B54B0B" w:rsidRPr="00B54B0B">
              <w:rPr>
                <w:rFonts w:ascii="Garamond" w:hAnsi="Garamond"/>
                <w:lang w:val="en-AU"/>
              </w:rPr>
              <w:t xml:space="preserve"> (</w:t>
            </w:r>
            <w:r w:rsidRPr="00B54B0B">
              <w:rPr>
                <w:rFonts w:ascii="Garamond" w:hAnsi="Garamond"/>
                <w:lang w:val="en-AU"/>
              </w:rPr>
              <w:t>Meital Simhi and Aviva Yoselis</w:t>
            </w:r>
            <w:r w:rsidR="00B54B0B">
              <w:rPr>
                <w:rFonts w:ascii="Garamond" w:hAnsi="Garamond"/>
                <w:lang w:val="en-AU"/>
              </w:rPr>
              <w:t>)</w:t>
            </w:r>
          </w:p>
          <w:p w14:paraId="06E214F3" w14:textId="454C19DC" w:rsidR="000D753D" w:rsidRPr="00B54B0B" w:rsidRDefault="000D753D" w:rsidP="001F6054">
            <w:pPr>
              <w:pStyle w:val="ListParagraph"/>
              <w:numPr>
                <w:ilvl w:val="0"/>
                <w:numId w:val="19"/>
              </w:numPr>
              <w:rPr>
                <w:rFonts w:ascii="Garamond" w:hAnsi="Garamond"/>
                <w:lang w:val="en-AU"/>
              </w:rPr>
            </w:pPr>
            <w:r w:rsidRPr="00B54B0B">
              <w:rPr>
                <w:rFonts w:ascii="Garamond" w:hAnsi="Garamond"/>
                <w:lang w:val="en-AU"/>
              </w:rPr>
              <w:t xml:space="preserve">Improving the </w:t>
            </w:r>
            <w:r w:rsidRPr="00B54B0B">
              <w:rPr>
                <w:rFonts w:ascii="Garamond" w:hAnsi="Garamond"/>
                <w:b/>
                <w:bCs/>
                <w:lang w:val="en-AU"/>
              </w:rPr>
              <w:t>provision of preconception care in Australian general practice</w:t>
            </w:r>
            <w:r w:rsidRPr="00B54B0B">
              <w:rPr>
                <w:rFonts w:ascii="Garamond" w:hAnsi="Garamond"/>
                <w:lang w:val="en-AU"/>
              </w:rPr>
              <w:t xml:space="preserve"> through task-sharing with practice nurses</w:t>
            </w:r>
            <w:r w:rsidR="00B54B0B" w:rsidRPr="00B54B0B">
              <w:rPr>
                <w:rFonts w:ascii="Garamond" w:hAnsi="Garamond"/>
                <w:lang w:val="en-AU"/>
              </w:rPr>
              <w:t xml:space="preserve"> (</w:t>
            </w:r>
            <w:r w:rsidRPr="00B54B0B">
              <w:rPr>
                <w:rFonts w:ascii="Garamond" w:hAnsi="Garamond"/>
                <w:lang w:val="en-AU"/>
              </w:rPr>
              <w:t>Nishadi N Withanage, Jessica R Botfield, Kirsten I Black and Danielle Mazza</w:t>
            </w:r>
            <w:r w:rsidR="00B54B0B">
              <w:rPr>
                <w:rFonts w:ascii="Garamond" w:hAnsi="Garamond"/>
                <w:lang w:val="en-AU"/>
              </w:rPr>
              <w:t>)</w:t>
            </w:r>
          </w:p>
          <w:p w14:paraId="3A7E57FD" w14:textId="0DA88359" w:rsidR="000D753D" w:rsidRPr="00B54B0B" w:rsidRDefault="000D753D" w:rsidP="007906B8">
            <w:pPr>
              <w:pStyle w:val="ListParagraph"/>
              <w:numPr>
                <w:ilvl w:val="0"/>
                <w:numId w:val="19"/>
              </w:numPr>
              <w:rPr>
                <w:rFonts w:ascii="Garamond" w:hAnsi="Garamond"/>
                <w:lang w:val="en-AU"/>
              </w:rPr>
            </w:pPr>
            <w:r w:rsidRPr="00B54B0B">
              <w:rPr>
                <w:rFonts w:ascii="Garamond" w:hAnsi="Garamond"/>
                <w:lang w:val="en-AU"/>
              </w:rPr>
              <w:t xml:space="preserve">Pathways to </w:t>
            </w:r>
            <w:r w:rsidRPr="00B54B0B">
              <w:rPr>
                <w:rFonts w:ascii="Garamond" w:hAnsi="Garamond"/>
                <w:b/>
                <w:bCs/>
                <w:lang w:val="en-AU"/>
              </w:rPr>
              <w:t>IUD and implant insertion in general practice</w:t>
            </w:r>
            <w:r w:rsidRPr="00B54B0B">
              <w:rPr>
                <w:rFonts w:ascii="Garamond" w:hAnsi="Garamond"/>
                <w:lang w:val="en-AU"/>
              </w:rPr>
              <w:t>: a secondary analysis of the ACCORd study</w:t>
            </w:r>
            <w:r w:rsidR="00B54B0B" w:rsidRPr="00B54B0B">
              <w:rPr>
                <w:rFonts w:ascii="Garamond" w:hAnsi="Garamond"/>
                <w:lang w:val="en-AU"/>
              </w:rPr>
              <w:t xml:space="preserve"> (</w:t>
            </w:r>
            <w:r w:rsidRPr="00B54B0B">
              <w:rPr>
                <w:rFonts w:ascii="Garamond" w:hAnsi="Garamond"/>
                <w:lang w:val="en-AU"/>
              </w:rPr>
              <w:t>Danielle Mazza, Cathy J Watson, Angela Taft, Jayne Lucke, Kevin McGeechan, Marion Haas, Kathleen McNamee, Jeffrey F Peipert and Kirsten I Black</w:t>
            </w:r>
            <w:r w:rsidR="00B54B0B">
              <w:rPr>
                <w:rFonts w:ascii="Garamond" w:hAnsi="Garamond"/>
                <w:lang w:val="en-AU"/>
              </w:rPr>
              <w:t>)</w:t>
            </w:r>
          </w:p>
          <w:p w14:paraId="4B697998" w14:textId="7FE3A089" w:rsidR="000D753D" w:rsidRPr="00F91DC0" w:rsidRDefault="000D753D" w:rsidP="00980006">
            <w:pPr>
              <w:pStyle w:val="ListParagraph"/>
              <w:numPr>
                <w:ilvl w:val="0"/>
                <w:numId w:val="19"/>
              </w:numPr>
              <w:rPr>
                <w:rFonts w:ascii="Garamond" w:hAnsi="Garamond"/>
                <w:lang w:val="en-AU"/>
              </w:rPr>
            </w:pPr>
            <w:r w:rsidRPr="00F91DC0">
              <w:rPr>
                <w:rFonts w:ascii="Garamond" w:hAnsi="Garamond"/>
                <w:lang w:val="en-AU"/>
              </w:rPr>
              <w:t xml:space="preserve">Women’s experiences of, and preferences for, </w:t>
            </w:r>
            <w:r w:rsidRPr="00F91DC0">
              <w:rPr>
                <w:rFonts w:ascii="Garamond" w:hAnsi="Garamond"/>
                <w:b/>
                <w:bCs/>
                <w:lang w:val="en-AU"/>
              </w:rPr>
              <w:t>postpartum contraception counselling</w:t>
            </w:r>
            <w:r w:rsidR="00F91DC0" w:rsidRPr="00F91DC0">
              <w:rPr>
                <w:rFonts w:ascii="Garamond" w:hAnsi="Garamond"/>
                <w:lang w:val="en-AU"/>
              </w:rPr>
              <w:t xml:space="preserve"> (</w:t>
            </w:r>
            <w:r w:rsidRPr="00F91DC0">
              <w:rPr>
                <w:rFonts w:ascii="Garamond" w:hAnsi="Garamond"/>
                <w:lang w:val="en-AU"/>
              </w:rPr>
              <w:t>Ching Kay Li, Jessica Botfield, Natalie Amos and D Mazza</w:t>
            </w:r>
            <w:r w:rsidR="00F91DC0">
              <w:rPr>
                <w:rFonts w:ascii="Garamond" w:hAnsi="Garamond"/>
                <w:lang w:val="en-AU"/>
              </w:rPr>
              <w:t>)</w:t>
            </w:r>
          </w:p>
          <w:p w14:paraId="1AD77B40" w14:textId="07CA7A81" w:rsidR="000D753D" w:rsidRPr="00F91DC0" w:rsidRDefault="000D753D" w:rsidP="00AD671B">
            <w:pPr>
              <w:pStyle w:val="ListParagraph"/>
              <w:numPr>
                <w:ilvl w:val="0"/>
                <w:numId w:val="19"/>
              </w:numPr>
              <w:rPr>
                <w:rFonts w:ascii="Garamond" w:hAnsi="Garamond"/>
                <w:lang w:val="en-AU"/>
              </w:rPr>
            </w:pPr>
            <w:r w:rsidRPr="00F91DC0">
              <w:rPr>
                <w:rFonts w:ascii="Garamond" w:hAnsi="Garamond"/>
                <w:lang w:val="en-AU"/>
              </w:rPr>
              <w:t xml:space="preserve">Women’s perspectives of </w:t>
            </w:r>
            <w:r w:rsidRPr="00F91DC0">
              <w:rPr>
                <w:rFonts w:ascii="Garamond" w:hAnsi="Garamond"/>
                <w:b/>
                <w:bCs/>
                <w:lang w:val="en-AU"/>
              </w:rPr>
              <w:t>direct pharmacy access to oral contraception</w:t>
            </w:r>
            <w:r w:rsidR="00F91DC0" w:rsidRPr="00F91DC0">
              <w:rPr>
                <w:rFonts w:ascii="Garamond" w:hAnsi="Garamond"/>
                <w:lang w:val="en-AU"/>
              </w:rPr>
              <w:t xml:space="preserve"> (</w:t>
            </w:r>
            <w:r w:rsidRPr="00F91DC0">
              <w:rPr>
                <w:rFonts w:ascii="Garamond" w:hAnsi="Garamond"/>
                <w:lang w:val="en-AU"/>
              </w:rPr>
              <w:t>Tara Dev, Pip Buckingham and Danielle Mazza</w:t>
            </w:r>
            <w:r w:rsidR="00F91DC0">
              <w:rPr>
                <w:rFonts w:ascii="Garamond" w:hAnsi="Garamond"/>
                <w:lang w:val="en-AU"/>
              </w:rPr>
              <w:t>)</w:t>
            </w:r>
          </w:p>
          <w:p w14:paraId="364B349D" w14:textId="5A91FF2C" w:rsidR="000D753D" w:rsidRPr="00F91DC0" w:rsidRDefault="000C6125" w:rsidP="003C51EE">
            <w:pPr>
              <w:pStyle w:val="ListParagraph"/>
              <w:numPr>
                <w:ilvl w:val="0"/>
                <w:numId w:val="19"/>
              </w:numPr>
              <w:rPr>
                <w:rFonts w:ascii="Garamond" w:hAnsi="Garamond"/>
                <w:lang w:val="en-AU"/>
              </w:rPr>
            </w:pPr>
            <w:r>
              <w:rPr>
                <w:rFonts w:ascii="Garamond" w:hAnsi="Garamond"/>
                <w:lang w:val="en-AU"/>
              </w:rPr>
              <w:t>W</w:t>
            </w:r>
            <w:r w:rsidR="000D753D" w:rsidRPr="00F91DC0">
              <w:rPr>
                <w:rFonts w:ascii="Garamond" w:hAnsi="Garamond"/>
                <w:lang w:val="en-AU"/>
              </w:rPr>
              <w:t xml:space="preserve">hat women want from local </w:t>
            </w:r>
            <w:r w:rsidR="000D753D" w:rsidRPr="00F91DC0">
              <w:rPr>
                <w:rFonts w:ascii="Garamond" w:hAnsi="Garamond"/>
                <w:b/>
                <w:bCs/>
                <w:lang w:val="en-AU"/>
              </w:rPr>
              <w:t>primary care services for unintended pregnancy</w:t>
            </w:r>
            <w:r w:rsidR="000D753D" w:rsidRPr="00F91DC0">
              <w:rPr>
                <w:rFonts w:ascii="Garamond" w:hAnsi="Garamond"/>
                <w:lang w:val="en-AU"/>
              </w:rPr>
              <w:t xml:space="preserve"> in rural Australia: a qualitative study from rural New South Wales</w:t>
            </w:r>
            <w:r w:rsidR="00F91DC0" w:rsidRPr="00F91DC0">
              <w:rPr>
                <w:rFonts w:ascii="Garamond" w:hAnsi="Garamond"/>
                <w:lang w:val="en-AU"/>
              </w:rPr>
              <w:t xml:space="preserve"> (</w:t>
            </w:r>
            <w:r w:rsidR="000D753D" w:rsidRPr="00F91DC0">
              <w:rPr>
                <w:rFonts w:ascii="Garamond" w:hAnsi="Garamond"/>
                <w:lang w:val="en-AU"/>
              </w:rPr>
              <w:t>Anna Noonan, Kirsten I Black, Georgina M. Luscombe and Jane Tomnay</w:t>
            </w:r>
            <w:r w:rsidR="00F91DC0">
              <w:rPr>
                <w:rFonts w:ascii="Garamond" w:hAnsi="Garamond"/>
                <w:lang w:val="en-AU"/>
              </w:rPr>
              <w:t>)</w:t>
            </w:r>
          </w:p>
          <w:p w14:paraId="3E736272" w14:textId="2AED6F42" w:rsidR="000D753D" w:rsidRPr="00F91DC0" w:rsidRDefault="000D753D" w:rsidP="005C6BE6">
            <w:pPr>
              <w:pStyle w:val="ListParagraph"/>
              <w:numPr>
                <w:ilvl w:val="0"/>
                <w:numId w:val="19"/>
              </w:numPr>
              <w:rPr>
                <w:rFonts w:ascii="Garamond" w:hAnsi="Garamond"/>
                <w:lang w:val="en-AU"/>
              </w:rPr>
            </w:pPr>
            <w:r w:rsidRPr="00F91DC0">
              <w:rPr>
                <w:rFonts w:ascii="Garamond" w:hAnsi="Garamond"/>
                <w:lang w:val="en-AU"/>
              </w:rPr>
              <w:t xml:space="preserve">How can we encourage the provision of </w:t>
            </w:r>
            <w:r w:rsidRPr="00F91DC0">
              <w:rPr>
                <w:rFonts w:ascii="Garamond" w:hAnsi="Garamond"/>
                <w:b/>
                <w:bCs/>
                <w:lang w:val="en-AU"/>
              </w:rPr>
              <w:t>early medical abortion in primary care</w:t>
            </w:r>
            <w:r w:rsidRPr="00F91DC0">
              <w:rPr>
                <w:rFonts w:ascii="Garamond" w:hAnsi="Garamond"/>
                <w:lang w:val="en-AU"/>
              </w:rPr>
              <w:t>? Results of a best–worst scaling survey</w:t>
            </w:r>
            <w:r w:rsidR="00F91DC0" w:rsidRPr="00F91DC0">
              <w:rPr>
                <w:rFonts w:ascii="Garamond" w:hAnsi="Garamond"/>
                <w:lang w:val="en-AU"/>
              </w:rPr>
              <w:t xml:space="preserve"> (</w:t>
            </w:r>
            <w:r w:rsidRPr="00F91DC0">
              <w:rPr>
                <w:rFonts w:ascii="Garamond" w:hAnsi="Garamond"/>
                <w:lang w:val="en-AU"/>
              </w:rPr>
              <w:t>Marion Haas, Jody Church, Deborah J Street, Deborah Bateson and Danielle Mazza</w:t>
            </w:r>
            <w:r w:rsidR="00F91DC0">
              <w:rPr>
                <w:rFonts w:ascii="Garamond" w:hAnsi="Garamond"/>
                <w:lang w:val="en-AU"/>
              </w:rPr>
              <w:t>)</w:t>
            </w:r>
          </w:p>
          <w:p w14:paraId="608B96B2" w14:textId="7A5CB5DA" w:rsidR="000D753D" w:rsidRPr="00F91DC0" w:rsidRDefault="000D753D" w:rsidP="002766B5">
            <w:pPr>
              <w:pStyle w:val="ListParagraph"/>
              <w:numPr>
                <w:ilvl w:val="0"/>
                <w:numId w:val="19"/>
              </w:numPr>
              <w:rPr>
                <w:rFonts w:ascii="Garamond" w:hAnsi="Garamond"/>
                <w:lang w:val="en-AU"/>
              </w:rPr>
            </w:pPr>
            <w:r w:rsidRPr="00F91DC0">
              <w:rPr>
                <w:rFonts w:ascii="Garamond" w:hAnsi="Garamond"/>
                <w:lang w:val="en-AU"/>
              </w:rPr>
              <w:t xml:space="preserve">Utilising HealthPathways to understand the </w:t>
            </w:r>
            <w:r w:rsidRPr="00F91DC0">
              <w:rPr>
                <w:rFonts w:ascii="Garamond" w:hAnsi="Garamond"/>
                <w:b/>
                <w:bCs/>
                <w:lang w:val="en-AU"/>
              </w:rPr>
              <w:t>availability of public abortion</w:t>
            </w:r>
            <w:r w:rsidRPr="00F91DC0">
              <w:rPr>
                <w:rFonts w:ascii="Garamond" w:hAnsi="Garamond"/>
                <w:lang w:val="en-AU"/>
              </w:rPr>
              <w:t xml:space="preserve"> in Australia</w:t>
            </w:r>
            <w:r w:rsidR="00F91DC0" w:rsidRPr="00F91DC0">
              <w:rPr>
                <w:rFonts w:ascii="Garamond" w:hAnsi="Garamond"/>
                <w:lang w:val="en-AU"/>
              </w:rPr>
              <w:t xml:space="preserve"> (</w:t>
            </w:r>
            <w:r w:rsidRPr="00F91DC0">
              <w:rPr>
                <w:rFonts w:ascii="Garamond" w:hAnsi="Garamond"/>
                <w:lang w:val="en-AU"/>
              </w:rPr>
              <w:t>Sonia Srinivasan, Jessica R Botfield and Danielle Mazza</w:t>
            </w:r>
            <w:r w:rsidR="00F91DC0">
              <w:rPr>
                <w:rFonts w:ascii="Garamond" w:hAnsi="Garamond"/>
                <w:lang w:val="en-AU"/>
              </w:rPr>
              <w:t>)</w:t>
            </w:r>
          </w:p>
          <w:p w14:paraId="0F1495D4" w14:textId="29BE5B4C" w:rsidR="000D753D" w:rsidRPr="00F91DC0" w:rsidRDefault="000D753D" w:rsidP="004C55A0">
            <w:pPr>
              <w:pStyle w:val="ListParagraph"/>
              <w:numPr>
                <w:ilvl w:val="0"/>
                <w:numId w:val="19"/>
              </w:numPr>
              <w:rPr>
                <w:rFonts w:ascii="Garamond" w:hAnsi="Garamond"/>
                <w:lang w:val="en-AU"/>
              </w:rPr>
            </w:pPr>
            <w:r w:rsidRPr="00F91DC0">
              <w:rPr>
                <w:rFonts w:ascii="Garamond" w:hAnsi="Garamond"/>
                <w:b/>
                <w:bCs/>
                <w:lang w:val="en-AU"/>
              </w:rPr>
              <w:t>Acceptability and usability of ‘One Key Question’®</w:t>
            </w:r>
            <w:r w:rsidRPr="00F91DC0">
              <w:rPr>
                <w:rFonts w:ascii="Garamond" w:hAnsi="Garamond"/>
                <w:lang w:val="en-AU"/>
              </w:rPr>
              <w:t xml:space="preserve"> in Australian primary health care</w:t>
            </w:r>
            <w:r w:rsidR="00F91DC0" w:rsidRPr="00F91DC0">
              <w:rPr>
                <w:rFonts w:ascii="Garamond" w:hAnsi="Garamond"/>
                <w:lang w:val="en-AU"/>
              </w:rPr>
              <w:t xml:space="preserve"> (</w:t>
            </w:r>
            <w:r w:rsidRPr="00F91DC0">
              <w:rPr>
                <w:rFonts w:ascii="Garamond" w:hAnsi="Garamond"/>
                <w:lang w:val="en-AU"/>
              </w:rPr>
              <w:t>Jessica Fitch, Edwina Dorney, Marguerite Tracy and K I Black</w:t>
            </w:r>
            <w:r w:rsidR="00F91DC0">
              <w:rPr>
                <w:rFonts w:ascii="Garamond" w:hAnsi="Garamond"/>
                <w:lang w:val="en-AU"/>
              </w:rPr>
              <w:t>)</w:t>
            </w:r>
          </w:p>
          <w:p w14:paraId="74718560" w14:textId="2A276601" w:rsidR="000D753D" w:rsidRPr="00F91DC0" w:rsidRDefault="000D753D" w:rsidP="007E763A">
            <w:pPr>
              <w:pStyle w:val="ListParagraph"/>
              <w:numPr>
                <w:ilvl w:val="0"/>
                <w:numId w:val="19"/>
              </w:numPr>
              <w:rPr>
                <w:rFonts w:ascii="Garamond" w:hAnsi="Garamond"/>
                <w:lang w:val="en-AU"/>
              </w:rPr>
            </w:pPr>
            <w:r w:rsidRPr="00F91DC0">
              <w:rPr>
                <w:rFonts w:ascii="Garamond" w:hAnsi="Garamond"/>
                <w:lang w:val="en-AU"/>
              </w:rPr>
              <w:t xml:space="preserve">Mapping the delivery of interventions for </w:t>
            </w:r>
            <w:r w:rsidRPr="00F91DC0">
              <w:rPr>
                <w:rFonts w:ascii="Garamond" w:hAnsi="Garamond"/>
                <w:b/>
                <w:bCs/>
                <w:lang w:val="en-AU"/>
              </w:rPr>
              <w:t>vaccine-preventable infections in pregnancy</w:t>
            </w:r>
            <w:r w:rsidRPr="00F91DC0">
              <w:rPr>
                <w:rFonts w:ascii="Garamond" w:hAnsi="Garamond"/>
                <w:lang w:val="en-AU"/>
              </w:rPr>
              <w:t xml:space="preserve"> in Victoria, Australia</w:t>
            </w:r>
            <w:r w:rsidR="00F91DC0" w:rsidRPr="00F91DC0">
              <w:rPr>
                <w:rFonts w:ascii="Garamond" w:hAnsi="Garamond"/>
                <w:lang w:val="en-AU"/>
              </w:rPr>
              <w:t xml:space="preserve"> (</w:t>
            </w:r>
            <w:r w:rsidRPr="00F91DC0">
              <w:rPr>
                <w:rFonts w:ascii="Garamond" w:hAnsi="Garamond"/>
                <w:lang w:val="en-AU"/>
              </w:rPr>
              <w:t>Nafisa Yussf, Nicole Allard, Nicole Romero, Ann Wilson, Jack Wallace, Meg Perrier, Stacey Rowe, Rosemary Morey, Neylan Aykut and Benjamin Cowie</w:t>
            </w:r>
            <w:r w:rsidR="00F91DC0">
              <w:rPr>
                <w:rFonts w:ascii="Garamond" w:hAnsi="Garamond"/>
                <w:lang w:val="en-AU"/>
              </w:rPr>
              <w:t>)</w:t>
            </w:r>
          </w:p>
          <w:p w14:paraId="7591B977" w14:textId="708F91FD" w:rsidR="009932E9" w:rsidRPr="00546F5E" w:rsidRDefault="000D753D" w:rsidP="00F91DC0">
            <w:pPr>
              <w:pStyle w:val="ListParagraph"/>
              <w:numPr>
                <w:ilvl w:val="0"/>
                <w:numId w:val="19"/>
              </w:numPr>
              <w:rPr>
                <w:rFonts w:ascii="Garamond" w:hAnsi="Garamond"/>
                <w:lang w:val="en-AU"/>
              </w:rPr>
            </w:pPr>
            <w:r w:rsidRPr="000D753D">
              <w:rPr>
                <w:rFonts w:ascii="Garamond" w:hAnsi="Garamond"/>
                <w:lang w:val="en-AU"/>
              </w:rPr>
              <w:t xml:space="preserve">A qualitative exploration of obtaining </w:t>
            </w:r>
            <w:r w:rsidRPr="00F91DC0">
              <w:rPr>
                <w:rFonts w:ascii="Garamond" w:hAnsi="Garamond"/>
                <w:b/>
                <w:bCs/>
                <w:lang w:val="en-AU"/>
              </w:rPr>
              <w:t>informed consent in medical consultations with Burma-born women</w:t>
            </w:r>
            <w:r w:rsidR="00F91DC0">
              <w:rPr>
                <w:rFonts w:ascii="Garamond" w:hAnsi="Garamond"/>
                <w:lang w:val="en-AU"/>
              </w:rPr>
              <w:t xml:space="preserve"> (</w:t>
            </w:r>
            <w:r w:rsidRPr="000D753D">
              <w:rPr>
                <w:rFonts w:ascii="Garamond" w:hAnsi="Garamond"/>
                <w:lang w:val="en-AU"/>
              </w:rPr>
              <w:t>Anna Power, Amita Tuteja, Lester Mascarenhas and Meredith Temple-Smith</w:t>
            </w:r>
            <w:r w:rsidR="00F91DC0">
              <w:rPr>
                <w:rFonts w:ascii="Garamond" w:hAnsi="Garamond"/>
                <w:lang w:val="en-AU"/>
              </w:rPr>
              <w:t>)</w:t>
            </w:r>
          </w:p>
        </w:tc>
      </w:tr>
    </w:tbl>
    <w:p w14:paraId="75D12BED" w14:textId="1EE9AB4E" w:rsidR="009932E9" w:rsidRDefault="009932E9" w:rsidP="009932E9">
      <w:pPr>
        <w:keepLines/>
        <w:autoSpaceDE w:val="0"/>
        <w:autoSpaceDN w:val="0"/>
        <w:adjustRightInd w:val="0"/>
        <w:rPr>
          <w:rFonts w:ascii="Garamond" w:hAnsi="Garamond"/>
          <w:i/>
          <w:lang w:val="en-AU"/>
        </w:rPr>
      </w:pPr>
    </w:p>
    <w:p w14:paraId="08363036" w14:textId="217FC967" w:rsidR="007E7ADF" w:rsidRDefault="003E00BF" w:rsidP="007E7ADF">
      <w:pPr>
        <w:keepNext/>
        <w:keepLines/>
        <w:autoSpaceDE w:val="0"/>
        <w:autoSpaceDN w:val="0"/>
        <w:adjustRightInd w:val="0"/>
        <w:rPr>
          <w:rFonts w:ascii="Garamond" w:hAnsi="Garamond"/>
          <w:lang w:val="en-AU"/>
        </w:rPr>
      </w:pPr>
      <w:r>
        <w:rPr>
          <w:rFonts w:ascii="Garamond" w:hAnsi="Garamond"/>
          <w:i/>
          <w:iCs/>
          <w:lang w:val="en-AU"/>
        </w:rPr>
        <w:lastRenderedPageBreak/>
        <w:t>Nursing Leadership</w:t>
      </w:r>
    </w:p>
    <w:p w14:paraId="21E42C7C" w14:textId="7A505A4F" w:rsidR="007E7ADF" w:rsidRPr="006E6650" w:rsidRDefault="007E7ADF" w:rsidP="007E7ADF">
      <w:pPr>
        <w:keepNext/>
        <w:keepLines/>
        <w:autoSpaceDE w:val="0"/>
        <w:autoSpaceDN w:val="0"/>
        <w:adjustRightInd w:val="0"/>
        <w:rPr>
          <w:rFonts w:ascii="Garamond" w:hAnsi="Garamond"/>
          <w:lang w:val="en-AU"/>
        </w:rPr>
      </w:pPr>
      <w:r w:rsidRPr="0051468F">
        <w:rPr>
          <w:rFonts w:ascii="Garamond" w:hAnsi="Garamond"/>
          <w:lang w:val="en-AU"/>
        </w:rPr>
        <w:t>Vol</w:t>
      </w:r>
      <w:r>
        <w:rPr>
          <w:rFonts w:ascii="Garamond" w:hAnsi="Garamond"/>
          <w:lang w:val="en-AU"/>
        </w:rPr>
        <w:t>ume</w:t>
      </w:r>
      <w:r w:rsidRPr="0051468F">
        <w:rPr>
          <w:rFonts w:ascii="Garamond" w:hAnsi="Garamond"/>
          <w:lang w:val="en-AU"/>
        </w:rPr>
        <w:t xml:space="preserve"> </w:t>
      </w:r>
      <w:r w:rsidR="003E00BF">
        <w:rPr>
          <w:rFonts w:ascii="Garamond" w:hAnsi="Garamond"/>
          <w:lang w:val="en-AU"/>
        </w:rPr>
        <w:t>36</w:t>
      </w:r>
      <w:r w:rsidRPr="0051468F">
        <w:rPr>
          <w:rFonts w:ascii="Garamond" w:hAnsi="Garamond"/>
          <w:lang w:val="en-AU"/>
        </w:rPr>
        <w:t xml:space="preserve">, </w:t>
      </w:r>
      <w:r>
        <w:rPr>
          <w:rFonts w:ascii="Garamond" w:hAnsi="Garamond"/>
          <w:lang w:val="en-AU"/>
        </w:rPr>
        <w:t xml:space="preserve">Number </w:t>
      </w:r>
      <w:r w:rsidR="003E00BF">
        <w:rPr>
          <w:rFonts w:ascii="Garamond" w:hAnsi="Garamond"/>
          <w:lang w:val="en-AU"/>
        </w:rPr>
        <w:t>1</w:t>
      </w:r>
      <w:r w:rsidRPr="0051468F">
        <w:rPr>
          <w:rFonts w:ascii="Garamond" w:hAnsi="Garamond"/>
          <w:lang w:val="en-AU"/>
        </w:rPr>
        <w:t xml:space="preserve">, </w:t>
      </w:r>
      <w:r>
        <w:rPr>
          <w:rFonts w:ascii="Garamond" w:hAnsi="Garamond"/>
          <w:lang w:val="en-AU"/>
        </w:rPr>
        <w:t xml:space="preserve">April </w:t>
      </w:r>
      <w:r w:rsidRPr="0051468F">
        <w:rPr>
          <w:rFonts w:ascii="Garamond" w:hAnsi="Garamond"/>
          <w:lang w:val="en-AU"/>
        </w:rPr>
        <w:t>2023</w:t>
      </w:r>
    </w:p>
    <w:tbl>
      <w:tblPr>
        <w:tblStyle w:val="TableGrid"/>
        <w:tblW w:w="9360" w:type="dxa"/>
        <w:tblInd w:w="288" w:type="dxa"/>
        <w:tblLayout w:type="fixed"/>
        <w:tblLook w:val="01E0" w:firstRow="1" w:lastRow="1" w:firstColumn="1" w:lastColumn="1" w:noHBand="0" w:noVBand="0"/>
      </w:tblPr>
      <w:tblGrid>
        <w:gridCol w:w="1080"/>
        <w:gridCol w:w="8280"/>
      </w:tblGrid>
      <w:tr w:rsidR="007E7ADF" w:rsidRPr="00E37911" w14:paraId="1F740B88" w14:textId="77777777" w:rsidTr="00126E4F">
        <w:tc>
          <w:tcPr>
            <w:tcW w:w="1080" w:type="dxa"/>
            <w:tcBorders>
              <w:top w:val="single" w:sz="4" w:space="0" w:color="auto"/>
              <w:left w:val="single" w:sz="4" w:space="0" w:color="auto"/>
              <w:bottom w:val="single" w:sz="4" w:space="0" w:color="auto"/>
              <w:right w:val="single" w:sz="4" w:space="0" w:color="auto"/>
            </w:tcBorders>
            <w:vAlign w:val="center"/>
          </w:tcPr>
          <w:p w14:paraId="498B529C" w14:textId="77777777" w:rsidR="007E7ADF" w:rsidRPr="00E37911" w:rsidRDefault="007E7ADF" w:rsidP="00126E4F">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0ED020B" w14:textId="487BBACE" w:rsidR="007E7ADF" w:rsidRPr="00E37911" w:rsidRDefault="002645F8" w:rsidP="00126E4F">
            <w:pPr>
              <w:rPr>
                <w:rStyle w:val="Hyperlink"/>
                <w:rFonts w:ascii="Garamond" w:hAnsi="Garamond"/>
                <w:color w:val="auto"/>
                <w:u w:val="none"/>
                <w:lang w:val="en-AU"/>
              </w:rPr>
            </w:pPr>
            <w:hyperlink r:id="rId28" w:history="1">
              <w:r w:rsidR="003E00BF" w:rsidRPr="00415A54">
                <w:rPr>
                  <w:rStyle w:val="Hyperlink"/>
                  <w:rFonts w:ascii="Garamond" w:hAnsi="Garamond"/>
                  <w:lang w:val="en-AU"/>
                </w:rPr>
                <w:t>https://www.longwoods.com/publications/nursing-leadership/27121/1/vol.-36-no.-1-2023</w:t>
              </w:r>
            </w:hyperlink>
          </w:p>
        </w:tc>
      </w:tr>
      <w:tr w:rsidR="007E7ADF" w:rsidRPr="00E37911" w14:paraId="26702FD4" w14:textId="77777777" w:rsidTr="00126E4F">
        <w:tc>
          <w:tcPr>
            <w:tcW w:w="1080" w:type="dxa"/>
            <w:tcBorders>
              <w:top w:val="single" w:sz="4" w:space="0" w:color="auto"/>
              <w:left w:val="single" w:sz="4" w:space="0" w:color="auto"/>
              <w:bottom w:val="single" w:sz="4" w:space="0" w:color="auto"/>
              <w:right w:val="single" w:sz="4" w:space="0" w:color="auto"/>
            </w:tcBorders>
            <w:vAlign w:val="center"/>
          </w:tcPr>
          <w:p w14:paraId="41EB2857" w14:textId="77777777" w:rsidR="007E7ADF" w:rsidRPr="00E37911" w:rsidRDefault="007E7ADF" w:rsidP="00126E4F">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5775EF7" w14:textId="38874F90" w:rsidR="007E7ADF" w:rsidRPr="007C3778" w:rsidRDefault="007E7ADF" w:rsidP="00126E4F">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003E00BF">
              <w:rPr>
                <w:rFonts w:ascii="Garamond" w:hAnsi="Garamond"/>
                <w:i/>
                <w:iCs/>
                <w:lang w:val="en-AU"/>
              </w:rPr>
              <w:t>Nursing Leadership</w:t>
            </w:r>
            <w:r w:rsidR="003E00BF" w:rsidRPr="00B440ED">
              <w:rPr>
                <w:rFonts w:ascii="Garamond" w:hAnsi="Garamond"/>
                <w:lang w:val="en-AU"/>
              </w:rPr>
              <w:t xml:space="preserve"> </w:t>
            </w:r>
            <w:r w:rsidRPr="00B440ED">
              <w:rPr>
                <w:rFonts w:ascii="Garamond" w:hAnsi="Garamond"/>
                <w:lang w:val="en-AU"/>
              </w:rPr>
              <w:t>has been published</w:t>
            </w:r>
            <w:r w:rsidR="003E00BF">
              <w:rPr>
                <w:rFonts w:ascii="Garamond" w:hAnsi="Garamond"/>
                <w:lang w:val="en-AU"/>
              </w:rPr>
              <w:t xml:space="preserve"> with a ‘Focus on Nursing Retention’</w:t>
            </w:r>
            <w:r w:rsidRPr="00B440ED">
              <w:rPr>
                <w:rFonts w:ascii="Garamond" w:hAnsi="Garamond"/>
                <w:lang w:val="en-AU"/>
              </w:rPr>
              <w:t>. Articles in this issue of</w:t>
            </w:r>
            <w:r>
              <w:rPr>
                <w:rFonts w:ascii="Garamond" w:hAnsi="Garamond"/>
                <w:lang w:val="en-AU"/>
              </w:rPr>
              <w:t xml:space="preserve"> </w:t>
            </w:r>
            <w:r w:rsidR="003E00BF">
              <w:rPr>
                <w:rFonts w:ascii="Garamond" w:hAnsi="Garamond"/>
                <w:i/>
                <w:iCs/>
                <w:lang w:val="en-AU"/>
              </w:rPr>
              <w:t>Nursing Leadership</w:t>
            </w:r>
            <w:r w:rsidR="003E00BF" w:rsidRPr="00B440ED">
              <w:rPr>
                <w:rFonts w:ascii="Garamond" w:hAnsi="Garamond"/>
                <w:lang w:val="en-AU"/>
              </w:rPr>
              <w:t xml:space="preserve"> </w:t>
            </w:r>
            <w:r w:rsidRPr="00B440ED">
              <w:rPr>
                <w:rFonts w:ascii="Garamond" w:hAnsi="Garamond"/>
                <w:lang w:val="en-AU"/>
              </w:rPr>
              <w:t>include:</w:t>
            </w:r>
          </w:p>
          <w:p w14:paraId="222D554C" w14:textId="4764E9ED" w:rsidR="003E00BF" w:rsidRPr="003E00BF" w:rsidRDefault="007E7ADF" w:rsidP="00CC29B6">
            <w:pPr>
              <w:pStyle w:val="ListParagraph"/>
              <w:numPr>
                <w:ilvl w:val="0"/>
                <w:numId w:val="19"/>
              </w:numPr>
              <w:rPr>
                <w:rFonts w:ascii="Garamond" w:hAnsi="Garamond"/>
                <w:lang w:val="en-AU"/>
              </w:rPr>
            </w:pPr>
            <w:r w:rsidRPr="003E00BF">
              <w:rPr>
                <w:rFonts w:ascii="Garamond" w:hAnsi="Garamond"/>
                <w:lang w:val="en-AU"/>
              </w:rPr>
              <w:t xml:space="preserve">Editorial: </w:t>
            </w:r>
            <w:r w:rsidR="003E00BF" w:rsidRPr="003E00BF">
              <w:rPr>
                <w:rFonts w:ascii="Garamond" w:hAnsi="Garamond"/>
                <w:lang w:val="en-AU"/>
              </w:rPr>
              <w:t xml:space="preserve">Rising Up to Embrace </w:t>
            </w:r>
            <w:r w:rsidR="003E00BF" w:rsidRPr="003E00BF">
              <w:rPr>
                <w:rFonts w:ascii="Garamond" w:hAnsi="Garamond"/>
                <w:b/>
                <w:bCs/>
                <w:lang w:val="en-AU"/>
              </w:rPr>
              <w:t>Multi-Faceted and Dynamic Retention Challenges</w:t>
            </w:r>
            <w:r w:rsidR="003E00BF" w:rsidRPr="003E00BF">
              <w:rPr>
                <w:rFonts w:ascii="Garamond" w:hAnsi="Garamond"/>
                <w:lang w:val="en-AU"/>
              </w:rPr>
              <w:t xml:space="preserve"> (Ruth Martin-Misener</w:t>
            </w:r>
            <w:r w:rsidR="003E00BF">
              <w:rPr>
                <w:rFonts w:ascii="Garamond" w:hAnsi="Garamond"/>
                <w:lang w:val="en-AU"/>
              </w:rPr>
              <w:t>)</w:t>
            </w:r>
          </w:p>
          <w:p w14:paraId="29A35D3B" w14:textId="572055FF" w:rsidR="003E00BF" w:rsidRPr="003E00BF" w:rsidRDefault="003E00BF" w:rsidP="00A01E47">
            <w:pPr>
              <w:pStyle w:val="ListParagraph"/>
              <w:numPr>
                <w:ilvl w:val="0"/>
                <w:numId w:val="19"/>
              </w:numPr>
              <w:rPr>
                <w:rFonts w:ascii="Garamond" w:hAnsi="Garamond"/>
                <w:lang w:val="en-AU"/>
              </w:rPr>
            </w:pPr>
            <w:r w:rsidRPr="003E00BF">
              <w:rPr>
                <w:rFonts w:ascii="Garamond" w:hAnsi="Garamond"/>
                <w:lang w:val="en-AU"/>
              </w:rPr>
              <w:t xml:space="preserve">Increasing the </w:t>
            </w:r>
            <w:r w:rsidRPr="003E00BF">
              <w:rPr>
                <w:rFonts w:ascii="Garamond" w:hAnsi="Garamond"/>
                <w:b/>
                <w:bCs/>
                <w:lang w:val="en-AU"/>
              </w:rPr>
              <w:t>Visibility and Influence of Canadian Nurses</w:t>
            </w:r>
            <w:r w:rsidRPr="003E00BF">
              <w:rPr>
                <w:rFonts w:ascii="Garamond" w:hAnsi="Garamond"/>
                <w:lang w:val="en-AU"/>
              </w:rPr>
              <w:t xml:space="preserve"> within the United Nations System (Patrick Chiu</w:t>
            </w:r>
            <w:r>
              <w:rPr>
                <w:rFonts w:ascii="Garamond" w:hAnsi="Garamond"/>
                <w:lang w:val="en-AU"/>
              </w:rPr>
              <w:t>)</w:t>
            </w:r>
          </w:p>
          <w:p w14:paraId="37620A53" w14:textId="27117D9A" w:rsidR="003E00BF" w:rsidRPr="003E00BF" w:rsidRDefault="003E00BF" w:rsidP="00A24643">
            <w:pPr>
              <w:pStyle w:val="ListParagraph"/>
              <w:numPr>
                <w:ilvl w:val="0"/>
                <w:numId w:val="19"/>
              </w:numPr>
              <w:rPr>
                <w:rFonts w:ascii="Garamond" w:hAnsi="Garamond"/>
                <w:lang w:val="en-AU"/>
              </w:rPr>
            </w:pPr>
            <w:r w:rsidRPr="003E00BF">
              <w:rPr>
                <w:rFonts w:ascii="Garamond" w:hAnsi="Garamond"/>
                <w:b/>
                <w:bCs/>
                <w:lang w:val="en-AU"/>
              </w:rPr>
              <w:t>Retention of Canadian Advanced Practice Nurses</w:t>
            </w:r>
            <w:r w:rsidRPr="003E00BF">
              <w:rPr>
                <w:rFonts w:ascii="Garamond" w:hAnsi="Garamond"/>
                <w:lang w:val="en-AU"/>
              </w:rPr>
              <w:t>: What Will It Take? (Jennifer Splane, Samantha Horvath, Erin Ziegler, Isabelle Savard, Nancy Carter, Kelley Kilpatrick, Denise Bryant-Lukosius and Ruth Martin-Misener</w:t>
            </w:r>
            <w:r>
              <w:rPr>
                <w:rFonts w:ascii="Garamond" w:hAnsi="Garamond"/>
                <w:lang w:val="en-AU"/>
              </w:rPr>
              <w:t>)</w:t>
            </w:r>
          </w:p>
          <w:p w14:paraId="502C1EF8" w14:textId="72AEA7AA" w:rsidR="003E00BF" w:rsidRPr="003E00BF" w:rsidRDefault="003E00BF" w:rsidP="00AE7894">
            <w:pPr>
              <w:pStyle w:val="ListParagraph"/>
              <w:numPr>
                <w:ilvl w:val="0"/>
                <w:numId w:val="19"/>
              </w:numPr>
              <w:rPr>
                <w:rFonts w:ascii="Garamond" w:hAnsi="Garamond"/>
                <w:lang w:val="en-AU"/>
              </w:rPr>
            </w:pPr>
            <w:r w:rsidRPr="003E00BF">
              <w:rPr>
                <w:rFonts w:ascii="Garamond" w:hAnsi="Garamond"/>
                <w:b/>
                <w:bCs/>
                <w:lang w:val="en-AU"/>
              </w:rPr>
              <w:t>Sustaining and Inspiring the Capacity of the Nursing Profession</w:t>
            </w:r>
            <w:r w:rsidRPr="003E00BF">
              <w:rPr>
                <w:rFonts w:ascii="Garamond" w:hAnsi="Garamond"/>
                <w:lang w:val="en-AU"/>
              </w:rPr>
              <w:t>: The Case for Transformative Practice Education Models (Susan M Duncan, Diane Sawchuck, Lenora Marcellus and Joanne Maclaren</w:t>
            </w:r>
            <w:r>
              <w:rPr>
                <w:rFonts w:ascii="Garamond" w:hAnsi="Garamond"/>
                <w:lang w:val="en-AU"/>
              </w:rPr>
              <w:t>)</w:t>
            </w:r>
          </w:p>
          <w:p w14:paraId="1D0518C6" w14:textId="0567E165" w:rsidR="003E00BF" w:rsidRPr="003E00BF" w:rsidRDefault="003E00BF" w:rsidP="00B16A3D">
            <w:pPr>
              <w:pStyle w:val="ListParagraph"/>
              <w:numPr>
                <w:ilvl w:val="0"/>
                <w:numId w:val="19"/>
              </w:numPr>
              <w:rPr>
                <w:rFonts w:ascii="Garamond" w:hAnsi="Garamond"/>
                <w:lang w:val="en-AU"/>
              </w:rPr>
            </w:pPr>
            <w:r w:rsidRPr="003E00BF">
              <w:rPr>
                <w:rFonts w:ascii="Garamond" w:hAnsi="Garamond"/>
                <w:lang w:val="en-AU"/>
              </w:rPr>
              <w:t xml:space="preserve">Do Not Wait Until It Is Too Late: Using </w:t>
            </w:r>
            <w:r w:rsidRPr="003E00BF">
              <w:rPr>
                <w:rFonts w:ascii="Garamond" w:hAnsi="Garamond"/>
                <w:b/>
                <w:bCs/>
                <w:lang w:val="en-AU"/>
              </w:rPr>
              <w:t>Stay Interviews to Engage and Retain Nursing Staff</w:t>
            </w:r>
            <w:r w:rsidRPr="003E00BF">
              <w:rPr>
                <w:rFonts w:ascii="Garamond" w:hAnsi="Garamond"/>
                <w:lang w:val="en-AU"/>
              </w:rPr>
              <w:t xml:space="preserve"> (Angel Wang, Christine Devine, Lorrie Hamilton and Mikki Layton</w:t>
            </w:r>
            <w:r>
              <w:rPr>
                <w:rFonts w:ascii="Garamond" w:hAnsi="Garamond"/>
                <w:lang w:val="en-AU"/>
              </w:rPr>
              <w:t>)</w:t>
            </w:r>
          </w:p>
          <w:p w14:paraId="4F5DB17B" w14:textId="16F0D3D2" w:rsidR="003E00BF" w:rsidRPr="003E00BF" w:rsidRDefault="003E00BF" w:rsidP="000C3FE0">
            <w:pPr>
              <w:pStyle w:val="ListParagraph"/>
              <w:numPr>
                <w:ilvl w:val="0"/>
                <w:numId w:val="19"/>
              </w:numPr>
              <w:rPr>
                <w:rFonts w:ascii="Garamond" w:hAnsi="Garamond"/>
                <w:lang w:val="en-AU"/>
              </w:rPr>
            </w:pPr>
            <w:r w:rsidRPr="003E00BF">
              <w:rPr>
                <w:rFonts w:ascii="Garamond" w:hAnsi="Garamond"/>
                <w:lang w:val="en-AU"/>
              </w:rPr>
              <w:t xml:space="preserve">Differentiating </w:t>
            </w:r>
            <w:r w:rsidRPr="003E00BF">
              <w:rPr>
                <w:rFonts w:ascii="Garamond" w:hAnsi="Garamond"/>
                <w:b/>
                <w:bCs/>
                <w:lang w:val="en-AU"/>
              </w:rPr>
              <w:t>Specialized and Advanced Nursing Roles</w:t>
            </w:r>
            <w:r w:rsidRPr="003E00BF">
              <w:rPr>
                <w:rFonts w:ascii="Garamond" w:hAnsi="Garamond"/>
                <w:lang w:val="en-AU"/>
              </w:rPr>
              <w:t>: The Pathway to Role Optimization (Krista Jokiniemi, Denise Bryant-Lukosius, Josette Roussel, Kelley Kilpatrick, Ruth Martin-Misener,</w:t>
            </w:r>
            <w:r>
              <w:rPr>
                <w:rFonts w:ascii="Garamond" w:hAnsi="Garamond"/>
                <w:lang w:val="en-AU"/>
              </w:rPr>
              <w:t xml:space="preserve"> </w:t>
            </w:r>
            <w:r w:rsidRPr="003E00BF">
              <w:rPr>
                <w:rFonts w:ascii="Garamond" w:hAnsi="Garamond"/>
                <w:lang w:val="en-AU"/>
              </w:rPr>
              <w:t>Joan Tranmer, Sarah Rietkoetter, Marcia Carr and Gregory R Pond</w:t>
            </w:r>
            <w:r>
              <w:rPr>
                <w:rFonts w:ascii="Garamond" w:hAnsi="Garamond"/>
                <w:lang w:val="en-AU"/>
              </w:rPr>
              <w:t>)</w:t>
            </w:r>
          </w:p>
          <w:p w14:paraId="662EA4AB" w14:textId="7C533782" w:rsidR="007E7ADF" w:rsidRPr="00546F5E" w:rsidRDefault="003E00BF" w:rsidP="003E00BF">
            <w:pPr>
              <w:pStyle w:val="ListParagraph"/>
              <w:numPr>
                <w:ilvl w:val="0"/>
                <w:numId w:val="19"/>
              </w:numPr>
              <w:rPr>
                <w:rFonts w:ascii="Garamond" w:hAnsi="Garamond"/>
                <w:lang w:val="en-AU"/>
              </w:rPr>
            </w:pPr>
            <w:r w:rsidRPr="003E00BF">
              <w:rPr>
                <w:rFonts w:ascii="Garamond" w:hAnsi="Garamond"/>
                <w:lang w:val="en-AU"/>
              </w:rPr>
              <w:t xml:space="preserve">Shifts in </w:t>
            </w:r>
            <w:r w:rsidRPr="000C6125">
              <w:rPr>
                <w:rFonts w:ascii="Garamond" w:hAnsi="Garamond"/>
                <w:b/>
                <w:bCs/>
                <w:lang w:val="en-AU"/>
              </w:rPr>
              <w:t>Homecare Nursing Practices</w:t>
            </w:r>
            <w:r w:rsidRPr="003E00BF">
              <w:rPr>
                <w:rFonts w:ascii="Garamond" w:hAnsi="Garamond"/>
                <w:lang w:val="en-AU"/>
              </w:rPr>
              <w:t xml:space="preserve"> and Their Implications for Families and Clients Receiving Palliative Care at Home (Kelli Stajduhar, Richard Sawatzky, Laura Funk, S. Robin Cohen, Ami Bitschy, Erin Donald and Kristine</w:t>
            </w:r>
            <w:r>
              <w:rPr>
                <w:rFonts w:ascii="Garamond" w:hAnsi="Garamond"/>
                <w:lang w:val="en-AU"/>
              </w:rPr>
              <w:t xml:space="preserve"> </w:t>
            </w:r>
            <w:r w:rsidRPr="003E00BF">
              <w:rPr>
                <w:rFonts w:ascii="Garamond" w:hAnsi="Garamond"/>
                <w:lang w:val="en-AU"/>
              </w:rPr>
              <w:t>Votova</w:t>
            </w:r>
            <w:r>
              <w:rPr>
                <w:rFonts w:ascii="Garamond" w:hAnsi="Garamond"/>
                <w:lang w:val="en-AU"/>
              </w:rPr>
              <w:t>)</w:t>
            </w:r>
          </w:p>
        </w:tc>
      </w:tr>
    </w:tbl>
    <w:p w14:paraId="38E7AD96" w14:textId="77777777" w:rsidR="007E7ADF" w:rsidRDefault="007E7ADF" w:rsidP="007E7ADF">
      <w:pPr>
        <w:keepLines/>
        <w:autoSpaceDE w:val="0"/>
        <w:autoSpaceDN w:val="0"/>
        <w:adjustRightInd w:val="0"/>
        <w:rPr>
          <w:rFonts w:ascii="Garamond" w:hAnsi="Garamond"/>
          <w:i/>
          <w:lang w:val="en-AU"/>
        </w:rPr>
      </w:pPr>
    </w:p>
    <w:p w14:paraId="3D3627E5" w14:textId="2CABB9CC" w:rsidR="004B47ED" w:rsidRPr="00E37911" w:rsidRDefault="004B47ED" w:rsidP="004B47ED">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B47ED" w:rsidRPr="00E37911" w14:paraId="7D5D0CDC" w14:textId="77777777" w:rsidTr="00B13BC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1A5404D" w14:textId="77777777" w:rsidR="004B47ED" w:rsidRPr="00E37911" w:rsidRDefault="004B47ED" w:rsidP="00B13BCF">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1BA0A816" w14:textId="77777777" w:rsidR="004B47ED" w:rsidRPr="00E37911" w:rsidRDefault="002645F8" w:rsidP="00B13BCF">
            <w:pPr>
              <w:keepNext/>
              <w:rPr>
                <w:rFonts w:ascii="Garamond" w:hAnsi="Garamond"/>
                <w:lang w:val="en-AU"/>
              </w:rPr>
            </w:pPr>
            <w:hyperlink r:id="rId29" w:history="1">
              <w:r w:rsidR="004B47ED" w:rsidRPr="00E37911">
                <w:rPr>
                  <w:rStyle w:val="Hyperlink"/>
                  <w:rFonts w:ascii="Garamond" w:hAnsi="Garamond"/>
                  <w:lang w:val="en-AU"/>
                </w:rPr>
                <w:t>https://qualitysafety.bmj.com/content/early/recent</w:t>
              </w:r>
            </w:hyperlink>
          </w:p>
        </w:tc>
      </w:tr>
      <w:tr w:rsidR="004B47ED" w:rsidRPr="00E37911" w14:paraId="0C14F5E4" w14:textId="77777777" w:rsidTr="00B13BCF">
        <w:tc>
          <w:tcPr>
            <w:tcW w:w="1080" w:type="dxa"/>
            <w:tcBorders>
              <w:top w:val="single" w:sz="4" w:space="0" w:color="auto"/>
              <w:left w:val="single" w:sz="4" w:space="0" w:color="auto"/>
              <w:bottom w:val="single" w:sz="4" w:space="0" w:color="auto"/>
              <w:right w:val="single" w:sz="4" w:space="0" w:color="auto"/>
            </w:tcBorders>
            <w:vAlign w:val="center"/>
          </w:tcPr>
          <w:p w14:paraId="75C34EF4" w14:textId="77777777" w:rsidR="004B47ED" w:rsidRPr="00E37911" w:rsidRDefault="004B47ED" w:rsidP="00B13BCF">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60B8CA5E" w14:textId="77777777" w:rsidR="004B47ED" w:rsidRPr="00E37911" w:rsidRDefault="004B47ED" w:rsidP="00B13BCF">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a number of ‘online first’ articles, including:</w:t>
            </w:r>
          </w:p>
          <w:p w14:paraId="2C386F5C" w14:textId="0DCA8DD0" w:rsidR="00781C79" w:rsidRPr="00E37911" w:rsidRDefault="00825540" w:rsidP="00825540">
            <w:pPr>
              <w:pStyle w:val="ListParagraph"/>
              <w:numPr>
                <w:ilvl w:val="0"/>
                <w:numId w:val="16"/>
              </w:numPr>
              <w:rPr>
                <w:rFonts w:ascii="Garamond" w:hAnsi="Garamond"/>
                <w:lang w:val="en-AU"/>
              </w:rPr>
            </w:pPr>
            <w:r w:rsidRPr="00825540">
              <w:rPr>
                <w:rFonts w:ascii="Garamond" w:hAnsi="Garamond"/>
                <w:lang w:val="en-AU"/>
              </w:rPr>
              <w:t xml:space="preserve">Initial opioid prescription characteristics and </w:t>
            </w:r>
            <w:r w:rsidRPr="00825540">
              <w:rPr>
                <w:rFonts w:ascii="Garamond" w:hAnsi="Garamond"/>
                <w:b/>
                <w:bCs/>
                <w:lang w:val="en-AU"/>
              </w:rPr>
              <w:t>risk of opioid misuse, poisoning and dependence</w:t>
            </w:r>
            <w:r w:rsidRPr="00825540">
              <w:rPr>
                <w:rFonts w:ascii="Garamond" w:hAnsi="Garamond"/>
                <w:lang w:val="en-AU"/>
              </w:rPr>
              <w:t xml:space="preserve">: retrospective cohort study </w:t>
            </w:r>
            <w:r>
              <w:rPr>
                <w:rFonts w:ascii="Garamond" w:hAnsi="Garamond"/>
                <w:lang w:val="en-AU"/>
              </w:rPr>
              <w:t>(</w:t>
            </w:r>
            <w:r w:rsidRPr="00825540">
              <w:rPr>
                <w:rFonts w:ascii="Garamond" w:hAnsi="Garamond"/>
                <w:lang w:val="en-AU"/>
              </w:rPr>
              <w:t>Aníbal García-Sempere, Isabel Hurtado, Celia Robles, Fran Llopis-Cardona, Francisco Sánchez-Saez, Clara Rodriguez-Bernal, Salvador Peiró-Moreno, Gabriel Sanfélix-Gimeno</w:t>
            </w:r>
            <w:r>
              <w:rPr>
                <w:rFonts w:ascii="Garamond" w:hAnsi="Garamond"/>
                <w:lang w:val="en-AU"/>
              </w:rPr>
              <w:t>)</w:t>
            </w:r>
          </w:p>
        </w:tc>
      </w:tr>
    </w:tbl>
    <w:p w14:paraId="6E44DEBD" w14:textId="77777777" w:rsidR="00D1061B" w:rsidRDefault="00D1061B" w:rsidP="00D1061B">
      <w:pPr>
        <w:keepLines/>
        <w:autoSpaceDE w:val="0"/>
        <w:autoSpaceDN w:val="0"/>
        <w:adjustRightInd w:val="0"/>
        <w:rPr>
          <w:rFonts w:ascii="Garamond" w:hAnsi="Garamond"/>
          <w:i/>
          <w:lang w:val="en-AU"/>
        </w:rPr>
      </w:pPr>
    </w:p>
    <w:p w14:paraId="6321FC62" w14:textId="77777777" w:rsidR="00D1061B" w:rsidRPr="00E37911" w:rsidRDefault="00D1061B" w:rsidP="00D1061B">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1061B" w:rsidRPr="00E37911" w14:paraId="41FA4D3A"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29DC2208" w14:textId="77777777" w:rsidR="00D1061B" w:rsidRPr="00E37911" w:rsidRDefault="00D1061B" w:rsidP="00A6355B">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D124BFE" w14:textId="77777777" w:rsidR="00D1061B" w:rsidRPr="00E37911" w:rsidRDefault="002645F8" w:rsidP="00A6355B">
            <w:pPr>
              <w:keepNext/>
              <w:rPr>
                <w:rFonts w:ascii="Garamond" w:hAnsi="Garamond"/>
                <w:lang w:val="en-AU"/>
              </w:rPr>
            </w:pPr>
            <w:hyperlink r:id="rId30" w:history="1">
              <w:r w:rsidR="00D1061B" w:rsidRPr="00E37911">
                <w:rPr>
                  <w:rStyle w:val="Hyperlink"/>
                  <w:rFonts w:ascii="Garamond" w:hAnsi="Garamond"/>
                  <w:lang w:val="en-AU"/>
                </w:rPr>
                <w:t>https://academic.oup.com/intqhc/advance-articles</w:t>
              </w:r>
            </w:hyperlink>
          </w:p>
        </w:tc>
      </w:tr>
      <w:tr w:rsidR="00D1061B" w:rsidRPr="00E37911" w14:paraId="0C5C5A70"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3A7190F3" w14:textId="77777777" w:rsidR="00D1061B" w:rsidRPr="00E37911" w:rsidRDefault="00D1061B" w:rsidP="00A6355B">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1D27CD1" w14:textId="2E7FD116" w:rsidR="00B40C58" w:rsidRPr="009C237F" w:rsidRDefault="00D1061B" w:rsidP="00B40C58">
            <w:pPr>
              <w:rPr>
                <w:rFonts w:ascii="Garamond" w:hAnsi="Garamond"/>
                <w:lang w:val="en-AU"/>
              </w:rPr>
            </w:pPr>
            <w:r w:rsidRPr="000E6A98">
              <w:rPr>
                <w:rFonts w:ascii="Garamond" w:hAnsi="Garamond"/>
                <w:i/>
                <w:iCs/>
                <w:lang w:val="en-AU"/>
              </w:rPr>
              <w:t>International Journal for Quality in Health Care</w:t>
            </w:r>
            <w:r w:rsidRPr="00E01D9A">
              <w:rPr>
                <w:rFonts w:ascii="Garamond" w:hAnsi="Garamond"/>
                <w:lang w:val="en-AU"/>
              </w:rPr>
              <w:t xml:space="preserve"> </w:t>
            </w:r>
            <w:r w:rsidRPr="00E37911">
              <w:rPr>
                <w:rFonts w:ascii="Garamond" w:hAnsi="Garamond"/>
                <w:lang w:val="en-AU"/>
              </w:rPr>
              <w:t>has published a number of ‘online first’ articles, including:</w:t>
            </w:r>
          </w:p>
          <w:p w14:paraId="730B1CCA" w14:textId="328D9E18" w:rsidR="004C7197" w:rsidRPr="009C237F" w:rsidRDefault="002C6DF1" w:rsidP="002C6DF1">
            <w:pPr>
              <w:pStyle w:val="ListParagraph"/>
              <w:numPr>
                <w:ilvl w:val="0"/>
                <w:numId w:val="14"/>
              </w:numPr>
              <w:rPr>
                <w:rFonts w:ascii="Garamond" w:hAnsi="Garamond"/>
                <w:lang w:val="en-AU"/>
              </w:rPr>
            </w:pPr>
            <w:r w:rsidRPr="002C6DF1">
              <w:rPr>
                <w:rFonts w:ascii="Garamond" w:hAnsi="Garamond"/>
                <w:lang w:val="en-AU"/>
              </w:rPr>
              <w:t xml:space="preserve">Effect of China’s </w:t>
            </w:r>
            <w:r w:rsidRPr="002C6DF1">
              <w:rPr>
                <w:rFonts w:ascii="Garamond" w:hAnsi="Garamond"/>
                <w:b/>
                <w:bCs/>
                <w:lang w:val="en-AU"/>
              </w:rPr>
              <w:t>Long-term Care Insurance on Health Outcomes of Older Disabled People</w:t>
            </w:r>
            <w:r w:rsidRPr="002C6DF1">
              <w:rPr>
                <w:rFonts w:ascii="Garamond" w:hAnsi="Garamond"/>
                <w:lang w:val="en-AU"/>
              </w:rPr>
              <w:t>: Role of Institutional Care</w:t>
            </w:r>
            <w:r>
              <w:rPr>
                <w:rFonts w:ascii="Garamond" w:hAnsi="Garamond"/>
                <w:lang w:val="en-AU"/>
              </w:rPr>
              <w:t xml:space="preserve"> (</w:t>
            </w:r>
            <w:r w:rsidRPr="002C6DF1">
              <w:rPr>
                <w:rFonts w:ascii="Garamond" w:hAnsi="Garamond"/>
                <w:lang w:val="en-AU"/>
              </w:rPr>
              <w:t xml:space="preserve">Jin-Qiu Zhou </w:t>
            </w:r>
            <w:r>
              <w:rPr>
                <w:rFonts w:ascii="Garamond" w:hAnsi="Garamond"/>
                <w:lang w:val="en-AU"/>
              </w:rPr>
              <w:t>et al)</w:t>
            </w:r>
          </w:p>
        </w:tc>
      </w:tr>
    </w:tbl>
    <w:p w14:paraId="4E062146" w14:textId="77777777" w:rsidR="00D1061B" w:rsidRDefault="00D1061B" w:rsidP="00D1061B">
      <w:pPr>
        <w:keepLines/>
        <w:autoSpaceDE w:val="0"/>
        <w:autoSpaceDN w:val="0"/>
        <w:adjustRightInd w:val="0"/>
        <w:rPr>
          <w:rFonts w:ascii="Garamond" w:hAnsi="Garamond"/>
          <w:i/>
          <w:lang w:val="en-AU"/>
        </w:rPr>
      </w:pPr>
    </w:p>
    <w:p w14:paraId="298F2AF4" w14:textId="3CE001F1" w:rsidR="00FE639E" w:rsidRDefault="00FE639E" w:rsidP="006523E0">
      <w:pPr>
        <w:rPr>
          <w:rFonts w:ascii="Garamond" w:hAnsi="Garamond"/>
          <w:i/>
          <w:lang w:val="en-AU"/>
        </w:rPr>
      </w:pPr>
    </w:p>
    <w:p w14:paraId="78B75609" w14:textId="77777777" w:rsidR="00AA6D18" w:rsidRDefault="00AA6D18" w:rsidP="006523E0">
      <w:pPr>
        <w:rPr>
          <w:rFonts w:ascii="Garamond" w:hAnsi="Garamond"/>
          <w:i/>
          <w:lang w:val="en-AU"/>
        </w:rPr>
      </w:pPr>
    </w:p>
    <w:p w14:paraId="27121778" w14:textId="77777777" w:rsidR="00AC2AB9" w:rsidRDefault="00AC2AB9">
      <w:pPr>
        <w:rPr>
          <w:rFonts w:ascii="Garamond" w:hAnsi="Garamond"/>
          <w:b/>
          <w:lang w:val="en-AU"/>
        </w:rPr>
      </w:pPr>
      <w:r>
        <w:rPr>
          <w:rFonts w:ascii="Garamond" w:hAnsi="Garamond"/>
          <w:b/>
          <w:lang w:val="en-AU"/>
        </w:rPr>
        <w:br w:type="page"/>
      </w:r>
    </w:p>
    <w:p w14:paraId="332C5B51" w14:textId="6E7C067F" w:rsidR="008A334C" w:rsidRPr="00E37911" w:rsidRDefault="008A334C" w:rsidP="004A5E6A">
      <w:pPr>
        <w:keepLines/>
        <w:rPr>
          <w:rFonts w:ascii="Garamond" w:hAnsi="Garamond"/>
          <w:b/>
          <w:lang w:val="en-AU"/>
        </w:rPr>
      </w:pPr>
      <w:r w:rsidRPr="00E37911">
        <w:rPr>
          <w:rFonts w:ascii="Garamond" w:hAnsi="Garamond"/>
          <w:b/>
          <w:lang w:val="en-AU"/>
        </w:rPr>
        <w:lastRenderedPageBreak/>
        <w:t>Online resources</w:t>
      </w:r>
    </w:p>
    <w:p w14:paraId="1D4D2BC3" w14:textId="711692E8" w:rsidR="004B3A08" w:rsidRDefault="004B3A08">
      <w:pPr>
        <w:rPr>
          <w:rFonts w:ascii="Garamond" w:hAnsi="Garamond"/>
          <w:b/>
          <w:lang w:val="en-AU"/>
        </w:rPr>
      </w:pPr>
    </w:p>
    <w:p w14:paraId="7DE4337C" w14:textId="77777777" w:rsidR="00DC729A" w:rsidRDefault="00DC729A" w:rsidP="00DC729A">
      <w:pPr>
        <w:keepNext/>
        <w:rPr>
          <w:rFonts w:ascii="Garamond" w:hAnsi="Garamond"/>
          <w:b/>
          <w:bCs/>
          <w:i/>
          <w:lang w:val="en-AU"/>
        </w:rPr>
      </w:pPr>
      <w:r w:rsidRPr="0051777D">
        <w:rPr>
          <w:rFonts w:ascii="Garamond" w:hAnsi="Garamond"/>
          <w:b/>
          <w:bCs/>
          <w:i/>
          <w:lang w:val="en-AU"/>
        </w:rPr>
        <w:t>Clinical Communiqué</w:t>
      </w:r>
    </w:p>
    <w:p w14:paraId="315A9660" w14:textId="7F9417D7" w:rsidR="00DC729A" w:rsidRDefault="002645F8" w:rsidP="00DC729A">
      <w:pPr>
        <w:keepNext/>
      </w:pPr>
      <w:hyperlink r:id="rId31" w:history="1">
        <w:r w:rsidR="00DC729A" w:rsidRPr="00EB6273">
          <w:rPr>
            <w:rStyle w:val="Hyperlink"/>
          </w:rPr>
          <w:t>https://www.thecommuniques.com/post/clinical-communiqu%C3%A9-volume-10-issue-2-june-2023</w:t>
        </w:r>
      </w:hyperlink>
    </w:p>
    <w:p w14:paraId="061BA295" w14:textId="35C8BBD9" w:rsidR="00DC729A" w:rsidRPr="00F57CAB" w:rsidRDefault="00DC729A" w:rsidP="00DC729A">
      <w:pPr>
        <w:keepNext/>
        <w:rPr>
          <w:rFonts w:ascii="Garamond" w:hAnsi="Garamond"/>
          <w:lang w:val="en-AU"/>
        </w:rPr>
      </w:pPr>
      <w:r w:rsidRPr="00F57CAB">
        <w:rPr>
          <w:rFonts w:ascii="Garamond" w:hAnsi="Garamond"/>
          <w:lang w:val="en-AU"/>
        </w:rPr>
        <w:t xml:space="preserve">Volume </w:t>
      </w:r>
      <w:r>
        <w:rPr>
          <w:rFonts w:ascii="Garamond" w:hAnsi="Garamond"/>
          <w:lang w:val="en-AU"/>
        </w:rPr>
        <w:t>10,</w:t>
      </w:r>
      <w:r w:rsidRPr="00F57CAB">
        <w:rPr>
          <w:rFonts w:ascii="Garamond" w:hAnsi="Garamond"/>
          <w:lang w:val="en-AU"/>
        </w:rPr>
        <w:t xml:space="preserve"> Issue </w:t>
      </w:r>
      <w:r>
        <w:rPr>
          <w:rFonts w:ascii="Garamond" w:hAnsi="Garamond"/>
          <w:lang w:val="en-AU"/>
        </w:rPr>
        <w:t>2</w:t>
      </w:r>
      <w:r w:rsidRPr="00F57CAB">
        <w:rPr>
          <w:rFonts w:ascii="Garamond" w:hAnsi="Garamond"/>
          <w:lang w:val="en-AU"/>
        </w:rPr>
        <w:t xml:space="preserve">, </w:t>
      </w:r>
      <w:r>
        <w:rPr>
          <w:rFonts w:ascii="Garamond" w:hAnsi="Garamond"/>
          <w:lang w:val="en-AU"/>
        </w:rPr>
        <w:t>June 2023</w:t>
      </w:r>
    </w:p>
    <w:p w14:paraId="0A0EB696" w14:textId="1559EFB1" w:rsidR="00DC729A" w:rsidRDefault="00DC729A" w:rsidP="00ED5B84">
      <w:pPr>
        <w:rPr>
          <w:rFonts w:ascii="Garamond" w:hAnsi="Garamond"/>
          <w:b/>
          <w:lang w:val="en-AU"/>
        </w:rPr>
      </w:pPr>
      <w:r w:rsidRPr="00F57CAB">
        <w:rPr>
          <w:rFonts w:ascii="Garamond" w:hAnsi="Garamond"/>
          <w:lang w:val="en-AU"/>
        </w:rPr>
        <w:t xml:space="preserve">This issue of </w:t>
      </w:r>
      <w:r w:rsidRPr="00F57CAB">
        <w:rPr>
          <w:rFonts w:ascii="Garamond" w:hAnsi="Garamond"/>
          <w:i/>
          <w:lang w:val="en-AU"/>
        </w:rPr>
        <w:t>Clinical Communiqué</w:t>
      </w:r>
      <w:r w:rsidRPr="00F57CAB">
        <w:rPr>
          <w:rFonts w:ascii="Garamond" w:hAnsi="Garamond"/>
          <w:lang w:val="en-AU"/>
        </w:rPr>
        <w:t xml:space="preserve"> </w:t>
      </w:r>
      <w:r>
        <w:rPr>
          <w:rFonts w:ascii="Garamond" w:hAnsi="Garamond"/>
          <w:lang w:val="en-AU"/>
        </w:rPr>
        <w:t xml:space="preserve">examines two cases of </w:t>
      </w:r>
      <w:r w:rsidRPr="00DC729A">
        <w:rPr>
          <w:rFonts w:ascii="Garamond" w:hAnsi="Garamond"/>
          <w:lang w:val="en-AU"/>
        </w:rPr>
        <w:t>extubation crises in post-operative patients who had upper airway signs and symptoms from dental pathology</w:t>
      </w:r>
      <w:r>
        <w:rPr>
          <w:rFonts w:ascii="Garamond" w:hAnsi="Garamond"/>
          <w:lang w:val="en-AU"/>
        </w:rPr>
        <w:t>. In each case, the patient’s original condition had been surgically managed but ‘</w:t>
      </w:r>
      <w:r w:rsidRPr="00DC729A">
        <w:rPr>
          <w:rFonts w:ascii="Garamond" w:hAnsi="Garamond"/>
          <w:lang w:val="en-AU"/>
        </w:rPr>
        <w:t>a series of decisions and actions led to the loss of airway protection, a failure to recognise the severity of the situation, and an inability to salvage the situation.</w:t>
      </w:r>
      <w:r>
        <w:rPr>
          <w:rFonts w:ascii="Garamond" w:hAnsi="Garamond"/>
          <w:lang w:val="en-AU"/>
        </w:rPr>
        <w:t>’ The expert commentary provides a ‘</w:t>
      </w:r>
      <w:r w:rsidRPr="00DC729A">
        <w:rPr>
          <w:rFonts w:ascii="Garamond" w:hAnsi="Garamond"/>
          <w:lang w:val="en-AU"/>
        </w:rPr>
        <w:t>synopsis on when and how to perform a safe extubation.</w:t>
      </w:r>
      <w:r>
        <w:rPr>
          <w:rFonts w:ascii="Garamond" w:hAnsi="Garamond"/>
          <w:lang w:val="en-AU"/>
        </w:rPr>
        <w:t>’</w:t>
      </w:r>
    </w:p>
    <w:p w14:paraId="67A64C9B" w14:textId="71D5B2B1" w:rsidR="00E83262" w:rsidRDefault="00E83262" w:rsidP="00D1061B">
      <w:pPr>
        <w:rPr>
          <w:rFonts w:ascii="Garamond" w:hAnsi="Garamond"/>
          <w:b/>
          <w:lang w:val="en-AU"/>
        </w:rPr>
      </w:pPr>
    </w:p>
    <w:p w14:paraId="2E352F15" w14:textId="77777777" w:rsidR="00E83262" w:rsidRDefault="00E83262" w:rsidP="00D1061B">
      <w:pPr>
        <w:rPr>
          <w:rFonts w:ascii="Garamond" w:hAnsi="Garamond"/>
          <w:b/>
          <w:lang w:val="en-AU"/>
        </w:rPr>
      </w:pPr>
    </w:p>
    <w:p w14:paraId="12E7A6B9" w14:textId="367C4E71"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2"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33"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34"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5109A40B">
            <wp:extent cx="2918012" cy="4117364"/>
            <wp:effectExtent l="0" t="0" r="0" b="0"/>
            <wp:docPr id="8" name="Picture 8" descr="COVID-19 poster - combined contact and droplet precautions">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4"/>
                    </pic:cNvPr>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2931238" cy="4136026"/>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6"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8"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9"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0"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43"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2645F8" w:rsidP="00D574D3">
      <w:pPr>
        <w:keepNext/>
        <w:keepLines/>
        <w:rPr>
          <w:rFonts w:ascii="Garamond" w:hAnsi="Garamond"/>
          <w:lang w:val="en-AU"/>
        </w:rPr>
      </w:pPr>
      <w:hyperlink r:id="rId46"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2645F8" w:rsidP="00D574D3">
      <w:pPr>
        <w:keepNext/>
        <w:keepLines/>
        <w:rPr>
          <w:rFonts w:ascii="Garamond" w:hAnsi="Garamond"/>
          <w:lang w:val="en-AU"/>
        </w:rPr>
      </w:pPr>
      <w:hyperlink r:id="rId47"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1844EAC0" w14:textId="0DF2D5D3" w:rsidR="00941F75" w:rsidRPr="00DB6196" w:rsidRDefault="00941F75" w:rsidP="001B49E9">
      <w:pPr>
        <w:pStyle w:val="ListParagraph"/>
        <w:numPr>
          <w:ilvl w:val="0"/>
          <w:numId w:val="14"/>
        </w:numPr>
        <w:rPr>
          <w:rFonts w:ascii="Garamond" w:hAnsi="Garamond"/>
          <w:lang w:val="en-AU"/>
        </w:rPr>
      </w:pPr>
      <w:r w:rsidRPr="00DB6196">
        <w:rPr>
          <w:rFonts w:ascii="Garamond" w:hAnsi="Garamond"/>
          <w:b/>
          <w:bCs/>
          <w:i/>
          <w:iCs/>
          <w:lang w:val="en-AU"/>
        </w:rPr>
        <w:t>SARS-CoV-2 variants - retired living evidence</w:t>
      </w:r>
      <w:r w:rsidRPr="00DB6196">
        <w:rPr>
          <w:rFonts w:ascii="Garamond" w:hAnsi="Garamond"/>
          <w:lang w:val="en-AU"/>
        </w:rPr>
        <w:t xml:space="preserve"> – What is the evidence on SARS-CoV-2 variants that are under monitoring by the World Health Organization?</w:t>
      </w:r>
    </w:p>
    <w:p w14:paraId="16E34A24" w14:textId="10DE0DFD" w:rsidR="00941F75" w:rsidRPr="00DB6196" w:rsidRDefault="00941F75" w:rsidP="00E15321">
      <w:pPr>
        <w:pStyle w:val="ListParagraph"/>
        <w:numPr>
          <w:ilvl w:val="0"/>
          <w:numId w:val="14"/>
        </w:numPr>
        <w:rPr>
          <w:rFonts w:ascii="Garamond" w:hAnsi="Garamond"/>
          <w:lang w:val="en-AU"/>
        </w:rPr>
      </w:pPr>
      <w:r w:rsidRPr="00DB6196">
        <w:rPr>
          <w:rFonts w:ascii="Garamond" w:hAnsi="Garamond"/>
          <w:b/>
          <w:bCs/>
          <w:i/>
          <w:iCs/>
          <w:lang w:val="en-AU"/>
        </w:rPr>
        <w:t>COVID-19 vaccines - retired living evidence</w:t>
      </w:r>
      <w:r w:rsidRPr="00DB6196">
        <w:rPr>
          <w:rFonts w:ascii="Garamond" w:hAnsi="Garamond"/>
          <w:lang w:val="en-AU"/>
        </w:rPr>
        <w:t xml:space="preserve"> – What is the evidence on COVID-19 vaccine effectiveness and safety?</w:t>
      </w:r>
    </w:p>
    <w:p w14:paraId="345521DA" w14:textId="5DAB7CE5" w:rsidR="00BA4D9D" w:rsidRPr="009B64C0" w:rsidRDefault="00BA4D9D" w:rsidP="00BA4D9D">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0410EB05" w14:textId="77777777" w:rsidR="00E01D9A" w:rsidRPr="00E826CE" w:rsidRDefault="00E01D9A" w:rsidP="00E01D9A">
      <w:pPr>
        <w:pStyle w:val="ListParagraph"/>
        <w:numPr>
          <w:ilvl w:val="0"/>
          <w:numId w:val="14"/>
        </w:numPr>
        <w:rPr>
          <w:rFonts w:ascii="Garamond" w:hAnsi="Garamond"/>
          <w:lang w:val="en-AU"/>
        </w:rPr>
      </w:pPr>
      <w:r w:rsidRPr="00E826CE">
        <w:rPr>
          <w:rFonts w:ascii="Garamond" w:hAnsi="Garamond"/>
          <w:b/>
          <w:bCs/>
          <w:i/>
          <w:iCs/>
          <w:lang w:val="en-AU"/>
        </w:rPr>
        <w:t>Bivalent COVID-19 vaccines</w:t>
      </w:r>
      <w:r w:rsidRPr="00E826CE">
        <w:rPr>
          <w:rFonts w:ascii="Garamond" w:hAnsi="Garamond"/>
          <w:lang w:val="en-AU"/>
        </w:rPr>
        <w:t xml:space="preserve"> –</w:t>
      </w:r>
      <w:r>
        <w:rPr>
          <w:rFonts w:ascii="Garamond" w:hAnsi="Garamond"/>
          <w:lang w:val="en-AU"/>
        </w:rPr>
        <w:t xml:space="preserve"> </w:t>
      </w:r>
      <w:r w:rsidRPr="00E826CE">
        <w:rPr>
          <w:rFonts w:ascii="Garamond" w:hAnsi="Garamond"/>
          <w:lang w:val="en-AU"/>
        </w:rPr>
        <w:t>What is the available regulatory and research evidence for bivalent COVID-19 vaccines?</w:t>
      </w:r>
    </w:p>
    <w:p w14:paraId="4D17414E" w14:textId="77777777" w:rsidR="003C5D7D" w:rsidRPr="00F509BF" w:rsidRDefault="003C5D7D" w:rsidP="003C5D7D">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4F0256A3" w14:textId="73D4C0BB" w:rsidR="003A38AB" w:rsidRPr="003A38AB" w:rsidRDefault="003A38AB" w:rsidP="00413A71">
      <w:pPr>
        <w:pStyle w:val="ListParagraph"/>
        <w:numPr>
          <w:ilvl w:val="0"/>
          <w:numId w:val="14"/>
        </w:numPr>
        <w:rPr>
          <w:rFonts w:ascii="Garamond" w:hAnsi="Garamond"/>
          <w:lang w:val="en-AU"/>
        </w:rPr>
      </w:pPr>
      <w:r w:rsidRPr="003A38AB">
        <w:rPr>
          <w:rFonts w:ascii="Garamond" w:hAnsi="Garamond"/>
          <w:b/>
          <w:bCs/>
          <w:i/>
          <w:iCs/>
          <w:lang w:val="en-AU"/>
        </w:rPr>
        <w:t>Paxlovid</w:t>
      </w:r>
      <w:r w:rsidRPr="003A38AB">
        <w:rPr>
          <w:rFonts w:ascii="Garamond" w:hAnsi="Garamond"/>
          <w:lang w:val="en-AU"/>
        </w:rPr>
        <w:t xml:space="preserve"> –</w:t>
      </w:r>
      <w:r>
        <w:rPr>
          <w:rFonts w:ascii="Garamond" w:hAnsi="Garamond"/>
          <w:lang w:val="en-AU"/>
        </w:rPr>
        <w:t xml:space="preserve"> </w:t>
      </w:r>
      <w:r w:rsidRPr="003A38AB">
        <w:rPr>
          <w:rFonts w:ascii="Garamond" w:hAnsi="Garamond"/>
          <w:lang w:val="en-AU"/>
        </w:rPr>
        <w:t>What is the evidence for Paxlovid for treatment of COVID-19?</w:t>
      </w:r>
    </w:p>
    <w:p w14:paraId="6BDA37D4" w14:textId="4026A935" w:rsidR="003A38AB" w:rsidRPr="003A38AB" w:rsidRDefault="003A38AB" w:rsidP="00DD415C">
      <w:pPr>
        <w:pStyle w:val="ListParagraph"/>
        <w:numPr>
          <w:ilvl w:val="0"/>
          <w:numId w:val="14"/>
        </w:numPr>
        <w:rPr>
          <w:rFonts w:ascii="Garamond" w:hAnsi="Garamond"/>
          <w:lang w:val="en-AU"/>
        </w:rPr>
      </w:pPr>
      <w:r w:rsidRPr="003A38AB">
        <w:rPr>
          <w:rFonts w:ascii="Garamond" w:hAnsi="Garamond"/>
          <w:b/>
          <w:bCs/>
          <w:i/>
          <w:iCs/>
          <w:lang w:val="en-AU"/>
        </w:rPr>
        <w:t>Molnupiravir</w:t>
      </w:r>
      <w:r w:rsidRPr="003A38AB">
        <w:rPr>
          <w:rFonts w:ascii="Garamond" w:hAnsi="Garamond"/>
          <w:lang w:val="en-AU"/>
        </w:rPr>
        <w:t xml:space="preserve"> –What is the evidence for and regulatory context of molnupiravir for treatment of COVID-19?</w:t>
      </w:r>
    </w:p>
    <w:p w14:paraId="67AA9C24" w14:textId="775DFDB0" w:rsidR="00387753" w:rsidRPr="00387753" w:rsidRDefault="00387753" w:rsidP="00FD18E4">
      <w:pPr>
        <w:pStyle w:val="ListParagraph"/>
        <w:numPr>
          <w:ilvl w:val="0"/>
          <w:numId w:val="14"/>
        </w:numPr>
        <w:rPr>
          <w:rFonts w:ascii="Garamond" w:hAnsi="Garamond"/>
          <w:lang w:val="en-AU"/>
        </w:rPr>
      </w:pPr>
      <w:r w:rsidRPr="00387753">
        <w:rPr>
          <w:rFonts w:ascii="Garamond" w:hAnsi="Garamond"/>
          <w:b/>
          <w:bCs/>
          <w:i/>
          <w:iCs/>
          <w:lang w:val="en-AU"/>
        </w:rPr>
        <w:t>Eating disorders and COVID-19</w:t>
      </w:r>
      <w:r w:rsidRPr="00387753">
        <w:rPr>
          <w:rFonts w:ascii="Garamond" w:hAnsi="Garamond"/>
          <w:lang w:val="en-AU"/>
        </w:rPr>
        <w:t xml:space="preserve"> –</w:t>
      </w:r>
      <w:r>
        <w:rPr>
          <w:rFonts w:ascii="Garamond" w:hAnsi="Garamond"/>
          <w:lang w:val="en-AU"/>
        </w:rPr>
        <w:t xml:space="preserve"> </w:t>
      </w:r>
      <w:r w:rsidRPr="00387753">
        <w:rPr>
          <w:rFonts w:ascii="Garamond" w:hAnsi="Garamond"/>
          <w:lang w:val="en-AU"/>
        </w:rPr>
        <w:t>What is the impact of the COVID-19 pandemic on the prevalence of eating disorders?</w:t>
      </w:r>
    </w:p>
    <w:p w14:paraId="6F4F2793" w14:textId="48405932"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lastRenderedPageBreak/>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021B48D8"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48"/>
      <w:footerReference w:type="default" r:id="rId4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A3074" w14:textId="77777777" w:rsidR="00AC7EC8" w:rsidRDefault="00AC7EC8">
      <w:r>
        <w:separator/>
      </w:r>
    </w:p>
  </w:endnote>
  <w:endnote w:type="continuationSeparator" w:id="0">
    <w:p w14:paraId="727AC6DE" w14:textId="77777777" w:rsidR="00AC7EC8" w:rsidRDefault="00AC7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3FD341FE"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8B3B0E">
      <w:rPr>
        <w:rFonts w:ascii="Garamond" w:hAnsi="Garamond"/>
      </w:rPr>
      <w:t>1</w:t>
    </w:r>
    <w:r w:rsidR="00C41722">
      <w:rPr>
        <w:rFonts w:ascii="Garamond" w:hAnsi="Garamond"/>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70E2B670"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8B3B0E">
      <w:rPr>
        <w:rFonts w:ascii="Garamond" w:hAnsi="Garamond"/>
      </w:rPr>
      <w:t>1</w:t>
    </w:r>
    <w:r w:rsidR="00C41722">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A5358" w14:textId="77777777" w:rsidR="00AC7EC8" w:rsidRDefault="00AC7EC8">
      <w:r>
        <w:separator/>
      </w:r>
    </w:p>
  </w:footnote>
  <w:footnote w:type="continuationSeparator" w:id="0">
    <w:p w14:paraId="12F53E7C" w14:textId="77777777" w:rsidR="00AC7EC8" w:rsidRDefault="00AC7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93AD6"/>
    <w:multiLevelType w:val="hybridMultilevel"/>
    <w:tmpl w:val="D7AC7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8032AC"/>
    <w:multiLevelType w:val="hybridMultilevel"/>
    <w:tmpl w:val="5EB601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0F0828"/>
    <w:multiLevelType w:val="hybridMultilevel"/>
    <w:tmpl w:val="28A833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A33588"/>
    <w:multiLevelType w:val="hybridMultilevel"/>
    <w:tmpl w:val="CDDE7474"/>
    <w:lvl w:ilvl="0" w:tplc="08F8795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4F2F60"/>
    <w:multiLevelType w:val="hybridMultilevel"/>
    <w:tmpl w:val="6888A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343751"/>
    <w:multiLevelType w:val="hybridMultilevel"/>
    <w:tmpl w:val="ABEC0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161BC5"/>
    <w:multiLevelType w:val="hybridMultilevel"/>
    <w:tmpl w:val="0DF6E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BF63F5"/>
    <w:multiLevelType w:val="hybridMultilevel"/>
    <w:tmpl w:val="5DA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D20AA7"/>
    <w:multiLevelType w:val="hybridMultilevel"/>
    <w:tmpl w:val="D6BEB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251A21"/>
    <w:multiLevelType w:val="hybridMultilevel"/>
    <w:tmpl w:val="583EB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2E50E1"/>
    <w:multiLevelType w:val="hybridMultilevel"/>
    <w:tmpl w:val="09C04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D20848"/>
    <w:multiLevelType w:val="hybridMultilevel"/>
    <w:tmpl w:val="DFB02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162AC8"/>
    <w:multiLevelType w:val="hybridMultilevel"/>
    <w:tmpl w:val="798A40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AC05A8"/>
    <w:multiLevelType w:val="hybridMultilevel"/>
    <w:tmpl w:val="7DA0D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3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7"/>
  </w:num>
  <w:num w:numId="14">
    <w:abstractNumId w:val="22"/>
  </w:num>
  <w:num w:numId="15">
    <w:abstractNumId w:val="26"/>
  </w:num>
  <w:num w:numId="16">
    <w:abstractNumId w:val="14"/>
  </w:num>
  <w:num w:numId="17">
    <w:abstractNumId w:val="16"/>
  </w:num>
  <w:num w:numId="18">
    <w:abstractNumId w:val="20"/>
  </w:num>
  <w:num w:numId="19">
    <w:abstractNumId w:val="28"/>
  </w:num>
  <w:num w:numId="20">
    <w:abstractNumId w:val="10"/>
  </w:num>
  <w:num w:numId="21">
    <w:abstractNumId w:val="25"/>
  </w:num>
  <w:num w:numId="22">
    <w:abstractNumId w:val="31"/>
  </w:num>
  <w:num w:numId="23">
    <w:abstractNumId w:val="13"/>
  </w:num>
  <w:num w:numId="24">
    <w:abstractNumId w:val="12"/>
  </w:num>
  <w:num w:numId="25">
    <w:abstractNumId w:val="24"/>
  </w:num>
  <w:num w:numId="26">
    <w:abstractNumId w:val="18"/>
  </w:num>
  <w:num w:numId="27">
    <w:abstractNumId w:val="19"/>
  </w:num>
  <w:num w:numId="28">
    <w:abstractNumId w:val="22"/>
  </w:num>
  <w:num w:numId="29">
    <w:abstractNumId w:val="33"/>
  </w:num>
  <w:num w:numId="30">
    <w:abstractNumId w:val="15"/>
  </w:num>
  <w:num w:numId="31">
    <w:abstractNumId w:val="17"/>
  </w:num>
  <w:num w:numId="32">
    <w:abstractNumId w:val="11"/>
  </w:num>
  <w:num w:numId="33">
    <w:abstractNumId w:val="30"/>
  </w:num>
  <w:num w:numId="34">
    <w:abstractNumId w:val="29"/>
  </w:num>
  <w:num w:numId="35">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5CFA"/>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57A"/>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05"/>
    <w:rsid w:val="000362FA"/>
    <w:rsid w:val="00036543"/>
    <w:rsid w:val="00036565"/>
    <w:rsid w:val="000365E9"/>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C3"/>
    <w:rsid w:val="000528EF"/>
    <w:rsid w:val="00052CC4"/>
    <w:rsid w:val="00053393"/>
    <w:rsid w:val="000535B1"/>
    <w:rsid w:val="000539E6"/>
    <w:rsid w:val="00053A16"/>
    <w:rsid w:val="00053C4F"/>
    <w:rsid w:val="00053D98"/>
    <w:rsid w:val="00053DA5"/>
    <w:rsid w:val="00053E77"/>
    <w:rsid w:val="00053FBC"/>
    <w:rsid w:val="00054156"/>
    <w:rsid w:val="000542D1"/>
    <w:rsid w:val="000545B7"/>
    <w:rsid w:val="000546A8"/>
    <w:rsid w:val="00054A4B"/>
    <w:rsid w:val="00054C00"/>
    <w:rsid w:val="00054D03"/>
    <w:rsid w:val="00054E6A"/>
    <w:rsid w:val="00054F8D"/>
    <w:rsid w:val="000550C2"/>
    <w:rsid w:val="0005559B"/>
    <w:rsid w:val="00055776"/>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73D"/>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86C"/>
    <w:rsid w:val="000A5E75"/>
    <w:rsid w:val="000A5E94"/>
    <w:rsid w:val="000A5EB2"/>
    <w:rsid w:val="000A6233"/>
    <w:rsid w:val="000A6401"/>
    <w:rsid w:val="000A6436"/>
    <w:rsid w:val="000A6826"/>
    <w:rsid w:val="000A6B68"/>
    <w:rsid w:val="000A6DB3"/>
    <w:rsid w:val="000A720E"/>
    <w:rsid w:val="000A731E"/>
    <w:rsid w:val="000A73E9"/>
    <w:rsid w:val="000A757B"/>
    <w:rsid w:val="000A7778"/>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125"/>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300"/>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BEB"/>
    <w:rsid w:val="000E2DCF"/>
    <w:rsid w:val="000E3012"/>
    <w:rsid w:val="000E3261"/>
    <w:rsid w:val="000E333D"/>
    <w:rsid w:val="000E34DE"/>
    <w:rsid w:val="000E3511"/>
    <w:rsid w:val="000E3648"/>
    <w:rsid w:val="000E3D74"/>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440"/>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DEB"/>
    <w:rsid w:val="00114FAF"/>
    <w:rsid w:val="001153A4"/>
    <w:rsid w:val="00115478"/>
    <w:rsid w:val="001154A8"/>
    <w:rsid w:val="001154E9"/>
    <w:rsid w:val="0011590C"/>
    <w:rsid w:val="00115990"/>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3F1"/>
    <w:rsid w:val="0011746D"/>
    <w:rsid w:val="0011746E"/>
    <w:rsid w:val="0011766A"/>
    <w:rsid w:val="0011787E"/>
    <w:rsid w:val="0011789C"/>
    <w:rsid w:val="0011793C"/>
    <w:rsid w:val="0011794B"/>
    <w:rsid w:val="00120069"/>
    <w:rsid w:val="0012017C"/>
    <w:rsid w:val="001204A4"/>
    <w:rsid w:val="00120572"/>
    <w:rsid w:val="001208D1"/>
    <w:rsid w:val="00120DE7"/>
    <w:rsid w:val="00120EB0"/>
    <w:rsid w:val="001213B3"/>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19C"/>
    <w:rsid w:val="00131221"/>
    <w:rsid w:val="0013129A"/>
    <w:rsid w:val="001319C3"/>
    <w:rsid w:val="00131A1A"/>
    <w:rsid w:val="00131BB6"/>
    <w:rsid w:val="00132070"/>
    <w:rsid w:val="00132112"/>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63"/>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04A"/>
    <w:rsid w:val="001511BC"/>
    <w:rsid w:val="001513C8"/>
    <w:rsid w:val="001513F5"/>
    <w:rsid w:val="0015177D"/>
    <w:rsid w:val="001518A0"/>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138"/>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0D7"/>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BB7"/>
    <w:rsid w:val="00166CB7"/>
    <w:rsid w:val="00166D23"/>
    <w:rsid w:val="00167240"/>
    <w:rsid w:val="001672B1"/>
    <w:rsid w:val="0016757C"/>
    <w:rsid w:val="001676DE"/>
    <w:rsid w:val="001677BC"/>
    <w:rsid w:val="001678D7"/>
    <w:rsid w:val="00167A0E"/>
    <w:rsid w:val="00167B43"/>
    <w:rsid w:val="00167BAE"/>
    <w:rsid w:val="00167CBD"/>
    <w:rsid w:val="00167D81"/>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679"/>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A3C"/>
    <w:rsid w:val="00187BCA"/>
    <w:rsid w:val="00187C15"/>
    <w:rsid w:val="00187CCE"/>
    <w:rsid w:val="00187F57"/>
    <w:rsid w:val="00187FFE"/>
    <w:rsid w:val="0019048F"/>
    <w:rsid w:val="001905FE"/>
    <w:rsid w:val="001909DA"/>
    <w:rsid w:val="00190B31"/>
    <w:rsid w:val="00190C75"/>
    <w:rsid w:val="00190CEF"/>
    <w:rsid w:val="00190F04"/>
    <w:rsid w:val="00191212"/>
    <w:rsid w:val="00191214"/>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C12"/>
    <w:rsid w:val="001B4CB1"/>
    <w:rsid w:val="001B4F49"/>
    <w:rsid w:val="001B5138"/>
    <w:rsid w:val="001B5298"/>
    <w:rsid w:val="001B53F8"/>
    <w:rsid w:val="001B5733"/>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1AD"/>
    <w:rsid w:val="001F43CC"/>
    <w:rsid w:val="001F43FB"/>
    <w:rsid w:val="001F441F"/>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A35"/>
    <w:rsid w:val="00206FA5"/>
    <w:rsid w:val="002070B8"/>
    <w:rsid w:val="002072CC"/>
    <w:rsid w:val="0020765C"/>
    <w:rsid w:val="00207676"/>
    <w:rsid w:val="00207B69"/>
    <w:rsid w:val="00207C46"/>
    <w:rsid w:val="00210235"/>
    <w:rsid w:val="002102BC"/>
    <w:rsid w:val="002105FF"/>
    <w:rsid w:val="00210697"/>
    <w:rsid w:val="002107BB"/>
    <w:rsid w:val="002108E5"/>
    <w:rsid w:val="002108ED"/>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19"/>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37ED2"/>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F8"/>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6D1"/>
    <w:rsid w:val="002807BB"/>
    <w:rsid w:val="00280918"/>
    <w:rsid w:val="00280A13"/>
    <w:rsid w:val="00280A75"/>
    <w:rsid w:val="00280D3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A55"/>
    <w:rsid w:val="00291BE9"/>
    <w:rsid w:val="00291E68"/>
    <w:rsid w:val="00292205"/>
    <w:rsid w:val="0029253D"/>
    <w:rsid w:val="002927D6"/>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0BB"/>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A55"/>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62"/>
    <w:rsid w:val="002B4DDE"/>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4CA2"/>
    <w:rsid w:val="002C504C"/>
    <w:rsid w:val="002C5493"/>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729"/>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C5A"/>
    <w:rsid w:val="00301DE2"/>
    <w:rsid w:val="00301F1F"/>
    <w:rsid w:val="00302133"/>
    <w:rsid w:val="003021D2"/>
    <w:rsid w:val="00302358"/>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4F7"/>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033"/>
    <w:rsid w:val="00366329"/>
    <w:rsid w:val="003663C7"/>
    <w:rsid w:val="003666C7"/>
    <w:rsid w:val="0036687A"/>
    <w:rsid w:val="00366AB5"/>
    <w:rsid w:val="00366C8A"/>
    <w:rsid w:val="00366C9F"/>
    <w:rsid w:val="00366DA7"/>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1A"/>
    <w:rsid w:val="00387753"/>
    <w:rsid w:val="0038792D"/>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77D"/>
    <w:rsid w:val="003928AE"/>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B64"/>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5E20"/>
    <w:rsid w:val="003C6107"/>
    <w:rsid w:val="003C6276"/>
    <w:rsid w:val="003C6317"/>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0BF"/>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429"/>
    <w:rsid w:val="003E2966"/>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11A"/>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61"/>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C6F"/>
    <w:rsid w:val="00411DB5"/>
    <w:rsid w:val="0041204E"/>
    <w:rsid w:val="004120B9"/>
    <w:rsid w:val="004123D5"/>
    <w:rsid w:val="004124D2"/>
    <w:rsid w:val="0041286E"/>
    <w:rsid w:val="004129AD"/>
    <w:rsid w:val="00412A60"/>
    <w:rsid w:val="00412AF7"/>
    <w:rsid w:val="00412B42"/>
    <w:rsid w:val="00412B8B"/>
    <w:rsid w:val="00412BB5"/>
    <w:rsid w:val="00412C64"/>
    <w:rsid w:val="00412CCB"/>
    <w:rsid w:val="00412F59"/>
    <w:rsid w:val="00412FEC"/>
    <w:rsid w:val="004131EA"/>
    <w:rsid w:val="00413D86"/>
    <w:rsid w:val="00413F80"/>
    <w:rsid w:val="004141B4"/>
    <w:rsid w:val="00414361"/>
    <w:rsid w:val="004143A2"/>
    <w:rsid w:val="004143AC"/>
    <w:rsid w:val="004147BB"/>
    <w:rsid w:val="00414843"/>
    <w:rsid w:val="004148AA"/>
    <w:rsid w:val="00414957"/>
    <w:rsid w:val="004149CB"/>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684"/>
    <w:rsid w:val="004327B2"/>
    <w:rsid w:val="00432801"/>
    <w:rsid w:val="004329D5"/>
    <w:rsid w:val="004329D9"/>
    <w:rsid w:val="00432B5B"/>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5C8"/>
    <w:rsid w:val="0045779A"/>
    <w:rsid w:val="004577B3"/>
    <w:rsid w:val="00457855"/>
    <w:rsid w:val="00457C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9A0"/>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69E"/>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42E"/>
    <w:rsid w:val="00497A9B"/>
    <w:rsid w:val="00497C82"/>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4E2"/>
    <w:rsid w:val="004B2777"/>
    <w:rsid w:val="004B28BA"/>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E0F"/>
    <w:rsid w:val="004B7F3E"/>
    <w:rsid w:val="004C0413"/>
    <w:rsid w:val="004C051A"/>
    <w:rsid w:val="004C0708"/>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5E1"/>
    <w:rsid w:val="004D36C7"/>
    <w:rsid w:val="004D36E0"/>
    <w:rsid w:val="004D39CC"/>
    <w:rsid w:val="004D3B02"/>
    <w:rsid w:val="004D4005"/>
    <w:rsid w:val="004D4096"/>
    <w:rsid w:val="004D414D"/>
    <w:rsid w:val="004D4184"/>
    <w:rsid w:val="004D424B"/>
    <w:rsid w:val="004D45E3"/>
    <w:rsid w:val="004D481F"/>
    <w:rsid w:val="004D4AB7"/>
    <w:rsid w:val="004D4CBF"/>
    <w:rsid w:val="004D508A"/>
    <w:rsid w:val="004D52F4"/>
    <w:rsid w:val="004D5676"/>
    <w:rsid w:val="004D56E5"/>
    <w:rsid w:val="004D5D11"/>
    <w:rsid w:val="004D63C7"/>
    <w:rsid w:val="004D6A08"/>
    <w:rsid w:val="004D6B8C"/>
    <w:rsid w:val="004D6C26"/>
    <w:rsid w:val="004D6E39"/>
    <w:rsid w:val="004D6FA5"/>
    <w:rsid w:val="004D7363"/>
    <w:rsid w:val="004D73CF"/>
    <w:rsid w:val="004D73E3"/>
    <w:rsid w:val="004D75C5"/>
    <w:rsid w:val="004D774D"/>
    <w:rsid w:val="004D787A"/>
    <w:rsid w:val="004D7973"/>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010"/>
    <w:rsid w:val="004F74F7"/>
    <w:rsid w:val="004F7519"/>
    <w:rsid w:val="004F755C"/>
    <w:rsid w:val="004F764D"/>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692"/>
    <w:rsid w:val="0050781D"/>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7CD"/>
    <w:rsid w:val="0052382E"/>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A90"/>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EE0"/>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5E1"/>
    <w:rsid w:val="00570715"/>
    <w:rsid w:val="00570723"/>
    <w:rsid w:val="00570851"/>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3BA"/>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6C2"/>
    <w:rsid w:val="005817D9"/>
    <w:rsid w:val="005819E8"/>
    <w:rsid w:val="00581A15"/>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C1"/>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6B0"/>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1A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7F"/>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61CF"/>
    <w:rsid w:val="005B6459"/>
    <w:rsid w:val="005B676D"/>
    <w:rsid w:val="005B699B"/>
    <w:rsid w:val="005B69D4"/>
    <w:rsid w:val="005B6BF1"/>
    <w:rsid w:val="005B6C0C"/>
    <w:rsid w:val="005B6C30"/>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921"/>
    <w:rsid w:val="005D0A06"/>
    <w:rsid w:val="005D0B11"/>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A15"/>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651"/>
    <w:rsid w:val="00606BCF"/>
    <w:rsid w:val="00606C83"/>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815"/>
    <w:rsid w:val="0061197F"/>
    <w:rsid w:val="00611B9B"/>
    <w:rsid w:val="00611C02"/>
    <w:rsid w:val="00611C49"/>
    <w:rsid w:val="00611CE3"/>
    <w:rsid w:val="00611F89"/>
    <w:rsid w:val="00612111"/>
    <w:rsid w:val="006121B0"/>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65E"/>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9ED"/>
    <w:rsid w:val="00634A58"/>
    <w:rsid w:val="00634B1B"/>
    <w:rsid w:val="00634C3D"/>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150C"/>
    <w:rsid w:val="00641B26"/>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4A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3E0"/>
    <w:rsid w:val="006525F8"/>
    <w:rsid w:val="006529F3"/>
    <w:rsid w:val="00652A67"/>
    <w:rsid w:val="00652B13"/>
    <w:rsid w:val="00652DFB"/>
    <w:rsid w:val="0065313E"/>
    <w:rsid w:val="00653191"/>
    <w:rsid w:val="0065335C"/>
    <w:rsid w:val="00653A2E"/>
    <w:rsid w:val="00653B79"/>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934"/>
    <w:rsid w:val="00661DCD"/>
    <w:rsid w:val="00661DD3"/>
    <w:rsid w:val="00661EE8"/>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4EE1"/>
    <w:rsid w:val="0066501F"/>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BA1"/>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D9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6D"/>
    <w:rsid w:val="006F4076"/>
    <w:rsid w:val="006F42C2"/>
    <w:rsid w:val="006F4381"/>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6AD"/>
    <w:rsid w:val="006F7799"/>
    <w:rsid w:val="006F7B46"/>
    <w:rsid w:val="006F7D21"/>
    <w:rsid w:val="006F7DF7"/>
    <w:rsid w:val="00700060"/>
    <w:rsid w:val="007001BB"/>
    <w:rsid w:val="0070051B"/>
    <w:rsid w:val="0070055D"/>
    <w:rsid w:val="0070062E"/>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962"/>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66E"/>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EC9"/>
    <w:rsid w:val="00736F0D"/>
    <w:rsid w:val="00737277"/>
    <w:rsid w:val="007372D8"/>
    <w:rsid w:val="00737360"/>
    <w:rsid w:val="0073747E"/>
    <w:rsid w:val="00737574"/>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E83"/>
    <w:rsid w:val="0075303E"/>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5"/>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14F"/>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67D"/>
    <w:rsid w:val="0078594B"/>
    <w:rsid w:val="00785A58"/>
    <w:rsid w:val="00785AD2"/>
    <w:rsid w:val="00785D9A"/>
    <w:rsid w:val="00785FD9"/>
    <w:rsid w:val="00786024"/>
    <w:rsid w:val="00786150"/>
    <w:rsid w:val="0078659A"/>
    <w:rsid w:val="00786720"/>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778"/>
    <w:rsid w:val="007A1897"/>
    <w:rsid w:val="007A191A"/>
    <w:rsid w:val="007A19C8"/>
    <w:rsid w:val="007A1B5A"/>
    <w:rsid w:val="007A1DA3"/>
    <w:rsid w:val="007A2480"/>
    <w:rsid w:val="007A2510"/>
    <w:rsid w:val="007A26A6"/>
    <w:rsid w:val="007A2906"/>
    <w:rsid w:val="007A2A68"/>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D9"/>
    <w:rsid w:val="007B00E7"/>
    <w:rsid w:val="007B0270"/>
    <w:rsid w:val="007B05B7"/>
    <w:rsid w:val="007B06DA"/>
    <w:rsid w:val="007B0734"/>
    <w:rsid w:val="007B0810"/>
    <w:rsid w:val="007B09B9"/>
    <w:rsid w:val="007B09C8"/>
    <w:rsid w:val="007B0DA4"/>
    <w:rsid w:val="007B0DCB"/>
    <w:rsid w:val="007B0E15"/>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71"/>
    <w:rsid w:val="007C1949"/>
    <w:rsid w:val="007C1FA9"/>
    <w:rsid w:val="007C2116"/>
    <w:rsid w:val="007C2201"/>
    <w:rsid w:val="007C22FE"/>
    <w:rsid w:val="007C24C8"/>
    <w:rsid w:val="007C270F"/>
    <w:rsid w:val="007C2792"/>
    <w:rsid w:val="007C28E6"/>
    <w:rsid w:val="007C2962"/>
    <w:rsid w:val="007C2A0A"/>
    <w:rsid w:val="007C2CA8"/>
    <w:rsid w:val="007C2F64"/>
    <w:rsid w:val="007C2F6F"/>
    <w:rsid w:val="007C31D7"/>
    <w:rsid w:val="007C355A"/>
    <w:rsid w:val="007C3778"/>
    <w:rsid w:val="007C37D0"/>
    <w:rsid w:val="007C3B4B"/>
    <w:rsid w:val="007C3D03"/>
    <w:rsid w:val="007C3DE4"/>
    <w:rsid w:val="007C4028"/>
    <w:rsid w:val="007C4033"/>
    <w:rsid w:val="007C4098"/>
    <w:rsid w:val="007C4252"/>
    <w:rsid w:val="007C42BB"/>
    <w:rsid w:val="007C45E3"/>
    <w:rsid w:val="007C46DE"/>
    <w:rsid w:val="007C4C9B"/>
    <w:rsid w:val="007C4EA4"/>
    <w:rsid w:val="007C4EFF"/>
    <w:rsid w:val="007C5058"/>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3F5"/>
    <w:rsid w:val="007D1446"/>
    <w:rsid w:val="007D1509"/>
    <w:rsid w:val="007D16A6"/>
    <w:rsid w:val="007D1841"/>
    <w:rsid w:val="007D1873"/>
    <w:rsid w:val="007D18FA"/>
    <w:rsid w:val="007D1A04"/>
    <w:rsid w:val="007D1A8C"/>
    <w:rsid w:val="007D1AF2"/>
    <w:rsid w:val="007D1D4D"/>
    <w:rsid w:val="007D1DFD"/>
    <w:rsid w:val="007D2009"/>
    <w:rsid w:val="007D21C0"/>
    <w:rsid w:val="007D25E5"/>
    <w:rsid w:val="007D2648"/>
    <w:rsid w:val="007D27C0"/>
    <w:rsid w:val="007D29FA"/>
    <w:rsid w:val="007D30B3"/>
    <w:rsid w:val="007D3239"/>
    <w:rsid w:val="007D328E"/>
    <w:rsid w:val="007D32AD"/>
    <w:rsid w:val="007D32E3"/>
    <w:rsid w:val="007D33CF"/>
    <w:rsid w:val="007D33D7"/>
    <w:rsid w:val="007D34BB"/>
    <w:rsid w:val="007D3743"/>
    <w:rsid w:val="007D378E"/>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831"/>
    <w:rsid w:val="007E0A55"/>
    <w:rsid w:val="007E0AFA"/>
    <w:rsid w:val="007E0B18"/>
    <w:rsid w:val="007E0B2F"/>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E7ADF"/>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3CF"/>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540"/>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007"/>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FE0"/>
    <w:rsid w:val="008460F7"/>
    <w:rsid w:val="008463D2"/>
    <w:rsid w:val="008464C6"/>
    <w:rsid w:val="008464F5"/>
    <w:rsid w:val="00846B61"/>
    <w:rsid w:val="00846BC5"/>
    <w:rsid w:val="00846C83"/>
    <w:rsid w:val="00847104"/>
    <w:rsid w:val="00847477"/>
    <w:rsid w:val="00847656"/>
    <w:rsid w:val="00847689"/>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1"/>
    <w:rsid w:val="008612B9"/>
    <w:rsid w:val="008612E8"/>
    <w:rsid w:val="0086176B"/>
    <w:rsid w:val="0086177D"/>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5AC"/>
    <w:rsid w:val="008749EA"/>
    <w:rsid w:val="00874A39"/>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2F"/>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6E2"/>
    <w:rsid w:val="008A1771"/>
    <w:rsid w:val="008A20A4"/>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D08"/>
    <w:rsid w:val="008B1DAF"/>
    <w:rsid w:val="008B2926"/>
    <w:rsid w:val="008B2A13"/>
    <w:rsid w:val="008B2B07"/>
    <w:rsid w:val="008B2C32"/>
    <w:rsid w:val="008B3226"/>
    <w:rsid w:val="008B32F5"/>
    <w:rsid w:val="008B3400"/>
    <w:rsid w:val="008B36C5"/>
    <w:rsid w:val="008B36F2"/>
    <w:rsid w:val="008B39AF"/>
    <w:rsid w:val="008B3B0E"/>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3DD"/>
    <w:rsid w:val="008C14FA"/>
    <w:rsid w:val="008C1662"/>
    <w:rsid w:val="008C1695"/>
    <w:rsid w:val="008C172A"/>
    <w:rsid w:val="008C19D8"/>
    <w:rsid w:val="008C1AD3"/>
    <w:rsid w:val="008C1B40"/>
    <w:rsid w:val="008C1BB8"/>
    <w:rsid w:val="008C1C03"/>
    <w:rsid w:val="008C1E7A"/>
    <w:rsid w:val="008C209D"/>
    <w:rsid w:val="008C2138"/>
    <w:rsid w:val="008C2260"/>
    <w:rsid w:val="008C23F6"/>
    <w:rsid w:val="008C2914"/>
    <w:rsid w:val="008C2AAA"/>
    <w:rsid w:val="008C2BA6"/>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B94"/>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66"/>
    <w:rsid w:val="008E30D5"/>
    <w:rsid w:val="008E32EA"/>
    <w:rsid w:val="008E336D"/>
    <w:rsid w:val="008E3866"/>
    <w:rsid w:val="008E3876"/>
    <w:rsid w:val="008E3AC8"/>
    <w:rsid w:val="008E3D86"/>
    <w:rsid w:val="008E3EF6"/>
    <w:rsid w:val="008E46D8"/>
    <w:rsid w:val="008E48EA"/>
    <w:rsid w:val="008E49C5"/>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167"/>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ACD"/>
    <w:rsid w:val="00940F8C"/>
    <w:rsid w:val="0094108E"/>
    <w:rsid w:val="009410B4"/>
    <w:rsid w:val="0094155F"/>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EDD"/>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3FF2"/>
    <w:rsid w:val="0097417D"/>
    <w:rsid w:val="009741F4"/>
    <w:rsid w:val="0097436A"/>
    <w:rsid w:val="009744F1"/>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58"/>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A0"/>
    <w:rsid w:val="009940B7"/>
    <w:rsid w:val="00994116"/>
    <w:rsid w:val="009942B4"/>
    <w:rsid w:val="009945C1"/>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8EE"/>
    <w:rsid w:val="009B6E7B"/>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07E"/>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0B"/>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8D1"/>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352"/>
    <w:rsid w:val="00A43375"/>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16A"/>
    <w:rsid w:val="00A46403"/>
    <w:rsid w:val="00A4645F"/>
    <w:rsid w:val="00A465EC"/>
    <w:rsid w:val="00A466B3"/>
    <w:rsid w:val="00A46802"/>
    <w:rsid w:val="00A46AD3"/>
    <w:rsid w:val="00A46B13"/>
    <w:rsid w:val="00A46C77"/>
    <w:rsid w:val="00A46D94"/>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0"/>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AB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2B3"/>
    <w:rsid w:val="00AD6312"/>
    <w:rsid w:val="00AD66BA"/>
    <w:rsid w:val="00AD6A22"/>
    <w:rsid w:val="00AD6B41"/>
    <w:rsid w:val="00AD6F8B"/>
    <w:rsid w:val="00AD6F9E"/>
    <w:rsid w:val="00AD70A6"/>
    <w:rsid w:val="00AD7522"/>
    <w:rsid w:val="00AD7CD4"/>
    <w:rsid w:val="00AE015E"/>
    <w:rsid w:val="00AE02C6"/>
    <w:rsid w:val="00AE098D"/>
    <w:rsid w:val="00AE09B0"/>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509"/>
    <w:rsid w:val="00AF7897"/>
    <w:rsid w:val="00AF7A6E"/>
    <w:rsid w:val="00AF7AA0"/>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AE1"/>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20"/>
    <w:rsid w:val="00B3208C"/>
    <w:rsid w:val="00B32098"/>
    <w:rsid w:val="00B320A5"/>
    <w:rsid w:val="00B3225D"/>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C58"/>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B3D"/>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D5C"/>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0FC"/>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69"/>
    <w:rsid w:val="00BA5CF1"/>
    <w:rsid w:val="00BA5DD9"/>
    <w:rsid w:val="00BA63F6"/>
    <w:rsid w:val="00BA6460"/>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83"/>
    <w:rsid w:val="00BF4DC7"/>
    <w:rsid w:val="00BF4F42"/>
    <w:rsid w:val="00BF513E"/>
    <w:rsid w:val="00BF52B6"/>
    <w:rsid w:val="00BF55C7"/>
    <w:rsid w:val="00BF565F"/>
    <w:rsid w:val="00BF588A"/>
    <w:rsid w:val="00BF58E9"/>
    <w:rsid w:val="00BF5AA3"/>
    <w:rsid w:val="00BF5AF6"/>
    <w:rsid w:val="00BF5DB9"/>
    <w:rsid w:val="00BF5FC8"/>
    <w:rsid w:val="00BF60ED"/>
    <w:rsid w:val="00BF6121"/>
    <w:rsid w:val="00BF61BB"/>
    <w:rsid w:val="00BF62F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40"/>
    <w:rsid w:val="00C15EF9"/>
    <w:rsid w:val="00C15F7E"/>
    <w:rsid w:val="00C15F84"/>
    <w:rsid w:val="00C16007"/>
    <w:rsid w:val="00C16098"/>
    <w:rsid w:val="00C1629D"/>
    <w:rsid w:val="00C16505"/>
    <w:rsid w:val="00C16530"/>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361"/>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0E"/>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A80"/>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5A6"/>
    <w:rsid w:val="00C337A8"/>
    <w:rsid w:val="00C33AAE"/>
    <w:rsid w:val="00C33F42"/>
    <w:rsid w:val="00C3448A"/>
    <w:rsid w:val="00C346B7"/>
    <w:rsid w:val="00C34759"/>
    <w:rsid w:val="00C347E1"/>
    <w:rsid w:val="00C348FC"/>
    <w:rsid w:val="00C34C59"/>
    <w:rsid w:val="00C350F7"/>
    <w:rsid w:val="00C35103"/>
    <w:rsid w:val="00C35235"/>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2"/>
    <w:rsid w:val="00C4172F"/>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751"/>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3"/>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2F3F"/>
    <w:rsid w:val="00CD351B"/>
    <w:rsid w:val="00CD36D5"/>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1FFA"/>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FF"/>
    <w:rsid w:val="00CF2C68"/>
    <w:rsid w:val="00CF2E52"/>
    <w:rsid w:val="00CF2F2A"/>
    <w:rsid w:val="00CF3221"/>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5E7"/>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39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621"/>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44F"/>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126"/>
    <w:rsid w:val="00D4146C"/>
    <w:rsid w:val="00D41757"/>
    <w:rsid w:val="00D41812"/>
    <w:rsid w:val="00D41912"/>
    <w:rsid w:val="00D41BD7"/>
    <w:rsid w:val="00D41BE0"/>
    <w:rsid w:val="00D41C2A"/>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10"/>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85"/>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E10"/>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65"/>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906"/>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1EC4"/>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0F56"/>
    <w:rsid w:val="00DB1896"/>
    <w:rsid w:val="00DB1AC1"/>
    <w:rsid w:val="00DB1C34"/>
    <w:rsid w:val="00DB1E60"/>
    <w:rsid w:val="00DB1EAD"/>
    <w:rsid w:val="00DB1F81"/>
    <w:rsid w:val="00DB20C3"/>
    <w:rsid w:val="00DB20E3"/>
    <w:rsid w:val="00DB244E"/>
    <w:rsid w:val="00DB25E3"/>
    <w:rsid w:val="00DB25E4"/>
    <w:rsid w:val="00DB2716"/>
    <w:rsid w:val="00DB275D"/>
    <w:rsid w:val="00DB27BC"/>
    <w:rsid w:val="00DB293D"/>
    <w:rsid w:val="00DB2A05"/>
    <w:rsid w:val="00DB2A61"/>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196"/>
    <w:rsid w:val="00DB6315"/>
    <w:rsid w:val="00DB65FA"/>
    <w:rsid w:val="00DB668C"/>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8C9"/>
    <w:rsid w:val="00DD2AFC"/>
    <w:rsid w:val="00DD2B51"/>
    <w:rsid w:val="00DD2D5E"/>
    <w:rsid w:val="00DD2F42"/>
    <w:rsid w:val="00DD31A1"/>
    <w:rsid w:val="00DD323D"/>
    <w:rsid w:val="00DD32E9"/>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26E"/>
    <w:rsid w:val="00DE430A"/>
    <w:rsid w:val="00DE479C"/>
    <w:rsid w:val="00DE486B"/>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3DF5"/>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0E"/>
    <w:rsid w:val="00E02472"/>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123"/>
    <w:rsid w:val="00E102B0"/>
    <w:rsid w:val="00E1048B"/>
    <w:rsid w:val="00E108AC"/>
    <w:rsid w:val="00E108BD"/>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346"/>
    <w:rsid w:val="00E1545E"/>
    <w:rsid w:val="00E15653"/>
    <w:rsid w:val="00E158AE"/>
    <w:rsid w:val="00E15B43"/>
    <w:rsid w:val="00E15C9D"/>
    <w:rsid w:val="00E15D5B"/>
    <w:rsid w:val="00E15DF0"/>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66C"/>
    <w:rsid w:val="00E23946"/>
    <w:rsid w:val="00E239D3"/>
    <w:rsid w:val="00E23A59"/>
    <w:rsid w:val="00E240CC"/>
    <w:rsid w:val="00E244CA"/>
    <w:rsid w:val="00E244DB"/>
    <w:rsid w:val="00E2451D"/>
    <w:rsid w:val="00E245C8"/>
    <w:rsid w:val="00E24843"/>
    <w:rsid w:val="00E24AED"/>
    <w:rsid w:val="00E24B6D"/>
    <w:rsid w:val="00E24E76"/>
    <w:rsid w:val="00E24EDB"/>
    <w:rsid w:val="00E250AD"/>
    <w:rsid w:val="00E25143"/>
    <w:rsid w:val="00E2531C"/>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695"/>
    <w:rsid w:val="00E53826"/>
    <w:rsid w:val="00E53896"/>
    <w:rsid w:val="00E541A0"/>
    <w:rsid w:val="00E544A3"/>
    <w:rsid w:val="00E545A3"/>
    <w:rsid w:val="00E549A2"/>
    <w:rsid w:val="00E549D0"/>
    <w:rsid w:val="00E54A75"/>
    <w:rsid w:val="00E54D90"/>
    <w:rsid w:val="00E54DD3"/>
    <w:rsid w:val="00E552D0"/>
    <w:rsid w:val="00E5535A"/>
    <w:rsid w:val="00E5554E"/>
    <w:rsid w:val="00E55B44"/>
    <w:rsid w:val="00E55C87"/>
    <w:rsid w:val="00E55CD9"/>
    <w:rsid w:val="00E56006"/>
    <w:rsid w:val="00E5602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B3F"/>
    <w:rsid w:val="00E66B9D"/>
    <w:rsid w:val="00E66CB7"/>
    <w:rsid w:val="00E671E7"/>
    <w:rsid w:val="00E67473"/>
    <w:rsid w:val="00E6770C"/>
    <w:rsid w:val="00E679BA"/>
    <w:rsid w:val="00E679F5"/>
    <w:rsid w:val="00E67BE7"/>
    <w:rsid w:val="00E67CBE"/>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B87"/>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6F"/>
    <w:rsid w:val="00E92119"/>
    <w:rsid w:val="00E9216A"/>
    <w:rsid w:val="00E92188"/>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1E8"/>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170"/>
    <w:rsid w:val="00EB144C"/>
    <w:rsid w:val="00EB15C3"/>
    <w:rsid w:val="00EB1DE7"/>
    <w:rsid w:val="00EB1FC1"/>
    <w:rsid w:val="00EB203C"/>
    <w:rsid w:val="00EB20CF"/>
    <w:rsid w:val="00EB2182"/>
    <w:rsid w:val="00EB2851"/>
    <w:rsid w:val="00EB2CCD"/>
    <w:rsid w:val="00EB2D7A"/>
    <w:rsid w:val="00EB32C0"/>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1FE9"/>
    <w:rsid w:val="00ED26B7"/>
    <w:rsid w:val="00ED288D"/>
    <w:rsid w:val="00ED29A0"/>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19"/>
    <w:rsid w:val="00ED53B2"/>
    <w:rsid w:val="00ED543D"/>
    <w:rsid w:val="00ED54FD"/>
    <w:rsid w:val="00ED551B"/>
    <w:rsid w:val="00ED555B"/>
    <w:rsid w:val="00ED5601"/>
    <w:rsid w:val="00ED588C"/>
    <w:rsid w:val="00ED5B6D"/>
    <w:rsid w:val="00ED5B84"/>
    <w:rsid w:val="00ED5BCE"/>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07D5"/>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3F"/>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065"/>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AC"/>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C8B"/>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347"/>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3F6"/>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4A6"/>
    <w:rsid w:val="00F5152D"/>
    <w:rsid w:val="00F515B3"/>
    <w:rsid w:val="00F516C5"/>
    <w:rsid w:val="00F51B77"/>
    <w:rsid w:val="00F51DB9"/>
    <w:rsid w:val="00F526CD"/>
    <w:rsid w:val="00F52802"/>
    <w:rsid w:val="00F52928"/>
    <w:rsid w:val="00F5294E"/>
    <w:rsid w:val="00F5295F"/>
    <w:rsid w:val="00F52A22"/>
    <w:rsid w:val="00F52B32"/>
    <w:rsid w:val="00F52B72"/>
    <w:rsid w:val="00F52CFC"/>
    <w:rsid w:val="00F52E0B"/>
    <w:rsid w:val="00F52E27"/>
    <w:rsid w:val="00F5302D"/>
    <w:rsid w:val="00F53231"/>
    <w:rsid w:val="00F53305"/>
    <w:rsid w:val="00F53B05"/>
    <w:rsid w:val="00F53C8F"/>
    <w:rsid w:val="00F53ED8"/>
    <w:rsid w:val="00F53F96"/>
    <w:rsid w:val="00F53F9C"/>
    <w:rsid w:val="00F5402A"/>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7EE"/>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8A"/>
    <w:rsid w:val="00F9081D"/>
    <w:rsid w:val="00F90BD5"/>
    <w:rsid w:val="00F910CE"/>
    <w:rsid w:val="00F9161B"/>
    <w:rsid w:val="00F91A82"/>
    <w:rsid w:val="00F91C89"/>
    <w:rsid w:val="00F91D40"/>
    <w:rsid w:val="00F91D78"/>
    <w:rsid w:val="00F91D90"/>
    <w:rsid w:val="00F91DB2"/>
    <w:rsid w:val="00F91DC0"/>
    <w:rsid w:val="00F91E9D"/>
    <w:rsid w:val="00F91F19"/>
    <w:rsid w:val="00F91F70"/>
    <w:rsid w:val="00F920E0"/>
    <w:rsid w:val="00F92113"/>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6C"/>
    <w:rsid w:val="00FA44A2"/>
    <w:rsid w:val="00FA44FF"/>
    <w:rsid w:val="00FA46F0"/>
    <w:rsid w:val="00FA47B5"/>
    <w:rsid w:val="00FA4D35"/>
    <w:rsid w:val="00FA4D85"/>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1B4"/>
    <w:rsid w:val="00FC545E"/>
    <w:rsid w:val="00FC54E0"/>
    <w:rsid w:val="00FC5866"/>
    <w:rsid w:val="00FC5A0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5EA"/>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ombudsman.org.uk/publications/broken-trust-making-patient-safety-more-just-promise" TargetMode="External"/><Relationship Id="rId26" Type="http://schemas.openxmlformats.org/officeDocument/2006/relationships/hyperlink" Target="https://www.safetyandquality.gov.au/our-work/healthcare-variation" TargetMode="External"/><Relationship Id="rId39" Type="http://schemas.openxmlformats.org/officeDocument/2006/relationships/hyperlink" Target="https://www.safetyandquality.gov.au/publications-and-resources/resource-library/covid-19-infection-prevention-and-control-risk-management-guidance" TargetMode="External"/><Relationship Id="rId3" Type="http://schemas.openxmlformats.org/officeDocument/2006/relationships/styles" Target="styles.xml"/><Relationship Id="rId21" Type="http://schemas.openxmlformats.org/officeDocument/2006/relationships/hyperlink" Target="https://doi.org/10.1097/pts.0000000000001136" TargetMode="External"/><Relationship Id="rId34" Type="http://schemas.openxmlformats.org/officeDocument/2006/relationships/hyperlink" Target="https://www.safetyandquality.gov.au/publications-and-resources/resource-library/infection-prevention-and-control-poster-combined-contact-and-droplet-precautions" TargetMode="External"/><Relationship Id="rId42" Type="http://schemas.openxmlformats.org/officeDocument/2006/relationships/image" Target="media/image4.PNG"/><Relationship Id="rId47" Type="http://schemas.openxmlformats.org/officeDocument/2006/relationships/hyperlink" Target="https://www.aci.health.nsw.gov.au/covid-19/critical-intelligence-unit"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gettingitrightfirsttime.co.uk/wp-content/uploads/2023/06/GIRFT-BGS-Six-Steps-to-Better-Care-for-Older-People-FINAL-V1-June-2023-1.pdf" TargetMode="External"/><Relationship Id="rId25" Type="http://schemas.openxmlformats.org/officeDocument/2006/relationships/hyperlink" Target="https://doi.org/10.1001/jamanetworkopen.2023.22310" TargetMode="External"/><Relationship Id="rId33" Type="http://schemas.openxmlformats.org/officeDocument/2006/relationships/hyperlink" Target="https://www.safetyandquality.gov.au/publications-and-resources/resource-library/covid-19-infection-prevention-and-control-risk-management-guidance" TargetMode="External"/><Relationship Id="rId38" Type="http://schemas.openxmlformats.org/officeDocument/2006/relationships/hyperlink" Target="http://www.safetyandquality.gov.au/environmental-cleaning" TargetMode="External"/><Relationship Id="rId46" Type="http://schemas.openxmlformats.org/officeDocument/2006/relationships/hyperlink" Target="https://covid19evidence.net.au/" TargetMode="External"/><Relationship Id="rId2" Type="http://schemas.openxmlformats.org/officeDocument/2006/relationships/numbering" Target="numbering.xml"/><Relationship Id="rId16" Type="http://schemas.openxmlformats.org/officeDocument/2006/relationships/hyperlink" Target="https://www.england.nhs.uk/publication/improving-patient-safety-culture-a-practical-guide/" TargetMode="External"/><Relationship Id="rId20" Type="http://schemas.openxmlformats.org/officeDocument/2006/relationships/hyperlink" Target="https://doi.org/10.1016/j.jcjq.2023.06.014" TargetMode="External"/><Relationship Id="rId29" Type="http://schemas.openxmlformats.org/officeDocument/2006/relationships/hyperlink" Target="https://qualitysafety.bmj.com/content/early/recent" TargetMode="External"/><Relationship Id="rId41"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136/bmjopen-2022-071203" TargetMode="External"/><Relationship Id="rId32" Type="http://schemas.openxmlformats.org/officeDocument/2006/relationships/hyperlink" Target="https://www.safetyandquality.gov.au/covid-19" TargetMode="External"/><Relationship Id="rId37" Type="http://schemas.openxmlformats.org/officeDocument/2006/relationships/image" Target="media/image3.PNG"/><Relationship Id="rId40" Type="http://schemas.openxmlformats.org/officeDocument/2006/relationships/hyperlink" Target="https://www.safetyandquality.gov.au/our-work/cognitive-impairment/cognitive-impairment-and-covid-19" TargetMode="External"/><Relationship Id="rId45"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safetyandquality.gov.au/publications-and-resources/resource-library/antimicrobial-stewardship-australian-health-care" TargetMode="External"/><Relationship Id="rId23" Type="http://schemas.openxmlformats.org/officeDocument/2006/relationships/hyperlink" Target="https://doi.org/10.1186/s12913-021-07433-w" TargetMode="External"/><Relationship Id="rId28" Type="http://schemas.openxmlformats.org/officeDocument/2006/relationships/hyperlink" Target="https://www.longwoods.com/publications/nursing-leadership/27121/1/vol.-36-no.-1-2023" TargetMode="External"/><Relationship Id="rId36" Type="http://schemas.openxmlformats.org/officeDocument/2006/relationships/hyperlink" Target="https://www.safetyandquality.gov.au/publications-and-resources/resource-library/poster-combined-airborne-and-contact-precautions" TargetMode="External"/><Relationship Id="rId49" Type="http://schemas.openxmlformats.org/officeDocument/2006/relationships/footer" Target="footer2.xml"/><Relationship Id="rId10" Type="http://schemas.openxmlformats.org/officeDocument/2006/relationships/hyperlink" Target="https://www.safetyandquality.gov.au/newsroom/subscribe-news" TargetMode="External"/><Relationship Id="rId19" Type="http://schemas.openxmlformats.org/officeDocument/2006/relationships/hyperlink" Target="https://doi.org/10.1186/s12913-023-09428-1" TargetMode="External"/><Relationship Id="rId31" Type="http://schemas.openxmlformats.org/officeDocument/2006/relationships/hyperlink" Target="https://www.thecommuniques.com/post/clinical-communiqu%C3%A9-volume-10-issue-2-june-2023" TargetMode="External"/><Relationship Id="rId44" Type="http://schemas.openxmlformats.org/officeDocument/2006/relationships/hyperlink" Target="https://www.safetyandquality.gov.au/sites/default/files/2020-07/covid-19_and_face_masks_-_information_for_consumers.pdf" TargetMode="Externa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medication-safety" TargetMode="External"/><Relationship Id="rId27" Type="http://schemas.openxmlformats.org/officeDocument/2006/relationships/hyperlink" Target="https://www.publish.csiro.au/py/issue/11378" TargetMode="External"/><Relationship Id="rId30" Type="http://schemas.openxmlformats.org/officeDocument/2006/relationships/hyperlink" Target="https://academic.oup.com/intqhc/advance-articles" TargetMode="External"/><Relationship Id="rId35" Type="http://schemas.openxmlformats.org/officeDocument/2006/relationships/image" Target="media/image2.PNG"/><Relationship Id="rId43" Type="http://schemas.openxmlformats.org/officeDocument/2006/relationships/hyperlink" Target="https://www.safetyandquality.gov.au/publications-and-resources/resource-library/covid-19-and-face-masks-information-consumers" TargetMode="External"/><Relationship Id="rId48"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12</Pages>
  <Words>4333</Words>
  <Characters>24702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Draft On the Radar Issue 611</vt:lpstr>
    </vt:vector>
  </TitlesOfParts>
  <Company>ACSQHC</Company>
  <LinksUpToDate>false</LinksUpToDate>
  <CharactersWithSpaces>28978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611</dc:title>
  <dc:subject/>
  <dc:creator>Dr Niall Johnson</dc:creator>
  <cp:keywords>On the Radar</cp:keywords>
  <dc:description/>
  <cp:lastModifiedBy>JOHNSON, Niall</cp:lastModifiedBy>
  <cp:revision>13</cp:revision>
  <cp:lastPrinted>2018-03-02T02:34:00Z</cp:lastPrinted>
  <dcterms:created xsi:type="dcterms:W3CDTF">2023-07-11T01:20:00Z</dcterms:created>
  <dcterms:modified xsi:type="dcterms:W3CDTF">2023-07-14T00:08:00Z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