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0F18D1B"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08CDC3DF" w:rsidR="009932E9" w:rsidRDefault="009932E9" w:rsidP="00F738B5">
      <w:pPr>
        <w:rPr>
          <w:rFonts w:ascii="Garamond" w:hAnsi="Garamond"/>
          <w:lang w:val="en-AU"/>
        </w:rPr>
      </w:pPr>
      <w:r>
        <w:rPr>
          <w:rFonts w:ascii="Garamond" w:hAnsi="Garamond"/>
          <w:lang w:val="en-AU"/>
        </w:rPr>
        <w:t>Issue 6</w:t>
      </w:r>
      <w:r w:rsidR="008B3B0E">
        <w:rPr>
          <w:rFonts w:ascii="Garamond" w:hAnsi="Garamond"/>
          <w:lang w:val="en-AU"/>
        </w:rPr>
        <w:t>1</w:t>
      </w:r>
      <w:r w:rsidR="00BD5BAE">
        <w:rPr>
          <w:rFonts w:ascii="Garamond" w:hAnsi="Garamond"/>
          <w:lang w:val="en-AU"/>
        </w:rPr>
        <w:t>3</w:t>
      </w:r>
    </w:p>
    <w:p w14:paraId="5081D681" w14:textId="41B5DFA2" w:rsidR="001A4346" w:rsidRDefault="00BD5BAE" w:rsidP="00F738B5">
      <w:pPr>
        <w:rPr>
          <w:rFonts w:ascii="Garamond" w:hAnsi="Garamond"/>
          <w:lang w:val="en-AU"/>
        </w:rPr>
      </w:pPr>
      <w:r>
        <w:rPr>
          <w:rFonts w:ascii="Garamond" w:hAnsi="Garamond"/>
          <w:lang w:val="en-AU"/>
        </w:rPr>
        <w:t>31</w:t>
      </w:r>
      <w:r w:rsidR="004C0708">
        <w:rPr>
          <w:rFonts w:ascii="Garamond" w:hAnsi="Garamond"/>
          <w:lang w:val="en-AU"/>
        </w:rPr>
        <w:t xml:space="preserve"> Ju</w:t>
      </w:r>
      <w:r w:rsidR="007E7ADF">
        <w:rPr>
          <w:rFonts w:ascii="Garamond" w:hAnsi="Garamond"/>
          <w:lang w:val="en-AU"/>
        </w:rPr>
        <w:t>ly</w:t>
      </w:r>
      <w:r w:rsidR="00AA6F24">
        <w:rPr>
          <w:rFonts w:ascii="Garamond" w:hAnsi="Garamond"/>
          <w:lang w:val="en-AU"/>
        </w:rPr>
        <w:t xml:space="preserve">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75CB4759"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BF4BF1">
        <w:rPr>
          <w:rFonts w:ascii="Garamond" w:hAnsi="Garamond"/>
          <w:bCs/>
          <w:lang w:val="en-AU"/>
        </w:rPr>
        <w:t xml:space="preserve">, </w:t>
      </w:r>
      <w:r w:rsidR="00BD5BAE">
        <w:rPr>
          <w:rFonts w:ascii="Garamond" w:hAnsi="Garamond"/>
          <w:bCs/>
          <w:lang w:val="en-AU"/>
        </w:rPr>
        <w:t>Kristin Xenos</w:t>
      </w:r>
    </w:p>
    <w:p w14:paraId="3A890F04" w14:textId="7691C54C" w:rsidR="00106440" w:rsidRDefault="00106440" w:rsidP="009525CC">
      <w:pPr>
        <w:rPr>
          <w:rFonts w:ascii="Garamond" w:hAnsi="Garamond"/>
          <w:bCs/>
          <w:lang w:val="en-AU"/>
        </w:rPr>
      </w:pPr>
    </w:p>
    <w:p w14:paraId="514ADE42" w14:textId="5F2545F3" w:rsidR="0015104A" w:rsidRDefault="00434279" w:rsidP="009525CC">
      <w:pPr>
        <w:rPr>
          <w:rFonts w:ascii="Garamond" w:hAnsi="Garamond"/>
          <w:b/>
          <w:lang w:val="en-AU"/>
        </w:rPr>
      </w:pPr>
      <w:r w:rsidRPr="00434279">
        <w:rPr>
          <w:rFonts w:ascii="Garamond" w:hAnsi="Garamond"/>
          <w:b/>
          <w:lang w:val="en-AU"/>
        </w:rPr>
        <w:t xml:space="preserve">Antimicrobial stewardship in primary care </w:t>
      </w:r>
      <w:r>
        <w:rPr>
          <w:rFonts w:ascii="Garamond" w:hAnsi="Garamond"/>
          <w:b/>
          <w:lang w:val="en-AU"/>
        </w:rPr>
        <w:t>factsheet</w:t>
      </w:r>
      <w:r w:rsidR="0031373A">
        <w:rPr>
          <w:rFonts w:ascii="Garamond" w:hAnsi="Garamond"/>
          <w:b/>
          <w:lang w:val="en-AU"/>
        </w:rPr>
        <w:t>s</w:t>
      </w:r>
    </w:p>
    <w:p w14:paraId="426F48AD" w14:textId="1A2393A2" w:rsidR="00434279" w:rsidRPr="00434279" w:rsidRDefault="002332B1" w:rsidP="009525CC">
      <w:pPr>
        <w:rPr>
          <w:rFonts w:ascii="Garamond" w:hAnsi="Garamond"/>
          <w:bCs/>
          <w:lang w:val="en-AU"/>
        </w:rPr>
      </w:pPr>
      <w:hyperlink r:id="rId15" w:history="1">
        <w:r w:rsidR="00434279" w:rsidRPr="00434279">
          <w:rPr>
            <w:rStyle w:val="Hyperlink"/>
            <w:rFonts w:ascii="Garamond" w:hAnsi="Garamond"/>
            <w:bCs/>
            <w:lang w:val="en-AU"/>
          </w:rPr>
          <w:t>https://www.safetyandquality.gov.au/our-work/antimicrobial-stewardship/antimicrobial-stewardship-primary-care</w:t>
        </w:r>
      </w:hyperlink>
    </w:p>
    <w:p w14:paraId="31426D64" w14:textId="77777777" w:rsidR="00434279" w:rsidRPr="00434279" w:rsidRDefault="00434279" w:rsidP="009525CC">
      <w:pPr>
        <w:rPr>
          <w:rFonts w:ascii="Garamond" w:hAnsi="Garamond"/>
          <w:bCs/>
          <w:lang w:val="en-AU"/>
        </w:rPr>
      </w:pPr>
    </w:p>
    <w:p w14:paraId="7EF77799" w14:textId="2897FD0C" w:rsidR="00434279" w:rsidRPr="00434279" w:rsidRDefault="00434279" w:rsidP="00434279">
      <w:pPr>
        <w:rPr>
          <w:rFonts w:ascii="Garamond" w:hAnsi="Garamond"/>
          <w:bCs/>
          <w:lang w:val="en-AU"/>
        </w:rPr>
      </w:pPr>
      <w:r w:rsidRPr="00434279">
        <w:rPr>
          <w:rFonts w:ascii="Garamond" w:hAnsi="Garamond"/>
          <w:bCs/>
          <w:lang w:val="en-AU"/>
        </w:rPr>
        <w:t xml:space="preserve">The National Safety and Quality Primary and Community Healthcare Standards have actions relating to antimicrobial stewardship. To support these the Commission has developed factsheets for </w:t>
      </w:r>
    </w:p>
    <w:p w14:paraId="76B41F31" w14:textId="72D078B7" w:rsidR="00434279" w:rsidRPr="00434279" w:rsidRDefault="00434279" w:rsidP="00434279">
      <w:pPr>
        <w:pStyle w:val="ListParagraph"/>
        <w:numPr>
          <w:ilvl w:val="0"/>
          <w:numId w:val="38"/>
        </w:numPr>
        <w:rPr>
          <w:rFonts w:ascii="Garamond" w:hAnsi="Garamond"/>
          <w:bCs/>
          <w:lang w:val="en-AU"/>
        </w:rPr>
      </w:pPr>
      <w:r w:rsidRPr="00434279">
        <w:rPr>
          <w:rFonts w:ascii="Garamond" w:hAnsi="Garamond"/>
          <w:bCs/>
          <w:lang w:val="en-AU"/>
        </w:rPr>
        <w:t>General Practice</w:t>
      </w:r>
    </w:p>
    <w:p w14:paraId="771D8951" w14:textId="0E724758" w:rsidR="00434279" w:rsidRPr="00434279" w:rsidRDefault="00434279" w:rsidP="00434279">
      <w:pPr>
        <w:pStyle w:val="ListParagraph"/>
        <w:numPr>
          <w:ilvl w:val="0"/>
          <w:numId w:val="38"/>
        </w:numPr>
        <w:rPr>
          <w:rFonts w:ascii="Garamond" w:hAnsi="Garamond"/>
          <w:bCs/>
          <w:lang w:val="en-AU"/>
        </w:rPr>
      </w:pPr>
      <w:r w:rsidRPr="00434279">
        <w:rPr>
          <w:rFonts w:ascii="Garamond" w:hAnsi="Garamond"/>
          <w:bCs/>
          <w:lang w:val="en-AU"/>
        </w:rPr>
        <w:t>Community Pharmacy</w:t>
      </w:r>
    </w:p>
    <w:p w14:paraId="4329E5A2" w14:textId="79620856" w:rsidR="00434279" w:rsidRPr="00434279" w:rsidRDefault="00434279" w:rsidP="00434279">
      <w:pPr>
        <w:pStyle w:val="ListParagraph"/>
        <w:numPr>
          <w:ilvl w:val="0"/>
          <w:numId w:val="38"/>
        </w:numPr>
        <w:rPr>
          <w:rFonts w:ascii="Garamond" w:hAnsi="Garamond"/>
          <w:bCs/>
          <w:lang w:val="en-AU"/>
        </w:rPr>
      </w:pPr>
      <w:r w:rsidRPr="00434279">
        <w:rPr>
          <w:rFonts w:ascii="Garamond" w:hAnsi="Garamond"/>
          <w:bCs/>
          <w:lang w:val="en-AU"/>
        </w:rPr>
        <w:t>Dental Practice</w:t>
      </w:r>
    </w:p>
    <w:p w14:paraId="395B3F69" w14:textId="6D437255" w:rsidR="00434279" w:rsidRPr="00434279" w:rsidRDefault="00434279" w:rsidP="00434279">
      <w:pPr>
        <w:pStyle w:val="ListParagraph"/>
        <w:numPr>
          <w:ilvl w:val="0"/>
          <w:numId w:val="38"/>
        </w:numPr>
        <w:rPr>
          <w:rFonts w:ascii="Garamond" w:hAnsi="Garamond"/>
          <w:bCs/>
          <w:lang w:val="en-AU"/>
        </w:rPr>
      </w:pPr>
      <w:r w:rsidRPr="00434279">
        <w:rPr>
          <w:rFonts w:ascii="Garamond" w:hAnsi="Garamond"/>
          <w:bCs/>
          <w:lang w:val="en-AU"/>
        </w:rPr>
        <w:t xml:space="preserve">Allied Health including Optometry and Podiatry </w:t>
      </w:r>
    </w:p>
    <w:p w14:paraId="7C9C6486" w14:textId="687C439D" w:rsidR="00434279" w:rsidRPr="00434279" w:rsidRDefault="00434279" w:rsidP="00434279">
      <w:pPr>
        <w:pStyle w:val="ListParagraph"/>
        <w:numPr>
          <w:ilvl w:val="0"/>
          <w:numId w:val="38"/>
        </w:numPr>
        <w:rPr>
          <w:rFonts w:ascii="Garamond" w:hAnsi="Garamond"/>
          <w:bCs/>
          <w:lang w:val="en-AU"/>
        </w:rPr>
      </w:pPr>
      <w:r w:rsidRPr="00434279">
        <w:rPr>
          <w:rFonts w:ascii="Garamond" w:hAnsi="Garamond"/>
          <w:bCs/>
          <w:lang w:val="en-AU"/>
        </w:rPr>
        <w:t>Community Health services</w:t>
      </w:r>
    </w:p>
    <w:p w14:paraId="16C97087" w14:textId="238168F8" w:rsidR="00434279" w:rsidRPr="00434279" w:rsidRDefault="00434279" w:rsidP="00434279">
      <w:pPr>
        <w:pStyle w:val="ListParagraph"/>
        <w:numPr>
          <w:ilvl w:val="0"/>
          <w:numId w:val="38"/>
        </w:numPr>
        <w:rPr>
          <w:rFonts w:ascii="Garamond" w:hAnsi="Garamond"/>
          <w:bCs/>
          <w:lang w:val="en-AU"/>
        </w:rPr>
      </w:pPr>
      <w:r w:rsidRPr="00434279">
        <w:rPr>
          <w:rFonts w:ascii="Garamond" w:hAnsi="Garamond"/>
          <w:bCs/>
          <w:lang w:val="en-AU"/>
        </w:rPr>
        <w:t xml:space="preserve">Aboriginal Community Controlled Health Services </w:t>
      </w:r>
    </w:p>
    <w:p w14:paraId="48EEAAA8" w14:textId="77777777" w:rsidR="00434279" w:rsidRPr="00434279" w:rsidRDefault="00434279" w:rsidP="00434279">
      <w:pPr>
        <w:rPr>
          <w:rFonts w:ascii="Garamond" w:hAnsi="Garamond"/>
          <w:bCs/>
          <w:lang w:val="en-AU"/>
        </w:rPr>
      </w:pPr>
    </w:p>
    <w:p w14:paraId="6B88E146" w14:textId="0715D10B" w:rsidR="00434279" w:rsidRDefault="00434279" w:rsidP="00434279">
      <w:pPr>
        <w:rPr>
          <w:rFonts w:ascii="Garamond" w:hAnsi="Garamond"/>
          <w:bCs/>
          <w:lang w:val="en-AU"/>
        </w:rPr>
      </w:pPr>
      <w:r w:rsidRPr="00434279">
        <w:rPr>
          <w:rFonts w:ascii="Garamond" w:hAnsi="Garamond"/>
          <w:bCs/>
          <w:lang w:val="en-AU"/>
        </w:rPr>
        <w:t>The factsheets have practical examples of how these services can promote antimicrobial stewardship and meet the standards.</w:t>
      </w:r>
    </w:p>
    <w:p w14:paraId="6F6F3344" w14:textId="77777777" w:rsidR="00434279" w:rsidRPr="00434279" w:rsidRDefault="00434279" w:rsidP="009525CC">
      <w:pPr>
        <w:rPr>
          <w:rFonts w:ascii="Garamond" w:hAnsi="Garamond"/>
          <w:bCs/>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4124B58F" w14:textId="7C4EE6B0" w:rsidR="0008384D" w:rsidRDefault="0008384D" w:rsidP="0008384D">
      <w:pPr>
        <w:keepNext/>
        <w:rPr>
          <w:rFonts w:ascii="Garamond" w:hAnsi="Garamond"/>
          <w:lang w:val="en-AU"/>
        </w:rPr>
      </w:pPr>
    </w:p>
    <w:p w14:paraId="7921EFC3" w14:textId="77777777" w:rsidR="006F400A" w:rsidRPr="006F400A" w:rsidRDefault="006F400A" w:rsidP="0008384D">
      <w:pPr>
        <w:keepNext/>
        <w:rPr>
          <w:rFonts w:ascii="Garamond" w:hAnsi="Garamond"/>
          <w:i/>
          <w:iCs/>
          <w:lang w:val="en-AU"/>
        </w:rPr>
      </w:pPr>
      <w:r w:rsidRPr="006F400A">
        <w:rPr>
          <w:rFonts w:ascii="Garamond" w:hAnsi="Garamond"/>
          <w:i/>
          <w:iCs/>
          <w:lang w:val="en-AU"/>
        </w:rPr>
        <w:t>Optimising antimicrobial stewardship in Australian primary care</w:t>
      </w:r>
    </w:p>
    <w:p w14:paraId="00358A4B" w14:textId="77777777" w:rsidR="006F400A" w:rsidRDefault="006F400A" w:rsidP="0008384D">
      <w:pPr>
        <w:keepNext/>
        <w:rPr>
          <w:rFonts w:ascii="Garamond" w:hAnsi="Garamond"/>
          <w:lang w:val="en-AU"/>
        </w:rPr>
      </w:pPr>
      <w:r w:rsidRPr="006F400A">
        <w:rPr>
          <w:rFonts w:ascii="Garamond" w:hAnsi="Garamond"/>
          <w:lang w:val="en-AU"/>
        </w:rPr>
        <w:t>Deeble Institute for Health Policy Research Issue</w:t>
      </w:r>
      <w:r>
        <w:rPr>
          <w:rFonts w:ascii="Garamond" w:hAnsi="Garamond"/>
          <w:lang w:val="en-AU"/>
        </w:rPr>
        <w:t>s</w:t>
      </w:r>
      <w:r w:rsidRPr="006F400A">
        <w:rPr>
          <w:rFonts w:ascii="Garamond" w:hAnsi="Garamond"/>
          <w:lang w:val="en-AU"/>
        </w:rPr>
        <w:t xml:space="preserve"> Brief no: 52</w:t>
      </w:r>
    </w:p>
    <w:p w14:paraId="04064E1A" w14:textId="77777777" w:rsidR="006F400A" w:rsidRDefault="006F400A" w:rsidP="006F400A">
      <w:pPr>
        <w:keepNext/>
        <w:rPr>
          <w:rFonts w:ascii="Garamond" w:hAnsi="Garamond"/>
          <w:lang w:val="en-AU"/>
        </w:rPr>
      </w:pPr>
      <w:r w:rsidRPr="006F400A">
        <w:rPr>
          <w:rFonts w:ascii="Garamond" w:hAnsi="Garamond"/>
          <w:lang w:val="en-AU"/>
        </w:rPr>
        <w:t>Saha SK, Haddock R</w:t>
      </w:r>
    </w:p>
    <w:p w14:paraId="55A6D010" w14:textId="297CBCD4" w:rsidR="00790F47" w:rsidRPr="00D65371" w:rsidRDefault="006F400A" w:rsidP="0008384D">
      <w:pPr>
        <w:keepNext/>
        <w:rPr>
          <w:rFonts w:ascii="Garamond" w:hAnsi="Garamond"/>
          <w:lang w:val="en-AU"/>
        </w:rPr>
      </w:pPr>
      <w:r w:rsidRPr="006F400A">
        <w:rPr>
          <w:rFonts w:ascii="Garamond" w:hAnsi="Garamond"/>
          <w:lang w:val="en-AU"/>
        </w:rPr>
        <w:t>Canberra: Australian Healthcare and Hospitals Association; 2023. p. 45.</w:t>
      </w:r>
    </w:p>
    <w:tbl>
      <w:tblPr>
        <w:tblStyle w:val="TableGrid"/>
        <w:tblW w:w="9360" w:type="dxa"/>
        <w:tblInd w:w="288" w:type="dxa"/>
        <w:tblLayout w:type="fixed"/>
        <w:tblLook w:val="01E0" w:firstRow="1" w:lastRow="1" w:firstColumn="1" w:lastColumn="1" w:noHBand="0" w:noVBand="0"/>
      </w:tblPr>
      <w:tblGrid>
        <w:gridCol w:w="1080"/>
        <w:gridCol w:w="8280"/>
      </w:tblGrid>
      <w:tr w:rsidR="0008384D" w:rsidRPr="000170DA" w14:paraId="2461465A" w14:textId="77777777" w:rsidTr="0036307C">
        <w:tc>
          <w:tcPr>
            <w:tcW w:w="1080" w:type="dxa"/>
            <w:tcBorders>
              <w:top w:val="single" w:sz="4" w:space="0" w:color="auto"/>
              <w:left w:val="single" w:sz="4" w:space="0" w:color="auto"/>
              <w:bottom w:val="single" w:sz="4" w:space="0" w:color="auto"/>
              <w:right w:val="single" w:sz="4" w:space="0" w:color="auto"/>
            </w:tcBorders>
            <w:vAlign w:val="center"/>
          </w:tcPr>
          <w:p w14:paraId="38560831" w14:textId="77777777" w:rsidR="0008384D" w:rsidRPr="000170DA" w:rsidRDefault="0008384D" w:rsidP="0036307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7850017" w14:textId="4203FC63" w:rsidR="0008384D" w:rsidRPr="000170DA" w:rsidRDefault="002332B1" w:rsidP="0036307C">
            <w:pPr>
              <w:keepNext/>
              <w:rPr>
                <w:rStyle w:val="Hyperlink"/>
                <w:rFonts w:ascii="Garamond" w:hAnsi="Garamond"/>
                <w:color w:val="auto"/>
                <w:u w:val="none"/>
                <w:lang w:val="en-AU"/>
              </w:rPr>
            </w:pPr>
            <w:hyperlink r:id="rId16" w:history="1">
              <w:r w:rsidR="00790F47" w:rsidRPr="00846BCF">
                <w:rPr>
                  <w:rStyle w:val="Hyperlink"/>
                  <w:rFonts w:ascii="Garamond" w:hAnsi="Garamond"/>
                  <w:lang w:val="en-AU"/>
                </w:rPr>
                <w:t>https://ahha.asn.au/publication/health-policy-issue-briefs/deeble-issues-brief-no-52-optimising-antimicrobial</w:t>
              </w:r>
            </w:hyperlink>
          </w:p>
        </w:tc>
      </w:tr>
      <w:tr w:rsidR="0008384D" w:rsidRPr="000170DA" w14:paraId="339058C3" w14:textId="77777777" w:rsidTr="0036307C">
        <w:tc>
          <w:tcPr>
            <w:tcW w:w="1080" w:type="dxa"/>
            <w:tcBorders>
              <w:top w:val="single" w:sz="4" w:space="0" w:color="auto"/>
              <w:left w:val="single" w:sz="4" w:space="0" w:color="auto"/>
              <w:bottom w:val="single" w:sz="4" w:space="0" w:color="auto"/>
              <w:right w:val="single" w:sz="4" w:space="0" w:color="auto"/>
            </w:tcBorders>
            <w:vAlign w:val="center"/>
          </w:tcPr>
          <w:p w14:paraId="42D4B5EC" w14:textId="77777777" w:rsidR="0008384D" w:rsidRPr="000170DA" w:rsidRDefault="0008384D" w:rsidP="0036307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72A4553" w14:textId="07AC56C6" w:rsidR="006F400A" w:rsidRDefault="00790F47" w:rsidP="0036307C">
            <w:pPr>
              <w:rPr>
                <w:rFonts w:ascii="Garamond" w:hAnsi="Garamond"/>
                <w:lang w:val="en-AU"/>
              </w:rPr>
            </w:pPr>
            <w:proofErr w:type="gramStart"/>
            <w:r w:rsidRPr="0049496A">
              <w:rPr>
                <w:rFonts w:ascii="Garamond" w:hAnsi="Garamond"/>
                <w:lang w:val="en-AU"/>
              </w:rPr>
              <w:t>This issues</w:t>
            </w:r>
            <w:proofErr w:type="gramEnd"/>
            <w:r w:rsidRPr="0049496A">
              <w:rPr>
                <w:rFonts w:ascii="Garamond" w:hAnsi="Garamond"/>
                <w:lang w:val="en-AU"/>
              </w:rPr>
              <w:t xml:space="preserve"> brief from the Australian Healthcare and Hospitals Association’s Deeble Institute</w:t>
            </w:r>
            <w:r w:rsidR="006F400A">
              <w:rPr>
                <w:rFonts w:ascii="Garamond" w:hAnsi="Garamond"/>
                <w:lang w:val="en-AU"/>
              </w:rPr>
              <w:t xml:space="preserve"> examines antimicrobial stewardship in primary care. Observing that ‘</w:t>
            </w:r>
            <w:r w:rsidR="006F400A" w:rsidRPr="006F400A">
              <w:rPr>
                <w:rFonts w:ascii="Garamond" w:hAnsi="Garamond"/>
                <w:lang w:val="en-AU"/>
              </w:rPr>
              <w:t>80% of antibiotics are consumed within primary care</w:t>
            </w:r>
            <w:r w:rsidR="006F400A">
              <w:rPr>
                <w:rFonts w:ascii="Garamond" w:hAnsi="Garamond"/>
                <w:lang w:val="en-AU"/>
              </w:rPr>
              <w:t>’, the notes argue that ‘</w:t>
            </w:r>
            <w:r w:rsidR="006F400A" w:rsidRPr="006F400A">
              <w:rPr>
                <w:rFonts w:ascii="Garamond" w:hAnsi="Garamond"/>
                <w:lang w:val="en-AU"/>
              </w:rPr>
              <w:t>concept of antimicrobial stewardship (AMS) in primary care will play an important role in improving the appropriate use of antibiotics and reducing the risk of antimicrobial resistance.</w:t>
            </w:r>
            <w:r w:rsidR="006F400A">
              <w:rPr>
                <w:rFonts w:ascii="Garamond" w:hAnsi="Garamond"/>
                <w:lang w:val="en-AU"/>
              </w:rPr>
              <w:t>’ The authors of this issues brief provide a number of recommendations, including:</w:t>
            </w:r>
          </w:p>
          <w:p w14:paraId="68291F90" w14:textId="6476DDEC"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Models of care to support best practice AMS</w:t>
            </w:r>
          </w:p>
          <w:p w14:paraId="763BE05A" w14:textId="3F2C8380"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GP-community pharmacy practice agreements</w:t>
            </w:r>
          </w:p>
          <w:p w14:paraId="0C7F2AF5" w14:textId="29BD8B09"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AMS training</w:t>
            </w:r>
          </w:p>
          <w:p w14:paraId="6EA96E05" w14:textId="678BA153"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Collaborative GP-pharmacist prescribing models.</w:t>
            </w:r>
          </w:p>
          <w:p w14:paraId="2257911C" w14:textId="72B8CACF"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Guidelines to support delayed prescribing strategies.</w:t>
            </w:r>
          </w:p>
          <w:p w14:paraId="2D12E532" w14:textId="309717C6"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Point-of-care testing for microbial infection</w:t>
            </w:r>
          </w:p>
          <w:p w14:paraId="2784A741" w14:textId="2F77C9FE"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A digital platform to support AMS in primary care</w:t>
            </w:r>
          </w:p>
          <w:p w14:paraId="5929F09A" w14:textId="218CDE8E"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Program evaluation</w:t>
            </w:r>
          </w:p>
          <w:p w14:paraId="68A5ED24" w14:textId="3442B9CA"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Audit and feedback through real-time monitoring for antibiotic prescribing</w:t>
            </w:r>
          </w:p>
          <w:p w14:paraId="1CADF7C4" w14:textId="7EDE49CE"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Clinical decision support tools for antibiotic prescribing</w:t>
            </w:r>
          </w:p>
          <w:p w14:paraId="755406A8" w14:textId="29DE43E7" w:rsidR="006F400A" w:rsidRPr="006F400A" w:rsidRDefault="006F400A" w:rsidP="006F400A">
            <w:pPr>
              <w:pStyle w:val="ListParagraph"/>
              <w:numPr>
                <w:ilvl w:val="0"/>
                <w:numId w:val="39"/>
              </w:numPr>
              <w:rPr>
                <w:rFonts w:ascii="Garamond" w:hAnsi="Garamond"/>
                <w:lang w:val="en-AU"/>
              </w:rPr>
            </w:pPr>
            <w:r w:rsidRPr="006F400A">
              <w:rPr>
                <w:rFonts w:ascii="Garamond" w:hAnsi="Garamond"/>
                <w:lang w:val="en-AU"/>
              </w:rPr>
              <w:t>GP-Community pharmacy governance framework for AMS.</w:t>
            </w:r>
          </w:p>
        </w:tc>
      </w:tr>
    </w:tbl>
    <w:p w14:paraId="43AA02E3" w14:textId="0A4CEE9E" w:rsidR="0008384D" w:rsidRDefault="0008384D" w:rsidP="0008384D">
      <w:pPr>
        <w:keepLines/>
        <w:autoSpaceDE w:val="0"/>
        <w:autoSpaceDN w:val="0"/>
        <w:adjustRightInd w:val="0"/>
        <w:rPr>
          <w:rFonts w:ascii="Garamond" w:hAnsi="Garamond"/>
          <w:lang w:val="en-AU"/>
        </w:rPr>
      </w:pPr>
    </w:p>
    <w:p w14:paraId="446ACCD5" w14:textId="2739DF91" w:rsidR="00B44990" w:rsidRDefault="00B44990" w:rsidP="0008384D">
      <w:pPr>
        <w:keepLines/>
        <w:autoSpaceDE w:val="0"/>
        <w:autoSpaceDN w:val="0"/>
        <w:adjustRightInd w:val="0"/>
        <w:rPr>
          <w:rFonts w:ascii="Garamond" w:hAnsi="Garamond"/>
          <w:lang w:val="en-AU"/>
        </w:rPr>
      </w:pPr>
      <w:r>
        <w:rPr>
          <w:rFonts w:ascii="Garamond" w:hAnsi="Garamond"/>
          <w:lang w:val="en-AU"/>
        </w:rPr>
        <w:t xml:space="preserve">For information on the Commission’s work on antimicrobial stewardship, see </w:t>
      </w:r>
      <w:hyperlink r:id="rId17" w:history="1">
        <w:r w:rsidRPr="00D70341">
          <w:rPr>
            <w:rStyle w:val="Hyperlink"/>
            <w:rFonts w:ascii="Garamond" w:hAnsi="Garamond"/>
            <w:lang w:val="en-AU"/>
          </w:rPr>
          <w:t>https://www.safetyandquality.gov.au/our-work/antimicrobial-stewardship</w:t>
        </w:r>
      </w:hyperlink>
    </w:p>
    <w:p w14:paraId="04D072CF" w14:textId="4BD12021" w:rsidR="00B44990" w:rsidRDefault="00B44990" w:rsidP="0008384D">
      <w:pPr>
        <w:keepLines/>
        <w:autoSpaceDE w:val="0"/>
        <w:autoSpaceDN w:val="0"/>
        <w:adjustRightInd w:val="0"/>
        <w:rPr>
          <w:rFonts w:ascii="Garamond" w:hAnsi="Garamond"/>
          <w:lang w:val="en-AU"/>
        </w:rPr>
      </w:pPr>
    </w:p>
    <w:p w14:paraId="48FD51CD" w14:textId="77777777" w:rsidR="00904ADB" w:rsidRPr="00904ADB" w:rsidRDefault="00904ADB" w:rsidP="00904ADB">
      <w:pPr>
        <w:keepNext/>
        <w:rPr>
          <w:rFonts w:ascii="Garamond" w:hAnsi="Garamond"/>
          <w:i/>
          <w:iCs/>
          <w:lang w:val="en-AU"/>
        </w:rPr>
      </w:pPr>
      <w:r w:rsidRPr="00904ADB">
        <w:rPr>
          <w:rFonts w:ascii="Garamond" w:hAnsi="Garamond"/>
          <w:i/>
          <w:iCs/>
          <w:lang w:val="en-AU"/>
        </w:rPr>
        <w:t>Risk based cancer screening: the role of primary care</w:t>
      </w:r>
    </w:p>
    <w:p w14:paraId="3938089B" w14:textId="77777777" w:rsidR="00904ADB" w:rsidRDefault="00904ADB" w:rsidP="00904ADB">
      <w:pPr>
        <w:keepNext/>
        <w:rPr>
          <w:rFonts w:ascii="Garamond" w:hAnsi="Garamond"/>
          <w:lang w:val="en-AU"/>
        </w:rPr>
      </w:pPr>
      <w:r w:rsidRPr="00904ADB">
        <w:rPr>
          <w:rFonts w:ascii="Garamond" w:hAnsi="Garamond"/>
          <w:lang w:val="en-AU"/>
        </w:rPr>
        <w:t>Deeble Institute for Health Policy Research Perspectives Brief no: 27</w:t>
      </w:r>
    </w:p>
    <w:p w14:paraId="713B55C1" w14:textId="77777777" w:rsidR="00904ADB" w:rsidRDefault="00904ADB" w:rsidP="00904ADB">
      <w:pPr>
        <w:keepNext/>
        <w:rPr>
          <w:rFonts w:ascii="Garamond" w:hAnsi="Garamond"/>
          <w:lang w:val="en-AU"/>
        </w:rPr>
      </w:pPr>
      <w:r w:rsidRPr="00904ADB">
        <w:rPr>
          <w:rFonts w:ascii="Garamond" w:hAnsi="Garamond"/>
          <w:lang w:val="en-AU"/>
        </w:rPr>
        <w:t>Koa C, Emery J, Saya S</w:t>
      </w:r>
    </w:p>
    <w:p w14:paraId="4053398E" w14:textId="3630A889" w:rsidR="00904ADB" w:rsidRPr="00904ADB" w:rsidRDefault="00904ADB" w:rsidP="00904ADB">
      <w:pPr>
        <w:keepNext/>
        <w:rPr>
          <w:rFonts w:ascii="Garamond" w:hAnsi="Garamond"/>
          <w:lang w:val="en-AU"/>
        </w:rPr>
      </w:pPr>
      <w:r w:rsidRPr="00904ADB">
        <w:rPr>
          <w:rFonts w:ascii="Garamond" w:hAnsi="Garamond"/>
          <w:lang w:val="en-AU"/>
        </w:rPr>
        <w:t>Canberra: Australian Healthcare and Hospitals Association; 2023. p. 14.</w:t>
      </w:r>
    </w:p>
    <w:tbl>
      <w:tblPr>
        <w:tblStyle w:val="TableGrid"/>
        <w:tblW w:w="9360" w:type="dxa"/>
        <w:tblInd w:w="288" w:type="dxa"/>
        <w:tblLayout w:type="fixed"/>
        <w:tblLook w:val="01E0" w:firstRow="1" w:lastRow="1" w:firstColumn="1" w:lastColumn="1" w:noHBand="0" w:noVBand="0"/>
      </w:tblPr>
      <w:tblGrid>
        <w:gridCol w:w="274"/>
        <w:gridCol w:w="9086"/>
      </w:tblGrid>
      <w:tr w:rsidR="00BD5BAE" w:rsidRPr="000170DA" w14:paraId="4F0CE2D6" w14:textId="77777777" w:rsidTr="00EC2E47">
        <w:tc>
          <w:tcPr>
            <w:tcW w:w="274" w:type="dxa"/>
            <w:tcBorders>
              <w:top w:val="single" w:sz="4" w:space="0" w:color="auto"/>
              <w:left w:val="single" w:sz="4" w:space="0" w:color="auto"/>
              <w:bottom w:val="single" w:sz="4" w:space="0" w:color="auto"/>
              <w:right w:val="single" w:sz="4" w:space="0" w:color="auto"/>
            </w:tcBorders>
            <w:vAlign w:val="center"/>
          </w:tcPr>
          <w:p w14:paraId="5B14179A" w14:textId="77777777" w:rsidR="00BD5BAE" w:rsidRPr="000170DA" w:rsidRDefault="00BD5BAE" w:rsidP="007C63AC">
            <w:pPr>
              <w:keepNext/>
              <w:rPr>
                <w:rStyle w:val="Hyperlink"/>
                <w:rFonts w:ascii="Garamond" w:hAnsi="Garamond"/>
                <w:lang w:val="en-AU"/>
              </w:rPr>
            </w:pPr>
            <w:r>
              <w:rPr>
                <w:rFonts w:ascii="Garamond" w:hAnsi="Garamond"/>
                <w:lang w:val="en-AU"/>
              </w:rPr>
              <w:t>URL</w:t>
            </w:r>
          </w:p>
        </w:tc>
        <w:tc>
          <w:tcPr>
            <w:tcW w:w="9086" w:type="dxa"/>
            <w:tcBorders>
              <w:top w:val="single" w:sz="4" w:space="0" w:color="auto"/>
              <w:left w:val="single" w:sz="4" w:space="0" w:color="auto"/>
              <w:bottom w:val="single" w:sz="4" w:space="0" w:color="auto"/>
              <w:right w:val="single" w:sz="4" w:space="0" w:color="auto"/>
            </w:tcBorders>
            <w:vAlign w:val="center"/>
          </w:tcPr>
          <w:p w14:paraId="2CDA5573" w14:textId="4FC9ACC4" w:rsidR="00BD5BAE" w:rsidRPr="000170DA" w:rsidRDefault="002332B1" w:rsidP="007C63AC">
            <w:pPr>
              <w:keepNext/>
              <w:rPr>
                <w:rStyle w:val="Hyperlink"/>
                <w:rFonts w:ascii="Garamond" w:hAnsi="Garamond"/>
                <w:color w:val="auto"/>
                <w:u w:val="none"/>
                <w:lang w:val="en-AU"/>
              </w:rPr>
            </w:pPr>
            <w:hyperlink r:id="rId18" w:history="1">
              <w:r w:rsidR="00904ADB" w:rsidRPr="00D70341">
                <w:rPr>
                  <w:rStyle w:val="Hyperlink"/>
                  <w:rFonts w:ascii="Garamond" w:hAnsi="Garamond"/>
                  <w:lang w:val="en-AU"/>
                </w:rPr>
                <w:t>https://ahha.asn.au/sites/default/files/docs/policy-issue/perspectives_brief_no_27_risk_based_cancer_screening_final.pdf</w:t>
              </w:r>
            </w:hyperlink>
          </w:p>
        </w:tc>
      </w:tr>
      <w:tr w:rsidR="00BD5BAE" w:rsidRPr="000170DA" w14:paraId="47A0C728" w14:textId="77777777" w:rsidTr="00EC2E47">
        <w:tc>
          <w:tcPr>
            <w:tcW w:w="274" w:type="dxa"/>
            <w:tcBorders>
              <w:top w:val="single" w:sz="4" w:space="0" w:color="auto"/>
              <w:left w:val="single" w:sz="4" w:space="0" w:color="auto"/>
              <w:bottom w:val="single" w:sz="4" w:space="0" w:color="auto"/>
              <w:right w:val="single" w:sz="4" w:space="0" w:color="auto"/>
            </w:tcBorders>
            <w:vAlign w:val="center"/>
          </w:tcPr>
          <w:p w14:paraId="3C66FF36" w14:textId="77777777" w:rsidR="00BD5BAE" w:rsidRPr="000170DA" w:rsidRDefault="00BD5BAE" w:rsidP="007C63AC">
            <w:pPr>
              <w:rPr>
                <w:rFonts w:ascii="Garamond" w:hAnsi="Garamond"/>
                <w:lang w:val="en-AU" w:eastAsia="en-AU"/>
              </w:rPr>
            </w:pPr>
            <w:r w:rsidRPr="000170DA">
              <w:rPr>
                <w:rFonts w:ascii="Garamond" w:hAnsi="Garamond"/>
                <w:lang w:val="en-AU" w:eastAsia="en-AU"/>
              </w:rPr>
              <w:t>Notes</w:t>
            </w:r>
          </w:p>
        </w:tc>
        <w:tc>
          <w:tcPr>
            <w:tcW w:w="9086" w:type="dxa"/>
            <w:tcBorders>
              <w:top w:val="single" w:sz="4" w:space="0" w:color="auto"/>
              <w:left w:val="single" w:sz="4" w:space="0" w:color="auto"/>
              <w:bottom w:val="single" w:sz="4" w:space="0" w:color="auto"/>
              <w:right w:val="single" w:sz="4" w:space="0" w:color="auto"/>
            </w:tcBorders>
            <w:vAlign w:val="center"/>
          </w:tcPr>
          <w:p w14:paraId="5659A1CB" w14:textId="6610755D" w:rsidR="00BD5BAE" w:rsidRPr="00D0490E" w:rsidRDefault="00904ADB" w:rsidP="007C63AC">
            <w:pPr>
              <w:rPr>
                <w:rFonts w:ascii="Garamond" w:hAnsi="Garamond"/>
                <w:lang w:val="en-AU"/>
              </w:rPr>
            </w:pPr>
            <w:proofErr w:type="gramStart"/>
            <w:r w:rsidRPr="0049496A">
              <w:rPr>
                <w:rFonts w:ascii="Garamond" w:hAnsi="Garamond"/>
                <w:lang w:val="en-AU"/>
              </w:rPr>
              <w:t xml:space="preserve">This </w:t>
            </w:r>
            <w:r>
              <w:rPr>
                <w:rFonts w:ascii="Garamond" w:hAnsi="Garamond"/>
                <w:lang w:val="en-AU"/>
              </w:rPr>
              <w:t>perspectives</w:t>
            </w:r>
            <w:proofErr w:type="gramEnd"/>
            <w:r w:rsidRPr="0049496A">
              <w:rPr>
                <w:rFonts w:ascii="Garamond" w:hAnsi="Garamond"/>
                <w:lang w:val="en-AU"/>
              </w:rPr>
              <w:t xml:space="preserve"> brief from the Australian Healthcare and Hospitals Association’s Deeble Institute</w:t>
            </w:r>
            <w:r>
              <w:rPr>
                <w:rFonts w:ascii="Garamond" w:hAnsi="Garamond"/>
                <w:lang w:val="en-AU"/>
              </w:rPr>
              <w:t xml:space="preserve"> </w:t>
            </w:r>
            <w:r w:rsidRPr="00904ADB">
              <w:rPr>
                <w:rFonts w:ascii="Garamond" w:hAnsi="Garamond"/>
                <w:lang w:val="en-AU"/>
              </w:rPr>
              <w:t>is authored by researchers from the Primary Care Collaborative Cancer Clinical Trials Group.</w:t>
            </w:r>
            <w:r>
              <w:rPr>
                <w:rFonts w:ascii="Garamond" w:hAnsi="Garamond"/>
                <w:lang w:val="en-AU"/>
              </w:rPr>
              <w:t xml:space="preserve"> The authors examine how a move to risk-based cancer screening, particularly for bowel and breast cancer screening, may be approached and identify how primary care could be called upon to play a greater role and how that may be achieved.</w:t>
            </w:r>
          </w:p>
        </w:tc>
      </w:tr>
    </w:tbl>
    <w:p w14:paraId="7E051E46" w14:textId="77777777" w:rsidR="00BD5BAE" w:rsidRDefault="00BD5BAE" w:rsidP="00BD5BAE">
      <w:pPr>
        <w:keepLines/>
        <w:autoSpaceDE w:val="0"/>
        <w:autoSpaceDN w:val="0"/>
        <w:adjustRightInd w:val="0"/>
        <w:rPr>
          <w:rFonts w:ascii="Garamond" w:hAnsi="Garamond"/>
          <w:lang w:val="en-AU"/>
        </w:rPr>
      </w:pPr>
    </w:p>
    <w:p w14:paraId="117060DD" w14:textId="193256E1" w:rsidR="0008384D" w:rsidRPr="008B08F3" w:rsidRDefault="008B08F3" w:rsidP="0008384D">
      <w:pPr>
        <w:keepLines/>
        <w:autoSpaceDE w:val="0"/>
        <w:autoSpaceDN w:val="0"/>
        <w:adjustRightInd w:val="0"/>
        <w:rPr>
          <w:rFonts w:ascii="Garamond" w:hAnsi="Garamond"/>
          <w:i/>
          <w:iCs/>
          <w:lang w:val="en-AU"/>
        </w:rPr>
      </w:pPr>
      <w:r w:rsidRPr="008B08F3">
        <w:rPr>
          <w:rFonts w:ascii="Garamond" w:hAnsi="Garamond"/>
          <w:i/>
          <w:iCs/>
          <w:lang w:val="en-AU"/>
        </w:rPr>
        <w:t>Clinical quality registries – Four key benefits for your health</w:t>
      </w:r>
    </w:p>
    <w:p w14:paraId="7850F345" w14:textId="77777777" w:rsidR="00EA3063" w:rsidRDefault="00EA3063" w:rsidP="0008384D">
      <w:pPr>
        <w:keepLines/>
        <w:autoSpaceDE w:val="0"/>
        <w:autoSpaceDN w:val="0"/>
        <w:adjustRightInd w:val="0"/>
        <w:rPr>
          <w:rFonts w:ascii="Garamond" w:hAnsi="Garamond"/>
          <w:lang w:val="en-AU"/>
        </w:rPr>
      </w:pPr>
      <w:r w:rsidRPr="00EA3063">
        <w:rPr>
          <w:rFonts w:ascii="Garamond" w:hAnsi="Garamond"/>
          <w:lang w:val="en-AU"/>
        </w:rPr>
        <w:t>Department of Health and Aged Care</w:t>
      </w:r>
    </w:p>
    <w:p w14:paraId="3B3BA34C" w14:textId="5491A6A9" w:rsidR="008B08F3" w:rsidRDefault="00EA3063" w:rsidP="0008384D">
      <w:pPr>
        <w:keepLines/>
        <w:autoSpaceDE w:val="0"/>
        <w:autoSpaceDN w:val="0"/>
        <w:adjustRightInd w:val="0"/>
        <w:rPr>
          <w:rFonts w:ascii="Garamond" w:hAnsi="Garamond"/>
          <w:lang w:val="en-AU"/>
        </w:rPr>
      </w:pPr>
      <w:r w:rsidRPr="00EA3063">
        <w:rPr>
          <w:rFonts w:ascii="Garamond" w:hAnsi="Garamond"/>
          <w:lang w:val="en-AU"/>
        </w:rPr>
        <w:t>Canberra: DoHAC; 2023.</w:t>
      </w:r>
    </w:p>
    <w:tbl>
      <w:tblPr>
        <w:tblStyle w:val="TableGrid"/>
        <w:tblW w:w="9360" w:type="dxa"/>
        <w:tblInd w:w="288" w:type="dxa"/>
        <w:tblLayout w:type="fixed"/>
        <w:tblLook w:val="01E0" w:firstRow="1" w:lastRow="1" w:firstColumn="1" w:lastColumn="1" w:noHBand="0" w:noVBand="0"/>
      </w:tblPr>
      <w:tblGrid>
        <w:gridCol w:w="1080"/>
        <w:gridCol w:w="8280"/>
      </w:tblGrid>
      <w:tr w:rsidR="008B08F3" w:rsidRPr="000170DA" w14:paraId="5D1D7BA7" w14:textId="77777777" w:rsidTr="00BE36EF">
        <w:tc>
          <w:tcPr>
            <w:tcW w:w="1080" w:type="dxa"/>
            <w:tcBorders>
              <w:top w:val="single" w:sz="4" w:space="0" w:color="auto"/>
              <w:left w:val="single" w:sz="4" w:space="0" w:color="auto"/>
              <w:bottom w:val="single" w:sz="4" w:space="0" w:color="auto"/>
              <w:right w:val="single" w:sz="4" w:space="0" w:color="auto"/>
            </w:tcBorders>
            <w:vAlign w:val="center"/>
          </w:tcPr>
          <w:p w14:paraId="6CF859BB" w14:textId="77777777" w:rsidR="008B08F3" w:rsidRPr="000170DA" w:rsidRDefault="008B08F3" w:rsidP="00BE36E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E974ACE" w14:textId="1D22538C" w:rsidR="008B08F3" w:rsidRPr="000170DA" w:rsidRDefault="002332B1" w:rsidP="00BE36EF">
            <w:pPr>
              <w:keepNext/>
              <w:rPr>
                <w:rStyle w:val="Hyperlink"/>
                <w:rFonts w:ascii="Garamond" w:hAnsi="Garamond"/>
                <w:color w:val="auto"/>
                <w:u w:val="none"/>
                <w:lang w:val="en-AU"/>
              </w:rPr>
            </w:pPr>
            <w:hyperlink r:id="rId19" w:history="1">
              <w:r w:rsidR="008B08F3" w:rsidRPr="00D70341">
                <w:rPr>
                  <w:rStyle w:val="Hyperlink"/>
                  <w:rFonts w:ascii="Garamond" w:hAnsi="Garamond"/>
                  <w:lang w:val="en-AU"/>
                </w:rPr>
                <w:t>https://www.health.gov.au/resources/publications/clinical-quality-registries-four-key-benefits-for-your-health</w:t>
              </w:r>
            </w:hyperlink>
          </w:p>
        </w:tc>
      </w:tr>
      <w:tr w:rsidR="008B08F3" w:rsidRPr="000170DA" w14:paraId="0BC5B50A" w14:textId="77777777" w:rsidTr="00BE36EF">
        <w:tc>
          <w:tcPr>
            <w:tcW w:w="1080" w:type="dxa"/>
            <w:tcBorders>
              <w:top w:val="single" w:sz="4" w:space="0" w:color="auto"/>
              <w:left w:val="single" w:sz="4" w:space="0" w:color="auto"/>
              <w:bottom w:val="single" w:sz="4" w:space="0" w:color="auto"/>
              <w:right w:val="single" w:sz="4" w:space="0" w:color="auto"/>
            </w:tcBorders>
            <w:vAlign w:val="center"/>
          </w:tcPr>
          <w:p w14:paraId="4F1DA60F" w14:textId="77777777" w:rsidR="008B08F3" w:rsidRPr="000170DA" w:rsidRDefault="008B08F3" w:rsidP="00BE36E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F7878F9" w14:textId="673BBE60" w:rsidR="00EA3063" w:rsidRPr="00D0490E" w:rsidRDefault="00EA3063" w:rsidP="00BE36EF">
            <w:pPr>
              <w:rPr>
                <w:rFonts w:ascii="Garamond" w:hAnsi="Garamond"/>
                <w:lang w:val="en-AU"/>
              </w:rPr>
            </w:pPr>
            <w:r>
              <w:rPr>
                <w:rFonts w:ascii="Garamond" w:hAnsi="Garamond"/>
                <w:lang w:val="en-AU"/>
              </w:rPr>
              <w:t xml:space="preserve">Brief publication describing clinical quality registries that includes material on what registries are and how they provide information to improve health care. This publication draws upon the Commission’s work on clinical quality registries. </w:t>
            </w:r>
          </w:p>
        </w:tc>
      </w:tr>
    </w:tbl>
    <w:p w14:paraId="303001A8" w14:textId="2A2C9C05" w:rsidR="00D0490E" w:rsidRDefault="00D0490E" w:rsidP="00D0490E">
      <w:pPr>
        <w:keepLines/>
        <w:autoSpaceDE w:val="0"/>
        <w:autoSpaceDN w:val="0"/>
        <w:adjustRightInd w:val="0"/>
        <w:rPr>
          <w:rFonts w:ascii="Garamond" w:hAnsi="Garamond"/>
          <w:lang w:val="en-AU"/>
        </w:rPr>
      </w:pPr>
    </w:p>
    <w:p w14:paraId="0C6A2FA1" w14:textId="1F5D0908" w:rsidR="00B44990" w:rsidRDefault="00B44990" w:rsidP="00D0490E">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clinical quality registries, see </w:t>
      </w:r>
      <w:hyperlink r:id="rId20" w:history="1">
        <w:r w:rsidRPr="00D70341">
          <w:rPr>
            <w:rStyle w:val="Hyperlink"/>
            <w:rFonts w:ascii="Garamond" w:hAnsi="Garamond"/>
            <w:lang w:val="en-AU"/>
          </w:rPr>
          <w:t>https://www.safetyandquality.gov.au/our-work/health-and-human-research/national-arrangements-clinical-quality-registries</w:t>
        </w:r>
      </w:hyperlink>
    </w:p>
    <w:p w14:paraId="0F256F54" w14:textId="77777777" w:rsidR="00B44990" w:rsidRDefault="00B44990" w:rsidP="00D0490E">
      <w:pPr>
        <w:keepLines/>
        <w:autoSpaceDE w:val="0"/>
        <w:autoSpaceDN w:val="0"/>
        <w:adjustRightInd w:val="0"/>
        <w:rPr>
          <w:rFonts w:ascii="Garamond" w:hAnsi="Garamond"/>
          <w:lang w:val="en-AU"/>
        </w:rPr>
      </w:pPr>
    </w:p>
    <w:p w14:paraId="5EF75285" w14:textId="5125991F" w:rsidR="008B08F3" w:rsidRDefault="008B08F3" w:rsidP="00D0490E">
      <w:pPr>
        <w:keepLines/>
        <w:autoSpaceDE w:val="0"/>
        <w:autoSpaceDN w:val="0"/>
        <w:adjustRightInd w:val="0"/>
        <w:rPr>
          <w:rFonts w:ascii="Garamond" w:hAnsi="Garamond"/>
          <w:lang w:val="en-AU"/>
        </w:rPr>
      </w:pPr>
    </w:p>
    <w:p w14:paraId="2A702E2D" w14:textId="77777777" w:rsidR="008B08F3" w:rsidRDefault="008B08F3" w:rsidP="00D0490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13DE6A40" w14:textId="6BD07AFF" w:rsidR="0008384D" w:rsidRDefault="0008384D" w:rsidP="002C6DF1">
      <w:pPr>
        <w:keepLines/>
        <w:autoSpaceDE w:val="0"/>
        <w:autoSpaceDN w:val="0"/>
        <w:adjustRightInd w:val="0"/>
        <w:rPr>
          <w:rFonts w:ascii="Garamond" w:hAnsi="Garamond"/>
          <w:lang w:val="en-AU"/>
        </w:rPr>
      </w:pPr>
    </w:p>
    <w:p w14:paraId="380B8146" w14:textId="5181CD1B" w:rsidR="008B08F3" w:rsidRPr="008B08F3" w:rsidRDefault="008B08F3" w:rsidP="002C6DF1">
      <w:pPr>
        <w:keepLines/>
        <w:autoSpaceDE w:val="0"/>
        <w:autoSpaceDN w:val="0"/>
        <w:adjustRightInd w:val="0"/>
        <w:rPr>
          <w:rFonts w:ascii="Garamond" w:hAnsi="Garamond"/>
          <w:i/>
          <w:iCs/>
          <w:lang w:val="en-AU"/>
        </w:rPr>
      </w:pPr>
      <w:r w:rsidRPr="008B08F3">
        <w:rPr>
          <w:rFonts w:ascii="Garamond" w:hAnsi="Garamond"/>
          <w:i/>
          <w:iCs/>
          <w:lang w:val="en-AU"/>
        </w:rPr>
        <w:t xml:space="preserve">Contributory factors and patient harm including deaths associated direct acting oral anticoagulants (DOACs) medication incidents: evaluation of </w:t>
      </w:r>
      <w:proofErr w:type="gramStart"/>
      <w:r w:rsidRPr="008B08F3">
        <w:rPr>
          <w:rFonts w:ascii="Garamond" w:hAnsi="Garamond"/>
          <w:i/>
          <w:iCs/>
          <w:lang w:val="en-AU"/>
        </w:rPr>
        <w:t>real world</w:t>
      </w:r>
      <w:proofErr w:type="gramEnd"/>
      <w:r w:rsidRPr="008B08F3">
        <w:rPr>
          <w:rFonts w:ascii="Garamond" w:hAnsi="Garamond"/>
          <w:i/>
          <w:iCs/>
          <w:lang w:val="en-AU"/>
        </w:rPr>
        <w:t xml:space="preserve"> data reported to the National Reporting and Learning System</w:t>
      </w:r>
    </w:p>
    <w:p w14:paraId="25945FA5" w14:textId="77777777" w:rsidR="00D766BE" w:rsidRDefault="00D766BE" w:rsidP="002C6DF1">
      <w:pPr>
        <w:keepLines/>
        <w:autoSpaceDE w:val="0"/>
        <w:autoSpaceDN w:val="0"/>
        <w:adjustRightInd w:val="0"/>
        <w:rPr>
          <w:rFonts w:ascii="Garamond" w:hAnsi="Garamond"/>
          <w:lang w:val="en-AU"/>
        </w:rPr>
      </w:pPr>
      <w:r w:rsidRPr="00D766BE">
        <w:rPr>
          <w:rFonts w:ascii="Garamond" w:hAnsi="Garamond"/>
          <w:lang w:val="en-AU"/>
        </w:rPr>
        <w:t>Rowily AA, Jalal Z, Paudyal V</w:t>
      </w:r>
    </w:p>
    <w:p w14:paraId="7BA6653D" w14:textId="6830DE57" w:rsidR="008B08F3" w:rsidRDefault="00D766BE" w:rsidP="002C6DF1">
      <w:pPr>
        <w:keepLines/>
        <w:autoSpaceDE w:val="0"/>
        <w:autoSpaceDN w:val="0"/>
        <w:adjustRightInd w:val="0"/>
        <w:rPr>
          <w:rFonts w:ascii="Garamond" w:hAnsi="Garamond"/>
          <w:lang w:val="en-AU"/>
        </w:rPr>
      </w:pPr>
      <w:r w:rsidRPr="00D766BE">
        <w:rPr>
          <w:rFonts w:ascii="Garamond" w:hAnsi="Garamond"/>
          <w:lang w:val="en-AU"/>
        </w:rPr>
        <w:t>Expert Opinion on Drug Safety. 2023</w:t>
      </w:r>
      <w:r>
        <w:rPr>
          <w:rFonts w:ascii="Garamond" w:hAnsi="Garamond"/>
          <w:lang w:val="en-AU"/>
        </w:rPr>
        <w:t xml:space="preserve"> [epub]</w:t>
      </w:r>
      <w:r w:rsidRPr="00D766BE">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08384D" w:rsidRPr="000170DA" w14:paraId="6112C730" w14:textId="77777777" w:rsidTr="0036307C">
        <w:tc>
          <w:tcPr>
            <w:tcW w:w="1080" w:type="dxa"/>
            <w:tcBorders>
              <w:top w:val="single" w:sz="4" w:space="0" w:color="auto"/>
              <w:left w:val="single" w:sz="4" w:space="0" w:color="auto"/>
              <w:bottom w:val="single" w:sz="4" w:space="0" w:color="auto"/>
              <w:right w:val="single" w:sz="4" w:space="0" w:color="auto"/>
            </w:tcBorders>
            <w:vAlign w:val="center"/>
          </w:tcPr>
          <w:p w14:paraId="28F4C441" w14:textId="77777777" w:rsidR="0008384D" w:rsidRPr="000170DA" w:rsidRDefault="0008384D" w:rsidP="0036307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119AD1B" w14:textId="53738897" w:rsidR="008B08F3" w:rsidRPr="000170DA" w:rsidRDefault="002332B1" w:rsidP="00EA3063">
            <w:pPr>
              <w:keepNext/>
              <w:rPr>
                <w:rStyle w:val="Hyperlink"/>
                <w:rFonts w:ascii="Garamond" w:hAnsi="Garamond"/>
                <w:color w:val="auto"/>
                <w:u w:val="none"/>
                <w:lang w:val="en-AU"/>
              </w:rPr>
            </w:pPr>
            <w:hyperlink r:id="rId21" w:history="1">
              <w:r w:rsidR="008B08F3" w:rsidRPr="00D70341">
                <w:rPr>
                  <w:rStyle w:val="Hyperlink"/>
                  <w:rFonts w:ascii="Garamond" w:hAnsi="Garamond"/>
                  <w:lang w:val="en-AU"/>
                </w:rPr>
                <w:t>https://doi.org/10.1080/14740338.2023.2223947</w:t>
              </w:r>
            </w:hyperlink>
            <w:r w:rsidR="00EA3063" w:rsidRPr="000170DA">
              <w:rPr>
                <w:rStyle w:val="Hyperlink"/>
                <w:rFonts w:ascii="Garamond" w:hAnsi="Garamond"/>
                <w:color w:val="auto"/>
                <w:u w:val="none"/>
                <w:lang w:val="en-AU"/>
              </w:rPr>
              <w:t xml:space="preserve"> </w:t>
            </w:r>
          </w:p>
        </w:tc>
      </w:tr>
      <w:tr w:rsidR="0008384D" w:rsidRPr="000170DA" w14:paraId="434A5BF5" w14:textId="77777777" w:rsidTr="0036307C">
        <w:tc>
          <w:tcPr>
            <w:tcW w:w="1080" w:type="dxa"/>
            <w:tcBorders>
              <w:top w:val="single" w:sz="4" w:space="0" w:color="auto"/>
              <w:left w:val="single" w:sz="4" w:space="0" w:color="auto"/>
              <w:bottom w:val="single" w:sz="4" w:space="0" w:color="auto"/>
              <w:right w:val="single" w:sz="4" w:space="0" w:color="auto"/>
            </w:tcBorders>
            <w:vAlign w:val="center"/>
          </w:tcPr>
          <w:p w14:paraId="2870693C" w14:textId="77777777" w:rsidR="0008384D" w:rsidRPr="000170DA" w:rsidRDefault="0008384D" w:rsidP="0036307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0605736" w14:textId="77777777" w:rsidR="00EA3063" w:rsidRDefault="00EA3063" w:rsidP="0036307C">
            <w:pPr>
              <w:rPr>
                <w:rFonts w:ascii="Garamond" w:hAnsi="Garamond"/>
                <w:lang w:val="en-AU"/>
              </w:rPr>
            </w:pPr>
            <w:r>
              <w:rPr>
                <w:rFonts w:ascii="Garamond" w:hAnsi="Garamond"/>
                <w:lang w:val="en-AU"/>
              </w:rPr>
              <w:t xml:space="preserve">Paper reporting a study using the UK’s National Reporting and Learning System to examine harms related to </w:t>
            </w:r>
            <w:r w:rsidRPr="00EA3063">
              <w:rPr>
                <w:rFonts w:ascii="Garamond" w:hAnsi="Garamond"/>
                <w:lang w:val="en-AU"/>
              </w:rPr>
              <w:t>direct acting oral anticoagulants (DOACs)</w:t>
            </w:r>
            <w:r>
              <w:rPr>
                <w:rFonts w:ascii="Garamond" w:hAnsi="Garamond"/>
                <w:lang w:val="en-AU"/>
              </w:rPr>
              <w:t>.</w:t>
            </w:r>
          </w:p>
          <w:p w14:paraId="7B81F2BE" w14:textId="5E201D25" w:rsidR="001964EF" w:rsidRPr="00D0490E" w:rsidRDefault="001964EF" w:rsidP="0036307C">
            <w:pPr>
              <w:rPr>
                <w:rFonts w:ascii="Garamond" w:hAnsi="Garamond"/>
                <w:lang w:val="en-AU"/>
              </w:rPr>
            </w:pPr>
            <w:r>
              <w:rPr>
                <w:rFonts w:ascii="Garamond" w:hAnsi="Garamond"/>
                <w:lang w:val="en-AU"/>
              </w:rPr>
              <w:t xml:space="preserve">The study examined </w:t>
            </w:r>
            <w:r w:rsidR="00D766BE">
              <w:rPr>
                <w:rFonts w:ascii="Garamond" w:hAnsi="Garamond"/>
                <w:lang w:val="en-AU"/>
              </w:rPr>
              <w:t>nearly 16 thousand incident reports and found 25 deaths and a ‘</w:t>
            </w:r>
            <w:r w:rsidR="00D766BE" w:rsidRPr="00D766BE">
              <w:rPr>
                <w:rFonts w:ascii="Garamond" w:hAnsi="Garamond"/>
                <w:lang w:val="en-AU"/>
              </w:rPr>
              <w:t>a further 270 and 55 incidents leading to moderate and severe harm, respectively</w:t>
            </w:r>
            <w:r w:rsidR="00D766BE">
              <w:rPr>
                <w:rFonts w:ascii="Garamond" w:hAnsi="Garamond"/>
                <w:lang w:val="en-AU"/>
              </w:rPr>
              <w:t xml:space="preserve">’ and </w:t>
            </w:r>
            <w:r w:rsidR="00D766BE" w:rsidRPr="00D766BE">
              <w:rPr>
                <w:rFonts w:ascii="Garamond" w:hAnsi="Garamond"/>
                <w:lang w:val="en-AU"/>
              </w:rPr>
              <w:t>1381 incidents associated with low degree of harm</w:t>
            </w:r>
            <w:r w:rsidR="00D766BE">
              <w:rPr>
                <w:rFonts w:ascii="Garamond" w:hAnsi="Garamond"/>
                <w:lang w:val="en-AU"/>
              </w:rPr>
              <w:t>. The authors report that ‘</w:t>
            </w:r>
            <w:r w:rsidR="00D766BE" w:rsidRPr="00D766BE">
              <w:rPr>
                <w:rFonts w:ascii="Garamond" w:hAnsi="Garamond"/>
                <w:lang w:val="en-AU"/>
              </w:rPr>
              <w:t>The majority of the incidents involved active failures (n</w:t>
            </w:r>
            <w:r w:rsidR="00D766BE" w:rsidRPr="00D766BE">
              <w:rPr>
                <w:lang w:val="en-AU"/>
              </w:rPr>
              <w:t> </w:t>
            </w:r>
            <w:r w:rsidR="00D766BE" w:rsidRPr="00D766BE">
              <w:rPr>
                <w:rFonts w:ascii="Garamond" w:hAnsi="Garamond"/>
                <w:lang w:val="en-AU"/>
              </w:rPr>
              <w:t>=</w:t>
            </w:r>
            <w:r w:rsidR="00D766BE" w:rsidRPr="00D766BE">
              <w:rPr>
                <w:lang w:val="en-AU"/>
              </w:rPr>
              <w:t> </w:t>
            </w:r>
            <w:r w:rsidR="00D766BE" w:rsidRPr="00D766BE">
              <w:rPr>
                <w:rFonts w:ascii="Garamond" w:hAnsi="Garamond"/>
                <w:lang w:val="en-AU"/>
              </w:rPr>
              <w:t>13776; 87.58) including duplication of anticoagulant therapies, patients being discharged without DOACs, non-consideration of renal function, and lack of commencement of DOACs post-surgery suggesting preventability of such reported incidents.</w:t>
            </w:r>
            <w:r w:rsidR="00D766BE">
              <w:rPr>
                <w:rFonts w:ascii="Garamond" w:hAnsi="Garamond"/>
                <w:lang w:val="en-AU"/>
              </w:rPr>
              <w:t>’</w:t>
            </w:r>
          </w:p>
        </w:tc>
      </w:tr>
    </w:tbl>
    <w:p w14:paraId="16B6A671" w14:textId="12265C7C" w:rsidR="0008384D" w:rsidRDefault="0008384D" w:rsidP="0008384D">
      <w:pPr>
        <w:keepLines/>
        <w:autoSpaceDE w:val="0"/>
        <w:autoSpaceDN w:val="0"/>
        <w:adjustRightInd w:val="0"/>
        <w:rPr>
          <w:rFonts w:ascii="Garamond" w:hAnsi="Garamond"/>
          <w:lang w:val="en-AU"/>
        </w:rPr>
      </w:pPr>
    </w:p>
    <w:p w14:paraId="54151DDD" w14:textId="77777777" w:rsidR="008B08F3" w:rsidRDefault="008B08F3" w:rsidP="008B08F3">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2" w:history="1">
        <w:r w:rsidRPr="007E0679">
          <w:rPr>
            <w:rStyle w:val="Hyperlink"/>
            <w:rFonts w:ascii="Garamond" w:hAnsi="Garamond"/>
            <w:lang w:val="en-AU"/>
          </w:rPr>
          <w:t>https://www.safetyandquality.gov.au/our-work/medication-safety</w:t>
        </w:r>
      </w:hyperlink>
      <w:r>
        <w:rPr>
          <w:rFonts w:ascii="Garamond" w:hAnsi="Garamond"/>
          <w:lang w:val="en-AU"/>
        </w:rPr>
        <w:t xml:space="preserve"> </w:t>
      </w:r>
    </w:p>
    <w:p w14:paraId="64B6CE4C" w14:textId="77777777" w:rsidR="008B08F3" w:rsidRDefault="008B08F3" w:rsidP="0008384D">
      <w:pPr>
        <w:keepLines/>
        <w:autoSpaceDE w:val="0"/>
        <w:autoSpaceDN w:val="0"/>
        <w:adjustRightInd w:val="0"/>
        <w:rPr>
          <w:rFonts w:ascii="Garamond" w:hAnsi="Garamond"/>
          <w:lang w:val="en-AU"/>
        </w:rPr>
      </w:pPr>
    </w:p>
    <w:p w14:paraId="06B30B96" w14:textId="638A8C06" w:rsidR="00BD5BAE" w:rsidRPr="008B08F3" w:rsidRDefault="008B08F3" w:rsidP="00BD5BAE">
      <w:pPr>
        <w:keepLines/>
        <w:autoSpaceDE w:val="0"/>
        <w:autoSpaceDN w:val="0"/>
        <w:adjustRightInd w:val="0"/>
        <w:rPr>
          <w:rFonts w:ascii="Garamond" w:hAnsi="Garamond"/>
          <w:i/>
          <w:iCs/>
          <w:lang w:val="en-AU"/>
        </w:rPr>
      </w:pPr>
      <w:r w:rsidRPr="008B08F3">
        <w:rPr>
          <w:rFonts w:ascii="Garamond" w:hAnsi="Garamond"/>
          <w:i/>
          <w:iCs/>
          <w:lang w:val="en-AU"/>
        </w:rPr>
        <w:t>‘When a patient chooses to die at home, that's what they want… comfort, home’: Brilliance in community-based palliative care nursing</w:t>
      </w:r>
    </w:p>
    <w:p w14:paraId="705286D8" w14:textId="77777777" w:rsidR="00DA124A" w:rsidRDefault="00DA124A" w:rsidP="00BD5BAE">
      <w:pPr>
        <w:keepLines/>
        <w:autoSpaceDE w:val="0"/>
        <w:autoSpaceDN w:val="0"/>
        <w:adjustRightInd w:val="0"/>
        <w:rPr>
          <w:rFonts w:ascii="Garamond" w:hAnsi="Garamond"/>
          <w:lang w:val="en-AU"/>
        </w:rPr>
      </w:pPr>
      <w:r w:rsidRPr="00DA124A">
        <w:rPr>
          <w:rFonts w:ascii="Garamond" w:hAnsi="Garamond"/>
          <w:lang w:val="en-AU"/>
        </w:rPr>
        <w:t>Dadich A, Hodgins M, Womsley K, Collier A</w:t>
      </w:r>
    </w:p>
    <w:p w14:paraId="552AB9B0" w14:textId="348869E0" w:rsidR="008B08F3" w:rsidRDefault="00DA124A" w:rsidP="00BD5BAE">
      <w:pPr>
        <w:keepLines/>
        <w:autoSpaceDE w:val="0"/>
        <w:autoSpaceDN w:val="0"/>
        <w:adjustRightInd w:val="0"/>
        <w:rPr>
          <w:rFonts w:ascii="Garamond" w:hAnsi="Garamond"/>
          <w:lang w:val="en-AU"/>
        </w:rPr>
      </w:pPr>
      <w:r w:rsidRPr="00DA124A">
        <w:rPr>
          <w:rFonts w:ascii="Garamond" w:hAnsi="Garamond"/>
          <w:lang w:val="en-AU"/>
        </w:rPr>
        <w:t>Health Expectations. 2023;26(4):1716-1725.</w:t>
      </w:r>
    </w:p>
    <w:tbl>
      <w:tblPr>
        <w:tblStyle w:val="TableGrid"/>
        <w:tblW w:w="9360" w:type="dxa"/>
        <w:tblInd w:w="288" w:type="dxa"/>
        <w:tblLayout w:type="fixed"/>
        <w:tblLook w:val="01E0" w:firstRow="1" w:lastRow="1" w:firstColumn="1" w:lastColumn="1" w:noHBand="0" w:noVBand="0"/>
      </w:tblPr>
      <w:tblGrid>
        <w:gridCol w:w="1080"/>
        <w:gridCol w:w="8280"/>
      </w:tblGrid>
      <w:tr w:rsidR="00BD5BAE" w:rsidRPr="000170DA" w14:paraId="6880C516"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1DD020FB" w14:textId="77777777" w:rsidR="00BD5BAE" w:rsidRPr="000170DA" w:rsidRDefault="00BD5BAE" w:rsidP="007C63A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48E0C75" w14:textId="02214AA8" w:rsidR="00BD5BAE" w:rsidRPr="000170DA" w:rsidRDefault="002332B1" w:rsidP="007C63AC">
            <w:pPr>
              <w:keepNext/>
              <w:rPr>
                <w:rStyle w:val="Hyperlink"/>
                <w:rFonts w:ascii="Garamond" w:hAnsi="Garamond"/>
                <w:color w:val="auto"/>
                <w:u w:val="none"/>
                <w:lang w:val="en-AU"/>
              </w:rPr>
            </w:pPr>
            <w:hyperlink r:id="rId23" w:history="1">
              <w:r w:rsidR="008B08F3" w:rsidRPr="00D70341">
                <w:rPr>
                  <w:rStyle w:val="Hyperlink"/>
                  <w:rFonts w:ascii="Garamond" w:hAnsi="Garamond"/>
                  <w:lang w:val="en-AU"/>
                </w:rPr>
                <w:t>https://doi.org/10.1111/hex.13780</w:t>
              </w:r>
            </w:hyperlink>
          </w:p>
        </w:tc>
      </w:tr>
      <w:tr w:rsidR="00BD5BAE" w:rsidRPr="000170DA" w14:paraId="20C1E592"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2F15BC01" w14:textId="77777777" w:rsidR="00BD5BAE" w:rsidRPr="000170DA" w:rsidRDefault="00BD5BAE" w:rsidP="007C63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FDA3220" w14:textId="27259B2B" w:rsidR="00EA3063" w:rsidRPr="00D0490E" w:rsidRDefault="00DA124A" w:rsidP="00DA124A">
            <w:pPr>
              <w:rPr>
                <w:rFonts w:ascii="Garamond" w:hAnsi="Garamond"/>
                <w:lang w:val="en-AU"/>
              </w:rPr>
            </w:pPr>
            <w:r>
              <w:rPr>
                <w:rFonts w:ascii="Garamond" w:hAnsi="Garamond"/>
                <w:lang w:val="en-AU"/>
              </w:rPr>
              <w:t>Paper from an Australian study that sought to examine ‘</w:t>
            </w:r>
            <w:r w:rsidRPr="00DA124A">
              <w:rPr>
                <w:rFonts w:ascii="Garamond" w:hAnsi="Garamond"/>
                <w:lang w:val="en-AU"/>
              </w:rPr>
              <w:t>what constitutes brilliant palliative care to ask what brilliant nursing practices are supported and promoted.</w:t>
            </w:r>
            <w:r>
              <w:rPr>
                <w:rFonts w:ascii="Garamond" w:hAnsi="Garamond"/>
                <w:lang w:val="en-AU"/>
              </w:rPr>
              <w:t>’ Working with nurses, patients and carers the study had ‘</w:t>
            </w:r>
            <w:r w:rsidRPr="00DA124A">
              <w:rPr>
                <w:rFonts w:ascii="Garamond" w:hAnsi="Garamond"/>
                <w:lang w:val="en-AU"/>
              </w:rPr>
              <w:t>a particular focus on the practices and experiences that exceeded expectations and brought joy and delight</w:t>
            </w:r>
            <w:r>
              <w:rPr>
                <w:rFonts w:ascii="Garamond" w:hAnsi="Garamond"/>
                <w:lang w:val="en-AU"/>
              </w:rPr>
              <w:t>’. The authors report that ‘</w:t>
            </w:r>
            <w:r w:rsidRPr="00DA124A">
              <w:rPr>
                <w:rFonts w:ascii="Garamond" w:hAnsi="Garamond"/>
                <w:lang w:val="en-AU"/>
              </w:rPr>
              <w:t>Brilliant community-based palliative care nursing largely involved maintaining normality in patients’ and carers’ lives. The nurses demonstrated this by masking the clinical aspects of their role, normalising these aspects, and appreciating alternative ‘normals’.</w:t>
            </w:r>
            <w:r>
              <w:rPr>
                <w:rFonts w:ascii="Garamond" w:hAnsi="Garamond"/>
                <w:lang w:val="en-AU"/>
              </w:rPr>
              <w:t>’</w:t>
            </w:r>
          </w:p>
        </w:tc>
      </w:tr>
    </w:tbl>
    <w:p w14:paraId="4990D3E7" w14:textId="77777777" w:rsidR="00BD5BAE" w:rsidRDefault="00BD5BAE" w:rsidP="00BD5BAE">
      <w:pPr>
        <w:keepLines/>
        <w:autoSpaceDE w:val="0"/>
        <w:autoSpaceDN w:val="0"/>
        <w:adjustRightInd w:val="0"/>
        <w:rPr>
          <w:rFonts w:ascii="Garamond" w:hAnsi="Garamond"/>
          <w:lang w:val="en-AU"/>
        </w:rPr>
      </w:pPr>
    </w:p>
    <w:p w14:paraId="20E4C6B9" w14:textId="51794ED1" w:rsidR="00B44990" w:rsidRDefault="00B44990" w:rsidP="00BD5BAE">
      <w:pPr>
        <w:keepLines/>
        <w:autoSpaceDE w:val="0"/>
        <w:autoSpaceDN w:val="0"/>
        <w:adjustRightInd w:val="0"/>
        <w:rPr>
          <w:rFonts w:ascii="Garamond" w:hAnsi="Garamond"/>
          <w:lang w:val="en-AU"/>
        </w:rPr>
      </w:pPr>
      <w:r>
        <w:rPr>
          <w:rFonts w:ascii="Garamond" w:hAnsi="Garamond"/>
          <w:lang w:val="en-AU"/>
        </w:rPr>
        <w:t xml:space="preserve">For information on the Commission’s work on end-of-life care, see </w:t>
      </w:r>
      <w:hyperlink r:id="rId24" w:history="1">
        <w:r w:rsidRPr="00D70341">
          <w:rPr>
            <w:rStyle w:val="Hyperlink"/>
            <w:rFonts w:ascii="Garamond" w:hAnsi="Garamond"/>
            <w:lang w:val="en-AU"/>
          </w:rPr>
          <w:t>https://www.safetyandquality.gov.au/our-work/end-life-care</w:t>
        </w:r>
      </w:hyperlink>
    </w:p>
    <w:p w14:paraId="69A56C39" w14:textId="77777777" w:rsidR="00B44990" w:rsidRDefault="00B44990" w:rsidP="00BD5BAE">
      <w:pPr>
        <w:keepLines/>
        <w:autoSpaceDE w:val="0"/>
        <w:autoSpaceDN w:val="0"/>
        <w:adjustRightInd w:val="0"/>
        <w:rPr>
          <w:rFonts w:ascii="Garamond" w:hAnsi="Garamond"/>
          <w:i/>
          <w:iCs/>
          <w:lang w:val="en-AU"/>
        </w:rPr>
      </w:pPr>
    </w:p>
    <w:p w14:paraId="400B44B1" w14:textId="77777777" w:rsidR="00971E51" w:rsidRDefault="00971E51">
      <w:pPr>
        <w:rPr>
          <w:rFonts w:ascii="Garamond" w:hAnsi="Garamond"/>
          <w:i/>
          <w:iCs/>
          <w:lang w:val="en-AU"/>
        </w:rPr>
      </w:pPr>
      <w:r>
        <w:rPr>
          <w:rFonts w:ascii="Garamond" w:hAnsi="Garamond"/>
          <w:i/>
          <w:iCs/>
          <w:lang w:val="en-AU"/>
        </w:rPr>
        <w:br w:type="page"/>
      </w:r>
    </w:p>
    <w:p w14:paraId="541E11CB" w14:textId="4F9C7397" w:rsidR="00BD5BAE" w:rsidRPr="008B08F3" w:rsidRDefault="008B08F3" w:rsidP="00BD5BAE">
      <w:pPr>
        <w:keepLines/>
        <w:autoSpaceDE w:val="0"/>
        <w:autoSpaceDN w:val="0"/>
        <w:adjustRightInd w:val="0"/>
        <w:rPr>
          <w:rFonts w:ascii="Garamond" w:hAnsi="Garamond"/>
          <w:i/>
          <w:iCs/>
          <w:lang w:val="en-AU"/>
        </w:rPr>
      </w:pPr>
      <w:r w:rsidRPr="008B08F3">
        <w:rPr>
          <w:rFonts w:ascii="Garamond" w:hAnsi="Garamond"/>
          <w:i/>
          <w:iCs/>
          <w:lang w:val="en-AU"/>
        </w:rPr>
        <w:lastRenderedPageBreak/>
        <w:t>Remote consultations in primary care across low-, middle- and high-income countries: Implications for policy and care delivery</w:t>
      </w:r>
    </w:p>
    <w:p w14:paraId="75546B0F" w14:textId="77777777" w:rsidR="008C640C" w:rsidRDefault="008C640C" w:rsidP="00BD5BAE">
      <w:pPr>
        <w:keepLines/>
        <w:autoSpaceDE w:val="0"/>
        <w:autoSpaceDN w:val="0"/>
        <w:adjustRightInd w:val="0"/>
        <w:rPr>
          <w:rFonts w:ascii="Garamond" w:hAnsi="Garamond"/>
          <w:lang w:val="en-AU"/>
        </w:rPr>
      </w:pPr>
      <w:r w:rsidRPr="008C640C">
        <w:rPr>
          <w:rFonts w:ascii="Garamond" w:hAnsi="Garamond"/>
          <w:lang w:val="en-AU"/>
        </w:rPr>
        <w:t>Williams S, Barnard A, Collis P, Correia de Sousa J, Ghimire S, Habib M, et al</w:t>
      </w:r>
    </w:p>
    <w:p w14:paraId="265BDCBA" w14:textId="54023FBF" w:rsidR="008B08F3" w:rsidRDefault="008C640C" w:rsidP="00BD5BAE">
      <w:pPr>
        <w:keepLines/>
        <w:autoSpaceDE w:val="0"/>
        <w:autoSpaceDN w:val="0"/>
        <w:adjustRightInd w:val="0"/>
        <w:rPr>
          <w:rFonts w:ascii="Garamond" w:hAnsi="Garamond"/>
          <w:lang w:val="en-AU"/>
        </w:rPr>
      </w:pPr>
      <w:r w:rsidRPr="008C640C">
        <w:rPr>
          <w:rFonts w:ascii="Garamond" w:hAnsi="Garamond"/>
          <w:lang w:val="en-AU"/>
        </w:rPr>
        <w:t xml:space="preserve"> Journal of Health Services Research &amp; Policy. 2022;28(3):181-189.</w:t>
      </w:r>
    </w:p>
    <w:tbl>
      <w:tblPr>
        <w:tblStyle w:val="TableGrid"/>
        <w:tblW w:w="9360" w:type="dxa"/>
        <w:tblInd w:w="288" w:type="dxa"/>
        <w:tblLayout w:type="fixed"/>
        <w:tblLook w:val="01E0" w:firstRow="1" w:lastRow="1" w:firstColumn="1" w:lastColumn="1" w:noHBand="0" w:noVBand="0"/>
      </w:tblPr>
      <w:tblGrid>
        <w:gridCol w:w="1080"/>
        <w:gridCol w:w="8280"/>
      </w:tblGrid>
      <w:tr w:rsidR="00BD5BAE" w:rsidRPr="000170DA" w14:paraId="3A1F3250"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209D8086" w14:textId="77777777" w:rsidR="00BD5BAE" w:rsidRPr="000170DA" w:rsidRDefault="00BD5BAE" w:rsidP="007C63A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5585E1C" w14:textId="757AB485" w:rsidR="00BD5BAE" w:rsidRPr="000170DA" w:rsidRDefault="002332B1" w:rsidP="007C63AC">
            <w:pPr>
              <w:keepNext/>
              <w:rPr>
                <w:rStyle w:val="Hyperlink"/>
                <w:rFonts w:ascii="Garamond" w:hAnsi="Garamond"/>
                <w:color w:val="auto"/>
                <w:u w:val="none"/>
                <w:lang w:val="en-AU"/>
              </w:rPr>
            </w:pPr>
            <w:hyperlink r:id="rId25" w:history="1">
              <w:r w:rsidR="008B08F3" w:rsidRPr="00D70341">
                <w:rPr>
                  <w:rStyle w:val="Hyperlink"/>
                  <w:rFonts w:ascii="Garamond" w:hAnsi="Garamond"/>
                  <w:lang w:val="en-AU"/>
                </w:rPr>
                <w:t>https://doi.org/10.1177/13558196221140318</w:t>
              </w:r>
            </w:hyperlink>
          </w:p>
        </w:tc>
      </w:tr>
      <w:tr w:rsidR="00BD5BAE" w:rsidRPr="000170DA" w14:paraId="4185CE78" w14:textId="77777777" w:rsidTr="007C63AC">
        <w:tc>
          <w:tcPr>
            <w:tcW w:w="1080" w:type="dxa"/>
            <w:tcBorders>
              <w:top w:val="single" w:sz="4" w:space="0" w:color="auto"/>
              <w:left w:val="single" w:sz="4" w:space="0" w:color="auto"/>
              <w:bottom w:val="single" w:sz="4" w:space="0" w:color="auto"/>
              <w:right w:val="single" w:sz="4" w:space="0" w:color="auto"/>
            </w:tcBorders>
            <w:vAlign w:val="center"/>
          </w:tcPr>
          <w:p w14:paraId="59D9EE3E" w14:textId="77777777" w:rsidR="00BD5BAE" w:rsidRPr="000170DA" w:rsidRDefault="00BD5BAE" w:rsidP="007C63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895AFCB" w14:textId="7EF78982" w:rsidR="00EA3063" w:rsidRPr="00D0490E" w:rsidRDefault="00DA124A" w:rsidP="008C640C">
            <w:pPr>
              <w:rPr>
                <w:rFonts w:ascii="Garamond" w:hAnsi="Garamond"/>
                <w:lang w:val="en-AU"/>
              </w:rPr>
            </w:pPr>
            <w:r>
              <w:rPr>
                <w:rFonts w:ascii="Garamond" w:hAnsi="Garamond"/>
                <w:lang w:val="en-AU"/>
              </w:rPr>
              <w:t>The COVID-19 pandemic saw many change</w:t>
            </w:r>
            <w:r w:rsidR="008C640C">
              <w:rPr>
                <w:rFonts w:ascii="Garamond" w:hAnsi="Garamond"/>
                <w:lang w:val="en-AU"/>
              </w:rPr>
              <w:t>s</w:t>
            </w:r>
            <w:r>
              <w:rPr>
                <w:rFonts w:ascii="Garamond" w:hAnsi="Garamond"/>
                <w:lang w:val="en-AU"/>
              </w:rPr>
              <w:t xml:space="preserve"> in health care, including the rapid increase in the use of remote consultations. </w:t>
            </w:r>
            <w:r w:rsidR="008C640C">
              <w:rPr>
                <w:rFonts w:ascii="Garamond" w:hAnsi="Garamond"/>
                <w:lang w:val="en-AU"/>
              </w:rPr>
              <w:t xml:space="preserve">Stemming from a group of primary care clinicians convened by </w:t>
            </w:r>
            <w:r w:rsidR="008C640C" w:rsidRPr="008C640C">
              <w:rPr>
                <w:rFonts w:ascii="Garamond" w:hAnsi="Garamond"/>
                <w:lang w:val="en-AU"/>
              </w:rPr>
              <w:t>the International Primary Care Respiratory Group</w:t>
            </w:r>
            <w:r w:rsidR="008C640C">
              <w:rPr>
                <w:rFonts w:ascii="Garamond" w:hAnsi="Garamond"/>
                <w:lang w:val="en-AU"/>
              </w:rPr>
              <w:t>, t</w:t>
            </w:r>
            <w:r>
              <w:rPr>
                <w:rFonts w:ascii="Garamond" w:hAnsi="Garamond"/>
                <w:lang w:val="en-AU"/>
              </w:rPr>
              <w:t>his piece reflects on the strengths and limitations of remote consultations in primary care at various levels</w:t>
            </w:r>
            <w:r w:rsidR="008C640C">
              <w:rPr>
                <w:rFonts w:ascii="Garamond" w:hAnsi="Garamond"/>
                <w:lang w:val="en-AU"/>
              </w:rPr>
              <w:t>. Recognising the remote consultations are now a routine approach to primary care delivery the authors make some observations on the implications for clinicians, training, provisioning, funding and policy.</w:t>
            </w:r>
          </w:p>
        </w:tc>
      </w:tr>
    </w:tbl>
    <w:p w14:paraId="454EB59F" w14:textId="77777777" w:rsidR="00BD5BAE" w:rsidRDefault="00BD5BAE" w:rsidP="00BD5BAE">
      <w:pPr>
        <w:keepLines/>
        <w:autoSpaceDE w:val="0"/>
        <w:autoSpaceDN w:val="0"/>
        <w:adjustRightInd w:val="0"/>
        <w:rPr>
          <w:rFonts w:ascii="Garamond" w:hAnsi="Garamond"/>
          <w:lang w:val="en-AU"/>
        </w:rPr>
      </w:pPr>
    </w:p>
    <w:p w14:paraId="3151E534" w14:textId="618AAB3C" w:rsidR="00640D35" w:rsidRPr="00640D35" w:rsidRDefault="00640D35" w:rsidP="00640D35">
      <w:pPr>
        <w:keepNext/>
        <w:keepLines/>
        <w:autoSpaceDE w:val="0"/>
        <w:autoSpaceDN w:val="0"/>
        <w:adjustRightInd w:val="0"/>
        <w:rPr>
          <w:rFonts w:ascii="Garamond" w:hAnsi="Garamond"/>
          <w:i/>
          <w:iCs/>
          <w:lang w:val="en-AU"/>
        </w:rPr>
      </w:pPr>
      <w:r w:rsidRPr="00640D35">
        <w:rPr>
          <w:rFonts w:ascii="Garamond" w:hAnsi="Garamond"/>
          <w:i/>
          <w:iCs/>
          <w:lang w:val="en-AU"/>
        </w:rPr>
        <w:t>The Joint Commission Journal on Quality and Patient Safety</w:t>
      </w:r>
    </w:p>
    <w:p w14:paraId="2ECD789A" w14:textId="692E4D58" w:rsidR="00C41722" w:rsidRPr="006E6650" w:rsidRDefault="00640D35" w:rsidP="00C41722">
      <w:pPr>
        <w:keepNext/>
        <w:keepLines/>
        <w:autoSpaceDE w:val="0"/>
        <w:autoSpaceDN w:val="0"/>
        <w:adjustRightInd w:val="0"/>
        <w:rPr>
          <w:rFonts w:ascii="Garamond" w:hAnsi="Garamond"/>
          <w:lang w:val="en-AU"/>
        </w:rPr>
      </w:pPr>
      <w:r w:rsidRPr="00640D35">
        <w:rPr>
          <w:rFonts w:ascii="Garamond" w:hAnsi="Garamond"/>
          <w:lang w:val="en-AU"/>
        </w:rPr>
        <w:t>Volume 49, Issue 8, August 2023</w:t>
      </w:r>
    </w:p>
    <w:tbl>
      <w:tblPr>
        <w:tblStyle w:val="TableGrid"/>
        <w:tblW w:w="9360" w:type="dxa"/>
        <w:tblInd w:w="288" w:type="dxa"/>
        <w:tblLayout w:type="fixed"/>
        <w:tblLook w:val="01E0" w:firstRow="1" w:lastRow="1" w:firstColumn="1" w:lastColumn="1" w:noHBand="0" w:noVBand="0"/>
      </w:tblPr>
      <w:tblGrid>
        <w:gridCol w:w="1080"/>
        <w:gridCol w:w="8280"/>
      </w:tblGrid>
      <w:tr w:rsidR="00C41722" w:rsidRPr="00E37911" w14:paraId="69A12329"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1B986F88" w14:textId="77777777" w:rsidR="00C41722" w:rsidRPr="00E37911" w:rsidRDefault="00C41722" w:rsidP="00C70D6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1FB881A" w14:textId="5EA48B27" w:rsidR="00C41722" w:rsidRPr="00E37911" w:rsidRDefault="002332B1" w:rsidP="00C70D65">
            <w:pPr>
              <w:rPr>
                <w:rStyle w:val="Hyperlink"/>
                <w:rFonts w:ascii="Garamond" w:hAnsi="Garamond"/>
                <w:color w:val="auto"/>
                <w:u w:val="none"/>
                <w:lang w:val="en-AU"/>
              </w:rPr>
            </w:pPr>
            <w:hyperlink r:id="rId26" w:history="1">
              <w:r w:rsidR="00640D35" w:rsidRPr="00157BAE">
                <w:rPr>
                  <w:rStyle w:val="Hyperlink"/>
                  <w:rFonts w:ascii="Garamond" w:hAnsi="Garamond"/>
                  <w:lang w:val="en-AU"/>
                </w:rPr>
                <w:t>https://www.sciencedirect.com/journal/the-joint-commission-journal-on-quality-and-patient-safety/vol/49/issue/8</w:t>
              </w:r>
            </w:hyperlink>
          </w:p>
        </w:tc>
      </w:tr>
      <w:tr w:rsidR="00C41722" w:rsidRPr="00E37911" w14:paraId="2F0C8FBC"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65CED44D" w14:textId="77777777" w:rsidR="00C41722" w:rsidRPr="00E37911" w:rsidRDefault="00C41722" w:rsidP="00C70D65">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AB38A34" w14:textId="18954552" w:rsidR="00C41722" w:rsidRPr="007C3778" w:rsidRDefault="00C41722" w:rsidP="00C70D65">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640D35" w:rsidRPr="00640D35">
              <w:rPr>
                <w:rFonts w:ascii="Garamond" w:hAnsi="Garamond"/>
                <w:i/>
                <w:iCs/>
                <w:lang w:val="en-AU"/>
              </w:rPr>
              <w:t>The Joint Commission Journal on Quality and Patient Safety</w:t>
            </w:r>
            <w:r w:rsidR="00640D35" w:rsidRPr="00B440ED">
              <w:rPr>
                <w:rFonts w:ascii="Garamond" w:hAnsi="Garamond"/>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640D35" w:rsidRPr="00640D35">
              <w:rPr>
                <w:rFonts w:ascii="Garamond" w:hAnsi="Garamond"/>
                <w:i/>
                <w:iCs/>
                <w:lang w:val="en-AU"/>
              </w:rPr>
              <w:t>The Joint Commission Journal on Quality and Patient Safety</w:t>
            </w:r>
            <w:r w:rsidR="00640D35" w:rsidRPr="00B440ED">
              <w:rPr>
                <w:rFonts w:ascii="Garamond" w:hAnsi="Garamond"/>
                <w:lang w:val="en-AU"/>
              </w:rPr>
              <w:t xml:space="preserve"> </w:t>
            </w:r>
            <w:r w:rsidRPr="00B440ED">
              <w:rPr>
                <w:rFonts w:ascii="Garamond" w:hAnsi="Garamond"/>
                <w:lang w:val="en-AU"/>
              </w:rPr>
              <w:t>include:</w:t>
            </w:r>
          </w:p>
          <w:p w14:paraId="5264F23A" w14:textId="5D0C8771" w:rsidR="00640D35" w:rsidRPr="00640D35" w:rsidRDefault="00C41722" w:rsidP="0059583A">
            <w:pPr>
              <w:pStyle w:val="ListParagraph"/>
              <w:numPr>
                <w:ilvl w:val="0"/>
                <w:numId w:val="19"/>
              </w:numPr>
              <w:rPr>
                <w:rFonts w:ascii="Garamond" w:hAnsi="Garamond"/>
                <w:lang w:val="en-AU"/>
              </w:rPr>
            </w:pPr>
            <w:r w:rsidRPr="00640D35">
              <w:rPr>
                <w:rFonts w:ascii="Garamond" w:hAnsi="Garamond"/>
                <w:lang w:val="en-AU"/>
              </w:rPr>
              <w:t xml:space="preserve">Editorial: </w:t>
            </w:r>
            <w:r w:rsidR="00640D35" w:rsidRPr="00640D35">
              <w:rPr>
                <w:rFonts w:ascii="Garamond" w:hAnsi="Garamond"/>
                <w:lang w:val="en-AU"/>
              </w:rPr>
              <w:t xml:space="preserve">Improving </w:t>
            </w:r>
            <w:r w:rsidR="00640D35" w:rsidRPr="00640D35">
              <w:rPr>
                <w:rFonts w:ascii="Garamond" w:hAnsi="Garamond"/>
                <w:b/>
                <w:bCs/>
                <w:lang w:val="en-AU"/>
              </w:rPr>
              <w:t>Perioperative Handoffs</w:t>
            </w:r>
            <w:r w:rsidR="00640D35" w:rsidRPr="00640D35">
              <w:rPr>
                <w:rFonts w:ascii="Garamond" w:hAnsi="Garamond"/>
                <w:lang w:val="en-AU"/>
              </w:rPr>
              <w:t>: Moving Beyond Standardized Checklists and Protocols (Joanna Abraham, Michael Rosen, Philip E. Greilich</w:t>
            </w:r>
            <w:r w:rsidR="00640D35">
              <w:rPr>
                <w:rFonts w:ascii="Garamond" w:hAnsi="Garamond"/>
                <w:lang w:val="en-AU"/>
              </w:rPr>
              <w:t>)</w:t>
            </w:r>
          </w:p>
          <w:p w14:paraId="1B51B6A5" w14:textId="74271D6A" w:rsidR="00640D35" w:rsidRPr="00640D35" w:rsidRDefault="00640D35" w:rsidP="00D77D51">
            <w:pPr>
              <w:pStyle w:val="ListParagraph"/>
              <w:numPr>
                <w:ilvl w:val="0"/>
                <w:numId w:val="19"/>
              </w:numPr>
              <w:rPr>
                <w:rFonts w:ascii="Garamond" w:hAnsi="Garamond"/>
                <w:lang w:val="en-AU"/>
              </w:rPr>
            </w:pPr>
            <w:r w:rsidRPr="00640D35">
              <w:rPr>
                <w:rFonts w:ascii="Garamond" w:hAnsi="Garamond"/>
                <w:lang w:val="en-AU"/>
              </w:rPr>
              <w:t xml:space="preserve">Bringing a Multiteam Systems Perspective to the Perioperative Context: Considerations for Future Research of </w:t>
            </w:r>
            <w:r w:rsidRPr="00640D35">
              <w:rPr>
                <w:rFonts w:ascii="Garamond" w:hAnsi="Garamond"/>
                <w:b/>
                <w:bCs/>
                <w:lang w:val="en-AU"/>
              </w:rPr>
              <w:t>Perioperative Handoffs</w:t>
            </w:r>
            <w:r w:rsidRPr="00640D35">
              <w:rPr>
                <w:rFonts w:ascii="Garamond" w:hAnsi="Garamond"/>
                <w:lang w:val="en-AU"/>
              </w:rPr>
              <w:t xml:space="preserve"> (Annamaria V Wolf, Allison M Traylor, Marissa L Shuffler, Donald W Wiper</w:t>
            </w:r>
            <w:r>
              <w:rPr>
                <w:rFonts w:ascii="Garamond" w:hAnsi="Garamond"/>
                <w:lang w:val="en-AU"/>
              </w:rPr>
              <w:t>)</w:t>
            </w:r>
          </w:p>
          <w:p w14:paraId="1936C120" w14:textId="4FD06C1B" w:rsidR="00640D35" w:rsidRPr="00640D35" w:rsidRDefault="00640D35" w:rsidP="00D829FD">
            <w:pPr>
              <w:pStyle w:val="ListParagraph"/>
              <w:numPr>
                <w:ilvl w:val="0"/>
                <w:numId w:val="19"/>
              </w:numPr>
              <w:rPr>
                <w:rFonts w:ascii="Garamond" w:hAnsi="Garamond"/>
                <w:lang w:val="en-AU"/>
              </w:rPr>
            </w:pPr>
            <w:r w:rsidRPr="00640D35">
              <w:rPr>
                <w:rFonts w:ascii="Garamond" w:hAnsi="Garamond"/>
                <w:lang w:val="en-AU"/>
              </w:rPr>
              <w:t xml:space="preserve">Patient- and Team-Level Characteristics Associated with </w:t>
            </w:r>
            <w:r w:rsidRPr="00640D35">
              <w:rPr>
                <w:rFonts w:ascii="Garamond" w:hAnsi="Garamond"/>
                <w:b/>
                <w:bCs/>
                <w:lang w:val="en-AU"/>
              </w:rPr>
              <w:t>Handoff Protocol Fidelity</w:t>
            </w:r>
            <w:r w:rsidRPr="00640D35">
              <w:rPr>
                <w:rFonts w:ascii="Garamond" w:hAnsi="Garamond"/>
                <w:lang w:val="en-AU"/>
              </w:rPr>
              <w:t xml:space="preserve"> in a Hybrid Implementation Study: Results from a Qualitative Comparative Analysis (Meghan B Lane-Fall, Christopher B Koilor, Kathleen Givan, Tamar Klaiman, Frances K Barg</w:t>
            </w:r>
            <w:r>
              <w:rPr>
                <w:rFonts w:ascii="Garamond" w:hAnsi="Garamond"/>
                <w:lang w:val="en-AU"/>
              </w:rPr>
              <w:t>)</w:t>
            </w:r>
          </w:p>
          <w:p w14:paraId="6EC5D634" w14:textId="53F78ABC" w:rsidR="00640D35" w:rsidRPr="00640D35" w:rsidRDefault="00640D35" w:rsidP="006A1EEB">
            <w:pPr>
              <w:pStyle w:val="ListParagraph"/>
              <w:numPr>
                <w:ilvl w:val="0"/>
                <w:numId w:val="19"/>
              </w:numPr>
              <w:rPr>
                <w:rFonts w:ascii="Garamond" w:hAnsi="Garamond"/>
                <w:lang w:val="en-AU"/>
              </w:rPr>
            </w:pPr>
            <w:r w:rsidRPr="00640D35">
              <w:rPr>
                <w:rFonts w:ascii="Garamond" w:hAnsi="Garamond"/>
                <w:lang w:val="en-AU"/>
              </w:rPr>
              <w:t xml:space="preserve">So Many Ways to Be Wrong: Completeness and Accuracy in a Prospective Study of </w:t>
            </w:r>
            <w:r w:rsidRPr="00640D35">
              <w:rPr>
                <w:rFonts w:ascii="Garamond" w:hAnsi="Garamond"/>
                <w:b/>
                <w:bCs/>
                <w:lang w:val="en-AU"/>
              </w:rPr>
              <w:t>OR-to-ICU Handoff Standardization</w:t>
            </w:r>
            <w:r w:rsidRPr="00640D35">
              <w:rPr>
                <w:rFonts w:ascii="Garamond" w:hAnsi="Garamond"/>
                <w:lang w:val="en-AU"/>
              </w:rPr>
              <w:t xml:space="preserve"> (Julian Conn Busch, Jasmine Wu, Evanie Anglade, Hannah G Peifer, Meghan B Lane-Fall</w:t>
            </w:r>
            <w:r>
              <w:rPr>
                <w:rFonts w:ascii="Garamond" w:hAnsi="Garamond"/>
                <w:lang w:val="en-AU"/>
              </w:rPr>
              <w:t>)</w:t>
            </w:r>
          </w:p>
          <w:p w14:paraId="447A9B60" w14:textId="1B5B3262" w:rsidR="00640D35" w:rsidRPr="00640D35" w:rsidRDefault="00640D35" w:rsidP="004D7F54">
            <w:pPr>
              <w:pStyle w:val="ListParagraph"/>
              <w:numPr>
                <w:ilvl w:val="0"/>
                <w:numId w:val="19"/>
              </w:numPr>
              <w:rPr>
                <w:rFonts w:ascii="Garamond" w:hAnsi="Garamond"/>
                <w:lang w:val="en-AU"/>
              </w:rPr>
            </w:pPr>
            <w:r w:rsidRPr="00640D35">
              <w:rPr>
                <w:rFonts w:ascii="Garamond" w:hAnsi="Garamond"/>
                <w:lang w:val="en-AU"/>
              </w:rPr>
              <w:t xml:space="preserve">Leveraging the Science of Teamwork to Sustain </w:t>
            </w:r>
            <w:r w:rsidRPr="00640D35">
              <w:rPr>
                <w:rFonts w:ascii="Garamond" w:hAnsi="Garamond"/>
                <w:b/>
                <w:bCs/>
                <w:lang w:val="en-AU"/>
              </w:rPr>
              <w:t>Handoff Improvements</w:t>
            </w:r>
            <w:r w:rsidRPr="00640D35">
              <w:rPr>
                <w:rFonts w:ascii="Garamond" w:hAnsi="Garamond"/>
                <w:lang w:val="en-AU"/>
              </w:rPr>
              <w:t xml:space="preserve"> in Cardiovascular Surgery (Joseph R Keebler, Isaac Lynch, Fallon Ngo, Eleanor Phelps, Philip E Greilich</w:t>
            </w:r>
            <w:r>
              <w:rPr>
                <w:rFonts w:ascii="Garamond" w:hAnsi="Garamond"/>
                <w:lang w:val="en-AU"/>
              </w:rPr>
              <w:t>)</w:t>
            </w:r>
          </w:p>
          <w:p w14:paraId="761F2BBD" w14:textId="6BED2C6E" w:rsidR="00640D35" w:rsidRPr="00640D35" w:rsidRDefault="00640D35" w:rsidP="00DA50C8">
            <w:pPr>
              <w:pStyle w:val="ListParagraph"/>
              <w:numPr>
                <w:ilvl w:val="0"/>
                <w:numId w:val="19"/>
              </w:numPr>
              <w:rPr>
                <w:rFonts w:ascii="Garamond" w:hAnsi="Garamond"/>
                <w:lang w:val="en-AU"/>
              </w:rPr>
            </w:pPr>
            <w:r w:rsidRPr="00640D35">
              <w:rPr>
                <w:rFonts w:ascii="Garamond" w:hAnsi="Garamond"/>
                <w:b/>
                <w:bCs/>
                <w:lang w:val="en-AU"/>
              </w:rPr>
              <w:t>Improving Handoffs in the Perioperative Environment</w:t>
            </w:r>
            <w:r w:rsidRPr="00640D35">
              <w:rPr>
                <w:rFonts w:ascii="Garamond" w:hAnsi="Garamond"/>
                <w:lang w:val="en-AU"/>
              </w:rPr>
              <w:t>: A Conceptual Framework of Key Theories, System Factors, Methods, and Core Interventions to Ensure Success (Amy J Starmer, Meghan M Michael, Nancy D Spector, Lee Ann Riesenberg</w:t>
            </w:r>
            <w:r>
              <w:rPr>
                <w:rFonts w:ascii="Garamond" w:hAnsi="Garamond"/>
                <w:lang w:val="en-AU"/>
              </w:rPr>
              <w:t>)</w:t>
            </w:r>
          </w:p>
          <w:p w14:paraId="36FC25E1" w14:textId="5A2549F2" w:rsidR="00640D35" w:rsidRPr="00640D35" w:rsidRDefault="00640D35" w:rsidP="00126C03">
            <w:pPr>
              <w:pStyle w:val="ListParagraph"/>
              <w:numPr>
                <w:ilvl w:val="0"/>
                <w:numId w:val="19"/>
              </w:numPr>
              <w:rPr>
                <w:rFonts w:ascii="Garamond" w:hAnsi="Garamond"/>
                <w:lang w:val="en-AU"/>
              </w:rPr>
            </w:pPr>
            <w:r w:rsidRPr="00640D35">
              <w:rPr>
                <w:rFonts w:ascii="Garamond" w:hAnsi="Garamond"/>
                <w:b/>
                <w:bCs/>
                <w:lang w:val="en-AU"/>
              </w:rPr>
              <w:t>Anesthesiology Patient Handoff Education Interventions</w:t>
            </w:r>
            <w:r w:rsidRPr="00640D35">
              <w:rPr>
                <w:rFonts w:ascii="Garamond" w:hAnsi="Garamond"/>
                <w:lang w:val="en-AU"/>
              </w:rPr>
              <w:t>: A Systematic Review (Lee Ann Riesenberg, Robyn Davis, Allyson Heng, Clementino Vong do Rosario, Meghan Lane-Fall</w:t>
            </w:r>
            <w:r>
              <w:rPr>
                <w:rFonts w:ascii="Garamond" w:hAnsi="Garamond"/>
                <w:lang w:val="en-AU"/>
              </w:rPr>
              <w:t>)</w:t>
            </w:r>
          </w:p>
          <w:p w14:paraId="55251BF0" w14:textId="7C8A4393" w:rsidR="00640D35" w:rsidRPr="00640D35" w:rsidRDefault="00640D35" w:rsidP="00E036CA">
            <w:pPr>
              <w:pStyle w:val="ListParagraph"/>
              <w:numPr>
                <w:ilvl w:val="0"/>
                <w:numId w:val="19"/>
              </w:numPr>
              <w:rPr>
                <w:rFonts w:ascii="Garamond" w:hAnsi="Garamond"/>
                <w:lang w:val="en-AU"/>
              </w:rPr>
            </w:pPr>
            <w:r w:rsidRPr="00640D35">
              <w:rPr>
                <w:rFonts w:ascii="Garamond" w:hAnsi="Garamond"/>
                <w:b/>
                <w:bCs/>
                <w:lang w:val="en-AU"/>
              </w:rPr>
              <w:t>Perioperative Handoff Enhancement Opportunities</w:t>
            </w:r>
            <w:r w:rsidRPr="00640D35">
              <w:rPr>
                <w:rFonts w:ascii="Garamond" w:hAnsi="Garamond"/>
                <w:lang w:val="en-AU"/>
              </w:rPr>
              <w:t xml:space="preserve"> Through Technology and Artificial Intelligence: A Narrative Review (Jamie L Sparling, Bommy Hong Mershon, Joanna Abraham</w:t>
            </w:r>
            <w:r>
              <w:rPr>
                <w:rFonts w:ascii="Garamond" w:hAnsi="Garamond"/>
                <w:lang w:val="en-AU"/>
              </w:rPr>
              <w:t>)</w:t>
            </w:r>
          </w:p>
          <w:p w14:paraId="2CC57B01" w14:textId="3539BC9B" w:rsidR="00C41722" w:rsidRPr="00546F5E" w:rsidRDefault="00640D35" w:rsidP="00640D35">
            <w:pPr>
              <w:pStyle w:val="ListParagraph"/>
              <w:numPr>
                <w:ilvl w:val="0"/>
                <w:numId w:val="19"/>
              </w:numPr>
              <w:rPr>
                <w:rFonts w:ascii="Garamond" w:hAnsi="Garamond"/>
                <w:lang w:val="en-AU"/>
              </w:rPr>
            </w:pPr>
            <w:r w:rsidRPr="00640D35">
              <w:rPr>
                <w:rFonts w:ascii="Garamond" w:hAnsi="Garamond"/>
                <w:lang w:val="en-AU"/>
              </w:rPr>
              <w:t xml:space="preserve">Taking a </w:t>
            </w:r>
            <w:r w:rsidRPr="00640D35">
              <w:rPr>
                <w:rFonts w:ascii="Garamond" w:hAnsi="Garamond"/>
                <w:b/>
                <w:bCs/>
                <w:lang w:val="en-AU"/>
              </w:rPr>
              <w:t>Resilience Engineering Approach to Perioperative Handoffs</w:t>
            </w:r>
            <w:r w:rsidRPr="00640D35">
              <w:rPr>
                <w:rFonts w:ascii="Garamond" w:hAnsi="Garamond"/>
                <w:lang w:val="en-AU"/>
              </w:rPr>
              <w:t xml:space="preserve"> (Aubrey Samost-Williams, Connor Lusk, Ken Catchpole</w:t>
            </w:r>
            <w:r>
              <w:rPr>
                <w:rFonts w:ascii="Garamond" w:hAnsi="Garamond"/>
                <w:lang w:val="en-AU"/>
              </w:rPr>
              <w:t>)</w:t>
            </w:r>
          </w:p>
        </w:tc>
      </w:tr>
    </w:tbl>
    <w:p w14:paraId="0FF2E5E2" w14:textId="76BF1239" w:rsidR="00C41722" w:rsidRDefault="00C41722" w:rsidP="00C41722">
      <w:pPr>
        <w:keepLines/>
        <w:autoSpaceDE w:val="0"/>
        <w:autoSpaceDN w:val="0"/>
        <w:adjustRightInd w:val="0"/>
        <w:rPr>
          <w:rFonts w:ascii="Garamond" w:hAnsi="Garamond"/>
          <w:i/>
          <w:lang w:val="en-AU"/>
        </w:rPr>
      </w:pPr>
    </w:p>
    <w:p w14:paraId="5E5DE55C" w14:textId="77777777" w:rsidR="00640D35" w:rsidRDefault="00640D35" w:rsidP="00640D35">
      <w:pPr>
        <w:keepNext/>
        <w:keepLines/>
        <w:autoSpaceDE w:val="0"/>
        <w:autoSpaceDN w:val="0"/>
        <w:adjustRightInd w:val="0"/>
        <w:rPr>
          <w:rFonts w:ascii="Garamond" w:hAnsi="Garamond"/>
          <w:lang w:val="en-AU"/>
        </w:rPr>
      </w:pPr>
      <w:r w:rsidRPr="00434279">
        <w:rPr>
          <w:rFonts w:ascii="Garamond" w:hAnsi="Garamond"/>
          <w:i/>
          <w:iCs/>
          <w:lang w:val="en-AU"/>
        </w:rPr>
        <w:lastRenderedPageBreak/>
        <w:t>Journal of Health Services Research &amp; Policy</w:t>
      </w:r>
    </w:p>
    <w:p w14:paraId="5334DB14" w14:textId="44154F3A" w:rsidR="00640D35" w:rsidRPr="006E6650" w:rsidRDefault="00640D35" w:rsidP="00640D35">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28</w:t>
      </w:r>
      <w:r w:rsidRPr="0051468F">
        <w:rPr>
          <w:rFonts w:ascii="Garamond" w:hAnsi="Garamond"/>
          <w:lang w:val="en-AU"/>
        </w:rPr>
        <w:t xml:space="preserve">, </w:t>
      </w:r>
      <w:r>
        <w:rPr>
          <w:rFonts w:ascii="Garamond" w:hAnsi="Garamond"/>
          <w:lang w:val="en-AU"/>
        </w:rPr>
        <w:t>Issue 3</w:t>
      </w:r>
      <w:r w:rsidRPr="0051468F">
        <w:rPr>
          <w:rFonts w:ascii="Garamond" w:hAnsi="Garamond"/>
          <w:lang w:val="en-AU"/>
        </w:rPr>
        <w:t xml:space="preserve">, </w:t>
      </w:r>
      <w:r w:rsidR="00B44990">
        <w:rPr>
          <w:rFonts w:ascii="Garamond" w:hAnsi="Garamond"/>
          <w:lang w:val="en-AU"/>
        </w:rPr>
        <w:t>J</w:t>
      </w:r>
      <w:r>
        <w:rPr>
          <w:rFonts w:ascii="Garamond" w:hAnsi="Garamond"/>
          <w:lang w:val="en-AU"/>
        </w:rPr>
        <w:t xml:space="preserve">uly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640D35" w:rsidRPr="00E37911" w14:paraId="7F633B5B" w14:textId="77777777" w:rsidTr="00476FDC">
        <w:tc>
          <w:tcPr>
            <w:tcW w:w="1080" w:type="dxa"/>
            <w:tcBorders>
              <w:top w:val="single" w:sz="4" w:space="0" w:color="auto"/>
              <w:left w:val="single" w:sz="4" w:space="0" w:color="auto"/>
              <w:bottom w:val="single" w:sz="4" w:space="0" w:color="auto"/>
              <w:right w:val="single" w:sz="4" w:space="0" w:color="auto"/>
            </w:tcBorders>
            <w:vAlign w:val="center"/>
          </w:tcPr>
          <w:p w14:paraId="2DC5743F" w14:textId="77777777" w:rsidR="00640D35" w:rsidRPr="00E37911" w:rsidRDefault="00640D35" w:rsidP="00476FD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B095088" w14:textId="77777777" w:rsidR="00640D35" w:rsidRPr="00E37911" w:rsidRDefault="002332B1" w:rsidP="00476FDC">
            <w:pPr>
              <w:rPr>
                <w:rStyle w:val="Hyperlink"/>
                <w:rFonts w:ascii="Garamond" w:hAnsi="Garamond"/>
                <w:color w:val="auto"/>
                <w:u w:val="none"/>
                <w:lang w:val="en-AU"/>
              </w:rPr>
            </w:pPr>
            <w:hyperlink r:id="rId27" w:history="1">
              <w:r w:rsidR="00640D35" w:rsidRPr="00FC7B11">
                <w:rPr>
                  <w:rStyle w:val="Hyperlink"/>
                  <w:rFonts w:ascii="Garamond" w:hAnsi="Garamond"/>
                  <w:lang w:val="en-AU"/>
                </w:rPr>
                <w:t>https://journals.sagepub.com/toc/hsrb/28/3</w:t>
              </w:r>
            </w:hyperlink>
          </w:p>
        </w:tc>
      </w:tr>
      <w:tr w:rsidR="00640D35" w:rsidRPr="00E37911" w14:paraId="65608983" w14:textId="77777777" w:rsidTr="00476FDC">
        <w:tc>
          <w:tcPr>
            <w:tcW w:w="1080" w:type="dxa"/>
            <w:tcBorders>
              <w:top w:val="single" w:sz="4" w:space="0" w:color="auto"/>
              <w:left w:val="single" w:sz="4" w:space="0" w:color="auto"/>
              <w:bottom w:val="single" w:sz="4" w:space="0" w:color="auto"/>
              <w:right w:val="single" w:sz="4" w:space="0" w:color="auto"/>
            </w:tcBorders>
            <w:vAlign w:val="center"/>
          </w:tcPr>
          <w:p w14:paraId="1CE91CFA" w14:textId="77777777" w:rsidR="00640D35" w:rsidRPr="00E37911" w:rsidRDefault="00640D35" w:rsidP="00476FDC">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60973AB" w14:textId="77777777" w:rsidR="00640D35" w:rsidRPr="007C3778" w:rsidRDefault="00640D35" w:rsidP="00476FDC">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434279">
              <w:rPr>
                <w:rFonts w:ascii="Garamond" w:hAnsi="Garamond"/>
                <w:i/>
                <w:iCs/>
                <w:lang w:val="en-AU"/>
              </w:rPr>
              <w:t>Journal of Health Services Research &amp; Policy</w:t>
            </w:r>
            <w:r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the </w:t>
            </w:r>
            <w:r w:rsidRPr="00434279">
              <w:rPr>
                <w:rFonts w:ascii="Garamond" w:hAnsi="Garamond"/>
                <w:i/>
                <w:iCs/>
                <w:lang w:val="en-AU"/>
              </w:rPr>
              <w:t>Journal of Health Services Research &amp; Policy</w:t>
            </w:r>
            <w:r w:rsidRPr="003B2C3B">
              <w:rPr>
                <w:rFonts w:ascii="Garamond" w:hAnsi="Garamond"/>
                <w:i/>
                <w:iCs/>
                <w:lang w:val="en-AU"/>
              </w:rPr>
              <w:t xml:space="preserve"> </w:t>
            </w:r>
            <w:r w:rsidRPr="00B440ED">
              <w:rPr>
                <w:rFonts w:ascii="Garamond" w:hAnsi="Garamond"/>
                <w:lang w:val="en-AU"/>
              </w:rPr>
              <w:t>include:</w:t>
            </w:r>
          </w:p>
          <w:p w14:paraId="23A74096" w14:textId="77777777" w:rsidR="00640D35" w:rsidRPr="00434279" w:rsidRDefault="00640D35" w:rsidP="00476FDC">
            <w:pPr>
              <w:pStyle w:val="ListParagraph"/>
              <w:numPr>
                <w:ilvl w:val="0"/>
                <w:numId w:val="19"/>
              </w:numPr>
              <w:rPr>
                <w:rFonts w:ascii="Garamond" w:hAnsi="Garamond"/>
                <w:lang w:val="en-AU"/>
              </w:rPr>
            </w:pPr>
            <w:r w:rsidRPr="00434279">
              <w:rPr>
                <w:rFonts w:ascii="Garamond" w:hAnsi="Garamond"/>
                <w:lang w:val="en-AU"/>
              </w:rPr>
              <w:t xml:space="preserve">Editorial: </w:t>
            </w:r>
            <w:r w:rsidRPr="00434279">
              <w:rPr>
                <w:rFonts w:ascii="Garamond" w:hAnsi="Garamond"/>
                <w:b/>
                <w:bCs/>
                <w:lang w:val="en-AU"/>
              </w:rPr>
              <w:t>Remote care</w:t>
            </w:r>
            <w:r w:rsidRPr="00434279">
              <w:rPr>
                <w:rFonts w:ascii="Garamond" w:hAnsi="Garamond"/>
                <w:lang w:val="en-AU"/>
              </w:rPr>
              <w:t xml:space="preserve"> – good for some, but not for all? (Catherine Pope</w:t>
            </w:r>
            <w:r>
              <w:rPr>
                <w:rFonts w:ascii="Garamond" w:hAnsi="Garamond"/>
                <w:lang w:val="en-AU"/>
              </w:rPr>
              <w:t>)</w:t>
            </w:r>
          </w:p>
          <w:p w14:paraId="62658FAF" w14:textId="77777777" w:rsidR="00640D35" w:rsidRDefault="00640D35" w:rsidP="00476FDC">
            <w:pPr>
              <w:pStyle w:val="ListParagraph"/>
              <w:numPr>
                <w:ilvl w:val="0"/>
                <w:numId w:val="19"/>
              </w:numPr>
              <w:rPr>
                <w:rFonts w:ascii="Garamond" w:hAnsi="Garamond"/>
                <w:lang w:val="en-AU"/>
              </w:rPr>
            </w:pPr>
            <w:r w:rsidRPr="00434279">
              <w:rPr>
                <w:rFonts w:ascii="Garamond" w:hAnsi="Garamond"/>
                <w:lang w:val="en-AU"/>
              </w:rPr>
              <w:t xml:space="preserve">The role of knowledge, primary care and community engagement to improve </w:t>
            </w:r>
            <w:r w:rsidRPr="00434279">
              <w:rPr>
                <w:rFonts w:ascii="Garamond" w:hAnsi="Garamond"/>
                <w:b/>
                <w:bCs/>
                <w:lang w:val="en-AU"/>
              </w:rPr>
              <w:t>breast-screening access</w:t>
            </w:r>
            <w:r w:rsidRPr="00434279">
              <w:rPr>
                <w:rFonts w:ascii="Garamond" w:hAnsi="Garamond"/>
                <w:lang w:val="en-AU"/>
              </w:rPr>
              <w:t xml:space="preserve"> for Pakistani women in the United Kingdom: A secondary analysis of a qualitative study (Hooran M Khattak, Victoria G Woof, David P French, Louise S Donnelly, Helen Ruane, Fiona Ulph, Nadeem Qureshi, Nasaim Khan, D Gareth Evans, and Kathryn A Robb</w:t>
            </w:r>
            <w:r>
              <w:rPr>
                <w:rFonts w:ascii="Garamond" w:hAnsi="Garamond"/>
                <w:lang w:val="en-AU"/>
              </w:rPr>
              <w:t>)</w:t>
            </w:r>
          </w:p>
          <w:p w14:paraId="6D461A91" w14:textId="77777777" w:rsidR="00640D35" w:rsidRDefault="00640D35" w:rsidP="00476FDC">
            <w:pPr>
              <w:pStyle w:val="ListParagraph"/>
              <w:numPr>
                <w:ilvl w:val="0"/>
                <w:numId w:val="19"/>
              </w:numPr>
              <w:rPr>
                <w:rFonts w:ascii="Garamond" w:hAnsi="Garamond"/>
                <w:lang w:val="en-AU"/>
              </w:rPr>
            </w:pPr>
            <w:r w:rsidRPr="00434279">
              <w:rPr>
                <w:rFonts w:ascii="Garamond" w:hAnsi="Garamond"/>
                <w:lang w:val="en-AU"/>
              </w:rPr>
              <w:t xml:space="preserve">Substitution or addition: An observational study of a new </w:t>
            </w:r>
            <w:r w:rsidRPr="00434279">
              <w:rPr>
                <w:rFonts w:ascii="Garamond" w:hAnsi="Garamond"/>
                <w:b/>
                <w:bCs/>
                <w:lang w:val="en-AU"/>
              </w:rPr>
              <w:t>primary care initiative in the Netherlands</w:t>
            </w:r>
            <w:r w:rsidRPr="00434279">
              <w:rPr>
                <w:rFonts w:ascii="Garamond" w:hAnsi="Garamond"/>
                <w:lang w:val="en-AU"/>
              </w:rPr>
              <w:t xml:space="preserve"> (Esther HA van den Bogaart, Marieke D Spreeuwenberg, Mariëlle EAL Kroese, and Dirk Ruwaard</w:t>
            </w:r>
            <w:r>
              <w:rPr>
                <w:rFonts w:ascii="Garamond" w:hAnsi="Garamond"/>
                <w:lang w:val="en-AU"/>
              </w:rPr>
              <w:t>)</w:t>
            </w:r>
          </w:p>
          <w:p w14:paraId="35761F64" w14:textId="77777777" w:rsidR="00640D35" w:rsidRDefault="00640D35" w:rsidP="00476FDC">
            <w:pPr>
              <w:pStyle w:val="ListParagraph"/>
              <w:numPr>
                <w:ilvl w:val="0"/>
                <w:numId w:val="19"/>
              </w:numPr>
              <w:rPr>
                <w:rFonts w:ascii="Garamond" w:hAnsi="Garamond"/>
                <w:lang w:val="en-AU"/>
              </w:rPr>
            </w:pPr>
            <w:r w:rsidRPr="00434279">
              <w:rPr>
                <w:rFonts w:ascii="Garamond" w:hAnsi="Garamond"/>
                <w:b/>
                <w:bCs/>
                <w:lang w:val="en-AU"/>
              </w:rPr>
              <w:t>Family physician services and blood pressure control</w:t>
            </w:r>
            <w:r w:rsidRPr="00434279">
              <w:rPr>
                <w:rFonts w:ascii="Garamond" w:hAnsi="Garamond"/>
                <w:lang w:val="en-AU"/>
              </w:rPr>
              <w:t xml:space="preserve"> in China: A population-based retrospective cohort study (Rize Jing, Karen Eggleston, Xiaozhen Lai, and Hai Fang</w:t>
            </w:r>
            <w:r>
              <w:rPr>
                <w:rFonts w:ascii="Garamond" w:hAnsi="Garamond"/>
                <w:lang w:val="en-AU"/>
              </w:rPr>
              <w:t>)</w:t>
            </w:r>
          </w:p>
          <w:p w14:paraId="0F9F1CC4" w14:textId="77777777" w:rsidR="00640D35" w:rsidRDefault="00640D35" w:rsidP="00476FDC">
            <w:pPr>
              <w:pStyle w:val="ListParagraph"/>
              <w:numPr>
                <w:ilvl w:val="0"/>
                <w:numId w:val="19"/>
              </w:numPr>
              <w:rPr>
                <w:rFonts w:ascii="Garamond" w:hAnsi="Garamond"/>
                <w:lang w:val="en-AU"/>
              </w:rPr>
            </w:pPr>
            <w:r w:rsidRPr="00434279">
              <w:rPr>
                <w:rFonts w:ascii="Garamond" w:hAnsi="Garamond"/>
                <w:lang w:val="en-AU"/>
              </w:rPr>
              <w:t xml:space="preserve">Staff experiences of training and delivery of </w:t>
            </w:r>
            <w:r w:rsidRPr="00434279">
              <w:rPr>
                <w:rFonts w:ascii="Garamond" w:hAnsi="Garamond"/>
                <w:b/>
                <w:bCs/>
                <w:lang w:val="en-AU"/>
              </w:rPr>
              <w:t>remote home monitoring services</w:t>
            </w:r>
            <w:r w:rsidRPr="00434279">
              <w:rPr>
                <w:rFonts w:ascii="Garamond" w:hAnsi="Garamond"/>
                <w:lang w:val="en-AU"/>
              </w:rPr>
              <w:t xml:space="preserve"> for patients diagnosed with COVID-19 in England: A mixed-methods study (Manbinder Sidhu, Holly Walton, Nadia Crellin, Jo Ellins, Lauren Herlitz, Ian Litchfield, Efthalia Massou, Sonila M Tomini, Cecilia Vindrola-Padros, and Naomi J Fulop</w:t>
            </w:r>
            <w:r>
              <w:rPr>
                <w:rFonts w:ascii="Garamond" w:hAnsi="Garamond"/>
                <w:lang w:val="en-AU"/>
              </w:rPr>
              <w:t>)</w:t>
            </w:r>
          </w:p>
          <w:p w14:paraId="661F5215" w14:textId="77777777" w:rsidR="00640D35" w:rsidRDefault="00640D35" w:rsidP="00476FDC">
            <w:pPr>
              <w:pStyle w:val="ListParagraph"/>
              <w:numPr>
                <w:ilvl w:val="0"/>
                <w:numId w:val="19"/>
              </w:numPr>
              <w:rPr>
                <w:rFonts w:ascii="Garamond" w:hAnsi="Garamond"/>
                <w:lang w:val="en-AU"/>
              </w:rPr>
            </w:pPr>
            <w:r w:rsidRPr="00434279">
              <w:rPr>
                <w:rFonts w:ascii="Garamond" w:hAnsi="Garamond"/>
                <w:b/>
                <w:bCs/>
                <w:lang w:val="en-AU"/>
              </w:rPr>
              <w:t>Remote consultations in primary care</w:t>
            </w:r>
            <w:r w:rsidRPr="00434279">
              <w:rPr>
                <w:rFonts w:ascii="Garamond" w:hAnsi="Garamond"/>
                <w:lang w:val="en-AU"/>
              </w:rPr>
              <w:t xml:space="preserve"> across low-, middle- and high-income countries: Implications for policy and care delivery (Siân Williams, Amanda Barnard, Phil Collis, Jaime Correia de Sousa, Suraj Ghimire, Monsur Habib, Tessa Jelen, Frank Kanniess, Vince Mak, Sonia Martins, Ema Paulino, Hilary Pinnock, Miguel Roman, Hanna Sandelowsky, Ioanna Tsiligianni, Laurine van der Steen, and Fabio Weber Donatelli</w:t>
            </w:r>
            <w:r>
              <w:rPr>
                <w:rFonts w:ascii="Garamond" w:hAnsi="Garamond"/>
                <w:lang w:val="en-AU"/>
              </w:rPr>
              <w:t>)</w:t>
            </w:r>
          </w:p>
          <w:p w14:paraId="5A9CE963" w14:textId="77777777" w:rsidR="00640D35" w:rsidRPr="00434279" w:rsidRDefault="00640D35" w:rsidP="00476FDC">
            <w:pPr>
              <w:pStyle w:val="ListParagraph"/>
              <w:numPr>
                <w:ilvl w:val="0"/>
                <w:numId w:val="19"/>
              </w:numPr>
              <w:rPr>
                <w:rFonts w:ascii="Garamond" w:hAnsi="Garamond"/>
                <w:lang w:val="en-AU"/>
              </w:rPr>
            </w:pPr>
            <w:r w:rsidRPr="00434279">
              <w:rPr>
                <w:rFonts w:ascii="Garamond" w:hAnsi="Garamond"/>
                <w:lang w:val="en-AU"/>
              </w:rPr>
              <w:t xml:space="preserve">Using </w:t>
            </w:r>
            <w:r w:rsidRPr="00434279">
              <w:rPr>
                <w:rFonts w:ascii="Garamond" w:hAnsi="Garamond"/>
                <w:b/>
                <w:bCs/>
                <w:lang w:val="en-AU"/>
              </w:rPr>
              <w:t>arts-based research in applied health care</w:t>
            </w:r>
            <w:r w:rsidRPr="00434279">
              <w:rPr>
                <w:rFonts w:ascii="Garamond" w:hAnsi="Garamond"/>
                <w:lang w:val="en-AU"/>
              </w:rPr>
              <w:t>: An example from an evaluation of NHS dental contract reform in Wales (Ellie Overs, Chris Woods, Lorelei Jones, Lynne Williams, Sion Williams, C Burton, and P R Brocklehurst</w:t>
            </w:r>
            <w:r>
              <w:rPr>
                <w:rFonts w:ascii="Garamond" w:hAnsi="Garamond"/>
                <w:lang w:val="en-AU"/>
              </w:rPr>
              <w:t>)</w:t>
            </w:r>
          </w:p>
          <w:p w14:paraId="50B25B2C" w14:textId="77777777" w:rsidR="00640D35" w:rsidRPr="00546F5E" w:rsidRDefault="00640D35" w:rsidP="00476FDC">
            <w:pPr>
              <w:pStyle w:val="ListParagraph"/>
              <w:numPr>
                <w:ilvl w:val="0"/>
                <w:numId w:val="19"/>
              </w:numPr>
              <w:rPr>
                <w:rFonts w:ascii="Garamond" w:hAnsi="Garamond"/>
                <w:lang w:val="en-AU"/>
              </w:rPr>
            </w:pPr>
            <w:r w:rsidRPr="00434279">
              <w:rPr>
                <w:rFonts w:ascii="Garamond" w:hAnsi="Garamond"/>
                <w:lang w:val="en-AU"/>
              </w:rPr>
              <w:t xml:space="preserve">Enablers and barriers to </w:t>
            </w:r>
            <w:r w:rsidRPr="00434279">
              <w:rPr>
                <w:rFonts w:ascii="Garamond" w:hAnsi="Garamond"/>
                <w:b/>
                <w:bCs/>
                <w:lang w:val="en-AU"/>
              </w:rPr>
              <w:t>military veterans seeking help for mental health and alcohol difficulties</w:t>
            </w:r>
            <w:r w:rsidRPr="00434279">
              <w:rPr>
                <w:rFonts w:ascii="Garamond" w:hAnsi="Garamond"/>
                <w:lang w:val="en-AU"/>
              </w:rPr>
              <w:t>: A systematic review of the quantitative evidence (Catherine Hitch, Paul Toner, and Cherie Armour)</w:t>
            </w:r>
          </w:p>
        </w:tc>
      </w:tr>
    </w:tbl>
    <w:p w14:paraId="1B2B11FD" w14:textId="77777777" w:rsidR="00640D35" w:rsidRDefault="00640D35" w:rsidP="00C41722">
      <w:pPr>
        <w:keepLines/>
        <w:autoSpaceDE w:val="0"/>
        <w:autoSpaceDN w:val="0"/>
        <w:adjustRightInd w:val="0"/>
        <w:rPr>
          <w:rFonts w:ascii="Garamond" w:hAnsi="Garamond"/>
          <w:i/>
          <w:lang w:val="en-AU"/>
        </w:rPr>
      </w:pPr>
    </w:p>
    <w:p w14:paraId="26FA1743" w14:textId="77777777" w:rsidR="00971E51" w:rsidRDefault="00971E51">
      <w:pPr>
        <w:rPr>
          <w:rFonts w:ascii="Garamond" w:hAnsi="Garamond"/>
          <w:i/>
          <w:lang w:val="en-AU"/>
        </w:rPr>
      </w:pPr>
      <w:r>
        <w:rPr>
          <w:rFonts w:ascii="Garamond" w:hAnsi="Garamond"/>
          <w:i/>
          <w:lang w:val="en-AU"/>
        </w:rPr>
        <w:br w:type="page"/>
      </w:r>
    </w:p>
    <w:p w14:paraId="3D3627E5" w14:textId="0B57162B"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2332B1" w:rsidP="00B13BCF">
            <w:pPr>
              <w:keepNext/>
              <w:rPr>
                <w:rFonts w:ascii="Garamond" w:hAnsi="Garamond"/>
                <w:lang w:val="en-AU"/>
              </w:rPr>
            </w:pPr>
            <w:hyperlink r:id="rId28"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7C82C07E" w14:textId="19A12DFF" w:rsidR="00EA3063" w:rsidRPr="00EA3063" w:rsidRDefault="00EA3063" w:rsidP="002255BB">
            <w:pPr>
              <w:pStyle w:val="ListParagraph"/>
              <w:numPr>
                <w:ilvl w:val="0"/>
                <w:numId w:val="16"/>
              </w:numPr>
              <w:rPr>
                <w:rFonts w:ascii="Garamond" w:hAnsi="Garamond"/>
                <w:lang w:val="en-AU"/>
              </w:rPr>
            </w:pPr>
            <w:r w:rsidRPr="00EA3063">
              <w:rPr>
                <w:rFonts w:ascii="Garamond" w:hAnsi="Garamond"/>
                <w:lang w:val="en-AU"/>
              </w:rPr>
              <w:t xml:space="preserve">Editorial: </w:t>
            </w:r>
            <w:r w:rsidRPr="00EA3063">
              <w:rPr>
                <w:rFonts w:ascii="Garamond" w:hAnsi="Garamond"/>
                <w:b/>
                <w:bCs/>
                <w:lang w:val="en-AU"/>
              </w:rPr>
              <w:t>Work addiction and quality of care</w:t>
            </w:r>
            <w:r w:rsidRPr="00EA3063">
              <w:rPr>
                <w:rFonts w:ascii="Garamond" w:hAnsi="Garamond"/>
                <w:lang w:val="en-AU"/>
              </w:rPr>
              <w:t xml:space="preserve"> in healthcare: Working long hours should not be confused with addiction to work (Mark D Griffiths</w:t>
            </w:r>
            <w:r>
              <w:rPr>
                <w:rFonts w:ascii="Garamond" w:hAnsi="Garamond"/>
                <w:lang w:val="en-AU"/>
              </w:rPr>
              <w:t>)</w:t>
            </w:r>
          </w:p>
          <w:p w14:paraId="7D0798D8" w14:textId="0D33CE9A" w:rsidR="00EA3063" w:rsidRPr="00EA3063" w:rsidRDefault="00EA3063" w:rsidP="00C62EAF">
            <w:pPr>
              <w:pStyle w:val="ListParagraph"/>
              <w:numPr>
                <w:ilvl w:val="0"/>
                <w:numId w:val="16"/>
              </w:numPr>
              <w:rPr>
                <w:rFonts w:ascii="Garamond" w:hAnsi="Garamond"/>
                <w:lang w:val="en-AU"/>
              </w:rPr>
            </w:pPr>
            <w:r w:rsidRPr="00EA3063">
              <w:rPr>
                <w:rFonts w:ascii="Garamond" w:hAnsi="Garamond"/>
                <w:lang w:val="en-AU"/>
              </w:rPr>
              <w:t xml:space="preserve">Editorial: Moving the needle: using quality improvement to address gaps in </w:t>
            </w:r>
            <w:r w:rsidRPr="00EA3063">
              <w:rPr>
                <w:rFonts w:ascii="Garamond" w:hAnsi="Garamond"/>
                <w:b/>
                <w:bCs/>
                <w:lang w:val="en-AU"/>
              </w:rPr>
              <w:t>sickle cell care</w:t>
            </w:r>
            <w:r w:rsidRPr="00EA3063">
              <w:rPr>
                <w:rFonts w:ascii="Garamond" w:hAnsi="Garamond"/>
                <w:lang w:val="en-AU"/>
              </w:rPr>
              <w:t xml:space="preserve"> (Seethal A Jacob, Jennifer C Yui</w:t>
            </w:r>
            <w:r>
              <w:rPr>
                <w:rFonts w:ascii="Garamond" w:hAnsi="Garamond"/>
                <w:lang w:val="en-AU"/>
              </w:rPr>
              <w:t>)</w:t>
            </w:r>
          </w:p>
          <w:p w14:paraId="1868B738" w14:textId="683D4B76" w:rsidR="00EA3063" w:rsidRPr="00EA3063" w:rsidRDefault="00EA3063" w:rsidP="00A4237A">
            <w:pPr>
              <w:pStyle w:val="ListParagraph"/>
              <w:numPr>
                <w:ilvl w:val="0"/>
                <w:numId w:val="16"/>
              </w:numPr>
              <w:rPr>
                <w:rFonts w:ascii="Garamond" w:hAnsi="Garamond"/>
                <w:lang w:val="en-AU"/>
              </w:rPr>
            </w:pPr>
            <w:r w:rsidRPr="00EA3063">
              <w:rPr>
                <w:rFonts w:ascii="Garamond" w:hAnsi="Garamond"/>
                <w:lang w:val="en-AU"/>
              </w:rPr>
              <w:t xml:space="preserve">Editorial: Contextualising </w:t>
            </w:r>
            <w:r w:rsidRPr="00EA3063">
              <w:rPr>
                <w:rFonts w:ascii="Garamond" w:hAnsi="Garamond"/>
                <w:b/>
                <w:bCs/>
                <w:lang w:val="en-AU"/>
              </w:rPr>
              <w:t>opioid-related risk factors</w:t>
            </w:r>
            <w:r w:rsidRPr="00EA3063">
              <w:rPr>
                <w:rFonts w:ascii="Garamond" w:hAnsi="Garamond"/>
                <w:lang w:val="en-AU"/>
              </w:rPr>
              <w:t xml:space="preserve"> before an initial opioid prescription (Scott G Weiner, Jason A Hoppe</w:t>
            </w:r>
            <w:r>
              <w:rPr>
                <w:rFonts w:ascii="Garamond" w:hAnsi="Garamond"/>
                <w:lang w:val="en-AU"/>
              </w:rPr>
              <w:t>)</w:t>
            </w:r>
          </w:p>
          <w:p w14:paraId="78B953FB" w14:textId="794CF53A" w:rsidR="00BD5BAE" w:rsidRPr="00BD5BAE" w:rsidRDefault="00BD5BAE" w:rsidP="002A5E91">
            <w:pPr>
              <w:pStyle w:val="ListParagraph"/>
              <w:numPr>
                <w:ilvl w:val="0"/>
                <w:numId w:val="16"/>
              </w:numPr>
              <w:rPr>
                <w:rFonts w:ascii="Garamond" w:hAnsi="Garamond"/>
                <w:lang w:val="en-AU"/>
              </w:rPr>
            </w:pPr>
            <w:r w:rsidRPr="00BD5BAE">
              <w:rPr>
                <w:rFonts w:ascii="Garamond" w:hAnsi="Garamond"/>
                <w:lang w:val="en-AU"/>
              </w:rPr>
              <w:t xml:space="preserve">The Ethical Complexity of </w:t>
            </w:r>
            <w:r w:rsidRPr="00BD5BAE">
              <w:rPr>
                <w:rFonts w:ascii="Garamond" w:hAnsi="Garamond"/>
                <w:b/>
                <w:bCs/>
                <w:lang w:val="en-AU"/>
              </w:rPr>
              <w:t>Restricting Visitors during the COVID-19</w:t>
            </w:r>
            <w:r w:rsidRPr="00BD5BAE">
              <w:rPr>
                <w:rFonts w:ascii="Garamond" w:hAnsi="Garamond"/>
                <w:lang w:val="en-AU"/>
              </w:rPr>
              <w:t xml:space="preserve"> Pandemic (Louise Campbell, Georgina Morley</w:t>
            </w:r>
            <w:r>
              <w:rPr>
                <w:rFonts w:ascii="Garamond" w:hAnsi="Garamond"/>
                <w:lang w:val="en-AU"/>
              </w:rPr>
              <w:t>)</w:t>
            </w:r>
          </w:p>
          <w:p w14:paraId="1DA400FA" w14:textId="77777777" w:rsidR="00781C79" w:rsidRDefault="00BD5BAE" w:rsidP="00BD5BAE">
            <w:pPr>
              <w:pStyle w:val="ListParagraph"/>
              <w:numPr>
                <w:ilvl w:val="0"/>
                <w:numId w:val="16"/>
              </w:numPr>
              <w:rPr>
                <w:rFonts w:ascii="Garamond" w:hAnsi="Garamond"/>
                <w:lang w:val="en-AU"/>
              </w:rPr>
            </w:pPr>
            <w:r w:rsidRPr="00BD5BAE">
              <w:rPr>
                <w:rFonts w:ascii="Garamond" w:hAnsi="Garamond"/>
                <w:lang w:val="en-AU"/>
              </w:rPr>
              <w:t xml:space="preserve">It’s time for the field of </w:t>
            </w:r>
            <w:r w:rsidRPr="00BD5BAE">
              <w:rPr>
                <w:rFonts w:ascii="Garamond" w:hAnsi="Garamond"/>
                <w:b/>
                <w:bCs/>
                <w:lang w:val="en-AU"/>
              </w:rPr>
              <w:t>geriatrics to invest in implementation science</w:t>
            </w:r>
            <w:r w:rsidRPr="00BD5BAE">
              <w:rPr>
                <w:rFonts w:ascii="Garamond" w:hAnsi="Garamond"/>
                <w:lang w:val="en-AU"/>
              </w:rPr>
              <w:t xml:space="preserve"> (Beth Prusaczyk, Robert E Burke</w:t>
            </w:r>
            <w:r>
              <w:rPr>
                <w:rFonts w:ascii="Garamond" w:hAnsi="Garamond"/>
                <w:lang w:val="en-AU"/>
              </w:rPr>
              <w:t>)</w:t>
            </w:r>
          </w:p>
          <w:p w14:paraId="2C386F5C" w14:textId="09A89CFF" w:rsidR="00A2616F" w:rsidRPr="00E37911" w:rsidRDefault="00A2616F" w:rsidP="00A2616F">
            <w:pPr>
              <w:pStyle w:val="ListParagraph"/>
              <w:numPr>
                <w:ilvl w:val="0"/>
                <w:numId w:val="16"/>
              </w:numPr>
              <w:rPr>
                <w:rFonts w:ascii="Garamond" w:hAnsi="Garamond"/>
                <w:lang w:val="en-AU"/>
              </w:rPr>
            </w:pPr>
            <w:r w:rsidRPr="00A2616F">
              <w:rPr>
                <w:rFonts w:ascii="Garamond" w:hAnsi="Garamond"/>
                <w:lang w:val="en-AU"/>
              </w:rPr>
              <w:t xml:space="preserve">Comparing </w:t>
            </w:r>
            <w:r w:rsidRPr="00A2616F">
              <w:rPr>
                <w:rFonts w:ascii="Garamond" w:hAnsi="Garamond"/>
                <w:b/>
                <w:bCs/>
                <w:lang w:val="en-AU"/>
              </w:rPr>
              <w:t>secondary prevention for patients with coronary heart disease and stroke</w:t>
            </w:r>
            <w:r w:rsidRPr="00A2616F">
              <w:rPr>
                <w:rFonts w:ascii="Garamond" w:hAnsi="Garamond"/>
                <w:lang w:val="en-AU"/>
              </w:rPr>
              <w:t xml:space="preserve"> attending Australian general practices: a cross-sectional study using nationwide electronic</w:t>
            </w:r>
            <w:r>
              <w:rPr>
                <w:rFonts w:ascii="Garamond" w:hAnsi="Garamond"/>
                <w:lang w:val="en-AU"/>
              </w:rPr>
              <w:t xml:space="preserve"> </w:t>
            </w:r>
            <w:r w:rsidRPr="00A2616F">
              <w:rPr>
                <w:rFonts w:ascii="Garamond" w:hAnsi="Garamond"/>
                <w:lang w:val="en-AU"/>
              </w:rPr>
              <w:t>database</w:t>
            </w:r>
            <w:r>
              <w:rPr>
                <w:rFonts w:ascii="Garamond" w:hAnsi="Garamond"/>
                <w:lang w:val="en-AU"/>
              </w:rPr>
              <w:t xml:space="preserve"> (</w:t>
            </w:r>
            <w:r w:rsidRPr="00A2616F">
              <w:rPr>
                <w:rFonts w:ascii="Garamond" w:hAnsi="Garamond"/>
                <w:lang w:val="en-AU"/>
              </w:rPr>
              <w:t>Jason Yue, Samia Kazi, Tu Nguyen, Clara Kayei Chow</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3AAC451D" w14:textId="77777777" w:rsidR="00DC729A" w:rsidRDefault="00DC729A">
      <w:pPr>
        <w:rPr>
          <w:rFonts w:ascii="Garamond" w:hAnsi="Garamond"/>
          <w:b/>
          <w:lang w:val="en-AU"/>
        </w:rPr>
      </w:pPr>
    </w:p>
    <w:p w14:paraId="0C28F841" w14:textId="092D9654" w:rsidR="00C4268C" w:rsidRPr="00913086" w:rsidRDefault="009C6AF9" w:rsidP="00C4268C">
      <w:pPr>
        <w:keepNext/>
        <w:rPr>
          <w:rFonts w:ascii="Garamond" w:hAnsi="Garamond"/>
          <w:b/>
          <w:bCs/>
          <w:i/>
          <w:lang w:val="en-AU"/>
        </w:rPr>
      </w:pPr>
      <w:r>
        <w:rPr>
          <w:rFonts w:ascii="Garamond" w:hAnsi="Garamond"/>
          <w:b/>
          <w:bCs/>
          <w:i/>
          <w:lang w:val="en-AU"/>
        </w:rPr>
        <w:t>[</w:t>
      </w:r>
      <w:r w:rsidR="00C4268C" w:rsidRPr="00913086">
        <w:rPr>
          <w:rFonts w:ascii="Garamond" w:hAnsi="Garamond"/>
          <w:b/>
          <w:bCs/>
          <w:i/>
          <w:lang w:val="en-AU"/>
        </w:rPr>
        <w:t>UK] NICE Guidelines and Quality Standards</w:t>
      </w:r>
    </w:p>
    <w:p w14:paraId="1AC8838C" w14:textId="05545019" w:rsidR="00C4268C" w:rsidRPr="008F3909" w:rsidRDefault="002332B1" w:rsidP="00C4268C">
      <w:pPr>
        <w:keepNext/>
        <w:rPr>
          <w:rFonts w:ascii="Garamond" w:hAnsi="Garamond"/>
          <w:lang w:val="en-AU"/>
        </w:rPr>
      </w:pPr>
      <w:hyperlink r:id="rId29"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948C135" w14:textId="54EFA8DA" w:rsidR="00D43455"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9C6AF9">
        <w:rPr>
          <w:rFonts w:ascii="Garamond" w:hAnsi="Garamond"/>
          <w:iCs/>
          <w:lang w:val="en-AU"/>
        </w:rPr>
        <w:t>122</w:t>
      </w:r>
      <w:r w:rsidR="007E7ADF">
        <w:rPr>
          <w:rFonts w:ascii="Garamond" w:hAnsi="Garamond"/>
          <w:iCs/>
          <w:lang w:val="en-AU"/>
        </w:rPr>
        <w:t xml:space="preserve"> </w:t>
      </w:r>
      <w:r w:rsidR="009C6AF9" w:rsidRPr="009C6AF9">
        <w:rPr>
          <w:rFonts w:ascii="Garamond" w:hAnsi="Garamond"/>
          <w:b/>
          <w:bCs/>
          <w:i/>
          <w:lang w:val="en-AU"/>
        </w:rPr>
        <w:t>Lung cancer</w:t>
      </w:r>
      <w:r w:rsidR="009C6AF9" w:rsidRPr="009C6AF9">
        <w:rPr>
          <w:rFonts w:ascii="Garamond" w:hAnsi="Garamond"/>
          <w:i/>
          <w:lang w:val="en-AU"/>
        </w:rPr>
        <w:t>: diagnosis and management</w:t>
      </w:r>
      <w:r w:rsidR="009C6AF9">
        <w:rPr>
          <w:rFonts w:ascii="Garamond" w:hAnsi="Garamond"/>
          <w:iCs/>
          <w:lang w:val="en-AU"/>
        </w:rPr>
        <w:t xml:space="preserve"> </w:t>
      </w:r>
      <w:hyperlink r:id="rId30" w:history="1">
        <w:r w:rsidR="009C6AF9" w:rsidRPr="00083F38">
          <w:rPr>
            <w:rStyle w:val="Hyperlink"/>
            <w:rFonts w:ascii="Garamond" w:hAnsi="Garamond"/>
            <w:iCs/>
            <w:lang w:val="en-AU"/>
          </w:rPr>
          <w:t>https://www.nice.org.uk/guidance/ng122</w:t>
        </w:r>
      </w:hyperlink>
    </w:p>
    <w:p w14:paraId="76AF0AF5" w14:textId="7299C085" w:rsidR="00E83262" w:rsidRDefault="00226C0F" w:rsidP="00E34851">
      <w:pPr>
        <w:pStyle w:val="ListParagraph"/>
        <w:numPr>
          <w:ilvl w:val="0"/>
          <w:numId w:val="14"/>
        </w:numPr>
        <w:rPr>
          <w:rFonts w:ascii="Garamond" w:hAnsi="Garamond"/>
          <w:iCs/>
          <w:lang w:val="en-AU"/>
        </w:rPr>
      </w:pPr>
      <w:r w:rsidRPr="00226C0F">
        <w:rPr>
          <w:rFonts w:ascii="Garamond" w:hAnsi="Garamond"/>
          <w:iCs/>
          <w:lang w:val="en-AU"/>
        </w:rPr>
        <w:t>Clinical Guideline CG</w:t>
      </w:r>
      <w:r w:rsidR="009C6AF9">
        <w:rPr>
          <w:rFonts w:ascii="Garamond" w:hAnsi="Garamond"/>
          <w:iCs/>
          <w:lang w:val="en-AU"/>
        </w:rPr>
        <w:t>189</w:t>
      </w:r>
      <w:r w:rsidR="004C0708">
        <w:rPr>
          <w:rFonts w:ascii="Garamond" w:hAnsi="Garamond"/>
          <w:iCs/>
          <w:lang w:val="en-AU"/>
        </w:rPr>
        <w:t xml:space="preserve"> </w:t>
      </w:r>
      <w:r w:rsidR="009C6AF9" w:rsidRPr="009C6AF9">
        <w:rPr>
          <w:rFonts w:ascii="Garamond" w:hAnsi="Garamond"/>
          <w:b/>
          <w:bCs/>
          <w:i/>
          <w:lang w:val="en-AU"/>
        </w:rPr>
        <w:t>Obesity</w:t>
      </w:r>
      <w:r w:rsidR="009C6AF9" w:rsidRPr="009C6AF9">
        <w:rPr>
          <w:rFonts w:ascii="Garamond" w:hAnsi="Garamond"/>
          <w:i/>
          <w:lang w:val="en-AU"/>
        </w:rPr>
        <w:t>: identification, assessment and management</w:t>
      </w:r>
      <w:r w:rsidR="009C6AF9">
        <w:rPr>
          <w:rFonts w:ascii="Garamond" w:hAnsi="Garamond"/>
          <w:iCs/>
          <w:lang w:val="en-AU"/>
        </w:rPr>
        <w:t xml:space="preserve"> </w:t>
      </w:r>
      <w:hyperlink r:id="rId31" w:history="1">
        <w:r w:rsidR="009C6AF9" w:rsidRPr="00083F38">
          <w:rPr>
            <w:rStyle w:val="Hyperlink"/>
            <w:rFonts w:ascii="Garamond" w:hAnsi="Garamond"/>
            <w:iCs/>
            <w:lang w:val="en-AU"/>
          </w:rPr>
          <w:t>https://www.nice.org.uk/guidance/cg189</w:t>
        </w:r>
      </w:hyperlink>
    </w:p>
    <w:p w14:paraId="2517B20C" w14:textId="635B1C2F" w:rsidR="00C4268C" w:rsidRDefault="00C4268C" w:rsidP="00C4268C">
      <w:pPr>
        <w:rPr>
          <w:rFonts w:ascii="Garamond" w:hAnsi="Garamond"/>
          <w:b/>
          <w:lang w:val="en-AU"/>
        </w:rPr>
      </w:pPr>
    </w:p>
    <w:p w14:paraId="395535C7" w14:textId="14FCF30E" w:rsidR="00971E51" w:rsidRDefault="00971E51" w:rsidP="00C4268C">
      <w:pPr>
        <w:rPr>
          <w:rFonts w:ascii="Garamond" w:hAnsi="Garamond"/>
          <w:b/>
          <w:lang w:val="en-AU"/>
        </w:rPr>
      </w:pPr>
    </w:p>
    <w:p w14:paraId="470518CE" w14:textId="299583EF" w:rsidR="00971E51" w:rsidRDefault="00971E51" w:rsidP="00C4268C">
      <w:pPr>
        <w:rPr>
          <w:rFonts w:ascii="Garamond" w:hAnsi="Garamond"/>
          <w:b/>
          <w:lang w:val="en-AU"/>
        </w:rPr>
      </w:pPr>
    </w:p>
    <w:p w14:paraId="67F32D48" w14:textId="771D0B9A" w:rsidR="00971E51" w:rsidRDefault="00971E51" w:rsidP="00C4268C">
      <w:pPr>
        <w:rPr>
          <w:rFonts w:ascii="Garamond" w:hAnsi="Garamond"/>
          <w:b/>
          <w:lang w:val="en-AU"/>
        </w:rPr>
      </w:pPr>
    </w:p>
    <w:p w14:paraId="30531B17" w14:textId="77777777" w:rsidR="00971E51" w:rsidRDefault="00971E51" w:rsidP="00C4268C">
      <w:pPr>
        <w:rPr>
          <w:rFonts w:ascii="Garamond" w:hAnsi="Garamond"/>
          <w:b/>
          <w:lang w:val="en-AU"/>
        </w:rPr>
      </w:pPr>
    </w:p>
    <w:p w14:paraId="67A64C9B" w14:textId="71D5B2B1" w:rsidR="00E83262" w:rsidRDefault="00E83262" w:rsidP="00D1061B">
      <w:pPr>
        <w:rPr>
          <w:rFonts w:ascii="Garamond" w:hAnsi="Garamond"/>
          <w:b/>
          <w:lang w:val="en-AU"/>
        </w:rPr>
      </w:pPr>
    </w:p>
    <w:p w14:paraId="2E352F15" w14:textId="77777777"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4"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1CF9DFA">
            <wp:extent cx="5889812" cy="8310624"/>
            <wp:effectExtent l="0" t="0" r="0" b="0"/>
            <wp:docPr id="8" name="Picture 8" descr="COVID-19 poster - combined contact and droplet precaution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913980" cy="8344726"/>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6"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Clinical Evidence Taskforce</w:t>
      </w:r>
    </w:p>
    <w:p w14:paraId="066BAB2A" w14:textId="1753A1A5" w:rsidR="009C6AF9" w:rsidRPr="009C6AF9" w:rsidRDefault="002332B1" w:rsidP="00D574D3">
      <w:pPr>
        <w:keepNext/>
        <w:keepLines/>
        <w:rPr>
          <w:rFonts w:ascii="Garamond" w:hAnsi="Garamond"/>
        </w:rPr>
      </w:pPr>
      <w:hyperlink r:id="rId46" w:history="1">
        <w:r w:rsidR="009C6AF9" w:rsidRPr="009C6AF9">
          <w:rPr>
            <w:rStyle w:val="Hyperlink"/>
            <w:rFonts w:ascii="Garamond" w:hAnsi="Garamond"/>
          </w:rPr>
          <w:t>https://clinicalevidence.net.au/</w:t>
        </w:r>
      </w:hyperlink>
    </w:p>
    <w:p w14:paraId="7C588070" w14:textId="77777777" w:rsidR="009C6AF9" w:rsidRPr="009C6AF9" w:rsidRDefault="009C6AF9" w:rsidP="009C6AF9">
      <w:pPr>
        <w:keepLines/>
        <w:rPr>
          <w:rFonts w:ascii="Garamond" w:hAnsi="Garamond"/>
          <w:lang w:val="en-AU"/>
        </w:rPr>
      </w:pPr>
      <w:r w:rsidRPr="009C6AF9">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9C6AF9" w:rsidRDefault="009C6AF9" w:rsidP="009C6AF9">
      <w:pPr>
        <w:keepLines/>
        <w:rPr>
          <w:rFonts w:ascii="Garamond" w:hAnsi="Garamond"/>
          <w:lang w:val="en-AU"/>
        </w:rPr>
      </w:pPr>
      <w:r w:rsidRPr="009C6AF9">
        <w:rPr>
          <w:rFonts w:ascii="Garamond" w:hAnsi="Garamond"/>
          <w:lang w:val="en-AU"/>
        </w:rPr>
        <w:t>This alliance established the world’s first ‘living guidelines’ for the care of people with COVID-19 and MPX.</w:t>
      </w:r>
    </w:p>
    <w:p w14:paraId="3FE22EB3" w14:textId="77777777" w:rsidR="009C6AF9" w:rsidRPr="009C6AF9" w:rsidRDefault="009C6AF9" w:rsidP="009C6AF9">
      <w:pPr>
        <w:keepLines/>
        <w:rPr>
          <w:rFonts w:ascii="Garamond" w:hAnsi="Garamond"/>
          <w:lang w:val="en-AU"/>
        </w:rPr>
      </w:pPr>
      <w:r w:rsidRPr="009C6AF9">
        <w:rPr>
          <w:rFonts w:ascii="Garamond" w:hAnsi="Garamond"/>
          <w:lang w:val="en-AU"/>
        </w:rPr>
        <w:t>Funding has now been discontinued for the National Clinical Evidence Taskforce and the COVID-19 guidelines as of 30 June 2023.</w:t>
      </w:r>
    </w:p>
    <w:p w14:paraId="0851C8FF" w14:textId="534F88F3" w:rsidR="009C6AF9" w:rsidRDefault="009C6AF9" w:rsidP="009C6AF9">
      <w:pPr>
        <w:keepLines/>
        <w:rPr>
          <w:rFonts w:ascii="Garamond" w:hAnsi="Garamond"/>
          <w:lang w:val="en-AU"/>
        </w:rPr>
      </w:pPr>
      <w:r w:rsidRPr="009C6AF9">
        <w:rPr>
          <w:rFonts w:ascii="Garamond" w:hAnsi="Garamond"/>
          <w:lang w:val="en-AU"/>
        </w:rPr>
        <w:t>These guidelines are no longer continually updated but will remain online until the guidance becomes inaccurate and/or no longer reflects the evidence or recommended practice.</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2332B1" w:rsidP="00D574D3">
      <w:pPr>
        <w:keepNext/>
        <w:keepLines/>
        <w:rPr>
          <w:rFonts w:ascii="Garamond" w:hAnsi="Garamond"/>
          <w:lang w:val="en-AU"/>
        </w:rPr>
      </w:pPr>
      <w:hyperlink r:id="rId47"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4CB4A73"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0BE2" w14:textId="77777777" w:rsidR="00CB7ED3" w:rsidRDefault="00CB7ED3">
      <w:r>
        <w:separator/>
      </w:r>
    </w:p>
  </w:endnote>
  <w:endnote w:type="continuationSeparator" w:id="0">
    <w:p w14:paraId="1153B3EA" w14:textId="77777777" w:rsidR="00CB7ED3" w:rsidRDefault="00CB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6D67E23"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BD5BAE">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B23C893"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BD5BAE">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8800" w14:textId="77777777" w:rsidR="00CB7ED3" w:rsidRDefault="00CB7ED3">
      <w:r>
        <w:separator/>
      </w:r>
    </w:p>
  </w:footnote>
  <w:footnote w:type="continuationSeparator" w:id="0">
    <w:p w14:paraId="45ADC5D1" w14:textId="77777777" w:rsidR="00CB7ED3" w:rsidRDefault="00CB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E1FA3"/>
    <w:multiLevelType w:val="hybridMultilevel"/>
    <w:tmpl w:val="B698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73BA1"/>
    <w:multiLevelType w:val="hybridMultilevel"/>
    <w:tmpl w:val="B10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E23C6C"/>
    <w:multiLevelType w:val="hybridMultilevel"/>
    <w:tmpl w:val="8D5A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273B53"/>
    <w:multiLevelType w:val="hybridMultilevel"/>
    <w:tmpl w:val="A74697B0"/>
    <w:lvl w:ilvl="0" w:tplc="5DC274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313FB"/>
    <w:multiLevelType w:val="hybridMultilevel"/>
    <w:tmpl w:val="F094F5D8"/>
    <w:lvl w:ilvl="0" w:tplc="7A9666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4"/>
  </w:num>
  <w:num w:numId="2" w16cid:durableId="1683386478">
    <w:abstractNumId w:val="37"/>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2"/>
  </w:num>
  <w:num w:numId="14" w16cid:durableId="28579523">
    <w:abstractNumId w:val="25"/>
  </w:num>
  <w:num w:numId="15" w16cid:durableId="1756245841">
    <w:abstractNumId w:val="31"/>
  </w:num>
  <w:num w:numId="16" w16cid:durableId="1878159678">
    <w:abstractNumId w:val="16"/>
  </w:num>
  <w:num w:numId="17" w16cid:durableId="45615576">
    <w:abstractNumId w:val="18"/>
  </w:num>
  <w:num w:numId="18" w16cid:durableId="1406414453">
    <w:abstractNumId w:val="23"/>
  </w:num>
  <w:num w:numId="19" w16cid:durableId="737750215">
    <w:abstractNumId w:val="33"/>
  </w:num>
  <w:num w:numId="20" w16cid:durableId="1200898167">
    <w:abstractNumId w:val="10"/>
  </w:num>
  <w:num w:numId="21" w16cid:durableId="1166938752">
    <w:abstractNumId w:val="29"/>
  </w:num>
  <w:num w:numId="22" w16cid:durableId="737703960">
    <w:abstractNumId w:val="36"/>
  </w:num>
  <w:num w:numId="23" w16cid:durableId="2025203827">
    <w:abstractNumId w:val="15"/>
  </w:num>
  <w:num w:numId="24" w16cid:durableId="999892538">
    <w:abstractNumId w:val="13"/>
  </w:num>
  <w:num w:numId="25" w16cid:durableId="1463618998">
    <w:abstractNumId w:val="27"/>
  </w:num>
  <w:num w:numId="26" w16cid:durableId="959187077">
    <w:abstractNumId w:val="20"/>
  </w:num>
  <w:num w:numId="27" w16cid:durableId="801995102">
    <w:abstractNumId w:val="22"/>
  </w:num>
  <w:num w:numId="28" w16cid:durableId="600181248">
    <w:abstractNumId w:val="25"/>
  </w:num>
  <w:num w:numId="29" w16cid:durableId="1789663196">
    <w:abstractNumId w:val="38"/>
  </w:num>
  <w:num w:numId="30" w16cid:durableId="1527939059">
    <w:abstractNumId w:val="17"/>
  </w:num>
  <w:num w:numId="31" w16cid:durableId="270630794">
    <w:abstractNumId w:val="19"/>
  </w:num>
  <w:num w:numId="32" w16cid:durableId="1066418894">
    <w:abstractNumId w:val="12"/>
  </w:num>
  <w:num w:numId="33" w16cid:durableId="1216812581">
    <w:abstractNumId w:val="35"/>
  </w:num>
  <w:num w:numId="34" w16cid:durableId="172959014">
    <w:abstractNumId w:val="34"/>
  </w:num>
  <w:num w:numId="35" w16cid:durableId="287129421">
    <w:abstractNumId w:val="26"/>
  </w:num>
  <w:num w:numId="36" w16cid:durableId="713041987">
    <w:abstractNumId w:val="30"/>
  </w:num>
  <w:num w:numId="37" w16cid:durableId="1502544703">
    <w:abstractNumId w:val="14"/>
  </w:num>
  <w:num w:numId="38" w16cid:durableId="1109547922">
    <w:abstractNumId w:val="21"/>
  </w:num>
  <w:num w:numId="39" w16cid:durableId="941648099">
    <w:abstractNumId w:val="11"/>
  </w:num>
  <w:num w:numId="40" w16cid:durableId="177250517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63"/>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4EF"/>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2B1"/>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73"/>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4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C74"/>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8F3"/>
    <w:rsid w:val="008B0B00"/>
    <w:rsid w:val="008B0C05"/>
    <w:rsid w:val="008B0D0C"/>
    <w:rsid w:val="008B0FE8"/>
    <w:rsid w:val="008B1313"/>
    <w:rsid w:val="008B131F"/>
    <w:rsid w:val="008B1513"/>
    <w:rsid w:val="008B16E6"/>
    <w:rsid w:val="008B19AF"/>
    <w:rsid w:val="008B19E5"/>
    <w:rsid w:val="008B1A68"/>
    <w:rsid w:val="008B1D08"/>
    <w:rsid w:val="008B1DAF"/>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0C"/>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DB"/>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2DF2"/>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1E51"/>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0"/>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D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D0C"/>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6BE"/>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24A"/>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63"/>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2E47"/>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ahha.asn.au/sites/default/files/docs/policy-issue/perspectives_brief_no_27_risk_based_cancer_screening_final.pdf" TargetMode="External"/><Relationship Id="rId26" Type="http://schemas.openxmlformats.org/officeDocument/2006/relationships/hyperlink" Target="https://www.sciencedirect.com/journal/the-joint-commission-journal-on-quality-and-patient-safety/vol/49/issue/8" TargetMode="External"/><Relationship Id="rId39" Type="http://schemas.openxmlformats.org/officeDocument/2006/relationships/hyperlink" Target="https://www.safetyandquality.gov.au/publications-and-resources/resource-library/covid-19-infection-prevention-and-control-risk-management-guidance" TargetMode="External"/><Relationship Id="rId3" Type="http://schemas.openxmlformats.org/officeDocument/2006/relationships/styles" Target="styles.xml"/><Relationship Id="rId21" Type="http://schemas.openxmlformats.org/officeDocument/2006/relationships/hyperlink" Target="https://doi.org/10.1080/14740338.2023.2223947" TargetMode="External"/><Relationship Id="rId34" Type="http://schemas.openxmlformats.org/officeDocument/2006/relationships/hyperlink" Target="https://www.safetyandquality.gov.au/publications-and-resources/resource-library/infection-prevention-and-control-poster-combined-contact-and-droplet-precautions" TargetMode="External"/><Relationship Id="rId42" Type="http://schemas.openxmlformats.org/officeDocument/2006/relationships/image" Target="media/image4.PNG"/><Relationship Id="rId47" Type="http://schemas.openxmlformats.org/officeDocument/2006/relationships/hyperlink" Target="https://www.aci.health.nsw.gov.au/covid-19/critical-intelligence-uni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antimicrobial-stewardship" TargetMode="External"/><Relationship Id="rId25" Type="http://schemas.openxmlformats.org/officeDocument/2006/relationships/hyperlink" Target="https://doi.org/10.1177/13558196221140318" TargetMode="External"/><Relationship Id="rId33" Type="http://schemas.openxmlformats.org/officeDocument/2006/relationships/hyperlink" Target="https://www.safetyandquality.gov.au/publications-and-resources/resource-library/covid-19-infection-prevention-and-control-risk-management-guidance" TargetMode="External"/><Relationship Id="rId38" Type="http://schemas.openxmlformats.org/officeDocument/2006/relationships/hyperlink" Target="http://www.safetyandquality.gov.au/environmental-cleaning" TargetMode="External"/><Relationship Id="rId46" Type="http://schemas.openxmlformats.org/officeDocument/2006/relationships/hyperlink" Target="https://clinicalevidence.net.au/" TargetMode="External"/><Relationship Id="rId2" Type="http://schemas.openxmlformats.org/officeDocument/2006/relationships/numbering" Target="numbering.xml"/><Relationship Id="rId16" Type="http://schemas.openxmlformats.org/officeDocument/2006/relationships/hyperlink" Target="https://ahha.asn.au/publication/health-policy-issue-briefs/deeble-issues-brief-no-52-optimising-antimicrobial" TargetMode="External"/><Relationship Id="rId20" Type="http://schemas.openxmlformats.org/officeDocument/2006/relationships/hyperlink" Target="https://www.safetyandquality.gov.au/our-work/health-and-human-research/national-arrangements-clinical-quality-registries" TargetMode="External"/><Relationship Id="rId29" Type="http://schemas.openxmlformats.org/officeDocument/2006/relationships/hyperlink" Target="https://www.nice.org.uk/guidance" TargetMode="External"/><Relationship Id="rId4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end-life-care" TargetMode="External"/><Relationship Id="rId32" Type="http://schemas.openxmlformats.org/officeDocument/2006/relationships/hyperlink" Target="https://www.safetyandquality.gov.au/covid-19" TargetMode="External"/><Relationship Id="rId37" Type="http://schemas.openxmlformats.org/officeDocument/2006/relationships/image" Target="media/image3.PNG"/><Relationship Id="rId40" Type="http://schemas.openxmlformats.org/officeDocument/2006/relationships/hyperlink" Target="https://www.safetyandquality.gov.au/our-work/cognitive-impairment/cognitive-impairment-and-covid-19"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safetyandquality.gov.au/our-work/antimicrobial-stewardship/antimicrobial-stewardship-primary-care" TargetMode="External"/><Relationship Id="rId23" Type="http://schemas.openxmlformats.org/officeDocument/2006/relationships/hyperlink" Target="https://doi.org/10.1111/hex.13780" TargetMode="External"/><Relationship Id="rId28" Type="http://schemas.openxmlformats.org/officeDocument/2006/relationships/hyperlink" Target="https://qualitysafety.bmj.com/content/early/recent" TargetMode="External"/><Relationship Id="rId36" Type="http://schemas.openxmlformats.org/officeDocument/2006/relationships/hyperlink" Target="https://www.safetyandquality.gov.au/publications-and-resources/resource-library/poster-combined-airborne-and-contact-precautions" TargetMode="External"/><Relationship Id="rId49" Type="http://schemas.openxmlformats.org/officeDocument/2006/relationships/footer" Target="footer2.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health.gov.au/resources/publications/clinical-quality-registries-four-key-benefits-for-your-health" TargetMode="External"/><Relationship Id="rId31" Type="http://schemas.openxmlformats.org/officeDocument/2006/relationships/hyperlink" Target="https://www.nice.org.uk/guidance/cg189" TargetMode="External"/><Relationship Id="rId44"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medication-safety" TargetMode="External"/><Relationship Id="rId27" Type="http://schemas.openxmlformats.org/officeDocument/2006/relationships/hyperlink" Target="https://journals.sagepub.com/toc/hsrb/28/3" TargetMode="External"/><Relationship Id="rId30" Type="http://schemas.openxmlformats.org/officeDocument/2006/relationships/hyperlink" Target="https://www.nice.org.uk/guidance/ng122" TargetMode="External"/><Relationship Id="rId35" Type="http://schemas.openxmlformats.org/officeDocument/2006/relationships/image" Target="media/image2.PNG"/><Relationship Id="rId43" Type="http://schemas.openxmlformats.org/officeDocument/2006/relationships/hyperlink" Target="https://www.safetyandquality.gov.au/publications-and-resources/resource-library/covid-19-and-face-masks-information-consumers" TargetMode="External"/><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Draft On the Radar Issue 613</vt:lpstr>
    </vt:vector>
  </TitlesOfParts>
  <Company>ACSQHC</Company>
  <LinksUpToDate>false</LinksUpToDate>
  <CharactersWithSpaces>25061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613</dc:title>
  <dc:subject/>
  <dc:creator>Dr Niall Johnson</dc:creator>
  <cp:keywords>On the Radar</cp:keywords>
  <dc:description/>
  <cp:lastModifiedBy>JOHNSON, Niall</cp:lastModifiedBy>
  <cp:revision>13</cp:revision>
  <cp:lastPrinted>2018-03-02T02:34:00Z</cp:lastPrinted>
  <dcterms:created xsi:type="dcterms:W3CDTF">2023-07-23T22:46:00Z</dcterms:created>
  <dcterms:modified xsi:type="dcterms:W3CDTF">2023-07-28T00:58:00Z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