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BB369" w14:textId="77777777" w:rsidR="005449F0" w:rsidRDefault="005449F0"/>
    <w:p w14:paraId="591E8A8D" w14:textId="77777777" w:rsidR="00AD07DC" w:rsidRDefault="00AD07DC"/>
    <w:p w14:paraId="5606A391" w14:textId="77777777" w:rsidR="00B504BD" w:rsidRDefault="00B504BD" w:rsidP="00B504BD">
      <w:pPr>
        <w:rPr>
          <w:rFonts w:ascii="Arial" w:eastAsiaTheme="minorEastAsia" w:hAnsi="Arial" w:cs="Arial"/>
          <w:color w:val="1178A2"/>
          <w:kern w:val="28"/>
          <w:sz w:val="40"/>
          <w:szCs w:val="32"/>
        </w:rPr>
      </w:pPr>
      <w:r>
        <w:rPr>
          <w:noProof/>
          <w:lang w:eastAsia="en-AU"/>
        </w:rPr>
        <w:drawing>
          <wp:inline distT="0" distB="0" distL="0" distR="0" wp14:anchorId="1A1DDE32" wp14:editId="06E1E3DB">
            <wp:extent cx="5029200" cy="6731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0" cy="673100"/>
                    </a:xfrm>
                    <a:prstGeom prst="rect">
                      <a:avLst/>
                    </a:prstGeom>
                    <a:noFill/>
                    <a:ln>
                      <a:noFill/>
                    </a:ln>
                  </pic:spPr>
                </pic:pic>
              </a:graphicData>
            </a:graphic>
          </wp:inline>
        </w:drawing>
      </w:r>
    </w:p>
    <w:p w14:paraId="57BDC43F" w14:textId="77777777" w:rsidR="00B504BD" w:rsidRPr="006A3281" w:rsidRDefault="00B504BD" w:rsidP="00B504BD">
      <w:pPr>
        <w:rPr>
          <w:rFonts w:eastAsiaTheme="minorEastAsia"/>
        </w:rPr>
      </w:pPr>
    </w:p>
    <w:p w14:paraId="261E852C" w14:textId="77777777" w:rsidR="00B504BD" w:rsidRPr="006A3281" w:rsidRDefault="00B504BD" w:rsidP="00B504BD">
      <w:pPr>
        <w:rPr>
          <w:rFonts w:eastAsiaTheme="minorEastAsia"/>
        </w:rPr>
      </w:pPr>
      <w:r w:rsidRPr="006A3281">
        <w:rPr>
          <w:noProof/>
          <w:lang w:eastAsia="en-AU"/>
        </w:rPr>
        <w:drawing>
          <wp:inline distT="0" distB="0" distL="0" distR="0" wp14:anchorId="22EF0B2C" wp14:editId="478C5CD1">
            <wp:extent cx="2199831" cy="609600"/>
            <wp:effectExtent l="0" t="0" r="0" b="0"/>
            <wp:docPr id="1" name="Picture 1" title="Clinical Care Stand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7775" cy="611801"/>
                    </a:xfrm>
                    <a:prstGeom prst="rect">
                      <a:avLst/>
                    </a:prstGeom>
                    <a:noFill/>
                  </pic:spPr>
                </pic:pic>
              </a:graphicData>
            </a:graphic>
          </wp:inline>
        </w:drawing>
      </w:r>
    </w:p>
    <w:p w14:paraId="7BE7AC1E" w14:textId="77777777" w:rsidR="00B504BD" w:rsidRDefault="00B504BD" w:rsidP="00B504BD">
      <w:pPr>
        <w:rPr>
          <w:rFonts w:eastAsiaTheme="minorEastAsia"/>
        </w:rPr>
      </w:pPr>
    </w:p>
    <w:p w14:paraId="01C2F184" w14:textId="77777777" w:rsidR="00B504BD" w:rsidRDefault="00B504BD" w:rsidP="00B504BD">
      <w:pPr>
        <w:rPr>
          <w:rFonts w:eastAsiaTheme="minorEastAsia"/>
        </w:rPr>
      </w:pPr>
    </w:p>
    <w:p w14:paraId="51E9D464" w14:textId="77777777" w:rsidR="00B504BD" w:rsidRDefault="00B504BD" w:rsidP="00B504BD">
      <w:pPr>
        <w:widowControl w:val="0"/>
        <w:spacing w:before="240" w:after="60"/>
        <w:outlineLvl w:val="0"/>
        <w:rPr>
          <w:rFonts w:ascii="Arial" w:eastAsiaTheme="minorEastAsia" w:hAnsi="Arial" w:cs="Arial"/>
          <w:b/>
          <w:bCs/>
          <w:color w:val="1178A2"/>
          <w:kern w:val="28"/>
          <w:sz w:val="40"/>
          <w:szCs w:val="32"/>
        </w:rPr>
      </w:pPr>
    </w:p>
    <w:p w14:paraId="324F0978" w14:textId="77777777" w:rsidR="00B504BD" w:rsidRDefault="00B504BD" w:rsidP="00B504BD">
      <w:pPr>
        <w:widowControl w:val="0"/>
        <w:spacing w:before="240" w:after="60"/>
        <w:outlineLvl w:val="0"/>
        <w:rPr>
          <w:rFonts w:ascii="Arial" w:eastAsiaTheme="minorEastAsia" w:hAnsi="Arial" w:cs="Arial"/>
          <w:b/>
          <w:bCs/>
          <w:color w:val="1178A2"/>
          <w:kern w:val="28"/>
          <w:sz w:val="40"/>
          <w:szCs w:val="32"/>
        </w:rPr>
      </w:pPr>
    </w:p>
    <w:p w14:paraId="5B6D4779" w14:textId="77777777" w:rsidR="00AD07DC" w:rsidRPr="00AD07DC" w:rsidRDefault="00AD07DC" w:rsidP="00AD07DC">
      <w:pPr>
        <w:rPr>
          <w:rFonts w:eastAsiaTheme="minorEastAsia"/>
          <w:lang w:val="en-AU"/>
        </w:rPr>
      </w:pPr>
    </w:p>
    <w:p w14:paraId="0A5BDB41" w14:textId="77777777" w:rsidR="00AD07DC" w:rsidRPr="00AD07DC" w:rsidRDefault="00AD07DC" w:rsidP="00AD07DC">
      <w:pPr>
        <w:rPr>
          <w:rFonts w:eastAsiaTheme="minorEastAsia"/>
          <w:lang w:val="en-AU"/>
        </w:rPr>
      </w:pPr>
    </w:p>
    <w:p w14:paraId="00F70E7B" w14:textId="77777777" w:rsidR="00AD07DC" w:rsidRPr="00AD07DC" w:rsidRDefault="00AD07DC" w:rsidP="00AD07DC">
      <w:pPr>
        <w:rPr>
          <w:rFonts w:eastAsiaTheme="minorEastAsia"/>
          <w:lang w:val="en-AU"/>
        </w:rPr>
      </w:pPr>
    </w:p>
    <w:p w14:paraId="20F32B33" w14:textId="77777777" w:rsidR="00AD07DC" w:rsidRPr="00AD07DC" w:rsidRDefault="00AD07DC" w:rsidP="00AD07DC">
      <w:pPr>
        <w:rPr>
          <w:rFonts w:eastAsiaTheme="minorEastAsia"/>
          <w:lang w:val="en-AU"/>
        </w:rPr>
      </w:pPr>
    </w:p>
    <w:p w14:paraId="2BCD04F1" w14:textId="77777777" w:rsidR="008F6FD0" w:rsidRDefault="008F6FD0" w:rsidP="008F6FD0">
      <w:pPr>
        <w:rPr>
          <w:lang w:val="en-AU" w:eastAsia="en-AU"/>
        </w:rPr>
      </w:pPr>
    </w:p>
    <w:p w14:paraId="7343667B" w14:textId="77777777" w:rsidR="008F6FD0" w:rsidRDefault="008F6FD0" w:rsidP="008F6FD0">
      <w:pPr>
        <w:rPr>
          <w:lang w:val="en-AU" w:eastAsia="en-AU"/>
        </w:rPr>
      </w:pPr>
    </w:p>
    <w:p w14:paraId="7BBF6578" w14:textId="77777777" w:rsidR="008F6FD0" w:rsidRDefault="008F6FD0" w:rsidP="008F6FD0">
      <w:pPr>
        <w:rPr>
          <w:lang w:val="en-AU" w:eastAsia="en-AU"/>
        </w:rPr>
      </w:pPr>
    </w:p>
    <w:p w14:paraId="78A49AA9" w14:textId="77777777" w:rsidR="008F6FD0" w:rsidRDefault="008F6FD0" w:rsidP="008F6FD0">
      <w:pPr>
        <w:rPr>
          <w:lang w:val="en-AU" w:eastAsia="en-AU"/>
        </w:rPr>
      </w:pPr>
    </w:p>
    <w:p w14:paraId="5DCE3F27" w14:textId="77777777" w:rsidR="008F6FD0" w:rsidRPr="008F6FD0" w:rsidRDefault="008F6FD0" w:rsidP="008F6FD0">
      <w:pPr>
        <w:rPr>
          <w:lang w:val="en-AU" w:eastAsia="en-AU"/>
        </w:rPr>
      </w:pPr>
    </w:p>
    <w:p w14:paraId="376D569B" w14:textId="501E194F" w:rsidR="00B504BD" w:rsidRDefault="00B504BD" w:rsidP="00B504BD">
      <w:pPr>
        <w:widowControl w:val="0"/>
        <w:spacing w:before="240" w:after="60"/>
        <w:outlineLvl w:val="0"/>
        <w:rPr>
          <w:rFonts w:ascii="Arial" w:eastAsiaTheme="minorEastAsia" w:hAnsi="Arial" w:cs="Arial"/>
          <w:b/>
          <w:bCs/>
          <w:color w:val="1178A2"/>
          <w:kern w:val="28"/>
          <w:sz w:val="40"/>
          <w:szCs w:val="32"/>
        </w:rPr>
      </w:pPr>
      <w:r w:rsidRPr="006A3281">
        <w:rPr>
          <w:rFonts w:ascii="Arial" w:eastAsiaTheme="minorEastAsia" w:hAnsi="Arial" w:cs="Arial"/>
          <w:b/>
          <w:bCs/>
          <w:color w:val="1178A2"/>
          <w:kern w:val="28"/>
          <w:sz w:val="40"/>
          <w:szCs w:val="32"/>
        </w:rPr>
        <w:t>Evidence Sources</w:t>
      </w:r>
      <w:r>
        <w:rPr>
          <w:rFonts w:ascii="Arial" w:eastAsiaTheme="minorEastAsia" w:hAnsi="Arial" w:cs="Arial"/>
          <w:b/>
          <w:bCs/>
          <w:color w:val="1178A2"/>
          <w:kern w:val="28"/>
          <w:sz w:val="40"/>
          <w:szCs w:val="32"/>
        </w:rPr>
        <w:t>: Hip Fractur</w:t>
      </w:r>
      <w:r w:rsidR="00913409">
        <w:rPr>
          <w:rFonts w:ascii="Arial" w:eastAsiaTheme="minorEastAsia" w:hAnsi="Arial" w:cs="Arial"/>
          <w:b/>
          <w:bCs/>
          <w:color w:val="1178A2"/>
          <w:kern w:val="28"/>
          <w:sz w:val="40"/>
          <w:szCs w:val="32"/>
        </w:rPr>
        <w:t>e</w:t>
      </w:r>
    </w:p>
    <w:p w14:paraId="421590AB" w14:textId="423EE23B" w:rsidR="00B504BD" w:rsidRPr="006A3281" w:rsidRDefault="00B504BD" w:rsidP="00B504BD">
      <w:pPr>
        <w:widowControl w:val="0"/>
        <w:spacing w:before="240" w:after="60"/>
        <w:outlineLvl w:val="0"/>
        <w:rPr>
          <w:rFonts w:ascii="Arial" w:eastAsiaTheme="minorEastAsia" w:hAnsi="Arial" w:cs="Arial"/>
          <w:b/>
          <w:bCs/>
          <w:color w:val="1178A2"/>
          <w:kern w:val="28"/>
          <w:sz w:val="40"/>
          <w:szCs w:val="32"/>
        </w:rPr>
      </w:pPr>
      <w:r w:rsidRPr="006A3281">
        <w:rPr>
          <w:rFonts w:ascii="Arial" w:eastAsiaTheme="minorEastAsia" w:hAnsi="Arial" w:cs="Arial"/>
          <w:b/>
          <w:bCs/>
          <w:color w:val="1178A2"/>
          <w:kern w:val="28"/>
          <w:sz w:val="40"/>
          <w:szCs w:val="32"/>
        </w:rPr>
        <w:t>Clinical Care Standard</w:t>
      </w:r>
    </w:p>
    <w:p w14:paraId="505BDA25" w14:textId="77777777" w:rsidR="00B504BD" w:rsidRDefault="00B504BD" w:rsidP="00B504BD">
      <w:pPr>
        <w:rPr>
          <w:rFonts w:eastAsiaTheme="minorEastAsia"/>
        </w:rPr>
      </w:pPr>
    </w:p>
    <w:p w14:paraId="6ECC981A" w14:textId="49E3878F" w:rsidR="00B504BD" w:rsidRPr="00023822" w:rsidRDefault="00913409" w:rsidP="00B504BD">
      <w:pPr>
        <w:rPr>
          <w:rFonts w:ascii="Arial" w:eastAsiaTheme="minorEastAsia" w:hAnsi="Arial" w:cs="Arial"/>
          <w:sz w:val="36"/>
          <w:szCs w:val="36"/>
        </w:rPr>
      </w:pPr>
      <w:r>
        <w:rPr>
          <w:rFonts w:ascii="Arial" w:eastAsiaTheme="minorEastAsia" w:hAnsi="Arial" w:cs="Arial"/>
          <w:sz w:val="36"/>
          <w:szCs w:val="36"/>
        </w:rPr>
        <w:t>September</w:t>
      </w:r>
      <w:r w:rsidR="00B504BD">
        <w:rPr>
          <w:rFonts w:ascii="Arial" w:eastAsiaTheme="minorEastAsia" w:hAnsi="Arial" w:cs="Arial"/>
          <w:sz w:val="36"/>
          <w:szCs w:val="36"/>
        </w:rPr>
        <w:t xml:space="preserve"> 202</w:t>
      </w:r>
      <w:r w:rsidR="0062701C">
        <w:rPr>
          <w:rFonts w:ascii="Arial" w:eastAsiaTheme="minorEastAsia" w:hAnsi="Arial" w:cs="Arial"/>
          <w:sz w:val="36"/>
          <w:szCs w:val="36"/>
        </w:rPr>
        <w:t>3</w:t>
      </w:r>
    </w:p>
    <w:p w14:paraId="4C599B73" w14:textId="71BEDC47" w:rsidR="00AD07DC" w:rsidRDefault="00AD07DC" w:rsidP="00B504BD">
      <w:pPr>
        <w:rPr>
          <w:rFonts w:eastAsiaTheme="minorEastAsia"/>
          <w:lang w:val="en-AU"/>
        </w:rPr>
      </w:pPr>
    </w:p>
    <w:p w14:paraId="24AD7447" w14:textId="77777777" w:rsidR="00AD07DC" w:rsidRDefault="00AD07DC" w:rsidP="00AD07DC">
      <w:pPr>
        <w:rPr>
          <w:rFonts w:eastAsiaTheme="minorEastAsia"/>
          <w:lang w:val="en-AU"/>
        </w:rPr>
      </w:pPr>
    </w:p>
    <w:p w14:paraId="2D52980B" w14:textId="77777777" w:rsidR="008F6FD0" w:rsidRDefault="008F6FD0" w:rsidP="00AD07DC">
      <w:pPr>
        <w:rPr>
          <w:rFonts w:eastAsiaTheme="minorEastAsia"/>
          <w:lang w:val="en-AU"/>
        </w:rPr>
      </w:pPr>
    </w:p>
    <w:p w14:paraId="549FA614" w14:textId="77777777" w:rsidR="008F6FD0" w:rsidRPr="008F6FD0" w:rsidRDefault="008F6FD0" w:rsidP="008F6FD0">
      <w:pPr>
        <w:rPr>
          <w:rFonts w:eastAsiaTheme="minorEastAsia"/>
          <w:lang w:val="en-AU"/>
        </w:rPr>
      </w:pPr>
    </w:p>
    <w:p w14:paraId="0BB31D11" w14:textId="77777777" w:rsidR="008F6FD0" w:rsidRPr="008F6FD0" w:rsidRDefault="008F6FD0" w:rsidP="008F6FD0">
      <w:pPr>
        <w:rPr>
          <w:rFonts w:eastAsiaTheme="minorEastAsia"/>
          <w:lang w:val="en-AU"/>
        </w:rPr>
      </w:pPr>
    </w:p>
    <w:p w14:paraId="716ED9CF" w14:textId="77777777" w:rsidR="008F6FD0" w:rsidRPr="008F6FD0" w:rsidRDefault="008F6FD0" w:rsidP="008F6FD0">
      <w:pPr>
        <w:rPr>
          <w:rFonts w:eastAsiaTheme="minorEastAsia"/>
          <w:lang w:val="en-AU"/>
        </w:rPr>
      </w:pPr>
    </w:p>
    <w:p w14:paraId="44A6C2B9" w14:textId="77777777" w:rsidR="008F6FD0" w:rsidRPr="008F6FD0" w:rsidRDefault="008F6FD0" w:rsidP="008F6FD0">
      <w:pPr>
        <w:rPr>
          <w:rFonts w:eastAsiaTheme="minorEastAsia"/>
          <w:lang w:val="en-AU"/>
        </w:rPr>
      </w:pPr>
    </w:p>
    <w:p w14:paraId="4C891C08" w14:textId="77777777" w:rsidR="008F6FD0" w:rsidRPr="008F6FD0" w:rsidRDefault="008F6FD0" w:rsidP="008F6FD0">
      <w:pPr>
        <w:rPr>
          <w:rFonts w:eastAsiaTheme="minorEastAsia"/>
          <w:lang w:val="en-AU"/>
        </w:rPr>
      </w:pPr>
    </w:p>
    <w:p w14:paraId="43053D2B" w14:textId="77777777" w:rsidR="008F6FD0" w:rsidRPr="008F6FD0" w:rsidRDefault="008F6FD0" w:rsidP="008F6FD0">
      <w:pPr>
        <w:rPr>
          <w:rFonts w:eastAsiaTheme="minorEastAsia"/>
          <w:lang w:val="en-AU"/>
        </w:rPr>
      </w:pPr>
    </w:p>
    <w:p w14:paraId="3B08616E" w14:textId="77777777" w:rsidR="008F6FD0" w:rsidRPr="008F6FD0" w:rsidRDefault="008F6FD0" w:rsidP="008F6FD0">
      <w:pPr>
        <w:rPr>
          <w:rFonts w:eastAsiaTheme="minorEastAsia"/>
          <w:lang w:val="en-AU"/>
        </w:rPr>
      </w:pPr>
    </w:p>
    <w:p w14:paraId="4B8E8563" w14:textId="77777777" w:rsidR="008F6FD0" w:rsidRPr="008F6FD0" w:rsidRDefault="008F6FD0" w:rsidP="008F6FD0">
      <w:pPr>
        <w:rPr>
          <w:rFonts w:eastAsiaTheme="minorEastAsia"/>
          <w:lang w:val="en-AU"/>
        </w:rPr>
      </w:pPr>
    </w:p>
    <w:p w14:paraId="35A00B4B" w14:textId="77777777" w:rsidR="008F6FD0" w:rsidRPr="008F6FD0" w:rsidRDefault="008F6FD0" w:rsidP="008F6FD0">
      <w:pPr>
        <w:rPr>
          <w:rFonts w:eastAsiaTheme="minorEastAsia"/>
          <w:lang w:val="en-AU"/>
        </w:rPr>
      </w:pPr>
    </w:p>
    <w:p w14:paraId="57DE1E67" w14:textId="77777777" w:rsidR="008F6FD0" w:rsidRPr="008F6FD0" w:rsidRDefault="008F6FD0" w:rsidP="008F6FD0">
      <w:pPr>
        <w:rPr>
          <w:rFonts w:eastAsiaTheme="minorEastAsia"/>
          <w:lang w:val="en-AU"/>
        </w:rPr>
      </w:pPr>
    </w:p>
    <w:p w14:paraId="7F412D4E" w14:textId="77777777" w:rsidR="008F6FD0" w:rsidRPr="008F6FD0" w:rsidRDefault="008F6FD0" w:rsidP="008F6FD0">
      <w:pPr>
        <w:rPr>
          <w:rFonts w:eastAsiaTheme="minorEastAsia"/>
          <w:lang w:val="en-AU"/>
        </w:rPr>
      </w:pPr>
    </w:p>
    <w:p w14:paraId="7504929E" w14:textId="54A4EC36" w:rsidR="008F6FD0" w:rsidRDefault="008F6FD0" w:rsidP="00B504BD">
      <w:pPr>
        <w:rPr>
          <w:rFonts w:eastAsiaTheme="minorEastAsia"/>
          <w:lang w:val="en-AU"/>
        </w:rPr>
        <w:sectPr w:rsidR="008F6FD0" w:rsidSect="005449F0">
          <w:footerReference w:type="first" r:id="rId10"/>
          <w:pgSz w:w="11906" w:h="16838"/>
          <w:pgMar w:top="1440" w:right="1440" w:bottom="1440" w:left="1440" w:header="708" w:footer="708" w:gutter="0"/>
          <w:cols w:space="708"/>
          <w:docGrid w:linePitch="360"/>
        </w:sectPr>
      </w:pPr>
    </w:p>
    <w:p w14:paraId="25EFD1E2" w14:textId="77777777" w:rsidR="00B504BD" w:rsidRPr="008C4219" w:rsidRDefault="00B504BD" w:rsidP="00B504BD">
      <w:pPr>
        <w:keepNext/>
        <w:spacing w:before="240" w:after="240"/>
        <w:outlineLvl w:val="1"/>
        <w:rPr>
          <w:rFonts w:ascii="Arial" w:eastAsiaTheme="minorHAnsi" w:hAnsi="Arial" w:cs="Arial"/>
          <w:b/>
          <w:color w:val="005C7E"/>
          <w:sz w:val="28"/>
          <w:szCs w:val="28"/>
        </w:rPr>
      </w:pPr>
      <w:r w:rsidRPr="008C4219">
        <w:rPr>
          <w:rFonts w:ascii="Arial" w:eastAsiaTheme="minorHAnsi" w:hAnsi="Arial" w:cs="Arial"/>
          <w:b/>
          <w:color w:val="005C7E"/>
          <w:sz w:val="28"/>
          <w:szCs w:val="28"/>
        </w:rPr>
        <w:lastRenderedPageBreak/>
        <w:t>Introduction</w:t>
      </w:r>
    </w:p>
    <w:p w14:paraId="165EBDA3" w14:textId="1A87B83E" w:rsidR="00AE37AC" w:rsidRPr="001A745D" w:rsidRDefault="00AE37AC" w:rsidP="00AE37AC">
      <w:pPr>
        <w:rPr>
          <w:rFonts w:ascii="Arial" w:eastAsia="MS Mincho" w:hAnsi="Arial" w:cs="Arial"/>
          <w:color w:val="000000"/>
          <w:sz w:val="22"/>
          <w:szCs w:val="22"/>
          <w:lang w:val="en-AU" w:eastAsia="en-AU"/>
        </w:rPr>
      </w:pPr>
      <w:r w:rsidRPr="001A745D">
        <w:rPr>
          <w:rFonts w:ascii="Arial" w:eastAsia="MS Mincho" w:hAnsi="Arial" w:cs="Arial"/>
          <w:color w:val="000000"/>
          <w:sz w:val="22"/>
          <w:szCs w:val="22"/>
          <w:lang w:val="en-AU" w:eastAsia="en-AU"/>
        </w:rPr>
        <w:t xml:space="preserve">The quality statements for the </w:t>
      </w:r>
      <w:r w:rsidR="002B54F3" w:rsidRPr="001A745D">
        <w:rPr>
          <w:rFonts w:ascii="Arial" w:eastAsia="MS Mincho" w:hAnsi="Arial" w:cs="Arial"/>
          <w:i/>
          <w:iCs/>
          <w:color w:val="000000"/>
          <w:sz w:val="22"/>
          <w:szCs w:val="22"/>
          <w:lang w:val="en-AU" w:eastAsia="en-AU"/>
        </w:rPr>
        <w:t xml:space="preserve">Hip Fracture </w:t>
      </w:r>
      <w:r w:rsidRPr="001A745D">
        <w:rPr>
          <w:rFonts w:ascii="Arial" w:eastAsia="MS Mincho" w:hAnsi="Arial" w:cs="Arial"/>
          <w:i/>
          <w:iCs/>
          <w:color w:val="000000"/>
          <w:sz w:val="22"/>
          <w:szCs w:val="22"/>
          <w:lang w:val="en-AU" w:eastAsia="en-AU"/>
        </w:rPr>
        <w:t>Clinical Care Standard</w:t>
      </w:r>
      <w:r w:rsidRPr="001A745D">
        <w:rPr>
          <w:rFonts w:ascii="Arial" w:eastAsia="MS Mincho" w:hAnsi="Arial" w:cs="Arial"/>
          <w:color w:val="000000"/>
          <w:sz w:val="22"/>
          <w:szCs w:val="22"/>
          <w:lang w:val="en-AU" w:eastAsia="en-AU"/>
        </w:rPr>
        <w:t xml:space="preserve"> were developed in collaboration with the </w:t>
      </w:r>
      <w:r w:rsidR="002B54F3" w:rsidRPr="001A745D">
        <w:rPr>
          <w:rFonts w:ascii="Arial" w:eastAsia="MS Mincho" w:hAnsi="Arial" w:cs="Arial"/>
          <w:color w:val="000000"/>
          <w:sz w:val="22"/>
          <w:szCs w:val="22"/>
          <w:lang w:val="en-AU" w:eastAsia="en-AU"/>
        </w:rPr>
        <w:t>Hip Fracture</w:t>
      </w:r>
      <w:r w:rsidRPr="001A745D">
        <w:rPr>
          <w:rFonts w:ascii="Arial" w:eastAsia="MS Mincho" w:hAnsi="Arial" w:cs="Arial"/>
          <w:color w:val="000000"/>
          <w:sz w:val="22"/>
          <w:szCs w:val="22"/>
          <w:lang w:val="en-AU" w:eastAsia="en-AU"/>
        </w:rPr>
        <w:t xml:space="preserve"> Clinical Care Standard Topic Working Group and are based on best available evidence</w:t>
      </w:r>
      <w:r w:rsidR="00AB6DC7" w:rsidRPr="001A745D">
        <w:rPr>
          <w:rFonts w:ascii="Arial" w:eastAsia="MS Mincho" w:hAnsi="Arial" w:cs="Arial"/>
          <w:color w:val="000000"/>
          <w:sz w:val="22"/>
          <w:szCs w:val="22"/>
          <w:lang w:val="en-AU" w:eastAsia="en-AU"/>
        </w:rPr>
        <w:t xml:space="preserve"> at </w:t>
      </w:r>
      <w:r w:rsidR="00DD1DCA" w:rsidRPr="001A745D">
        <w:rPr>
          <w:rFonts w:ascii="Arial" w:eastAsia="MS Mincho" w:hAnsi="Arial" w:cs="Arial"/>
          <w:color w:val="000000"/>
          <w:sz w:val="22"/>
          <w:szCs w:val="22"/>
          <w:lang w:val="en-AU" w:eastAsia="en-AU"/>
        </w:rPr>
        <w:t xml:space="preserve">the </w:t>
      </w:r>
      <w:r w:rsidR="00AB6DC7" w:rsidRPr="001A745D">
        <w:rPr>
          <w:rFonts w:ascii="Arial" w:eastAsia="MS Mincho" w:hAnsi="Arial" w:cs="Arial"/>
          <w:color w:val="000000"/>
          <w:sz w:val="22"/>
          <w:szCs w:val="22"/>
          <w:lang w:val="en-AU" w:eastAsia="en-AU"/>
        </w:rPr>
        <w:t>time of development</w:t>
      </w:r>
      <w:r w:rsidRPr="001A745D">
        <w:rPr>
          <w:rFonts w:ascii="Arial" w:eastAsia="MS Mincho" w:hAnsi="Arial" w:cs="Arial"/>
          <w:color w:val="000000"/>
          <w:sz w:val="22"/>
          <w:szCs w:val="22"/>
          <w:lang w:val="en-AU" w:eastAsia="en-AU"/>
        </w:rPr>
        <w:t xml:space="preserve">. </w:t>
      </w:r>
      <w:r w:rsidR="006478BE" w:rsidRPr="001A745D">
        <w:rPr>
          <w:rFonts w:ascii="Arial" w:eastAsia="MS Mincho" w:hAnsi="Arial" w:cs="Arial"/>
          <w:color w:val="000000"/>
          <w:sz w:val="22"/>
          <w:szCs w:val="22"/>
          <w:lang w:val="en-AU" w:eastAsia="en-AU"/>
        </w:rPr>
        <w:t>Where limited evidence is available, the Commission consults with a range of stakeholders to explore issues and expert opinion.</w:t>
      </w:r>
    </w:p>
    <w:p w14:paraId="4B9DCF76" w14:textId="77777777" w:rsidR="00AE37AC" w:rsidRPr="001A745D" w:rsidRDefault="00AE37AC" w:rsidP="00AE37AC">
      <w:pPr>
        <w:rPr>
          <w:rFonts w:ascii="Arial" w:eastAsia="MS Mincho" w:hAnsi="Arial" w:cs="Arial"/>
          <w:color w:val="000000"/>
          <w:sz w:val="22"/>
          <w:szCs w:val="22"/>
          <w:lang w:val="en-AU" w:eastAsia="en-AU"/>
        </w:rPr>
      </w:pPr>
    </w:p>
    <w:p w14:paraId="002CB305" w14:textId="35CC1525" w:rsidR="00AE37AC" w:rsidRPr="001A745D" w:rsidRDefault="00AE37AC" w:rsidP="00AE37AC">
      <w:pPr>
        <w:rPr>
          <w:rFonts w:ascii="Arial" w:eastAsia="MS Mincho" w:hAnsi="Arial" w:cs="Arial"/>
          <w:color w:val="000000"/>
          <w:sz w:val="22"/>
          <w:szCs w:val="22"/>
          <w:lang w:val="en-AU" w:eastAsia="en-AU"/>
        </w:rPr>
      </w:pPr>
      <w:r w:rsidRPr="001A745D">
        <w:rPr>
          <w:rFonts w:ascii="Arial" w:eastAsia="MS Mincho" w:hAnsi="Arial" w:cs="Arial"/>
          <w:color w:val="000000"/>
          <w:sz w:val="22"/>
          <w:szCs w:val="22"/>
          <w:lang w:val="en-AU" w:eastAsia="en-AU"/>
        </w:rPr>
        <w:t xml:space="preserve">Literature searches are conducted by Commission staff at different stages of development of </w:t>
      </w:r>
      <w:r w:rsidR="00FB2D2F" w:rsidRPr="001A745D">
        <w:rPr>
          <w:rFonts w:ascii="Arial" w:eastAsia="MS Mincho" w:hAnsi="Arial" w:cs="Arial"/>
          <w:color w:val="000000"/>
          <w:sz w:val="22"/>
          <w:szCs w:val="22"/>
          <w:lang w:val="en-AU" w:eastAsia="en-AU"/>
        </w:rPr>
        <w:t>a</w:t>
      </w:r>
      <w:r w:rsidRPr="001A745D">
        <w:rPr>
          <w:rFonts w:ascii="Arial" w:eastAsia="MS Mincho" w:hAnsi="Arial" w:cs="Arial"/>
          <w:color w:val="000000"/>
          <w:sz w:val="22"/>
          <w:szCs w:val="22"/>
          <w:lang w:val="en-AU" w:eastAsia="en-AU"/>
        </w:rPr>
        <w:t xml:space="preserve"> </w:t>
      </w:r>
      <w:r w:rsidR="00A370F3">
        <w:rPr>
          <w:rFonts w:ascii="Arial" w:eastAsia="MS Mincho" w:hAnsi="Arial" w:cs="Arial"/>
          <w:color w:val="000000"/>
          <w:sz w:val="22"/>
          <w:szCs w:val="22"/>
          <w:lang w:val="en-AU" w:eastAsia="en-AU"/>
        </w:rPr>
        <w:t>c</w:t>
      </w:r>
      <w:r w:rsidRPr="001A745D">
        <w:rPr>
          <w:rFonts w:ascii="Arial" w:eastAsia="MS Mincho" w:hAnsi="Arial" w:cs="Arial"/>
          <w:color w:val="000000"/>
          <w:sz w:val="22"/>
          <w:szCs w:val="22"/>
          <w:lang w:val="en-AU" w:eastAsia="en-AU"/>
        </w:rPr>
        <w:t xml:space="preserve">linical </w:t>
      </w:r>
      <w:r w:rsidR="00A370F3">
        <w:rPr>
          <w:rFonts w:ascii="Arial" w:eastAsia="MS Mincho" w:hAnsi="Arial" w:cs="Arial"/>
          <w:color w:val="000000"/>
          <w:sz w:val="22"/>
          <w:szCs w:val="22"/>
          <w:lang w:val="en-AU" w:eastAsia="en-AU"/>
        </w:rPr>
        <w:t>c</w:t>
      </w:r>
      <w:r w:rsidRPr="001A745D">
        <w:rPr>
          <w:rFonts w:ascii="Arial" w:eastAsia="MS Mincho" w:hAnsi="Arial" w:cs="Arial"/>
          <w:color w:val="000000"/>
          <w:sz w:val="22"/>
          <w:szCs w:val="22"/>
          <w:lang w:val="en-AU" w:eastAsia="en-AU"/>
        </w:rPr>
        <w:t xml:space="preserve">are </w:t>
      </w:r>
      <w:r w:rsidR="00A370F3">
        <w:rPr>
          <w:rFonts w:ascii="Arial" w:eastAsia="MS Mincho" w:hAnsi="Arial" w:cs="Arial"/>
          <w:color w:val="000000"/>
          <w:sz w:val="22"/>
          <w:szCs w:val="22"/>
          <w:lang w:val="en-AU" w:eastAsia="en-AU"/>
        </w:rPr>
        <w:t>s</w:t>
      </w:r>
      <w:r w:rsidRPr="001A745D">
        <w:rPr>
          <w:rFonts w:ascii="Arial" w:eastAsia="MS Mincho" w:hAnsi="Arial" w:cs="Arial"/>
          <w:color w:val="000000"/>
          <w:sz w:val="22"/>
          <w:szCs w:val="22"/>
          <w:lang w:val="en-AU" w:eastAsia="en-AU"/>
        </w:rPr>
        <w:t>tandard. The initial search for th</w:t>
      </w:r>
      <w:r w:rsidR="0062701C">
        <w:rPr>
          <w:rFonts w:ascii="Arial" w:eastAsia="MS Mincho" w:hAnsi="Arial" w:cs="Arial"/>
          <w:color w:val="000000"/>
          <w:sz w:val="22"/>
          <w:szCs w:val="22"/>
          <w:lang w:val="en-AU" w:eastAsia="en-AU"/>
        </w:rPr>
        <w:t>e original</w:t>
      </w:r>
      <w:r w:rsidRPr="001A745D">
        <w:rPr>
          <w:rFonts w:ascii="Arial" w:eastAsia="MS Mincho" w:hAnsi="Arial" w:cs="Arial"/>
          <w:color w:val="000000"/>
          <w:sz w:val="22"/>
          <w:szCs w:val="22"/>
          <w:lang w:val="en-AU" w:eastAsia="en-AU"/>
        </w:rPr>
        <w:t xml:space="preserve"> Clinical Care Standard took place </w:t>
      </w:r>
      <w:r w:rsidR="00A370F3">
        <w:rPr>
          <w:rFonts w:ascii="Arial" w:eastAsia="MS Mincho" w:hAnsi="Arial" w:cs="Arial"/>
          <w:color w:val="000000"/>
          <w:sz w:val="22"/>
          <w:szCs w:val="22"/>
          <w:lang w:val="en-AU" w:eastAsia="en-AU"/>
        </w:rPr>
        <w:t xml:space="preserve">in </w:t>
      </w:r>
      <w:r w:rsidRPr="001A745D">
        <w:rPr>
          <w:rFonts w:ascii="Arial" w:eastAsia="MS Mincho" w:hAnsi="Arial" w:cs="Arial"/>
          <w:color w:val="000000"/>
          <w:sz w:val="22"/>
          <w:szCs w:val="22"/>
          <w:lang w:val="en-AU" w:eastAsia="en-AU"/>
        </w:rPr>
        <w:t>201</w:t>
      </w:r>
      <w:r w:rsidR="002B54F3" w:rsidRPr="001A745D">
        <w:rPr>
          <w:rFonts w:ascii="Arial" w:eastAsia="MS Mincho" w:hAnsi="Arial" w:cs="Arial"/>
          <w:color w:val="000000"/>
          <w:sz w:val="22"/>
          <w:szCs w:val="22"/>
          <w:lang w:val="en-AU" w:eastAsia="en-AU"/>
        </w:rPr>
        <w:t>4</w:t>
      </w:r>
      <w:r w:rsidRPr="001A745D">
        <w:rPr>
          <w:rFonts w:ascii="Arial" w:eastAsia="MS Mincho" w:hAnsi="Arial" w:cs="Arial"/>
          <w:color w:val="000000"/>
          <w:sz w:val="22"/>
          <w:szCs w:val="22"/>
          <w:lang w:val="en-AU" w:eastAsia="en-AU"/>
        </w:rPr>
        <w:t xml:space="preserve">. </w:t>
      </w:r>
      <w:r w:rsidR="00B504BD" w:rsidRPr="001A745D">
        <w:rPr>
          <w:rFonts w:ascii="Arial" w:eastAsia="MS Mincho" w:hAnsi="Arial" w:cs="Arial"/>
          <w:color w:val="000000"/>
          <w:sz w:val="22"/>
          <w:szCs w:val="22"/>
          <w:lang w:val="en-AU" w:eastAsia="en-AU"/>
        </w:rPr>
        <w:t xml:space="preserve">A </w:t>
      </w:r>
      <w:r w:rsidR="006478BE" w:rsidRPr="001A745D">
        <w:rPr>
          <w:rFonts w:ascii="Arial" w:eastAsia="MS Mincho" w:hAnsi="Arial" w:cs="Arial"/>
          <w:color w:val="000000"/>
          <w:sz w:val="22"/>
          <w:szCs w:val="22"/>
          <w:lang w:val="en-AU" w:eastAsia="en-AU"/>
        </w:rPr>
        <w:t xml:space="preserve">structured evidence </w:t>
      </w:r>
      <w:r w:rsidR="00A370F3">
        <w:rPr>
          <w:rFonts w:ascii="Arial" w:eastAsia="MS Mincho" w:hAnsi="Arial" w:cs="Arial"/>
          <w:color w:val="000000"/>
          <w:sz w:val="22"/>
          <w:szCs w:val="22"/>
          <w:lang w:val="en-AU" w:eastAsia="en-AU"/>
        </w:rPr>
        <w:t xml:space="preserve">review </w:t>
      </w:r>
      <w:r w:rsidR="00B504BD" w:rsidRPr="001A745D">
        <w:rPr>
          <w:rFonts w:ascii="Arial" w:eastAsia="MS Mincho" w:hAnsi="Arial" w:cs="Arial"/>
          <w:color w:val="000000"/>
          <w:sz w:val="22"/>
          <w:szCs w:val="22"/>
          <w:lang w:val="en-AU" w:eastAsia="en-AU"/>
        </w:rPr>
        <w:t>was conducted in 202</w:t>
      </w:r>
      <w:r w:rsidR="006478BE" w:rsidRPr="001A745D">
        <w:rPr>
          <w:rFonts w:ascii="Arial" w:eastAsia="MS Mincho" w:hAnsi="Arial" w:cs="Arial"/>
          <w:color w:val="000000"/>
          <w:sz w:val="22"/>
          <w:szCs w:val="22"/>
          <w:lang w:val="en-AU" w:eastAsia="en-AU"/>
        </w:rPr>
        <w:t>2</w:t>
      </w:r>
      <w:r w:rsidR="00B504BD" w:rsidRPr="001A745D">
        <w:rPr>
          <w:rFonts w:ascii="Arial" w:eastAsia="MS Mincho" w:hAnsi="Arial" w:cs="Arial"/>
          <w:color w:val="000000"/>
          <w:sz w:val="22"/>
          <w:szCs w:val="22"/>
          <w:lang w:val="en-AU" w:eastAsia="en-AU"/>
        </w:rPr>
        <w:t xml:space="preserve"> for the review of the </w:t>
      </w:r>
      <w:r w:rsidR="00B504BD" w:rsidRPr="001A745D">
        <w:rPr>
          <w:rFonts w:ascii="Arial" w:eastAsia="MS Mincho" w:hAnsi="Arial" w:cs="Arial"/>
          <w:i/>
          <w:iCs/>
          <w:color w:val="000000"/>
          <w:sz w:val="22"/>
          <w:szCs w:val="22"/>
          <w:lang w:val="en-AU" w:eastAsia="en-AU"/>
        </w:rPr>
        <w:t>Hip Fracture Clinical Care Standard</w:t>
      </w:r>
      <w:r w:rsidR="00B504BD" w:rsidRPr="001A745D">
        <w:rPr>
          <w:rFonts w:ascii="Arial" w:eastAsia="MS Mincho" w:hAnsi="Arial" w:cs="Arial"/>
          <w:color w:val="000000"/>
          <w:sz w:val="22"/>
          <w:szCs w:val="22"/>
          <w:lang w:val="en-AU" w:eastAsia="en-AU"/>
        </w:rPr>
        <w:t xml:space="preserve"> </w:t>
      </w:r>
      <w:r w:rsidR="006478BE" w:rsidRPr="001A745D">
        <w:rPr>
          <w:rFonts w:ascii="Arial" w:eastAsia="MS Mincho" w:hAnsi="Arial" w:cs="Arial"/>
          <w:color w:val="000000"/>
          <w:sz w:val="22"/>
          <w:szCs w:val="22"/>
          <w:lang w:val="en-AU" w:eastAsia="en-AU"/>
        </w:rPr>
        <w:t>to identify any changes in the evidence base that might affect the quality statements or indicators</w:t>
      </w:r>
      <w:r w:rsidR="00B504BD" w:rsidRPr="001A745D">
        <w:rPr>
          <w:rFonts w:ascii="Arial" w:eastAsia="MS Mincho" w:hAnsi="Arial" w:cs="Arial"/>
          <w:color w:val="000000"/>
          <w:sz w:val="22"/>
          <w:szCs w:val="22"/>
          <w:lang w:val="en-AU" w:eastAsia="en-AU"/>
        </w:rPr>
        <w:t>.</w:t>
      </w:r>
    </w:p>
    <w:p w14:paraId="4DDC6F6D" w14:textId="747A2318" w:rsidR="00AE37AC" w:rsidRDefault="00AE37AC" w:rsidP="00AE37AC">
      <w:pPr>
        <w:rPr>
          <w:rFonts w:ascii="Arial" w:eastAsia="MS Mincho" w:hAnsi="Arial" w:cs="Arial"/>
          <w:color w:val="000000"/>
          <w:sz w:val="22"/>
          <w:szCs w:val="22"/>
          <w:lang w:val="en-AU" w:eastAsia="en-AU"/>
        </w:rPr>
      </w:pPr>
    </w:p>
    <w:p w14:paraId="0CA140B7" w14:textId="57DB80B3" w:rsidR="00A370F3" w:rsidRDefault="00A370F3" w:rsidP="00AE37AC">
      <w:pPr>
        <w:rPr>
          <w:rFonts w:ascii="Arial" w:eastAsia="MS Mincho" w:hAnsi="Arial" w:cs="Arial"/>
          <w:color w:val="000000"/>
          <w:sz w:val="22"/>
          <w:szCs w:val="22"/>
          <w:lang w:val="en-AU" w:eastAsia="en-AU"/>
        </w:rPr>
      </w:pPr>
      <w:r>
        <w:rPr>
          <w:rFonts w:ascii="Arial" w:eastAsia="MS Mincho" w:hAnsi="Arial" w:cs="Arial"/>
          <w:color w:val="000000"/>
          <w:sz w:val="22"/>
          <w:szCs w:val="22"/>
          <w:lang w:val="en-AU" w:eastAsia="en-AU"/>
        </w:rPr>
        <w:t>For the initial literature search the process involved:</w:t>
      </w:r>
    </w:p>
    <w:p w14:paraId="1AE53ACE" w14:textId="77777777" w:rsidR="00A370F3" w:rsidRPr="001A745D" w:rsidRDefault="00A370F3" w:rsidP="00AE37AC">
      <w:pPr>
        <w:rPr>
          <w:rFonts w:ascii="Arial" w:eastAsia="MS Mincho" w:hAnsi="Arial" w:cs="Arial"/>
          <w:color w:val="000000"/>
          <w:sz w:val="22"/>
          <w:szCs w:val="22"/>
          <w:lang w:val="en-AU" w:eastAsia="en-AU"/>
        </w:rPr>
      </w:pPr>
    </w:p>
    <w:p w14:paraId="0EC5B0D6" w14:textId="63B40B68" w:rsidR="00AE37AC" w:rsidRPr="001A745D" w:rsidRDefault="00A370F3" w:rsidP="001A745D">
      <w:pPr>
        <w:spacing w:after="120"/>
        <w:rPr>
          <w:rFonts w:ascii="Arial" w:eastAsia="MS Mincho" w:hAnsi="Arial" w:cs="Arial"/>
          <w:sz w:val="22"/>
          <w:szCs w:val="22"/>
          <w:lang w:eastAsia="ja-JP"/>
        </w:rPr>
      </w:pPr>
      <w:r>
        <w:rPr>
          <w:rFonts w:ascii="Arial" w:eastAsia="MS Mincho" w:hAnsi="Arial" w:cs="Arial"/>
          <w:sz w:val="22"/>
          <w:szCs w:val="22"/>
          <w:lang w:eastAsia="ja-JP"/>
        </w:rPr>
        <w:t xml:space="preserve">Identifying </w:t>
      </w:r>
      <w:r w:rsidR="00AE37AC" w:rsidRPr="001A745D">
        <w:rPr>
          <w:rFonts w:ascii="Arial" w:eastAsia="MS Mincho" w:hAnsi="Arial" w:cs="Arial"/>
          <w:sz w:val="22"/>
          <w:szCs w:val="22"/>
          <w:lang w:eastAsia="ja-JP"/>
        </w:rPr>
        <w:t xml:space="preserve">Australian clinical practice guidelines, </w:t>
      </w:r>
      <w:proofErr w:type="gramStart"/>
      <w:r w:rsidR="00AE37AC" w:rsidRPr="001A745D">
        <w:rPr>
          <w:rFonts w:ascii="Arial" w:eastAsia="MS Mincho" w:hAnsi="Arial" w:cs="Arial"/>
          <w:sz w:val="22"/>
          <w:szCs w:val="22"/>
          <w:lang w:eastAsia="ja-JP"/>
        </w:rPr>
        <w:t>standards</w:t>
      </w:r>
      <w:proofErr w:type="gramEnd"/>
      <w:r w:rsidR="00AE37AC" w:rsidRPr="001A745D">
        <w:rPr>
          <w:rFonts w:ascii="Arial" w:eastAsia="MS Mincho" w:hAnsi="Arial" w:cs="Arial"/>
          <w:sz w:val="22"/>
          <w:szCs w:val="22"/>
          <w:lang w:eastAsia="ja-JP"/>
        </w:rPr>
        <w:t xml:space="preserve"> and policies by searching:</w:t>
      </w:r>
    </w:p>
    <w:p w14:paraId="7D9561CD" w14:textId="53AEEAEF" w:rsidR="00AE37AC" w:rsidRPr="001A745D" w:rsidRDefault="0062701C">
      <w:pPr>
        <w:numPr>
          <w:ilvl w:val="0"/>
          <w:numId w:val="2"/>
        </w:numPr>
        <w:rPr>
          <w:rFonts w:ascii="Arial" w:eastAsia="MS Mincho" w:hAnsi="Arial" w:cs="Arial"/>
          <w:sz w:val="22"/>
          <w:szCs w:val="22"/>
          <w:lang w:eastAsia="ja-JP"/>
        </w:rPr>
      </w:pPr>
      <w:r>
        <w:rPr>
          <w:rFonts w:ascii="Arial" w:eastAsia="MS Mincho" w:hAnsi="Arial" w:cs="Arial"/>
          <w:sz w:val="22"/>
          <w:szCs w:val="22"/>
          <w:lang w:val="en" w:eastAsia="ja-JP"/>
        </w:rPr>
        <w:t>W</w:t>
      </w:r>
      <w:r w:rsidR="00AE37AC" w:rsidRPr="001A745D">
        <w:rPr>
          <w:rFonts w:ascii="Arial" w:eastAsia="MS Mincho" w:hAnsi="Arial" w:cs="Arial"/>
          <w:sz w:val="22"/>
          <w:szCs w:val="22"/>
          <w:lang w:val="en" w:eastAsia="ja-JP"/>
        </w:rPr>
        <w:t xml:space="preserve">ebsites of professional colleges and </w:t>
      </w:r>
      <w:proofErr w:type="spellStart"/>
      <w:r w:rsidR="00AE37AC" w:rsidRPr="001A745D">
        <w:rPr>
          <w:rFonts w:ascii="Arial" w:eastAsia="MS Mincho" w:hAnsi="Arial" w:cs="Arial"/>
          <w:sz w:val="22"/>
          <w:szCs w:val="22"/>
          <w:lang w:val="en" w:eastAsia="ja-JP"/>
        </w:rPr>
        <w:t>organisations</w:t>
      </w:r>
      <w:proofErr w:type="spellEnd"/>
    </w:p>
    <w:p w14:paraId="66D603E9" w14:textId="2172AF94" w:rsidR="00AE37AC" w:rsidRPr="001A745D" w:rsidRDefault="0062701C">
      <w:pPr>
        <w:numPr>
          <w:ilvl w:val="0"/>
          <w:numId w:val="2"/>
        </w:numPr>
        <w:rPr>
          <w:rFonts w:ascii="Arial" w:eastAsia="MS Mincho" w:hAnsi="Arial" w:cs="Arial"/>
          <w:sz w:val="22"/>
          <w:szCs w:val="22"/>
          <w:lang w:eastAsia="ja-JP"/>
        </w:rPr>
      </w:pPr>
      <w:r>
        <w:rPr>
          <w:rFonts w:ascii="Arial" w:eastAsia="MS Mincho" w:hAnsi="Arial" w:cs="Arial"/>
          <w:sz w:val="22"/>
          <w:szCs w:val="22"/>
          <w:lang w:val="en" w:eastAsia="ja-JP"/>
        </w:rPr>
        <w:t>W</w:t>
      </w:r>
      <w:r w:rsidR="00AE37AC" w:rsidRPr="001A745D">
        <w:rPr>
          <w:rFonts w:ascii="Arial" w:eastAsia="MS Mincho" w:hAnsi="Arial" w:cs="Arial"/>
          <w:sz w:val="22"/>
          <w:szCs w:val="22"/>
          <w:lang w:val="en" w:eastAsia="ja-JP"/>
        </w:rPr>
        <w:t>ebsites of state and territory health departments and agencies</w:t>
      </w:r>
    </w:p>
    <w:p w14:paraId="3B60E706" w14:textId="507A1A5B" w:rsidR="00AE37AC" w:rsidRPr="001A745D" w:rsidRDefault="0062701C">
      <w:pPr>
        <w:numPr>
          <w:ilvl w:val="0"/>
          <w:numId w:val="2"/>
        </w:numPr>
        <w:rPr>
          <w:rFonts w:ascii="Arial" w:eastAsia="MS Mincho" w:hAnsi="Arial" w:cs="Arial"/>
          <w:sz w:val="22"/>
          <w:szCs w:val="22"/>
          <w:lang w:eastAsia="ja-JP"/>
        </w:rPr>
      </w:pPr>
      <w:r>
        <w:rPr>
          <w:rFonts w:ascii="Arial" w:eastAsia="MS Mincho" w:hAnsi="Arial" w:cs="Arial"/>
          <w:sz w:val="22"/>
          <w:szCs w:val="22"/>
          <w:lang w:val="en" w:eastAsia="ja-JP"/>
        </w:rPr>
        <w:t>I</w:t>
      </w:r>
      <w:r w:rsidR="00AE37AC" w:rsidRPr="001A745D">
        <w:rPr>
          <w:rFonts w:ascii="Arial" w:eastAsia="MS Mincho" w:hAnsi="Arial" w:cs="Arial"/>
          <w:sz w:val="22"/>
          <w:szCs w:val="22"/>
          <w:lang w:val="en" w:eastAsia="ja-JP"/>
        </w:rPr>
        <w:t>nternet search.</w:t>
      </w:r>
    </w:p>
    <w:p w14:paraId="2788C55F" w14:textId="77777777" w:rsidR="001A745D" w:rsidRPr="001A745D" w:rsidRDefault="001A745D" w:rsidP="001A745D">
      <w:pPr>
        <w:ind w:left="774"/>
        <w:rPr>
          <w:rFonts w:ascii="Arial" w:eastAsia="MS Mincho" w:hAnsi="Arial" w:cs="Arial"/>
          <w:sz w:val="22"/>
          <w:szCs w:val="22"/>
          <w:lang w:eastAsia="ja-JP"/>
        </w:rPr>
      </w:pPr>
    </w:p>
    <w:p w14:paraId="0F8BA1CE" w14:textId="566ADD58" w:rsidR="00AE37AC" w:rsidRPr="001A745D" w:rsidRDefault="00A370F3" w:rsidP="001A745D">
      <w:pPr>
        <w:spacing w:after="120"/>
        <w:rPr>
          <w:rFonts w:ascii="Arial" w:eastAsia="MS Mincho" w:hAnsi="Arial" w:cs="Arial"/>
          <w:sz w:val="22"/>
          <w:szCs w:val="22"/>
          <w:lang w:eastAsia="ja-JP"/>
        </w:rPr>
      </w:pPr>
      <w:r>
        <w:rPr>
          <w:rFonts w:ascii="Arial" w:eastAsia="MS Mincho" w:hAnsi="Arial" w:cs="Arial"/>
          <w:sz w:val="22"/>
          <w:szCs w:val="22"/>
          <w:lang w:eastAsia="ja-JP"/>
        </w:rPr>
        <w:t xml:space="preserve">Identifying </w:t>
      </w:r>
      <w:r w:rsidR="00164EE0">
        <w:rPr>
          <w:rFonts w:ascii="Arial" w:eastAsia="MS Mincho" w:hAnsi="Arial" w:cs="Arial"/>
          <w:sz w:val="22"/>
          <w:szCs w:val="22"/>
          <w:lang w:eastAsia="ja-JP"/>
        </w:rPr>
        <w:t>i</w:t>
      </w:r>
      <w:r w:rsidR="00AE37AC" w:rsidRPr="001A745D">
        <w:rPr>
          <w:rFonts w:ascii="Arial" w:eastAsia="MS Mincho" w:hAnsi="Arial" w:cs="Arial"/>
          <w:sz w:val="22"/>
          <w:szCs w:val="22"/>
          <w:lang w:eastAsia="ja-JP"/>
        </w:rPr>
        <w:t>nternational clinical practice guidelines by searching:</w:t>
      </w:r>
    </w:p>
    <w:p w14:paraId="7ACB2064" w14:textId="7EA17F7B" w:rsidR="00AE37AC" w:rsidRPr="001A745D" w:rsidRDefault="0062701C">
      <w:pPr>
        <w:numPr>
          <w:ilvl w:val="0"/>
          <w:numId w:val="1"/>
        </w:numPr>
        <w:rPr>
          <w:rFonts w:ascii="Arial" w:hAnsi="Arial" w:cs="Arial"/>
          <w:color w:val="000000"/>
          <w:sz w:val="22"/>
          <w:szCs w:val="22"/>
          <w:lang w:val="en" w:eastAsia="en-AU"/>
        </w:rPr>
      </w:pPr>
      <w:r>
        <w:rPr>
          <w:rFonts w:ascii="Arial" w:hAnsi="Arial" w:cs="Arial"/>
          <w:color w:val="000000"/>
          <w:sz w:val="22"/>
          <w:szCs w:val="22"/>
          <w:lang w:val="en-AU" w:eastAsia="en-AU"/>
        </w:rPr>
        <w:t>G</w:t>
      </w:r>
      <w:r w:rsidR="00AE37AC" w:rsidRPr="001A745D">
        <w:rPr>
          <w:rFonts w:ascii="Arial" w:hAnsi="Arial" w:cs="Arial"/>
          <w:color w:val="000000"/>
          <w:sz w:val="22"/>
          <w:szCs w:val="22"/>
          <w:lang w:val="en-AU" w:eastAsia="en-AU"/>
        </w:rPr>
        <w:t xml:space="preserve">uideline clearing houses such as the Agency for Healthcare Research and Quality </w:t>
      </w:r>
      <w:r w:rsidR="00AE37AC" w:rsidRPr="001A745D">
        <w:rPr>
          <w:rFonts w:ascii="Arial" w:hAnsi="Arial" w:cs="Arial"/>
          <w:color w:val="000000"/>
          <w:sz w:val="22"/>
          <w:szCs w:val="22"/>
          <w:lang w:val="en" w:eastAsia="en-AU"/>
        </w:rPr>
        <w:t xml:space="preserve">(AHRQ), and Guidelines International Network (GIN) </w:t>
      </w:r>
    </w:p>
    <w:p w14:paraId="5DA6A43F" w14:textId="4692DC43" w:rsidR="00AE37AC" w:rsidRPr="001A745D" w:rsidRDefault="0062701C">
      <w:pPr>
        <w:numPr>
          <w:ilvl w:val="0"/>
          <w:numId w:val="1"/>
        </w:numPr>
        <w:rPr>
          <w:rFonts w:ascii="Arial" w:hAnsi="Arial" w:cs="Arial"/>
          <w:color w:val="000000"/>
          <w:sz w:val="22"/>
          <w:szCs w:val="22"/>
          <w:lang w:val="en" w:eastAsia="en-AU"/>
        </w:rPr>
      </w:pPr>
      <w:r>
        <w:rPr>
          <w:rFonts w:ascii="Arial" w:hAnsi="Arial" w:cs="Arial"/>
          <w:color w:val="000000"/>
          <w:sz w:val="22"/>
          <w:szCs w:val="22"/>
          <w:lang w:val="en" w:eastAsia="en-AU"/>
        </w:rPr>
        <w:t>W</w:t>
      </w:r>
      <w:r w:rsidR="00AE37AC" w:rsidRPr="001A745D">
        <w:rPr>
          <w:rFonts w:ascii="Arial" w:hAnsi="Arial" w:cs="Arial"/>
          <w:color w:val="000000"/>
          <w:sz w:val="22"/>
          <w:szCs w:val="22"/>
          <w:lang w:val="en" w:eastAsia="en-AU"/>
        </w:rPr>
        <w:t xml:space="preserve">ebsites of </w:t>
      </w:r>
      <w:r w:rsidR="00A370F3">
        <w:rPr>
          <w:rFonts w:ascii="Arial" w:hAnsi="Arial" w:cs="Arial"/>
          <w:color w:val="000000"/>
          <w:sz w:val="22"/>
          <w:szCs w:val="22"/>
          <w:lang w:val="en" w:eastAsia="en-AU"/>
        </w:rPr>
        <w:t>high</w:t>
      </w:r>
      <w:r w:rsidR="00164EE0">
        <w:rPr>
          <w:rFonts w:ascii="Arial" w:hAnsi="Arial" w:cs="Arial"/>
          <w:color w:val="000000"/>
          <w:sz w:val="22"/>
          <w:szCs w:val="22"/>
          <w:lang w:val="en" w:eastAsia="en-AU"/>
        </w:rPr>
        <w:t>-</w:t>
      </w:r>
      <w:r w:rsidR="00A370F3">
        <w:rPr>
          <w:rFonts w:ascii="Arial" w:hAnsi="Arial" w:cs="Arial"/>
          <w:color w:val="000000"/>
          <w:sz w:val="22"/>
          <w:szCs w:val="22"/>
          <w:lang w:val="en" w:eastAsia="en-AU"/>
        </w:rPr>
        <w:t xml:space="preserve">quality </w:t>
      </w:r>
      <w:r w:rsidR="00AE37AC" w:rsidRPr="001A745D">
        <w:rPr>
          <w:rFonts w:ascii="Arial" w:hAnsi="Arial" w:cs="Arial"/>
          <w:color w:val="000000"/>
          <w:sz w:val="22"/>
          <w:szCs w:val="22"/>
          <w:lang w:val="en" w:eastAsia="en-AU"/>
        </w:rPr>
        <w:t>guideline developers, such as the UK’s National Institute for Health and Care Excellence (NICE), Scottish Intercollegiate Guideline Network (SIGN).</w:t>
      </w:r>
    </w:p>
    <w:p w14:paraId="05D15C8C" w14:textId="77777777" w:rsidR="001A745D" w:rsidRDefault="001A745D" w:rsidP="001A745D">
      <w:pPr>
        <w:rPr>
          <w:rFonts w:ascii="Arial" w:hAnsi="Arial" w:cs="Arial"/>
          <w:color w:val="000000"/>
          <w:sz w:val="22"/>
          <w:szCs w:val="22"/>
          <w:lang w:val="en" w:eastAsia="en-AU"/>
        </w:rPr>
      </w:pPr>
    </w:p>
    <w:p w14:paraId="5CF7F1E8" w14:textId="6F2F6087" w:rsidR="00AE37AC" w:rsidRPr="001A745D" w:rsidRDefault="00A370F3" w:rsidP="001A745D">
      <w:pPr>
        <w:spacing w:after="120"/>
        <w:rPr>
          <w:rFonts w:ascii="Arial" w:hAnsi="Arial" w:cs="Arial"/>
          <w:color w:val="000000"/>
          <w:sz w:val="22"/>
          <w:szCs w:val="22"/>
          <w:lang w:val="en" w:eastAsia="en-AU"/>
        </w:rPr>
      </w:pPr>
      <w:r>
        <w:rPr>
          <w:rFonts w:ascii="Arial" w:eastAsia="MS Mincho" w:hAnsi="Arial" w:cs="Arial"/>
          <w:sz w:val="22"/>
          <w:szCs w:val="22"/>
          <w:lang w:eastAsia="ja-JP"/>
        </w:rPr>
        <w:t>Identifying o</w:t>
      </w:r>
      <w:proofErr w:type="spellStart"/>
      <w:r w:rsidR="00AE37AC" w:rsidRPr="001A745D">
        <w:rPr>
          <w:rFonts w:ascii="Arial" w:hAnsi="Arial" w:cs="Arial"/>
          <w:color w:val="000000"/>
          <w:sz w:val="22"/>
          <w:szCs w:val="22"/>
          <w:lang w:val="en" w:eastAsia="en-AU"/>
        </w:rPr>
        <w:t>ther</w:t>
      </w:r>
      <w:proofErr w:type="spellEnd"/>
      <w:r w:rsidR="00AE37AC" w:rsidRPr="001A745D">
        <w:rPr>
          <w:rFonts w:ascii="Arial" w:hAnsi="Arial" w:cs="Arial"/>
          <w:color w:val="000000"/>
          <w:sz w:val="22"/>
          <w:szCs w:val="22"/>
          <w:lang w:val="en" w:eastAsia="en-AU"/>
        </w:rPr>
        <w:t xml:space="preserve"> high-level evidence by searching:</w:t>
      </w:r>
    </w:p>
    <w:p w14:paraId="2F083623" w14:textId="0D56FF8C" w:rsidR="00AE37AC" w:rsidRPr="001A745D" w:rsidRDefault="0062701C">
      <w:pPr>
        <w:numPr>
          <w:ilvl w:val="0"/>
          <w:numId w:val="1"/>
        </w:numPr>
        <w:rPr>
          <w:rFonts w:ascii="Arial" w:hAnsi="Arial" w:cs="Arial"/>
          <w:color w:val="000000"/>
          <w:sz w:val="22"/>
          <w:szCs w:val="22"/>
          <w:lang w:val="en" w:eastAsia="en-AU"/>
        </w:rPr>
      </w:pPr>
      <w:r>
        <w:rPr>
          <w:rFonts w:ascii="Arial" w:hAnsi="Arial" w:cs="Arial"/>
          <w:color w:val="000000"/>
          <w:sz w:val="22"/>
          <w:szCs w:val="22"/>
          <w:lang w:val="en" w:eastAsia="en-AU"/>
        </w:rPr>
        <w:t>T</w:t>
      </w:r>
      <w:r w:rsidR="00AE37AC" w:rsidRPr="001A745D">
        <w:rPr>
          <w:rFonts w:ascii="Arial" w:hAnsi="Arial" w:cs="Arial"/>
          <w:color w:val="000000"/>
          <w:sz w:val="22"/>
          <w:szCs w:val="22"/>
          <w:lang w:val="en" w:eastAsia="en-AU"/>
        </w:rPr>
        <w:t>he Cochrane Collaboration for systematic literature reviews and meta</w:t>
      </w:r>
      <w:r w:rsidR="00913409">
        <w:rPr>
          <w:rFonts w:ascii="Arial" w:hAnsi="Arial" w:cs="Arial"/>
          <w:color w:val="000000"/>
          <w:sz w:val="22"/>
          <w:szCs w:val="22"/>
          <w:lang w:val="en" w:eastAsia="en-AU"/>
        </w:rPr>
        <w:t>-</w:t>
      </w:r>
      <w:r w:rsidR="00AE37AC" w:rsidRPr="001A745D">
        <w:rPr>
          <w:rFonts w:ascii="Arial" w:hAnsi="Arial" w:cs="Arial"/>
          <w:color w:val="000000"/>
          <w:sz w:val="22"/>
          <w:szCs w:val="22"/>
          <w:lang w:val="en" w:eastAsia="en-AU"/>
        </w:rPr>
        <w:t>analyses</w:t>
      </w:r>
    </w:p>
    <w:p w14:paraId="6911A2EC" w14:textId="69F6A6C6" w:rsidR="00AE37AC" w:rsidRPr="001A745D" w:rsidRDefault="0062701C">
      <w:pPr>
        <w:numPr>
          <w:ilvl w:val="0"/>
          <w:numId w:val="1"/>
        </w:numPr>
        <w:rPr>
          <w:rFonts w:ascii="Arial" w:hAnsi="Arial" w:cs="Arial"/>
          <w:color w:val="000000"/>
          <w:sz w:val="22"/>
          <w:szCs w:val="22"/>
          <w:lang w:val="en" w:eastAsia="en-AU"/>
        </w:rPr>
      </w:pPr>
      <w:r>
        <w:rPr>
          <w:rFonts w:ascii="Arial" w:hAnsi="Arial" w:cs="Arial"/>
          <w:color w:val="000000"/>
          <w:sz w:val="22"/>
          <w:szCs w:val="22"/>
          <w:lang w:val="en" w:eastAsia="en-AU"/>
        </w:rPr>
        <w:t>M</w:t>
      </w:r>
      <w:r w:rsidR="00AE37AC" w:rsidRPr="001A745D">
        <w:rPr>
          <w:rFonts w:ascii="Arial" w:hAnsi="Arial" w:cs="Arial"/>
          <w:color w:val="000000"/>
          <w:sz w:val="22"/>
          <w:szCs w:val="22"/>
          <w:lang w:val="en" w:eastAsia="en-AU"/>
        </w:rPr>
        <w:t>edical literature databases (Medline, Embase) for systematic reviews and meta-analyses.</w:t>
      </w:r>
    </w:p>
    <w:p w14:paraId="64A41924" w14:textId="037DE61E" w:rsidR="00AE37AC" w:rsidRDefault="00AE37AC" w:rsidP="00AE37AC">
      <w:pPr>
        <w:spacing w:after="100"/>
        <w:rPr>
          <w:rFonts w:ascii="Arial" w:hAnsi="Arial" w:cs="Arial"/>
          <w:color w:val="000000"/>
          <w:sz w:val="20"/>
          <w:szCs w:val="20"/>
          <w:lang w:val="en-AU" w:eastAsia="en-AU"/>
        </w:rPr>
      </w:pPr>
    </w:p>
    <w:p w14:paraId="0FF1B5E3" w14:textId="4711E7DE" w:rsidR="00A370F3" w:rsidRPr="00164EE0" w:rsidRDefault="00A370F3" w:rsidP="00AE37AC">
      <w:pPr>
        <w:spacing w:after="100"/>
        <w:rPr>
          <w:rFonts w:ascii="Arial" w:hAnsi="Arial" w:cs="Arial"/>
          <w:color w:val="000000"/>
          <w:sz w:val="22"/>
          <w:szCs w:val="22"/>
          <w:lang w:val="en" w:eastAsia="en-AU"/>
        </w:rPr>
      </w:pPr>
      <w:r w:rsidRPr="00164EE0">
        <w:rPr>
          <w:rFonts w:ascii="Arial" w:hAnsi="Arial" w:cs="Arial"/>
          <w:color w:val="000000"/>
          <w:sz w:val="22"/>
          <w:szCs w:val="22"/>
          <w:lang w:val="en" w:eastAsia="en-AU"/>
        </w:rPr>
        <w:t>For the review of the clinical care standard in 2022, a mapping exercise was undertaken to identify any changes in the recommendations used as the basis of the first clinical care standard, including any changes in the underlying guidelines supporting the standard.</w:t>
      </w:r>
    </w:p>
    <w:p w14:paraId="14F91302" w14:textId="480293E7" w:rsidR="00A370F3" w:rsidRPr="00164EE0" w:rsidRDefault="00A370F3" w:rsidP="00AE37AC">
      <w:pPr>
        <w:spacing w:after="100"/>
        <w:rPr>
          <w:rFonts w:ascii="Arial" w:hAnsi="Arial" w:cs="Arial"/>
          <w:color w:val="000000"/>
          <w:sz w:val="22"/>
          <w:szCs w:val="22"/>
          <w:lang w:val="en" w:eastAsia="en-AU"/>
        </w:rPr>
      </w:pPr>
    </w:p>
    <w:p w14:paraId="25F0F2C4" w14:textId="3DB8B332" w:rsidR="00A370F3" w:rsidRPr="00164EE0" w:rsidRDefault="00A370F3" w:rsidP="00AE37AC">
      <w:pPr>
        <w:spacing w:after="100"/>
        <w:rPr>
          <w:rFonts w:ascii="Arial" w:hAnsi="Arial" w:cs="Arial"/>
          <w:color w:val="000000"/>
          <w:sz w:val="22"/>
          <w:szCs w:val="22"/>
          <w:lang w:val="en" w:eastAsia="en-AU"/>
        </w:rPr>
      </w:pPr>
      <w:r w:rsidRPr="00164EE0">
        <w:rPr>
          <w:rFonts w:ascii="Arial" w:hAnsi="Arial" w:cs="Arial"/>
          <w:color w:val="000000"/>
          <w:sz w:val="22"/>
          <w:szCs w:val="22"/>
          <w:lang w:val="en" w:eastAsia="en-AU"/>
        </w:rPr>
        <w:t>Additional sources were also identified through Australian websites including those listed above.</w:t>
      </w:r>
    </w:p>
    <w:p w14:paraId="4690040C" w14:textId="77777777" w:rsidR="00A370F3" w:rsidRPr="00DF16E6" w:rsidRDefault="00A370F3" w:rsidP="00AE37AC">
      <w:pPr>
        <w:spacing w:after="100"/>
        <w:rPr>
          <w:rFonts w:ascii="Arial" w:hAnsi="Arial" w:cs="Arial"/>
          <w:color w:val="000000"/>
          <w:sz w:val="20"/>
          <w:szCs w:val="20"/>
          <w:lang w:val="en-AU" w:eastAsia="en-AU"/>
        </w:rPr>
      </w:pPr>
    </w:p>
    <w:p w14:paraId="57B95DB2" w14:textId="73B8FBF8" w:rsidR="001A745D" w:rsidRPr="001A745D" w:rsidRDefault="001A745D" w:rsidP="001A745D">
      <w:pPr>
        <w:spacing w:after="240"/>
        <w:rPr>
          <w:rFonts w:ascii="Arial" w:hAnsi="Arial" w:cs="Arial"/>
          <w:color w:val="000000"/>
          <w:sz w:val="22"/>
          <w:szCs w:val="22"/>
          <w:lang w:eastAsia="en-AU"/>
        </w:rPr>
      </w:pPr>
      <w:r w:rsidRPr="001A745D">
        <w:rPr>
          <w:rFonts w:ascii="Arial" w:hAnsi="Arial" w:cs="Arial"/>
          <w:color w:val="000000"/>
          <w:sz w:val="22"/>
          <w:szCs w:val="22"/>
          <w:lang w:eastAsia="en-AU"/>
        </w:rPr>
        <w:t>A list of the key evidence sources for each of the quality statements is</w:t>
      </w:r>
      <w:r w:rsidR="0022350E">
        <w:rPr>
          <w:rFonts w:ascii="Arial" w:hAnsi="Arial" w:cs="Arial"/>
          <w:color w:val="000000"/>
          <w:sz w:val="22"/>
          <w:szCs w:val="22"/>
          <w:lang w:eastAsia="en-AU"/>
        </w:rPr>
        <w:t xml:space="preserve"> list</w:t>
      </w:r>
      <w:r w:rsidRPr="001A745D">
        <w:rPr>
          <w:rFonts w:ascii="Arial" w:hAnsi="Arial" w:cs="Arial"/>
          <w:color w:val="000000"/>
          <w:sz w:val="22"/>
          <w:szCs w:val="22"/>
          <w:lang w:eastAsia="en-AU"/>
        </w:rPr>
        <w:t xml:space="preserve">ed. </w:t>
      </w:r>
    </w:p>
    <w:p w14:paraId="06655904" w14:textId="3B2046FC" w:rsidR="001A745D" w:rsidRDefault="001A745D" w:rsidP="00AE37AC">
      <w:pPr>
        <w:spacing w:after="100"/>
        <w:rPr>
          <w:rFonts w:ascii="Arial" w:hAnsi="Arial" w:cs="Arial"/>
          <w:color w:val="000000"/>
          <w:sz w:val="20"/>
          <w:szCs w:val="20"/>
          <w:lang w:val="en-AU" w:eastAsia="en-AU"/>
        </w:rPr>
        <w:sectPr w:rsidR="001A745D" w:rsidSect="00025084">
          <w:headerReference w:type="default" r:id="rId11"/>
          <w:footerReference w:type="default" r:id="rId12"/>
          <w:pgSz w:w="11906" w:h="16838"/>
          <w:pgMar w:top="1440" w:right="1080" w:bottom="1440" w:left="1080" w:header="708" w:footer="708" w:gutter="0"/>
          <w:cols w:space="708"/>
          <w:docGrid w:linePitch="360"/>
        </w:sectPr>
      </w:pPr>
    </w:p>
    <w:tbl>
      <w:tblPr>
        <w:tblpPr w:leftFromText="180" w:rightFromText="180" w:vertAnchor="page" w:horzAnchor="margin" w:tblpY="1606"/>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0381"/>
      </w:tblGrid>
      <w:tr w:rsidR="005449F0" w:rsidRPr="002A5AD5" w14:paraId="2EADC50E" w14:textId="77777777" w:rsidTr="004B7888">
        <w:trPr>
          <w:tblHeader/>
        </w:trPr>
        <w:tc>
          <w:tcPr>
            <w:tcW w:w="3227" w:type="dxa"/>
            <w:tcBorders>
              <w:top w:val="single" w:sz="4" w:space="0" w:color="auto"/>
              <w:left w:val="single" w:sz="4" w:space="0" w:color="auto"/>
              <w:bottom w:val="single" w:sz="4" w:space="0" w:color="auto"/>
              <w:right w:val="single" w:sz="4" w:space="0" w:color="auto"/>
            </w:tcBorders>
            <w:shd w:val="clear" w:color="auto" w:fill="00988E"/>
          </w:tcPr>
          <w:p w14:paraId="7914A73F" w14:textId="77777777" w:rsidR="005449F0" w:rsidRPr="002A5AD5" w:rsidRDefault="005449F0" w:rsidP="002A3387">
            <w:pPr>
              <w:spacing w:before="60"/>
              <w:rPr>
                <w:rFonts w:ascii="Arial" w:hAnsi="Arial" w:cs="Arial"/>
                <w:color w:val="FFFFFF"/>
                <w:sz w:val="32"/>
                <w:szCs w:val="32"/>
              </w:rPr>
            </w:pPr>
            <w:r w:rsidRPr="002A5AD5">
              <w:rPr>
                <w:rFonts w:ascii="Arial" w:hAnsi="Arial" w:cs="Arial"/>
                <w:b/>
                <w:bCs/>
                <w:color w:val="FFFFFF"/>
                <w:sz w:val="32"/>
                <w:szCs w:val="32"/>
              </w:rPr>
              <w:lastRenderedPageBreak/>
              <w:t>Quality Statement 1</w:t>
            </w:r>
          </w:p>
        </w:tc>
        <w:tc>
          <w:tcPr>
            <w:tcW w:w="10381" w:type="dxa"/>
            <w:tcBorders>
              <w:top w:val="single" w:sz="4" w:space="0" w:color="auto"/>
              <w:left w:val="single" w:sz="4" w:space="0" w:color="auto"/>
              <w:bottom w:val="single" w:sz="4" w:space="0" w:color="auto"/>
              <w:right w:val="single" w:sz="4" w:space="0" w:color="auto"/>
            </w:tcBorders>
          </w:tcPr>
          <w:p w14:paraId="7B8BBBE5" w14:textId="42F7EB01" w:rsidR="0062701C" w:rsidRPr="0062701C" w:rsidRDefault="0062701C" w:rsidP="0062701C">
            <w:pPr>
              <w:spacing w:before="60" w:after="60"/>
              <w:rPr>
                <w:rFonts w:ascii="Arial" w:hAnsi="Arial" w:cs="Arial"/>
                <w:b/>
                <w:sz w:val="22"/>
                <w:szCs w:val="22"/>
              </w:rPr>
            </w:pPr>
            <w:r w:rsidRPr="0062701C">
              <w:rPr>
                <w:rFonts w:ascii="Arial" w:hAnsi="Arial" w:cs="Arial"/>
                <w:b/>
                <w:sz w:val="22"/>
                <w:szCs w:val="22"/>
              </w:rPr>
              <w:t xml:space="preserve">Care at presentation </w:t>
            </w:r>
          </w:p>
          <w:p w14:paraId="28610FF4" w14:textId="474938EC" w:rsidR="005449F0" w:rsidRPr="0062701C" w:rsidRDefault="00913409" w:rsidP="0062701C">
            <w:pPr>
              <w:spacing w:before="60" w:after="60"/>
              <w:rPr>
                <w:rFonts w:ascii="Arial" w:hAnsi="Arial" w:cs="Arial"/>
                <w:bCs/>
                <w:sz w:val="22"/>
                <w:szCs w:val="22"/>
              </w:rPr>
            </w:pPr>
            <w:r w:rsidRPr="00913409">
              <w:rPr>
                <w:rFonts w:ascii="Arial" w:hAnsi="Arial" w:cs="Arial"/>
                <w:bCs/>
                <w:sz w:val="22"/>
                <w:szCs w:val="22"/>
              </w:rPr>
              <w:t xml:space="preserve">A person presenting to hospital with a suspected hip fracture receives care that is guided by timely assessment and management of medical conditions, including cognition, pain, nutritional </w:t>
            </w:r>
            <w:proofErr w:type="gramStart"/>
            <w:r w:rsidRPr="00913409">
              <w:rPr>
                <w:rFonts w:ascii="Arial" w:hAnsi="Arial" w:cs="Arial"/>
                <w:bCs/>
                <w:sz w:val="22"/>
                <w:szCs w:val="22"/>
              </w:rPr>
              <w:t>status</w:t>
            </w:r>
            <w:proofErr w:type="gramEnd"/>
            <w:r w:rsidRPr="00913409">
              <w:rPr>
                <w:rFonts w:ascii="Arial" w:hAnsi="Arial" w:cs="Arial"/>
                <w:bCs/>
                <w:sz w:val="22"/>
                <w:szCs w:val="22"/>
              </w:rPr>
              <w:t xml:space="preserve"> and frailty. Arrangements are made according to a locally endorsed hip fracture pathway</w:t>
            </w:r>
            <w:r w:rsidR="0062701C" w:rsidRPr="0062701C">
              <w:rPr>
                <w:rFonts w:ascii="Arial" w:hAnsi="Arial" w:cs="Arial"/>
                <w:bCs/>
                <w:sz w:val="22"/>
                <w:szCs w:val="22"/>
              </w:rPr>
              <w:t>.</w:t>
            </w:r>
          </w:p>
        </w:tc>
      </w:tr>
      <w:tr w:rsidR="005449F0" w:rsidRPr="002A5AD5" w14:paraId="10F56918" w14:textId="77777777" w:rsidTr="004B7888">
        <w:trPr>
          <w:tblHeader/>
        </w:trPr>
        <w:tc>
          <w:tcPr>
            <w:tcW w:w="13608" w:type="dxa"/>
            <w:gridSpan w:val="2"/>
            <w:tcBorders>
              <w:top w:val="single" w:sz="4" w:space="0" w:color="auto"/>
              <w:left w:val="single" w:sz="4" w:space="0" w:color="auto"/>
              <w:bottom w:val="single" w:sz="4" w:space="0" w:color="auto"/>
              <w:right w:val="single" w:sz="4" w:space="0" w:color="auto"/>
            </w:tcBorders>
            <w:shd w:val="clear" w:color="auto" w:fill="auto"/>
          </w:tcPr>
          <w:p w14:paraId="5B6D7384" w14:textId="046480A4" w:rsidR="005449F0" w:rsidRPr="002A5AD5" w:rsidRDefault="005449F0" w:rsidP="004B7888">
            <w:pPr>
              <w:rPr>
                <w:rFonts w:ascii="Arial" w:hAnsi="Arial" w:cs="Arial"/>
                <w:b/>
              </w:rPr>
            </w:pPr>
            <w:r w:rsidRPr="002A5AD5">
              <w:rPr>
                <w:rFonts w:ascii="Arial" w:hAnsi="Arial" w:cs="Arial"/>
                <w:b/>
              </w:rPr>
              <w:t xml:space="preserve">EVIDENCE SOURCES </w:t>
            </w:r>
            <w:r w:rsidR="00913409">
              <w:rPr>
                <w:rFonts w:ascii="Arial" w:hAnsi="Arial" w:cs="Arial"/>
                <w:b/>
              </w:rPr>
              <w:t xml:space="preserve"> </w:t>
            </w:r>
          </w:p>
        </w:tc>
      </w:tr>
      <w:tr w:rsidR="005449F0" w:rsidRPr="002A5AD5" w14:paraId="34705AD3" w14:textId="77777777" w:rsidTr="00913409">
        <w:trPr>
          <w:trHeight w:val="90"/>
          <w:tblHeader/>
        </w:trPr>
        <w:tc>
          <w:tcPr>
            <w:tcW w:w="1360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1CD84E7" w14:textId="77777777" w:rsidR="005449F0" w:rsidRPr="0074479F" w:rsidRDefault="005449F0" w:rsidP="003574C3">
            <w:pPr>
              <w:spacing w:before="60" w:after="60"/>
              <w:rPr>
                <w:rFonts w:ascii="Arial" w:hAnsi="Arial" w:cs="Arial"/>
                <w:b/>
                <w:sz w:val="22"/>
                <w:szCs w:val="22"/>
              </w:rPr>
            </w:pPr>
            <w:r w:rsidRPr="0074479F">
              <w:rPr>
                <w:rFonts w:ascii="Arial" w:hAnsi="Arial" w:cs="Arial"/>
                <w:b/>
                <w:sz w:val="22"/>
                <w:szCs w:val="22"/>
              </w:rPr>
              <w:t>Australian Guideline</w:t>
            </w:r>
            <w:r w:rsidR="00A902FE" w:rsidRPr="0074479F">
              <w:rPr>
                <w:rFonts w:ascii="Arial" w:hAnsi="Arial" w:cs="Arial"/>
                <w:b/>
                <w:sz w:val="22"/>
                <w:szCs w:val="22"/>
              </w:rPr>
              <w:t>s</w:t>
            </w:r>
          </w:p>
        </w:tc>
      </w:tr>
      <w:tr w:rsidR="005449F0" w:rsidRPr="002A5AD5" w14:paraId="079339B4" w14:textId="77777777" w:rsidTr="004B7888">
        <w:trPr>
          <w:cantSplit/>
          <w:trHeight w:val="90"/>
        </w:trPr>
        <w:tc>
          <w:tcPr>
            <w:tcW w:w="13608" w:type="dxa"/>
            <w:gridSpan w:val="2"/>
            <w:tcBorders>
              <w:top w:val="single" w:sz="4" w:space="0" w:color="auto"/>
              <w:left w:val="single" w:sz="4" w:space="0" w:color="auto"/>
              <w:bottom w:val="single" w:sz="4" w:space="0" w:color="auto"/>
              <w:right w:val="single" w:sz="4" w:space="0" w:color="auto"/>
            </w:tcBorders>
          </w:tcPr>
          <w:p w14:paraId="0DD38B49" w14:textId="36E4C4B7" w:rsidR="005449F0" w:rsidRPr="004D78BD" w:rsidRDefault="004D78BD">
            <w:pPr>
              <w:pStyle w:val="ListParagraph"/>
              <w:numPr>
                <w:ilvl w:val="0"/>
                <w:numId w:val="3"/>
              </w:numPr>
              <w:autoSpaceDE w:val="0"/>
              <w:autoSpaceDN w:val="0"/>
              <w:adjustRightInd w:val="0"/>
              <w:spacing w:after="120"/>
              <w:rPr>
                <w:rFonts w:ascii="Arial" w:hAnsi="Arial" w:cs="Arial"/>
                <w:sz w:val="22"/>
                <w:szCs w:val="22"/>
                <w:lang w:eastAsia="en-AU"/>
              </w:rPr>
            </w:pPr>
            <w:r w:rsidRPr="004D78BD">
              <w:rPr>
                <w:rFonts w:ascii="Arial" w:hAnsi="Arial" w:cs="Arial"/>
                <w:sz w:val="22"/>
                <w:szCs w:val="22"/>
              </w:rPr>
              <w:t>Australian and New Zealand Hip Fracture Registry Steering Group. Australian and New Zealand guideline for hip fracture care: improving outcomes in hip fracture management of adults. Sydney: ANZHFR, 2014.</w:t>
            </w:r>
          </w:p>
        </w:tc>
      </w:tr>
      <w:tr w:rsidR="005449F0" w:rsidRPr="002A5AD5" w14:paraId="3619D73D" w14:textId="77777777" w:rsidTr="00913409">
        <w:trPr>
          <w:cantSplit/>
          <w:trHeight w:val="90"/>
        </w:trPr>
        <w:tc>
          <w:tcPr>
            <w:tcW w:w="13608" w:type="dxa"/>
            <w:gridSpan w:val="2"/>
            <w:tcBorders>
              <w:top w:val="single" w:sz="4" w:space="0" w:color="auto"/>
              <w:left w:val="single" w:sz="4" w:space="0" w:color="auto"/>
              <w:right w:val="single" w:sz="4" w:space="0" w:color="auto"/>
            </w:tcBorders>
            <w:shd w:val="clear" w:color="auto" w:fill="DEEAF6" w:themeFill="accent1" w:themeFillTint="33"/>
          </w:tcPr>
          <w:p w14:paraId="38B5EB8A" w14:textId="77777777" w:rsidR="005449F0" w:rsidRPr="0074479F" w:rsidRDefault="005449F0" w:rsidP="003574C3">
            <w:pPr>
              <w:spacing w:before="60" w:after="60"/>
              <w:rPr>
                <w:rFonts w:ascii="Arial" w:hAnsi="Arial" w:cs="Arial"/>
                <w:b/>
                <w:sz w:val="22"/>
                <w:szCs w:val="22"/>
              </w:rPr>
            </w:pPr>
            <w:r w:rsidRPr="0074479F">
              <w:rPr>
                <w:rFonts w:ascii="Arial" w:hAnsi="Arial" w:cs="Arial"/>
                <w:b/>
                <w:sz w:val="22"/>
                <w:szCs w:val="22"/>
              </w:rPr>
              <w:t>Additional Source</w:t>
            </w:r>
            <w:r w:rsidR="00F157BC" w:rsidRPr="0074479F">
              <w:rPr>
                <w:rFonts w:ascii="Arial" w:hAnsi="Arial" w:cs="Arial"/>
                <w:b/>
                <w:sz w:val="22"/>
                <w:szCs w:val="22"/>
              </w:rPr>
              <w:t>s</w:t>
            </w:r>
          </w:p>
        </w:tc>
      </w:tr>
      <w:tr w:rsidR="005449F0" w:rsidRPr="005C2A14" w14:paraId="7B17637E" w14:textId="77777777" w:rsidTr="00913409">
        <w:trPr>
          <w:cantSplit/>
          <w:trHeight w:val="90"/>
        </w:trPr>
        <w:tc>
          <w:tcPr>
            <w:tcW w:w="13608" w:type="dxa"/>
            <w:gridSpan w:val="2"/>
            <w:tcBorders>
              <w:top w:val="single" w:sz="4" w:space="0" w:color="auto"/>
              <w:left w:val="single" w:sz="4" w:space="0" w:color="auto"/>
              <w:bottom w:val="single" w:sz="4" w:space="0" w:color="auto"/>
              <w:right w:val="single" w:sz="4" w:space="0" w:color="auto"/>
            </w:tcBorders>
          </w:tcPr>
          <w:p w14:paraId="746D94AE" w14:textId="0ADBB8E3" w:rsidR="004D78BD" w:rsidRDefault="004D78BD">
            <w:pPr>
              <w:pStyle w:val="ListParagraph"/>
              <w:numPr>
                <w:ilvl w:val="0"/>
                <w:numId w:val="3"/>
              </w:numPr>
              <w:rPr>
                <w:rFonts w:ascii="Arial" w:hAnsi="Arial" w:cs="Arial"/>
                <w:sz w:val="22"/>
                <w:szCs w:val="22"/>
              </w:rPr>
            </w:pPr>
            <w:r w:rsidRPr="004D78BD">
              <w:rPr>
                <w:rFonts w:ascii="Arial" w:hAnsi="Arial" w:cs="Arial"/>
                <w:sz w:val="22"/>
                <w:szCs w:val="22"/>
              </w:rPr>
              <w:t>Australian Commission on Safety and Quality in Health Care. Delirium Clinical Care Standard. Sydney: ACSQHC, 2021.</w:t>
            </w:r>
          </w:p>
          <w:p w14:paraId="2A5095B6" w14:textId="4C4FDD04" w:rsidR="003B2FD2" w:rsidRDefault="003B2FD2">
            <w:pPr>
              <w:pStyle w:val="ListParagraph"/>
              <w:numPr>
                <w:ilvl w:val="0"/>
                <w:numId w:val="3"/>
              </w:numPr>
              <w:rPr>
                <w:rFonts w:ascii="Arial" w:hAnsi="Arial" w:cs="Arial"/>
                <w:sz w:val="22"/>
                <w:szCs w:val="22"/>
              </w:rPr>
            </w:pPr>
            <w:r w:rsidRPr="003B2FD2">
              <w:rPr>
                <w:rFonts w:ascii="Arial" w:hAnsi="Arial" w:cs="Arial"/>
                <w:sz w:val="22"/>
                <w:szCs w:val="22"/>
              </w:rPr>
              <w:t>Australian Commission on Safety and Quality in Health Care. Comprehensive Care Standard. Sydney: ACSQHC; 2022</w:t>
            </w:r>
            <w:r>
              <w:rPr>
                <w:rFonts w:ascii="Arial" w:hAnsi="Arial" w:cs="Arial"/>
                <w:sz w:val="22"/>
                <w:szCs w:val="22"/>
              </w:rPr>
              <w:t>.</w:t>
            </w:r>
            <w:r w:rsidRPr="003B2FD2">
              <w:rPr>
                <w:rFonts w:ascii="Arial" w:hAnsi="Arial" w:cs="Arial"/>
                <w:sz w:val="22"/>
                <w:szCs w:val="22"/>
              </w:rPr>
              <w:t xml:space="preserve"> Available from: www.safetyandquality. gov.au/standards/</w:t>
            </w:r>
            <w:proofErr w:type="spellStart"/>
            <w:r w:rsidRPr="003B2FD2">
              <w:rPr>
                <w:rFonts w:ascii="Arial" w:hAnsi="Arial" w:cs="Arial"/>
                <w:sz w:val="22"/>
                <w:szCs w:val="22"/>
              </w:rPr>
              <w:t>nsqhs</w:t>
            </w:r>
            <w:proofErr w:type="spellEnd"/>
            <w:r w:rsidRPr="003B2FD2">
              <w:rPr>
                <w:rFonts w:ascii="Arial" w:hAnsi="Arial" w:cs="Arial"/>
                <w:sz w:val="22"/>
                <w:szCs w:val="22"/>
              </w:rPr>
              <w:t>-standards/ comprehensive-care-standard.</w:t>
            </w:r>
            <w:r>
              <w:rPr>
                <w:rFonts w:ascii="Arial" w:hAnsi="Arial" w:cs="Arial"/>
                <w:sz w:val="22"/>
                <w:szCs w:val="22"/>
              </w:rPr>
              <w:t xml:space="preserve"> </w:t>
            </w:r>
          </w:p>
          <w:p w14:paraId="77C27BE1" w14:textId="189D93C1" w:rsidR="002B7295" w:rsidRPr="003B2FD2" w:rsidRDefault="002B7295">
            <w:pPr>
              <w:pStyle w:val="ListParagraph"/>
              <w:numPr>
                <w:ilvl w:val="0"/>
                <w:numId w:val="3"/>
              </w:numPr>
              <w:spacing w:after="60"/>
              <w:ind w:left="714" w:hanging="357"/>
              <w:rPr>
                <w:rFonts w:ascii="Arial" w:hAnsi="Arial" w:cs="Arial"/>
                <w:sz w:val="22"/>
                <w:szCs w:val="22"/>
              </w:rPr>
            </w:pPr>
          </w:p>
        </w:tc>
      </w:tr>
      <w:tr w:rsidR="00913409" w:rsidRPr="005C2A14" w14:paraId="52E8B500" w14:textId="77777777" w:rsidTr="00536F4A">
        <w:trPr>
          <w:cantSplit/>
          <w:trHeight w:val="90"/>
        </w:trPr>
        <w:tc>
          <w:tcPr>
            <w:tcW w:w="1360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BE8F416" w14:textId="1C2FDBB5" w:rsidR="00913409" w:rsidRPr="00913409" w:rsidRDefault="00913409" w:rsidP="00913409">
            <w:pPr>
              <w:spacing w:before="60" w:after="60"/>
              <w:rPr>
                <w:rFonts w:ascii="Arial" w:hAnsi="Arial" w:cs="Arial"/>
                <w:sz w:val="22"/>
                <w:szCs w:val="22"/>
              </w:rPr>
            </w:pPr>
            <w:r w:rsidRPr="00913409">
              <w:rPr>
                <w:rFonts w:ascii="Arial" w:hAnsi="Arial" w:cs="Arial"/>
                <w:b/>
                <w:sz w:val="22"/>
                <w:szCs w:val="22"/>
              </w:rPr>
              <w:t>Related resources</w:t>
            </w:r>
            <w:r>
              <w:rPr>
                <w:rFonts w:ascii="Arial" w:hAnsi="Arial" w:cs="Arial"/>
                <w:b/>
                <w:sz w:val="22"/>
                <w:szCs w:val="22"/>
              </w:rPr>
              <w:t xml:space="preserve"> </w:t>
            </w:r>
          </w:p>
        </w:tc>
      </w:tr>
      <w:tr w:rsidR="00536F4A" w:rsidRPr="005C2A14" w14:paraId="4B4F39E3" w14:textId="77777777" w:rsidTr="00536F4A">
        <w:trPr>
          <w:cantSplit/>
          <w:trHeight w:val="90"/>
        </w:trPr>
        <w:tc>
          <w:tcPr>
            <w:tcW w:w="13608" w:type="dxa"/>
            <w:gridSpan w:val="2"/>
            <w:tcBorders>
              <w:top w:val="single" w:sz="4" w:space="0" w:color="auto"/>
              <w:left w:val="single" w:sz="4" w:space="0" w:color="auto"/>
              <w:right w:val="single" w:sz="4" w:space="0" w:color="auto"/>
            </w:tcBorders>
            <w:shd w:val="clear" w:color="auto" w:fill="auto"/>
          </w:tcPr>
          <w:p w14:paraId="71FD3110" w14:textId="77777777" w:rsidR="00536F4A" w:rsidRDefault="003B2FD2" w:rsidP="00164EE0">
            <w:pPr>
              <w:pStyle w:val="ListParagraph"/>
              <w:numPr>
                <w:ilvl w:val="0"/>
                <w:numId w:val="4"/>
              </w:numPr>
              <w:spacing w:before="60" w:after="60"/>
              <w:rPr>
                <w:rFonts w:ascii="Arial" w:hAnsi="Arial" w:cs="Arial"/>
                <w:bCs/>
                <w:sz w:val="22"/>
                <w:szCs w:val="22"/>
              </w:rPr>
            </w:pPr>
            <w:r w:rsidRPr="003B2FD2">
              <w:rPr>
                <w:rFonts w:ascii="Arial" w:hAnsi="Arial" w:cs="Arial"/>
                <w:bCs/>
                <w:sz w:val="22"/>
                <w:szCs w:val="22"/>
              </w:rPr>
              <w:t>Australian and New Zealand Hip Fracture Registry. Welcome to the Australian and New Zealand Hip Fracture Registry. Sydney: ANZHFR</w:t>
            </w:r>
            <w:r>
              <w:rPr>
                <w:rFonts w:ascii="Arial" w:hAnsi="Arial" w:cs="Arial"/>
                <w:bCs/>
                <w:sz w:val="22"/>
                <w:szCs w:val="22"/>
              </w:rPr>
              <w:t>.</w:t>
            </w:r>
            <w:r w:rsidRPr="003B2FD2">
              <w:rPr>
                <w:rFonts w:ascii="Arial" w:hAnsi="Arial" w:cs="Arial"/>
                <w:bCs/>
                <w:sz w:val="22"/>
                <w:szCs w:val="22"/>
              </w:rPr>
              <w:t xml:space="preserve"> Available from: anzhfr.org.</w:t>
            </w:r>
          </w:p>
          <w:p w14:paraId="5436AC24" w14:textId="77777777" w:rsidR="003B2FD2" w:rsidRPr="003B2FD2" w:rsidRDefault="003B2FD2" w:rsidP="00164EE0">
            <w:pPr>
              <w:pStyle w:val="ListParagraph"/>
              <w:numPr>
                <w:ilvl w:val="0"/>
                <w:numId w:val="4"/>
              </w:numPr>
              <w:rPr>
                <w:rFonts w:ascii="Arial" w:hAnsi="Arial" w:cs="Arial"/>
                <w:bCs/>
                <w:sz w:val="22"/>
                <w:szCs w:val="22"/>
              </w:rPr>
            </w:pPr>
            <w:r w:rsidRPr="003B2FD2">
              <w:rPr>
                <w:rFonts w:ascii="Arial" w:hAnsi="Arial" w:cs="Arial"/>
                <w:bCs/>
                <w:sz w:val="22"/>
                <w:szCs w:val="22"/>
              </w:rPr>
              <w:t>Australasian College for Emergency Medicine and Australian &amp; New Zealand Society for Geriatric Medicine. Care of older persons in the emergency department [Policy P51]. Melbourne: ACEM, 2020.</w:t>
            </w:r>
          </w:p>
          <w:p w14:paraId="33469E71" w14:textId="77777777" w:rsidR="003B2FD2" w:rsidRPr="003B2FD2" w:rsidRDefault="003B2FD2" w:rsidP="00164EE0">
            <w:pPr>
              <w:pStyle w:val="ListParagraph"/>
              <w:numPr>
                <w:ilvl w:val="0"/>
                <w:numId w:val="4"/>
              </w:numPr>
              <w:rPr>
                <w:rFonts w:ascii="Arial" w:hAnsi="Arial" w:cs="Arial"/>
                <w:bCs/>
                <w:sz w:val="22"/>
                <w:szCs w:val="22"/>
              </w:rPr>
            </w:pPr>
            <w:r w:rsidRPr="003B2FD2">
              <w:rPr>
                <w:rFonts w:ascii="Arial" w:hAnsi="Arial" w:cs="Arial"/>
                <w:bCs/>
                <w:sz w:val="22"/>
                <w:szCs w:val="22"/>
              </w:rPr>
              <w:t>Australian and New Zealand Hip Fracture Registry. Annual report of hip fracture care. Sydney: ANZHFR, 2021.</w:t>
            </w:r>
          </w:p>
          <w:p w14:paraId="66DFF8BC" w14:textId="0A47B7B9" w:rsidR="003B2FD2" w:rsidRPr="003B2FD2" w:rsidRDefault="003B2FD2" w:rsidP="00164EE0">
            <w:pPr>
              <w:pStyle w:val="ListParagraph"/>
              <w:numPr>
                <w:ilvl w:val="0"/>
                <w:numId w:val="4"/>
              </w:numPr>
              <w:rPr>
                <w:rFonts w:ascii="Arial" w:hAnsi="Arial" w:cs="Arial"/>
                <w:bCs/>
                <w:sz w:val="22"/>
                <w:szCs w:val="22"/>
              </w:rPr>
            </w:pPr>
            <w:proofErr w:type="spellStart"/>
            <w:r w:rsidRPr="003B2FD2">
              <w:rPr>
                <w:rFonts w:ascii="Arial" w:hAnsi="Arial" w:cs="Arial"/>
                <w:bCs/>
                <w:sz w:val="22"/>
                <w:szCs w:val="22"/>
              </w:rPr>
              <w:t>MacLullich</w:t>
            </w:r>
            <w:proofErr w:type="spellEnd"/>
            <w:r w:rsidRPr="003B2FD2">
              <w:rPr>
                <w:rFonts w:ascii="Arial" w:hAnsi="Arial" w:cs="Arial"/>
                <w:bCs/>
                <w:sz w:val="22"/>
                <w:szCs w:val="22"/>
              </w:rPr>
              <w:t xml:space="preserve"> A. 4AT: rapid clinical test for delirium. Available from: www.the4at.com.</w:t>
            </w:r>
          </w:p>
          <w:p w14:paraId="6D5A7DF7" w14:textId="3B74987F" w:rsidR="003B2FD2" w:rsidRPr="003B2FD2" w:rsidRDefault="003B2FD2" w:rsidP="00164EE0">
            <w:pPr>
              <w:pStyle w:val="ListParagraph"/>
              <w:numPr>
                <w:ilvl w:val="0"/>
                <w:numId w:val="4"/>
              </w:numPr>
              <w:rPr>
                <w:rFonts w:ascii="Arial" w:hAnsi="Arial" w:cs="Arial"/>
                <w:bCs/>
                <w:sz w:val="22"/>
                <w:szCs w:val="22"/>
              </w:rPr>
            </w:pPr>
            <w:r w:rsidRPr="003B2FD2">
              <w:rPr>
                <w:rFonts w:ascii="Arial" w:hAnsi="Arial" w:cs="Arial"/>
                <w:bCs/>
                <w:sz w:val="22"/>
                <w:szCs w:val="22"/>
              </w:rPr>
              <w:t>Agency for Clinical Innovation. Delirium screen for older adults. NSW Government; 2014.</w:t>
            </w:r>
          </w:p>
          <w:p w14:paraId="16C2619E" w14:textId="489C2E0B" w:rsidR="003B2FD2" w:rsidRDefault="003B2FD2" w:rsidP="00164EE0">
            <w:pPr>
              <w:pStyle w:val="ListParagraph"/>
              <w:numPr>
                <w:ilvl w:val="0"/>
                <w:numId w:val="4"/>
              </w:numPr>
              <w:spacing w:after="60"/>
              <w:rPr>
                <w:rFonts w:ascii="Arial" w:hAnsi="Arial" w:cs="Arial"/>
                <w:bCs/>
                <w:sz w:val="22"/>
                <w:szCs w:val="22"/>
              </w:rPr>
            </w:pPr>
            <w:r w:rsidRPr="003B2FD2">
              <w:rPr>
                <w:rFonts w:ascii="Arial" w:hAnsi="Arial" w:cs="Arial"/>
                <w:bCs/>
                <w:sz w:val="22"/>
                <w:szCs w:val="22"/>
              </w:rPr>
              <w:t>Clinical Excellence Queensland</w:t>
            </w:r>
            <w:r w:rsidR="00164EE0">
              <w:rPr>
                <w:rFonts w:ascii="Arial" w:hAnsi="Arial" w:cs="Arial"/>
                <w:bCs/>
                <w:sz w:val="22"/>
                <w:szCs w:val="22"/>
              </w:rPr>
              <w:t>,</w:t>
            </w:r>
            <w:r w:rsidRPr="003B2FD2">
              <w:rPr>
                <w:rFonts w:ascii="Arial" w:hAnsi="Arial" w:cs="Arial"/>
                <w:bCs/>
                <w:sz w:val="22"/>
                <w:szCs w:val="22"/>
              </w:rPr>
              <w:t xml:space="preserve"> Q</w:t>
            </w:r>
            <w:r w:rsidR="00164EE0">
              <w:rPr>
                <w:rFonts w:ascii="Arial" w:hAnsi="Arial" w:cs="Arial"/>
                <w:bCs/>
                <w:sz w:val="22"/>
                <w:szCs w:val="22"/>
              </w:rPr>
              <w:t xml:space="preserve">ueensland </w:t>
            </w:r>
            <w:r w:rsidRPr="003B2FD2">
              <w:rPr>
                <w:rFonts w:ascii="Arial" w:hAnsi="Arial" w:cs="Arial"/>
                <w:bCs/>
                <w:sz w:val="22"/>
                <w:szCs w:val="22"/>
              </w:rPr>
              <w:t>H</w:t>
            </w:r>
            <w:r w:rsidR="00164EE0">
              <w:rPr>
                <w:rFonts w:ascii="Arial" w:hAnsi="Arial" w:cs="Arial"/>
                <w:bCs/>
                <w:sz w:val="22"/>
                <w:szCs w:val="22"/>
              </w:rPr>
              <w:t>ealth</w:t>
            </w:r>
            <w:r w:rsidRPr="003B2FD2">
              <w:rPr>
                <w:rFonts w:ascii="Arial" w:hAnsi="Arial" w:cs="Arial"/>
                <w:bCs/>
                <w:sz w:val="22"/>
                <w:szCs w:val="22"/>
              </w:rPr>
              <w:t>. Identification of frailty. Brisbane: Queensland Government; 2020</w:t>
            </w:r>
            <w:r>
              <w:rPr>
                <w:rFonts w:ascii="Arial" w:hAnsi="Arial" w:cs="Arial"/>
                <w:bCs/>
                <w:sz w:val="22"/>
                <w:szCs w:val="22"/>
              </w:rPr>
              <w:t xml:space="preserve">. </w:t>
            </w:r>
            <w:r w:rsidRPr="003B2FD2">
              <w:rPr>
                <w:rFonts w:ascii="Arial" w:hAnsi="Arial" w:cs="Arial"/>
                <w:bCs/>
                <w:sz w:val="22"/>
                <w:szCs w:val="22"/>
              </w:rPr>
              <w:t xml:space="preserve">Available from: </w:t>
            </w:r>
            <w:r w:rsidR="00164EE0">
              <w:t xml:space="preserve"> </w:t>
            </w:r>
            <w:r w:rsidR="00164EE0" w:rsidRPr="00164EE0">
              <w:rPr>
                <w:rFonts w:ascii="Arial" w:hAnsi="Arial" w:cs="Arial"/>
                <w:bCs/>
                <w:sz w:val="22"/>
                <w:szCs w:val="22"/>
              </w:rPr>
              <w:t>https://clinicalexcellence.qld.gov.au/priority-areas/service-improvement/improving-quality-safety-and-care-older-queenslanders/identification</w:t>
            </w:r>
            <w:r w:rsidRPr="003B2FD2">
              <w:rPr>
                <w:rFonts w:ascii="Arial" w:hAnsi="Arial" w:cs="Arial"/>
                <w:bCs/>
                <w:sz w:val="22"/>
                <w:szCs w:val="22"/>
              </w:rPr>
              <w:t>.</w:t>
            </w:r>
          </w:p>
          <w:p w14:paraId="4ECC46F5" w14:textId="77777777" w:rsidR="00164EE0" w:rsidRPr="003B2FD2" w:rsidRDefault="00164EE0" w:rsidP="00164EE0">
            <w:pPr>
              <w:pStyle w:val="ListParagraph"/>
              <w:numPr>
                <w:ilvl w:val="0"/>
                <w:numId w:val="4"/>
              </w:numPr>
              <w:rPr>
                <w:rFonts w:ascii="Arial" w:hAnsi="Arial" w:cs="Arial"/>
                <w:sz w:val="22"/>
                <w:szCs w:val="22"/>
              </w:rPr>
            </w:pPr>
            <w:r w:rsidRPr="003B2FD2">
              <w:rPr>
                <w:rFonts w:ascii="Arial" w:hAnsi="Arial" w:cs="Arial"/>
                <w:sz w:val="22"/>
                <w:szCs w:val="22"/>
              </w:rPr>
              <w:t>Dementia Australia. Rowland Universal Dementia Assessment Scale (RUDAS). Dementia Australia; 2022</w:t>
            </w:r>
            <w:r>
              <w:rPr>
                <w:rFonts w:ascii="Arial" w:hAnsi="Arial" w:cs="Arial"/>
                <w:sz w:val="22"/>
                <w:szCs w:val="22"/>
              </w:rPr>
              <w:t>.</w:t>
            </w:r>
            <w:r w:rsidRPr="003B2FD2">
              <w:rPr>
                <w:rFonts w:ascii="Arial" w:hAnsi="Arial" w:cs="Arial"/>
                <w:sz w:val="22"/>
                <w:szCs w:val="22"/>
              </w:rPr>
              <w:t xml:space="preserve"> Available from: www.dementia.org.au/ resources/</w:t>
            </w:r>
            <w:proofErr w:type="spellStart"/>
            <w:r w:rsidRPr="003B2FD2">
              <w:rPr>
                <w:rFonts w:ascii="Arial" w:hAnsi="Arial" w:cs="Arial"/>
                <w:sz w:val="22"/>
                <w:szCs w:val="22"/>
              </w:rPr>
              <w:t>rowland</w:t>
            </w:r>
            <w:proofErr w:type="spellEnd"/>
            <w:r w:rsidRPr="003B2FD2">
              <w:rPr>
                <w:rFonts w:ascii="Arial" w:hAnsi="Arial" w:cs="Arial"/>
                <w:sz w:val="22"/>
                <w:szCs w:val="22"/>
              </w:rPr>
              <w:t>-universal-dementia- assessment-scale-rudas.</w:t>
            </w:r>
          </w:p>
          <w:p w14:paraId="2335356C" w14:textId="0DCAF8B4" w:rsidR="00164EE0" w:rsidRPr="003B2FD2" w:rsidRDefault="00164EE0" w:rsidP="00164EE0">
            <w:pPr>
              <w:pStyle w:val="ListParagraph"/>
              <w:numPr>
                <w:ilvl w:val="0"/>
                <w:numId w:val="4"/>
              </w:numPr>
              <w:spacing w:after="60"/>
              <w:rPr>
                <w:rFonts w:ascii="Arial" w:hAnsi="Arial" w:cs="Arial"/>
                <w:bCs/>
                <w:sz w:val="22"/>
                <w:szCs w:val="22"/>
              </w:rPr>
            </w:pPr>
            <w:r w:rsidRPr="003B2FD2">
              <w:rPr>
                <w:rFonts w:ascii="Arial" w:hAnsi="Arial" w:cs="Arial"/>
                <w:sz w:val="22"/>
                <w:szCs w:val="22"/>
              </w:rPr>
              <w:t>Dementia Centre for Research Collaboration. Kimberley Indigenous Cognitive Assessment tool. DCRC; 2004.</w:t>
            </w:r>
          </w:p>
        </w:tc>
      </w:tr>
    </w:tbl>
    <w:p w14:paraId="4B50C33F" w14:textId="77777777" w:rsidR="009B6885" w:rsidRDefault="009B6885">
      <w:pPr>
        <w:sectPr w:rsidR="009B6885" w:rsidSect="00C768B6">
          <w:headerReference w:type="default" r:id="rId13"/>
          <w:pgSz w:w="16838" w:h="11906" w:orient="landscape"/>
          <w:pgMar w:top="1440" w:right="1440" w:bottom="1440" w:left="1440" w:header="708" w:footer="708" w:gutter="0"/>
          <w:cols w:space="708"/>
          <w:docGrid w:linePitch="360"/>
        </w:sectPr>
      </w:pPr>
    </w:p>
    <w:tbl>
      <w:tblPr>
        <w:tblpPr w:leftFromText="180" w:rightFromText="180" w:horzAnchor="margin" w:tblpY="-422"/>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0381"/>
      </w:tblGrid>
      <w:tr w:rsidR="009B6885" w:rsidRPr="002A5AD5" w14:paraId="38265792" w14:textId="77777777" w:rsidTr="00536F4A">
        <w:tc>
          <w:tcPr>
            <w:tcW w:w="3227" w:type="dxa"/>
            <w:tcBorders>
              <w:top w:val="single" w:sz="4" w:space="0" w:color="auto"/>
              <w:left w:val="single" w:sz="4" w:space="0" w:color="auto"/>
              <w:bottom w:val="single" w:sz="4" w:space="0" w:color="auto"/>
              <w:right w:val="single" w:sz="4" w:space="0" w:color="auto"/>
            </w:tcBorders>
            <w:shd w:val="clear" w:color="auto" w:fill="00988E"/>
          </w:tcPr>
          <w:p w14:paraId="745F2612" w14:textId="77777777" w:rsidR="009B6885" w:rsidRPr="002A5AD5" w:rsidRDefault="00585D03" w:rsidP="002A3387">
            <w:pPr>
              <w:spacing w:before="60"/>
              <w:rPr>
                <w:rFonts w:ascii="Arial" w:hAnsi="Arial" w:cs="Arial"/>
                <w:color w:val="FFFFFF"/>
                <w:sz w:val="32"/>
                <w:szCs w:val="32"/>
              </w:rPr>
            </w:pPr>
            <w:r>
              <w:rPr>
                <w:rFonts w:ascii="Arial" w:hAnsi="Arial" w:cs="Arial"/>
                <w:b/>
                <w:bCs/>
                <w:color w:val="FFFFFF"/>
                <w:sz w:val="32"/>
                <w:szCs w:val="32"/>
              </w:rPr>
              <w:lastRenderedPageBreak/>
              <w:t>Quality Statement 2</w:t>
            </w:r>
          </w:p>
        </w:tc>
        <w:tc>
          <w:tcPr>
            <w:tcW w:w="10381" w:type="dxa"/>
            <w:tcBorders>
              <w:top w:val="single" w:sz="4" w:space="0" w:color="auto"/>
              <w:left w:val="single" w:sz="4" w:space="0" w:color="auto"/>
              <w:bottom w:val="single" w:sz="4" w:space="0" w:color="auto"/>
              <w:right w:val="single" w:sz="4" w:space="0" w:color="auto"/>
            </w:tcBorders>
          </w:tcPr>
          <w:p w14:paraId="19965043" w14:textId="77777777" w:rsidR="0062701C" w:rsidRPr="0062701C" w:rsidRDefault="0062701C" w:rsidP="0062701C">
            <w:pPr>
              <w:spacing w:before="60" w:after="60"/>
              <w:rPr>
                <w:rFonts w:ascii="Arial" w:hAnsi="Arial" w:cs="Arial"/>
                <w:b/>
                <w:sz w:val="22"/>
                <w:szCs w:val="22"/>
              </w:rPr>
            </w:pPr>
            <w:r w:rsidRPr="0062701C">
              <w:rPr>
                <w:rFonts w:ascii="Arial" w:hAnsi="Arial" w:cs="Arial"/>
                <w:b/>
                <w:sz w:val="22"/>
                <w:szCs w:val="22"/>
              </w:rPr>
              <w:t xml:space="preserve">Pain Management </w:t>
            </w:r>
          </w:p>
          <w:p w14:paraId="014466BF" w14:textId="7CCE9881" w:rsidR="009B6885" w:rsidRPr="0062701C" w:rsidRDefault="00913409" w:rsidP="0062701C">
            <w:pPr>
              <w:spacing w:before="60" w:after="60"/>
              <w:rPr>
                <w:rFonts w:ascii="Arial" w:hAnsi="Arial" w:cs="Arial"/>
                <w:bCs/>
                <w:sz w:val="22"/>
                <w:szCs w:val="22"/>
              </w:rPr>
            </w:pPr>
            <w:r w:rsidRPr="00913409">
              <w:rPr>
                <w:rFonts w:ascii="Arial" w:hAnsi="Arial" w:cs="Arial"/>
                <w:bCs/>
                <w:sz w:val="22"/>
                <w:szCs w:val="22"/>
              </w:rPr>
              <w:t>A person with a hip fracture is assessed for pain at the time of presentation to the emergency department and regularly throughout their acute admission. Pain management includes appropriate multimodal analgesia and nerve blocks, unless contraindicated</w:t>
            </w:r>
            <w:r w:rsidR="0062701C" w:rsidRPr="0062701C">
              <w:rPr>
                <w:rFonts w:ascii="Arial" w:hAnsi="Arial" w:cs="Arial"/>
                <w:bCs/>
                <w:sz w:val="22"/>
                <w:szCs w:val="22"/>
              </w:rPr>
              <w:t>.</w:t>
            </w:r>
          </w:p>
        </w:tc>
      </w:tr>
      <w:tr w:rsidR="009B6885" w:rsidRPr="002A5AD5" w14:paraId="6D41846A" w14:textId="77777777" w:rsidTr="0026256F">
        <w:trPr>
          <w:tblHeader/>
        </w:trPr>
        <w:tc>
          <w:tcPr>
            <w:tcW w:w="13608" w:type="dxa"/>
            <w:gridSpan w:val="2"/>
            <w:tcBorders>
              <w:top w:val="single" w:sz="4" w:space="0" w:color="auto"/>
              <w:left w:val="single" w:sz="4" w:space="0" w:color="auto"/>
              <w:bottom w:val="single" w:sz="4" w:space="0" w:color="auto"/>
              <w:right w:val="single" w:sz="4" w:space="0" w:color="auto"/>
            </w:tcBorders>
            <w:shd w:val="clear" w:color="auto" w:fill="auto"/>
          </w:tcPr>
          <w:p w14:paraId="31FA5FFF" w14:textId="35F12293" w:rsidR="009B6885" w:rsidRPr="002A5AD5" w:rsidRDefault="009B6885" w:rsidP="0026256F">
            <w:pPr>
              <w:rPr>
                <w:rFonts w:ascii="Arial" w:hAnsi="Arial" w:cs="Arial"/>
                <w:b/>
              </w:rPr>
            </w:pPr>
            <w:r w:rsidRPr="002A5AD5">
              <w:rPr>
                <w:rFonts w:ascii="Arial" w:hAnsi="Arial" w:cs="Arial"/>
                <w:b/>
              </w:rPr>
              <w:t xml:space="preserve">EVIDENCE SOURCES </w:t>
            </w:r>
            <w:r w:rsidR="00536F4A">
              <w:rPr>
                <w:rFonts w:ascii="Arial" w:hAnsi="Arial" w:cs="Arial"/>
                <w:b/>
              </w:rPr>
              <w:t xml:space="preserve"> </w:t>
            </w:r>
          </w:p>
        </w:tc>
      </w:tr>
      <w:tr w:rsidR="009B6885" w:rsidRPr="002A5AD5" w14:paraId="5CEF45B7" w14:textId="77777777" w:rsidTr="00536F4A">
        <w:trPr>
          <w:trHeight w:val="90"/>
          <w:tblHeader/>
        </w:trPr>
        <w:tc>
          <w:tcPr>
            <w:tcW w:w="1360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581BAFE" w14:textId="3A696377" w:rsidR="009B6885" w:rsidRPr="0074479F" w:rsidRDefault="009B6885" w:rsidP="002A3387">
            <w:pPr>
              <w:spacing w:before="60" w:after="60"/>
              <w:rPr>
                <w:rFonts w:ascii="Arial" w:hAnsi="Arial" w:cs="Arial"/>
                <w:b/>
                <w:sz w:val="22"/>
                <w:szCs w:val="22"/>
              </w:rPr>
            </w:pPr>
            <w:r w:rsidRPr="0074479F">
              <w:rPr>
                <w:rFonts w:ascii="Arial" w:hAnsi="Arial" w:cs="Arial"/>
                <w:b/>
                <w:sz w:val="22"/>
                <w:szCs w:val="22"/>
              </w:rPr>
              <w:t>Australian Guidelin</w:t>
            </w:r>
            <w:r w:rsidR="00536F4A">
              <w:rPr>
                <w:rFonts w:ascii="Arial" w:hAnsi="Arial" w:cs="Arial"/>
                <w:b/>
                <w:sz w:val="22"/>
                <w:szCs w:val="22"/>
              </w:rPr>
              <w:t>e</w:t>
            </w:r>
            <w:r w:rsidR="00A902FE" w:rsidRPr="0074479F">
              <w:rPr>
                <w:rFonts w:ascii="Arial" w:hAnsi="Arial" w:cs="Arial"/>
                <w:b/>
                <w:sz w:val="22"/>
                <w:szCs w:val="22"/>
              </w:rPr>
              <w:t>s</w:t>
            </w:r>
          </w:p>
        </w:tc>
      </w:tr>
      <w:tr w:rsidR="009B6885" w:rsidRPr="002A5AD5" w14:paraId="0B711C07" w14:textId="77777777" w:rsidTr="0026256F">
        <w:trPr>
          <w:cantSplit/>
          <w:trHeight w:val="90"/>
        </w:trPr>
        <w:tc>
          <w:tcPr>
            <w:tcW w:w="13608" w:type="dxa"/>
            <w:gridSpan w:val="2"/>
            <w:tcBorders>
              <w:top w:val="single" w:sz="4" w:space="0" w:color="auto"/>
              <w:left w:val="single" w:sz="4" w:space="0" w:color="auto"/>
              <w:bottom w:val="single" w:sz="4" w:space="0" w:color="auto"/>
              <w:right w:val="single" w:sz="4" w:space="0" w:color="auto"/>
            </w:tcBorders>
          </w:tcPr>
          <w:p w14:paraId="62525419" w14:textId="40DBD5AE" w:rsidR="009B6885" w:rsidRPr="003B2FD2" w:rsidRDefault="003B2FD2">
            <w:pPr>
              <w:pStyle w:val="ListParagraph"/>
              <w:numPr>
                <w:ilvl w:val="0"/>
                <w:numId w:val="5"/>
              </w:numPr>
              <w:autoSpaceDE w:val="0"/>
              <w:autoSpaceDN w:val="0"/>
              <w:adjustRightInd w:val="0"/>
              <w:spacing w:after="120"/>
              <w:rPr>
                <w:rFonts w:ascii="Arial" w:hAnsi="Arial" w:cs="Arial"/>
                <w:sz w:val="22"/>
                <w:szCs w:val="22"/>
              </w:rPr>
            </w:pPr>
            <w:r w:rsidRPr="003B2FD2">
              <w:rPr>
                <w:rFonts w:ascii="Arial" w:hAnsi="Arial" w:cs="Arial"/>
                <w:sz w:val="22"/>
                <w:szCs w:val="22"/>
              </w:rPr>
              <w:t>Australian and New Zealand Hip Fracture Registry Steering Group. Australian and New Zealand guideline for hip fracture care: improving outcomes in hip fracture management of adults. Sydney: ANZHFR, 2014</w:t>
            </w:r>
          </w:p>
        </w:tc>
      </w:tr>
      <w:tr w:rsidR="009B6885" w:rsidRPr="002A5AD5" w14:paraId="58C5877B" w14:textId="77777777" w:rsidTr="00536F4A">
        <w:trPr>
          <w:cantSplit/>
          <w:trHeight w:val="90"/>
        </w:trPr>
        <w:tc>
          <w:tcPr>
            <w:tcW w:w="13608" w:type="dxa"/>
            <w:gridSpan w:val="2"/>
            <w:tcBorders>
              <w:top w:val="single" w:sz="4" w:space="0" w:color="auto"/>
              <w:left w:val="single" w:sz="4" w:space="0" w:color="auto"/>
              <w:right w:val="single" w:sz="4" w:space="0" w:color="auto"/>
            </w:tcBorders>
            <w:shd w:val="clear" w:color="auto" w:fill="DEEAF6" w:themeFill="accent1" w:themeFillTint="33"/>
          </w:tcPr>
          <w:p w14:paraId="0D4CDCF6" w14:textId="77777777" w:rsidR="009B6885" w:rsidRPr="0074479F" w:rsidRDefault="009B6885" w:rsidP="002A3387">
            <w:pPr>
              <w:autoSpaceDE w:val="0"/>
              <w:autoSpaceDN w:val="0"/>
              <w:adjustRightInd w:val="0"/>
              <w:spacing w:before="60" w:after="60"/>
              <w:rPr>
                <w:rFonts w:ascii="Arial" w:hAnsi="Arial" w:cs="Arial"/>
                <w:b/>
                <w:sz w:val="22"/>
                <w:szCs w:val="22"/>
              </w:rPr>
            </w:pPr>
            <w:r w:rsidRPr="0074479F">
              <w:rPr>
                <w:rFonts w:ascii="Arial" w:hAnsi="Arial" w:cs="Arial"/>
                <w:b/>
                <w:sz w:val="22"/>
                <w:szCs w:val="22"/>
              </w:rPr>
              <w:t>International Guidelines</w:t>
            </w:r>
          </w:p>
        </w:tc>
      </w:tr>
      <w:tr w:rsidR="009B6885" w:rsidRPr="002A5AD5" w14:paraId="03019971" w14:textId="77777777" w:rsidTr="002B7295">
        <w:trPr>
          <w:cantSplit/>
          <w:trHeight w:val="954"/>
        </w:trPr>
        <w:tc>
          <w:tcPr>
            <w:tcW w:w="13608" w:type="dxa"/>
            <w:gridSpan w:val="2"/>
            <w:tcBorders>
              <w:top w:val="single" w:sz="4" w:space="0" w:color="auto"/>
              <w:left w:val="single" w:sz="4" w:space="0" w:color="auto"/>
              <w:bottom w:val="single" w:sz="4" w:space="0" w:color="auto"/>
              <w:right w:val="single" w:sz="4" w:space="0" w:color="auto"/>
            </w:tcBorders>
          </w:tcPr>
          <w:p w14:paraId="67B312AD" w14:textId="064E8693" w:rsidR="00C453FC" w:rsidRPr="003B2FD2" w:rsidRDefault="003B2FD2">
            <w:pPr>
              <w:pStyle w:val="ListParagraph"/>
              <w:numPr>
                <w:ilvl w:val="0"/>
                <w:numId w:val="5"/>
              </w:numPr>
              <w:rPr>
                <w:rFonts w:ascii="Arial" w:hAnsi="Arial" w:cs="Arial"/>
                <w:sz w:val="22"/>
                <w:szCs w:val="22"/>
              </w:rPr>
            </w:pPr>
            <w:r w:rsidRPr="003B2FD2">
              <w:rPr>
                <w:rFonts w:ascii="Arial" w:hAnsi="Arial" w:cs="Arial"/>
                <w:sz w:val="22"/>
                <w:szCs w:val="22"/>
              </w:rPr>
              <w:t xml:space="preserve">National Institute for Health and Care Excellence (GB). Hip fracture: management [clinical guideline </w:t>
            </w:r>
            <w:r w:rsidR="00A370F3">
              <w:rPr>
                <w:rFonts w:ascii="Arial" w:hAnsi="Arial" w:cs="Arial"/>
                <w:sz w:val="22"/>
                <w:szCs w:val="22"/>
              </w:rPr>
              <w:t>CG</w:t>
            </w:r>
            <w:r w:rsidRPr="003B2FD2">
              <w:rPr>
                <w:rFonts w:ascii="Arial" w:hAnsi="Arial" w:cs="Arial"/>
                <w:sz w:val="22"/>
                <w:szCs w:val="22"/>
              </w:rPr>
              <w:t>124]. United Kingdom: NICE (GB), 2023</w:t>
            </w:r>
            <w:r w:rsidR="002B7295" w:rsidRPr="003B2FD2">
              <w:rPr>
                <w:rFonts w:ascii="Arial" w:hAnsi="Arial" w:cs="Arial"/>
                <w:sz w:val="22"/>
                <w:szCs w:val="22"/>
              </w:rPr>
              <w:t>.</w:t>
            </w:r>
          </w:p>
          <w:p w14:paraId="35EDE89D" w14:textId="692FEE9D" w:rsidR="002B7295" w:rsidRPr="003B2FD2" w:rsidRDefault="003B2FD2">
            <w:pPr>
              <w:pStyle w:val="ListParagraph"/>
              <w:numPr>
                <w:ilvl w:val="0"/>
                <w:numId w:val="5"/>
              </w:numPr>
              <w:spacing w:after="60"/>
              <w:ind w:left="714" w:hanging="357"/>
              <w:rPr>
                <w:rFonts w:ascii="Arial" w:hAnsi="Arial" w:cs="Arial"/>
                <w:sz w:val="22"/>
                <w:szCs w:val="22"/>
              </w:rPr>
            </w:pPr>
            <w:r w:rsidRPr="003B2FD2">
              <w:rPr>
                <w:rFonts w:ascii="Arial" w:hAnsi="Arial" w:cs="Arial"/>
                <w:sz w:val="22"/>
                <w:szCs w:val="22"/>
              </w:rPr>
              <w:t xml:space="preserve">American Academy of Orthopaedic Surgeons. Management of hip fractures in older adults. [Internet] Rosemont (IL): AAOS; 2021 [cited 2022 Sep </w:t>
            </w:r>
            <w:proofErr w:type="gramStart"/>
            <w:r w:rsidRPr="003B2FD2">
              <w:rPr>
                <w:rFonts w:ascii="Arial" w:hAnsi="Arial" w:cs="Arial"/>
                <w:sz w:val="22"/>
                <w:szCs w:val="22"/>
              </w:rPr>
              <w:t>27 ]</w:t>
            </w:r>
            <w:proofErr w:type="gramEnd"/>
            <w:r w:rsidRPr="003B2FD2">
              <w:rPr>
                <w:rFonts w:ascii="Arial" w:hAnsi="Arial" w:cs="Arial"/>
                <w:sz w:val="22"/>
                <w:szCs w:val="22"/>
              </w:rPr>
              <w:t xml:space="preserve"> Available from: www.orthoguidelines. org/</w:t>
            </w:r>
            <w:proofErr w:type="spellStart"/>
            <w:r w:rsidRPr="003B2FD2">
              <w:rPr>
                <w:rFonts w:ascii="Arial" w:hAnsi="Arial" w:cs="Arial"/>
                <w:sz w:val="22"/>
                <w:szCs w:val="22"/>
              </w:rPr>
              <w:t>topic?id</w:t>
            </w:r>
            <w:proofErr w:type="spellEnd"/>
            <w:r w:rsidRPr="003B2FD2">
              <w:rPr>
                <w:rFonts w:ascii="Arial" w:hAnsi="Arial" w:cs="Arial"/>
                <w:sz w:val="22"/>
                <w:szCs w:val="22"/>
              </w:rPr>
              <w:t>=1038&amp;tab=</w:t>
            </w:r>
            <w:proofErr w:type="spellStart"/>
            <w:r w:rsidRPr="003B2FD2">
              <w:rPr>
                <w:rFonts w:ascii="Arial" w:hAnsi="Arial" w:cs="Arial"/>
                <w:sz w:val="22"/>
                <w:szCs w:val="22"/>
              </w:rPr>
              <w:t>all_guidelines</w:t>
            </w:r>
            <w:proofErr w:type="spellEnd"/>
            <w:r w:rsidRPr="003B2FD2">
              <w:rPr>
                <w:rFonts w:ascii="Arial" w:hAnsi="Arial" w:cs="Arial"/>
                <w:sz w:val="22"/>
                <w:szCs w:val="22"/>
              </w:rPr>
              <w:t>.</w:t>
            </w:r>
          </w:p>
        </w:tc>
      </w:tr>
      <w:tr w:rsidR="009B6885" w:rsidRPr="002A5AD5" w14:paraId="0E464F47" w14:textId="77777777" w:rsidTr="00536F4A">
        <w:trPr>
          <w:cantSplit/>
          <w:trHeight w:val="90"/>
        </w:trPr>
        <w:tc>
          <w:tcPr>
            <w:tcW w:w="13608" w:type="dxa"/>
            <w:gridSpan w:val="2"/>
            <w:tcBorders>
              <w:top w:val="single" w:sz="4" w:space="0" w:color="auto"/>
              <w:left w:val="single" w:sz="4" w:space="0" w:color="auto"/>
              <w:right w:val="single" w:sz="4" w:space="0" w:color="auto"/>
            </w:tcBorders>
            <w:shd w:val="clear" w:color="auto" w:fill="DEEAF6" w:themeFill="accent1" w:themeFillTint="33"/>
          </w:tcPr>
          <w:p w14:paraId="6F6845AF" w14:textId="77777777" w:rsidR="009B6885" w:rsidRPr="0074479F" w:rsidRDefault="009B6885" w:rsidP="002A3387">
            <w:pPr>
              <w:spacing w:before="60" w:after="60"/>
              <w:rPr>
                <w:rFonts w:ascii="Arial" w:hAnsi="Arial" w:cs="Arial"/>
                <w:b/>
                <w:sz w:val="22"/>
                <w:szCs w:val="22"/>
              </w:rPr>
            </w:pPr>
            <w:r w:rsidRPr="0074479F">
              <w:rPr>
                <w:rFonts w:ascii="Arial" w:hAnsi="Arial" w:cs="Arial"/>
                <w:b/>
                <w:sz w:val="22"/>
                <w:szCs w:val="22"/>
              </w:rPr>
              <w:t>Additional Source</w:t>
            </w:r>
            <w:r w:rsidR="00F157BC" w:rsidRPr="0074479F">
              <w:rPr>
                <w:rFonts w:ascii="Arial" w:hAnsi="Arial" w:cs="Arial"/>
                <w:b/>
                <w:sz w:val="22"/>
                <w:szCs w:val="22"/>
              </w:rPr>
              <w:t>s</w:t>
            </w:r>
          </w:p>
        </w:tc>
      </w:tr>
      <w:tr w:rsidR="009B6885" w:rsidRPr="002A5AD5" w14:paraId="349ACC32" w14:textId="77777777" w:rsidTr="00536F4A">
        <w:trPr>
          <w:cantSplit/>
          <w:trHeight w:val="2150"/>
        </w:trPr>
        <w:tc>
          <w:tcPr>
            <w:tcW w:w="13608" w:type="dxa"/>
            <w:gridSpan w:val="2"/>
            <w:tcBorders>
              <w:top w:val="single" w:sz="4" w:space="0" w:color="auto"/>
              <w:left w:val="single" w:sz="4" w:space="0" w:color="auto"/>
              <w:bottom w:val="single" w:sz="4" w:space="0" w:color="auto"/>
              <w:right w:val="single" w:sz="4" w:space="0" w:color="auto"/>
            </w:tcBorders>
          </w:tcPr>
          <w:p w14:paraId="19E95AE1" w14:textId="566EB86E" w:rsidR="000A1F69" w:rsidRPr="000A1F69" w:rsidRDefault="000A1F69">
            <w:pPr>
              <w:pStyle w:val="ListParagraph"/>
              <w:numPr>
                <w:ilvl w:val="0"/>
                <w:numId w:val="5"/>
              </w:numPr>
              <w:rPr>
                <w:rFonts w:ascii="Arial" w:hAnsi="Arial" w:cs="Arial"/>
                <w:sz w:val="22"/>
                <w:szCs w:val="22"/>
              </w:rPr>
            </w:pPr>
            <w:r w:rsidRPr="000A1F69">
              <w:rPr>
                <w:rFonts w:ascii="Arial" w:hAnsi="Arial" w:cs="Arial"/>
                <w:sz w:val="22"/>
                <w:szCs w:val="22"/>
              </w:rPr>
              <w:t>Australian Commission on Safety and Quality in Health Care. Opioid Analgesic Stewardship in Acute Pain Clinical Care Standard. Sydney: ACSQHC, 2022.</w:t>
            </w:r>
          </w:p>
          <w:p w14:paraId="2C06EBBA" w14:textId="77777777" w:rsidR="003B2FD2" w:rsidRPr="003B2FD2" w:rsidRDefault="003B2FD2">
            <w:pPr>
              <w:pStyle w:val="ListParagraph"/>
              <w:numPr>
                <w:ilvl w:val="0"/>
                <w:numId w:val="5"/>
              </w:numPr>
              <w:rPr>
                <w:rFonts w:ascii="Arial" w:hAnsi="Arial" w:cs="Arial"/>
                <w:sz w:val="22"/>
                <w:szCs w:val="22"/>
              </w:rPr>
            </w:pPr>
            <w:proofErr w:type="spellStart"/>
            <w:r w:rsidRPr="003B2FD2">
              <w:rPr>
                <w:rFonts w:ascii="Arial" w:hAnsi="Arial" w:cs="Arial"/>
                <w:sz w:val="22"/>
                <w:szCs w:val="22"/>
              </w:rPr>
              <w:t>Ritcey</w:t>
            </w:r>
            <w:proofErr w:type="spellEnd"/>
            <w:r w:rsidRPr="003B2FD2">
              <w:rPr>
                <w:rFonts w:ascii="Arial" w:hAnsi="Arial" w:cs="Arial"/>
                <w:sz w:val="22"/>
                <w:szCs w:val="22"/>
              </w:rPr>
              <w:t xml:space="preserve"> BPP, Woo MY, Perry JJ. Regional nerve blocks for hip and femoral neck fractures in the emergency department: a systematic review. CJEM. 2016 Jan;18(1):37–47.</w:t>
            </w:r>
          </w:p>
          <w:p w14:paraId="65F3DB0D" w14:textId="77777777" w:rsidR="003B2FD2" w:rsidRPr="003B2FD2" w:rsidRDefault="003B2FD2">
            <w:pPr>
              <w:pStyle w:val="ListParagraph"/>
              <w:numPr>
                <w:ilvl w:val="0"/>
                <w:numId w:val="5"/>
              </w:numPr>
              <w:rPr>
                <w:rFonts w:ascii="Arial" w:hAnsi="Arial" w:cs="Arial"/>
                <w:sz w:val="22"/>
                <w:szCs w:val="22"/>
              </w:rPr>
            </w:pPr>
            <w:proofErr w:type="spellStart"/>
            <w:r w:rsidRPr="003B2FD2">
              <w:rPr>
                <w:rFonts w:ascii="Arial" w:hAnsi="Arial" w:cs="Arial"/>
                <w:sz w:val="22"/>
                <w:szCs w:val="22"/>
              </w:rPr>
              <w:t>Guay</w:t>
            </w:r>
            <w:proofErr w:type="spellEnd"/>
            <w:r w:rsidRPr="003B2FD2">
              <w:rPr>
                <w:rFonts w:ascii="Arial" w:hAnsi="Arial" w:cs="Arial"/>
                <w:sz w:val="22"/>
                <w:szCs w:val="22"/>
              </w:rPr>
              <w:t xml:space="preserve"> J, Kopp S. Peripheral nerve blocks for hip fractures in adults. Cochrane Database Syst Rev. 2020 Nov 25;11(11</w:t>
            </w:r>
            <w:proofErr w:type="gramStart"/>
            <w:r w:rsidRPr="003B2FD2">
              <w:rPr>
                <w:rFonts w:ascii="Arial" w:hAnsi="Arial" w:cs="Arial"/>
                <w:sz w:val="22"/>
                <w:szCs w:val="22"/>
              </w:rPr>
              <w:t>):Cd</w:t>
            </w:r>
            <w:proofErr w:type="gramEnd"/>
            <w:r w:rsidRPr="003B2FD2">
              <w:rPr>
                <w:rFonts w:ascii="Arial" w:hAnsi="Arial" w:cs="Arial"/>
                <w:sz w:val="22"/>
                <w:szCs w:val="22"/>
              </w:rPr>
              <w:t>001159.</w:t>
            </w:r>
          </w:p>
          <w:p w14:paraId="60725965" w14:textId="77777777" w:rsidR="000A1F69" w:rsidRPr="000A1F69" w:rsidRDefault="000A1F69">
            <w:pPr>
              <w:pStyle w:val="ListParagraph"/>
              <w:numPr>
                <w:ilvl w:val="0"/>
                <w:numId w:val="5"/>
              </w:numPr>
              <w:rPr>
                <w:rFonts w:ascii="Arial" w:hAnsi="Arial" w:cs="Arial"/>
                <w:sz w:val="22"/>
                <w:szCs w:val="22"/>
              </w:rPr>
            </w:pPr>
            <w:proofErr w:type="spellStart"/>
            <w:r w:rsidRPr="000A1F69">
              <w:rPr>
                <w:rFonts w:ascii="Arial" w:hAnsi="Arial" w:cs="Arial"/>
                <w:sz w:val="22"/>
                <w:szCs w:val="22"/>
              </w:rPr>
              <w:t>Schug</w:t>
            </w:r>
            <w:proofErr w:type="spellEnd"/>
            <w:r w:rsidRPr="000A1F69">
              <w:rPr>
                <w:rFonts w:ascii="Arial" w:hAnsi="Arial" w:cs="Arial"/>
                <w:sz w:val="22"/>
                <w:szCs w:val="22"/>
              </w:rPr>
              <w:t xml:space="preserve"> S PG, Scott D, </w:t>
            </w:r>
            <w:proofErr w:type="spellStart"/>
            <w:r w:rsidRPr="000A1F69">
              <w:rPr>
                <w:rFonts w:ascii="Arial" w:hAnsi="Arial" w:cs="Arial"/>
                <w:sz w:val="22"/>
                <w:szCs w:val="22"/>
              </w:rPr>
              <w:t>Alcock</w:t>
            </w:r>
            <w:proofErr w:type="spellEnd"/>
            <w:r w:rsidRPr="000A1F69">
              <w:rPr>
                <w:rFonts w:ascii="Arial" w:hAnsi="Arial" w:cs="Arial"/>
                <w:sz w:val="22"/>
                <w:szCs w:val="22"/>
              </w:rPr>
              <w:t xml:space="preserve"> M, Halliwell R, Mott J, editors. Acute pain management: scientific evidence (5th edition). Melbourne: Australian and New Zealand College of Anaesthetists and Faculty of Pain Medicine, 2020.</w:t>
            </w:r>
          </w:p>
          <w:p w14:paraId="787827C6" w14:textId="4D046C11" w:rsidR="002B7295" w:rsidRPr="000A1F69" w:rsidRDefault="000A1F69">
            <w:pPr>
              <w:pStyle w:val="ListParagraph"/>
              <w:numPr>
                <w:ilvl w:val="0"/>
                <w:numId w:val="5"/>
              </w:numPr>
              <w:spacing w:after="60"/>
              <w:rPr>
                <w:rFonts w:ascii="Arial" w:hAnsi="Arial" w:cs="Arial"/>
                <w:sz w:val="22"/>
                <w:szCs w:val="22"/>
              </w:rPr>
            </w:pPr>
            <w:r w:rsidRPr="000A1F69">
              <w:rPr>
                <w:rFonts w:ascii="Arial" w:hAnsi="Arial" w:cs="Arial"/>
                <w:sz w:val="22"/>
                <w:szCs w:val="22"/>
              </w:rPr>
              <w:t>Australian and New Zealand College of Anaesthetists and Faculty of Pain Medicine. PS41(G) position statement on acute pain management 2022. Melbourne: ANZCA, 2022.</w:t>
            </w:r>
          </w:p>
        </w:tc>
      </w:tr>
      <w:tr w:rsidR="00536F4A" w:rsidRPr="002A5AD5" w14:paraId="1F1E61FC" w14:textId="77777777" w:rsidTr="00536F4A">
        <w:trPr>
          <w:cantSplit/>
          <w:trHeight w:val="416"/>
        </w:trPr>
        <w:tc>
          <w:tcPr>
            <w:tcW w:w="1360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73C4B38" w14:textId="6293D2E7" w:rsidR="00536F4A" w:rsidRPr="00536F4A" w:rsidRDefault="00536F4A" w:rsidP="00536F4A">
            <w:pPr>
              <w:spacing w:before="60" w:after="60"/>
              <w:rPr>
                <w:rFonts w:ascii="Arial" w:hAnsi="Arial" w:cs="Arial"/>
                <w:sz w:val="22"/>
                <w:szCs w:val="22"/>
              </w:rPr>
            </w:pPr>
            <w:r w:rsidRPr="00536F4A">
              <w:rPr>
                <w:rFonts w:ascii="Arial" w:hAnsi="Arial" w:cs="Arial"/>
                <w:b/>
                <w:sz w:val="22"/>
                <w:szCs w:val="22"/>
              </w:rPr>
              <w:t>Related resources</w:t>
            </w:r>
            <w:r>
              <w:rPr>
                <w:rFonts w:ascii="Arial" w:hAnsi="Arial" w:cs="Arial"/>
                <w:b/>
                <w:sz w:val="22"/>
                <w:szCs w:val="22"/>
              </w:rPr>
              <w:t xml:space="preserve"> </w:t>
            </w:r>
          </w:p>
        </w:tc>
      </w:tr>
      <w:tr w:rsidR="00536F4A" w:rsidRPr="002A5AD5" w14:paraId="1808015F" w14:textId="77777777" w:rsidTr="00536F4A">
        <w:trPr>
          <w:cantSplit/>
          <w:trHeight w:val="416"/>
        </w:trPr>
        <w:tc>
          <w:tcPr>
            <w:tcW w:w="13608" w:type="dxa"/>
            <w:gridSpan w:val="2"/>
            <w:tcBorders>
              <w:top w:val="single" w:sz="4" w:space="0" w:color="auto"/>
              <w:left w:val="single" w:sz="4" w:space="0" w:color="auto"/>
              <w:right w:val="single" w:sz="4" w:space="0" w:color="auto"/>
            </w:tcBorders>
            <w:shd w:val="clear" w:color="auto" w:fill="FFFFFF" w:themeFill="background1"/>
          </w:tcPr>
          <w:p w14:paraId="6DAFB889" w14:textId="55DAA68B" w:rsidR="00A370F3" w:rsidRDefault="00A370F3" w:rsidP="00A370F3">
            <w:pPr>
              <w:pStyle w:val="ListParagraph"/>
              <w:numPr>
                <w:ilvl w:val="0"/>
                <w:numId w:val="6"/>
              </w:numPr>
              <w:rPr>
                <w:rFonts w:ascii="Arial" w:hAnsi="Arial" w:cs="Arial"/>
                <w:sz w:val="22"/>
                <w:szCs w:val="22"/>
              </w:rPr>
            </w:pPr>
            <w:proofErr w:type="spellStart"/>
            <w:r w:rsidRPr="003B2FD2">
              <w:rPr>
                <w:rFonts w:ascii="Arial" w:hAnsi="Arial" w:cs="Arial"/>
                <w:sz w:val="22"/>
                <w:szCs w:val="22"/>
              </w:rPr>
              <w:t>NeuRA</w:t>
            </w:r>
            <w:proofErr w:type="spellEnd"/>
            <w:r w:rsidRPr="003B2FD2">
              <w:rPr>
                <w:rFonts w:ascii="Arial" w:hAnsi="Arial" w:cs="Arial"/>
                <w:sz w:val="22"/>
                <w:szCs w:val="22"/>
              </w:rPr>
              <w:t xml:space="preserve"> (Neuroscience Research Australia) Foundation ANZHFR. My hip fracture information and individual care plan. Sydney: ANZHFR; 2021.</w:t>
            </w:r>
          </w:p>
          <w:p w14:paraId="04F6905E" w14:textId="7C5775C5" w:rsidR="00536F4A" w:rsidRDefault="000A1F69" w:rsidP="00A370F3">
            <w:pPr>
              <w:pStyle w:val="ListParagraph"/>
              <w:numPr>
                <w:ilvl w:val="0"/>
                <w:numId w:val="6"/>
              </w:numPr>
              <w:spacing w:before="60" w:after="60"/>
              <w:rPr>
                <w:rFonts w:ascii="Arial" w:hAnsi="Arial" w:cs="Arial"/>
                <w:bCs/>
                <w:sz w:val="22"/>
                <w:szCs w:val="22"/>
              </w:rPr>
            </w:pPr>
            <w:proofErr w:type="spellStart"/>
            <w:r w:rsidRPr="000A1F69">
              <w:rPr>
                <w:rFonts w:ascii="Arial" w:hAnsi="Arial" w:cs="Arial"/>
                <w:bCs/>
                <w:sz w:val="22"/>
                <w:szCs w:val="22"/>
              </w:rPr>
              <w:t>MDApp</w:t>
            </w:r>
            <w:proofErr w:type="spellEnd"/>
            <w:r w:rsidRPr="000A1F69">
              <w:rPr>
                <w:rFonts w:ascii="Arial" w:hAnsi="Arial" w:cs="Arial"/>
                <w:bCs/>
                <w:sz w:val="22"/>
                <w:szCs w:val="22"/>
              </w:rPr>
              <w:t xml:space="preserve">. Pain Assessment in Advanced Dementia (PAINAD) scale. Manchester (GB): </w:t>
            </w:r>
            <w:proofErr w:type="spellStart"/>
            <w:r w:rsidRPr="000A1F69">
              <w:rPr>
                <w:rFonts w:ascii="Arial" w:hAnsi="Arial" w:cs="Arial"/>
                <w:bCs/>
                <w:sz w:val="22"/>
                <w:szCs w:val="22"/>
              </w:rPr>
              <w:t>MDApp</w:t>
            </w:r>
            <w:proofErr w:type="spellEnd"/>
            <w:r w:rsidRPr="000A1F69">
              <w:rPr>
                <w:rFonts w:ascii="Arial" w:hAnsi="Arial" w:cs="Arial"/>
                <w:bCs/>
                <w:sz w:val="22"/>
                <w:szCs w:val="22"/>
              </w:rPr>
              <w:t>; 2020</w:t>
            </w:r>
            <w:r>
              <w:rPr>
                <w:rFonts w:ascii="Arial" w:hAnsi="Arial" w:cs="Arial"/>
                <w:bCs/>
                <w:sz w:val="22"/>
                <w:szCs w:val="22"/>
              </w:rPr>
              <w:t>.</w:t>
            </w:r>
            <w:r w:rsidRPr="000A1F69">
              <w:rPr>
                <w:rFonts w:ascii="Arial" w:hAnsi="Arial" w:cs="Arial"/>
                <w:bCs/>
                <w:sz w:val="22"/>
                <w:szCs w:val="22"/>
              </w:rPr>
              <w:t xml:space="preserve"> Available from: </w:t>
            </w:r>
            <w:hyperlink r:id="rId14" w:history="1">
              <w:r w:rsidRPr="00A25981">
                <w:rPr>
                  <w:rStyle w:val="Hyperlink"/>
                  <w:rFonts w:ascii="Arial" w:hAnsi="Arial" w:cs="Arial"/>
                  <w:bCs/>
                  <w:sz w:val="22"/>
                  <w:szCs w:val="22"/>
                </w:rPr>
                <w:t>www.mdapp.co/pain-assessment-in-advanced-dementia-painad-scale-calculator-550</w:t>
              </w:r>
            </w:hyperlink>
            <w:r w:rsidRPr="000A1F69">
              <w:rPr>
                <w:rFonts w:ascii="Arial" w:hAnsi="Arial" w:cs="Arial"/>
                <w:bCs/>
                <w:sz w:val="22"/>
                <w:szCs w:val="22"/>
              </w:rPr>
              <w:t>.</w:t>
            </w:r>
          </w:p>
          <w:p w14:paraId="082B90FB" w14:textId="6A326F71" w:rsidR="000A1F69" w:rsidRPr="000A1F69" w:rsidRDefault="000A1F69" w:rsidP="00A370F3">
            <w:pPr>
              <w:pStyle w:val="ListParagraph"/>
              <w:numPr>
                <w:ilvl w:val="0"/>
                <w:numId w:val="6"/>
              </w:numPr>
              <w:rPr>
                <w:rFonts w:ascii="Arial" w:hAnsi="Arial" w:cs="Arial"/>
                <w:bCs/>
                <w:sz w:val="22"/>
                <w:szCs w:val="22"/>
              </w:rPr>
            </w:pPr>
            <w:r w:rsidRPr="000A1F69">
              <w:rPr>
                <w:rFonts w:ascii="Arial" w:hAnsi="Arial" w:cs="Arial"/>
                <w:bCs/>
                <w:sz w:val="22"/>
                <w:szCs w:val="22"/>
              </w:rPr>
              <w:t>Department of Health and Aged Care. Abbey pain scale. Canberra: Australian Government; 2013</w:t>
            </w:r>
            <w:r>
              <w:rPr>
                <w:rFonts w:ascii="Arial" w:hAnsi="Arial" w:cs="Arial"/>
                <w:bCs/>
                <w:sz w:val="22"/>
                <w:szCs w:val="22"/>
              </w:rPr>
              <w:t>.</w:t>
            </w:r>
            <w:r w:rsidRPr="000A1F69">
              <w:rPr>
                <w:rFonts w:ascii="Arial" w:hAnsi="Arial" w:cs="Arial"/>
                <w:bCs/>
                <w:sz w:val="22"/>
                <w:szCs w:val="22"/>
              </w:rPr>
              <w:t xml:space="preserve"> Available from: www1.health.gov.au/internet/ publications/</w:t>
            </w:r>
            <w:proofErr w:type="spellStart"/>
            <w:r w:rsidRPr="000A1F69">
              <w:rPr>
                <w:rFonts w:ascii="Arial" w:hAnsi="Arial" w:cs="Arial"/>
                <w:bCs/>
                <w:sz w:val="22"/>
                <w:szCs w:val="22"/>
              </w:rPr>
              <w:t>publishing.nsf</w:t>
            </w:r>
            <w:proofErr w:type="spellEnd"/>
            <w:r w:rsidRPr="000A1F69">
              <w:rPr>
                <w:rFonts w:ascii="Arial" w:hAnsi="Arial" w:cs="Arial"/>
                <w:bCs/>
                <w:sz w:val="22"/>
                <w:szCs w:val="22"/>
              </w:rPr>
              <w:t xml:space="preserve">/Content/ </w:t>
            </w:r>
            <w:proofErr w:type="spellStart"/>
            <w:r w:rsidRPr="000A1F69">
              <w:rPr>
                <w:rFonts w:ascii="Arial" w:hAnsi="Arial" w:cs="Arial"/>
                <w:bCs/>
                <w:sz w:val="22"/>
                <w:szCs w:val="22"/>
              </w:rPr>
              <w:t>triageqrg~triageqrg-pain~triageqrg-abbey</w:t>
            </w:r>
            <w:proofErr w:type="spellEnd"/>
            <w:r w:rsidRPr="000A1F69">
              <w:rPr>
                <w:rFonts w:ascii="Arial" w:hAnsi="Arial" w:cs="Arial"/>
                <w:bCs/>
                <w:sz w:val="22"/>
                <w:szCs w:val="22"/>
              </w:rPr>
              <w:t>.</w:t>
            </w:r>
          </w:p>
          <w:p w14:paraId="3B1A6983" w14:textId="45A151DA" w:rsidR="000A1F69" w:rsidRPr="000A1F69" w:rsidRDefault="000A1F69" w:rsidP="00A370F3">
            <w:pPr>
              <w:pStyle w:val="ListParagraph"/>
              <w:numPr>
                <w:ilvl w:val="0"/>
                <w:numId w:val="6"/>
              </w:numPr>
              <w:rPr>
                <w:rFonts w:ascii="Arial" w:hAnsi="Arial" w:cs="Arial"/>
                <w:bCs/>
                <w:sz w:val="22"/>
                <w:szCs w:val="22"/>
              </w:rPr>
            </w:pPr>
            <w:r w:rsidRPr="000A1F69">
              <w:rPr>
                <w:rFonts w:ascii="Arial" w:hAnsi="Arial" w:cs="Arial"/>
                <w:bCs/>
                <w:sz w:val="22"/>
                <w:szCs w:val="22"/>
              </w:rPr>
              <w:lastRenderedPageBreak/>
              <w:t>Wong-Baker FACES Foundation. Instructions for use Oklahoma City (OK): Wong- Baker FACES Foundation; 2016</w:t>
            </w:r>
            <w:r>
              <w:rPr>
                <w:rFonts w:ascii="Arial" w:hAnsi="Arial" w:cs="Arial"/>
                <w:bCs/>
                <w:sz w:val="22"/>
                <w:szCs w:val="22"/>
              </w:rPr>
              <w:t>.</w:t>
            </w:r>
            <w:r w:rsidRPr="000A1F69">
              <w:rPr>
                <w:rFonts w:ascii="Arial" w:hAnsi="Arial" w:cs="Arial"/>
                <w:bCs/>
                <w:sz w:val="22"/>
                <w:szCs w:val="22"/>
              </w:rPr>
              <w:t xml:space="preserve"> Available from: wongbakerfaces.org/ wp-content/uploads/2016/05/</w:t>
            </w:r>
            <w:proofErr w:type="spellStart"/>
            <w:r w:rsidRPr="000A1F69">
              <w:rPr>
                <w:rFonts w:ascii="Arial" w:hAnsi="Arial" w:cs="Arial"/>
                <w:bCs/>
                <w:sz w:val="22"/>
                <w:szCs w:val="22"/>
              </w:rPr>
              <w:t>FACES_English</w:t>
            </w:r>
            <w:proofErr w:type="spellEnd"/>
            <w:r w:rsidRPr="000A1F69">
              <w:rPr>
                <w:rFonts w:ascii="Arial" w:hAnsi="Arial" w:cs="Arial"/>
                <w:bCs/>
                <w:sz w:val="22"/>
                <w:szCs w:val="22"/>
              </w:rPr>
              <w:t>_ Blue_w-instructions.pdf.</w:t>
            </w:r>
          </w:p>
          <w:p w14:paraId="6FC5F2FF" w14:textId="64305903" w:rsidR="000A1F69" w:rsidRPr="000A1F69" w:rsidRDefault="000A1F69" w:rsidP="00A370F3">
            <w:pPr>
              <w:pStyle w:val="ListParagraph"/>
              <w:numPr>
                <w:ilvl w:val="0"/>
                <w:numId w:val="6"/>
              </w:numPr>
              <w:spacing w:after="60"/>
              <w:rPr>
                <w:rFonts w:ascii="Arial" w:hAnsi="Arial" w:cs="Arial"/>
                <w:bCs/>
                <w:sz w:val="22"/>
                <w:szCs w:val="22"/>
              </w:rPr>
            </w:pPr>
            <w:r w:rsidRPr="000A1F69">
              <w:rPr>
                <w:rFonts w:ascii="Arial" w:hAnsi="Arial" w:cs="Arial"/>
                <w:bCs/>
                <w:sz w:val="22"/>
                <w:szCs w:val="22"/>
              </w:rPr>
              <w:t xml:space="preserve">Lim D, Hall A, Jordan M, Suckling B, </w:t>
            </w:r>
            <w:proofErr w:type="spellStart"/>
            <w:r w:rsidRPr="000A1F69">
              <w:rPr>
                <w:rFonts w:ascii="Arial" w:hAnsi="Arial" w:cs="Arial"/>
                <w:bCs/>
                <w:sz w:val="22"/>
                <w:szCs w:val="22"/>
              </w:rPr>
              <w:t>Tuffin</w:t>
            </w:r>
            <w:proofErr w:type="spellEnd"/>
            <w:r w:rsidRPr="000A1F69">
              <w:rPr>
                <w:rFonts w:ascii="Arial" w:hAnsi="Arial" w:cs="Arial"/>
                <w:bCs/>
                <w:sz w:val="22"/>
                <w:szCs w:val="22"/>
              </w:rPr>
              <w:t xml:space="preserve"> PH,</w:t>
            </w:r>
            <w:r>
              <w:rPr>
                <w:rFonts w:ascii="Arial" w:hAnsi="Arial" w:cs="Arial"/>
                <w:bCs/>
                <w:sz w:val="22"/>
                <w:szCs w:val="22"/>
              </w:rPr>
              <w:t xml:space="preserve"> </w:t>
            </w:r>
            <w:r w:rsidRPr="000A1F69">
              <w:rPr>
                <w:rFonts w:ascii="Arial" w:hAnsi="Arial" w:cs="Arial"/>
                <w:bCs/>
                <w:sz w:val="22"/>
                <w:szCs w:val="22"/>
              </w:rPr>
              <w:t>Tynan K, et al. Standard of practice in pain management for pharmacy services. Journal of Pharmacy Practice and Research. 2019;49(3):270–84.</w:t>
            </w:r>
          </w:p>
        </w:tc>
      </w:tr>
    </w:tbl>
    <w:p w14:paraId="319857FB" w14:textId="77777777" w:rsidR="00FF00AC" w:rsidRDefault="00FF00AC"/>
    <w:p w14:paraId="3C740C67" w14:textId="77777777" w:rsidR="00FF00AC" w:rsidRPr="00FF00AC" w:rsidRDefault="00FF00AC" w:rsidP="00FF00AC"/>
    <w:p w14:paraId="4B0CAB8D" w14:textId="77777777" w:rsidR="00FF00AC" w:rsidRPr="00FF00AC" w:rsidRDefault="00FF00AC" w:rsidP="00FF00AC"/>
    <w:p w14:paraId="401E1BC9" w14:textId="77777777" w:rsidR="00FF00AC" w:rsidRPr="00FF00AC" w:rsidRDefault="00FF00AC" w:rsidP="00FF00AC"/>
    <w:p w14:paraId="5E1CC682" w14:textId="77777777" w:rsidR="00FF00AC" w:rsidRDefault="00FF00AC" w:rsidP="00FF00AC"/>
    <w:p w14:paraId="10F856ED" w14:textId="77777777" w:rsidR="00FF00AC" w:rsidRDefault="00FF00AC" w:rsidP="00FF00AC">
      <w:pPr>
        <w:ind w:firstLine="720"/>
        <w:sectPr w:rsidR="00FF00AC" w:rsidSect="00C768B6">
          <w:pgSz w:w="16838" w:h="11906" w:orient="landscape"/>
          <w:pgMar w:top="1440" w:right="1440" w:bottom="1440" w:left="1440" w:header="708" w:footer="708" w:gutter="0"/>
          <w:cols w:space="708"/>
          <w:docGrid w:linePitch="360"/>
        </w:sectPr>
      </w:pPr>
    </w:p>
    <w:tbl>
      <w:tblPr>
        <w:tblpPr w:leftFromText="180" w:rightFromText="180" w:horzAnchor="margin" w:tblpY="-422"/>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0381"/>
      </w:tblGrid>
      <w:tr w:rsidR="00FF00AC" w:rsidRPr="002A5AD5" w14:paraId="1C6DD8AB" w14:textId="77777777" w:rsidTr="0026256F">
        <w:trPr>
          <w:tblHeader/>
        </w:trPr>
        <w:tc>
          <w:tcPr>
            <w:tcW w:w="3227" w:type="dxa"/>
            <w:tcBorders>
              <w:top w:val="single" w:sz="4" w:space="0" w:color="auto"/>
              <w:left w:val="single" w:sz="4" w:space="0" w:color="auto"/>
              <w:bottom w:val="single" w:sz="4" w:space="0" w:color="auto"/>
              <w:right w:val="single" w:sz="4" w:space="0" w:color="auto"/>
            </w:tcBorders>
            <w:shd w:val="clear" w:color="auto" w:fill="00988E"/>
          </w:tcPr>
          <w:p w14:paraId="222B7294" w14:textId="77777777" w:rsidR="00FF00AC" w:rsidRPr="002A5AD5" w:rsidRDefault="00FF00AC" w:rsidP="002A3387">
            <w:pPr>
              <w:spacing w:before="60"/>
              <w:rPr>
                <w:rFonts w:ascii="Arial" w:hAnsi="Arial" w:cs="Arial"/>
                <w:color w:val="FFFFFF"/>
                <w:sz w:val="32"/>
                <w:szCs w:val="32"/>
              </w:rPr>
            </w:pPr>
            <w:r>
              <w:rPr>
                <w:rFonts w:ascii="Arial" w:hAnsi="Arial" w:cs="Arial"/>
                <w:b/>
                <w:bCs/>
                <w:color w:val="FFFFFF"/>
                <w:sz w:val="32"/>
                <w:szCs w:val="32"/>
              </w:rPr>
              <w:lastRenderedPageBreak/>
              <w:t>Quality Statement 3</w:t>
            </w:r>
          </w:p>
        </w:tc>
        <w:tc>
          <w:tcPr>
            <w:tcW w:w="10381" w:type="dxa"/>
            <w:tcBorders>
              <w:top w:val="single" w:sz="4" w:space="0" w:color="auto"/>
              <w:left w:val="single" w:sz="4" w:space="0" w:color="auto"/>
              <w:bottom w:val="single" w:sz="4" w:space="0" w:color="auto"/>
              <w:right w:val="single" w:sz="4" w:space="0" w:color="auto"/>
            </w:tcBorders>
          </w:tcPr>
          <w:p w14:paraId="5B5C0845" w14:textId="77777777" w:rsidR="0062701C" w:rsidRPr="0062701C" w:rsidRDefault="0062701C" w:rsidP="0062701C">
            <w:pPr>
              <w:spacing w:before="60" w:after="60"/>
              <w:rPr>
                <w:rFonts w:ascii="Arial" w:hAnsi="Arial" w:cs="Arial"/>
                <w:b/>
                <w:sz w:val="22"/>
                <w:szCs w:val="22"/>
                <w:lang w:val="en-AU"/>
              </w:rPr>
            </w:pPr>
            <w:r w:rsidRPr="0062701C">
              <w:rPr>
                <w:rFonts w:ascii="Arial" w:hAnsi="Arial" w:cs="Arial"/>
                <w:b/>
                <w:sz w:val="22"/>
                <w:szCs w:val="22"/>
                <w:lang w:val="en-AU"/>
              </w:rPr>
              <w:t>Orthogeriatric model of care</w:t>
            </w:r>
          </w:p>
          <w:p w14:paraId="77D75F3E" w14:textId="13DBFAA8" w:rsidR="00FF00AC" w:rsidRPr="0062701C" w:rsidRDefault="00913409" w:rsidP="0062701C">
            <w:pPr>
              <w:spacing w:before="60" w:after="60"/>
              <w:rPr>
                <w:rFonts w:ascii="Arial" w:hAnsi="Arial" w:cs="Arial"/>
                <w:bCs/>
                <w:sz w:val="22"/>
                <w:szCs w:val="22"/>
                <w:lang w:val="en-AU"/>
              </w:rPr>
            </w:pPr>
            <w:r w:rsidRPr="00913409">
              <w:rPr>
                <w:rFonts w:ascii="Arial" w:hAnsi="Arial" w:cs="Arial"/>
                <w:bCs/>
                <w:sz w:val="22"/>
                <w:szCs w:val="22"/>
                <w:lang w:val="en-AU"/>
              </w:rPr>
              <w:t xml:space="preserve">A person with a hip fracture is offered treatment based on an orthogeriatric model of care as defined in the Australian and New Zealand Guideline for Hip Fracture Care. A coordinated multidisciplinary approach is used to identify and manage malnutrition, frailty, cognitive </w:t>
            </w:r>
            <w:proofErr w:type="gramStart"/>
            <w:r w:rsidRPr="00913409">
              <w:rPr>
                <w:rFonts w:ascii="Arial" w:hAnsi="Arial" w:cs="Arial"/>
                <w:bCs/>
                <w:sz w:val="22"/>
                <w:szCs w:val="22"/>
                <w:lang w:val="en-AU"/>
              </w:rPr>
              <w:t>impairment</w:t>
            </w:r>
            <w:proofErr w:type="gramEnd"/>
            <w:r w:rsidRPr="00913409">
              <w:rPr>
                <w:rFonts w:ascii="Arial" w:hAnsi="Arial" w:cs="Arial"/>
                <w:bCs/>
                <w:sz w:val="22"/>
                <w:szCs w:val="22"/>
                <w:lang w:val="en-AU"/>
              </w:rPr>
              <w:t xml:space="preserve"> and delirium</w:t>
            </w:r>
            <w:r w:rsidR="0062701C" w:rsidRPr="0062701C">
              <w:rPr>
                <w:rFonts w:ascii="Arial" w:hAnsi="Arial" w:cs="Arial"/>
                <w:bCs/>
                <w:sz w:val="22"/>
                <w:szCs w:val="22"/>
                <w:lang w:val="en-AU"/>
              </w:rPr>
              <w:t>.</w:t>
            </w:r>
          </w:p>
        </w:tc>
      </w:tr>
      <w:tr w:rsidR="00FF00AC" w:rsidRPr="002A5AD5" w14:paraId="3CDEA9D2" w14:textId="77777777" w:rsidTr="0026256F">
        <w:trPr>
          <w:tblHeader/>
        </w:trPr>
        <w:tc>
          <w:tcPr>
            <w:tcW w:w="13608" w:type="dxa"/>
            <w:gridSpan w:val="2"/>
            <w:tcBorders>
              <w:top w:val="single" w:sz="4" w:space="0" w:color="auto"/>
              <w:left w:val="single" w:sz="4" w:space="0" w:color="auto"/>
              <w:bottom w:val="single" w:sz="4" w:space="0" w:color="auto"/>
              <w:right w:val="single" w:sz="4" w:space="0" w:color="auto"/>
            </w:tcBorders>
            <w:shd w:val="clear" w:color="auto" w:fill="auto"/>
          </w:tcPr>
          <w:p w14:paraId="3D1DD770" w14:textId="0CEBF313" w:rsidR="00FF00AC" w:rsidRPr="002A5AD5" w:rsidRDefault="00FF00AC" w:rsidP="0026256F">
            <w:pPr>
              <w:rPr>
                <w:rFonts w:ascii="Arial" w:hAnsi="Arial" w:cs="Arial"/>
                <w:b/>
              </w:rPr>
            </w:pPr>
            <w:r w:rsidRPr="002A5AD5">
              <w:rPr>
                <w:rFonts w:ascii="Arial" w:hAnsi="Arial" w:cs="Arial"/>
                <w:b/>
              </w:rPr>
              <w:t xml:space="preserve">EVIDENCE SOURCES </w:t>
            </w:r>
          </w:p>
        </w:tc>
      </w:tr>
      <w:tr w:rsidR="00FF00AC" w:rsidRPr="002A5AD5" w14:paraId="53063DA0" w14:textId="77777777" w:rsidTr="00536F4A">
        <w:trPr>
          <w:trHeight w:val="90"/>
          <w:tblHeader/>
        </w:trPr>
        <w:tc>
          <w:tcPr>
            <w:tcW w:w="1360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525B7BA" w14:textId="77777777" w:rsidR="00FF00AC" w:rsidRPr="0074479F" w:rsidRDefault="00FF00AC" w:rsidP="002A3387">
            <w:pPr>
              <w:spacing w:before="60" w:after="60"/>
              <w:rPr>
                <w:rFonts w:ascii="Arial" w:hAnsi="Arial" w:cs="Arial"/>
                <w:b/>
                <w:sz w:val="22"/>
                <w:szCs w:val="22"/>
              </w:rPr>
            </w:pPr>
            <w:r w:rsidRPr="0074479F">
              <w:rPr>
                <w:rFonts w:ascii="Arial" w:hAnsi="Arial" w:cs="Arial"/>
                <w:b/>
                <w:sz w:val="22"/>
                <w:szCs w:val="22"/>
              </w:rPr>
              <w:t>Australian Guideline</w:t>
            </w:r>
            <w:r w:rsidR="00A04B69" w:rsidRPr="0074479F">
              <w:rPr>
                <w:rFonts w:ascii="Arial" w:hAnsi="Arial" w:cs="Arial"/>
                <w:b/>
                <w:sz w:val="22"/>
                <w:szCs w:val="22"/>
              </w:rPr>
              <w:t>s</w:t>
            </w:r>
          </w:p>
        </w:tc>
      </w:tr>
      <w:tr w:rsidR="00FF00AC" w:rsidRPr="002A5AD5" w14:paraId="3D9118DE" w14:textId="77777777" w:rsidTr="0026256F">
        <w:trPr>
          <w:cantSplit/>
          <w:trHeight w:val="90"/>
        </w:trPr>
        <w:tc>
          <w:tcPr>
            <w:tcW w:w="13608" w:type="dxa"/>
            <w:gridSpan w:val="2"/>
            <w:tcBorders>
              <w:top w:val="single" w:sz="4" w:space="0" w:color="auto"/>
              <w:left w:val="single" w:sz="4" w:space="0" w:color="auto"/>
              <w:bottom w:val="single" w:sz="4" w:space="0" w:color="auto"/>
              <w:right w:val="single" w:sz="4" w:space="0" w:color="auto"/>
            </w:tcBorders>
          </w:tcPr>
          <w:p w14:paraId="317701E9" w14:textId="0013EE37" w:rsidR="00FF00AC" w:rsidRPr="000A1F69" w:rsidRDefault="000A1F69">
            <w:pPr>
              <w:pStyle w:val="ListParagraph"/>
              <w:numPr>
                <w:ilvl w:val="0"/>
                <w:numId w:val="7"/>
              </w:numPr>
              <w:autoSpaceDE w:val="0"/>
              <w:autoSpaceDN w:val="0"/>
              <w:adjustRightInd w:val="0"/>
              <w:spacing w:after="60"/>
              <w:ind w:left="714" w:hanging="357"/>
              <w:rPr>
                <w:rFonts w:ascii="Arial" w:hAnsi="Arial" w:cs="Arial"/>
                <w:sz w:val="22"/>
                <w:szCs w:val="22"/>
              </w:rPr>
            </w:pPr>
            <w:r w:rsidRPr="000A1F69">
              <w:rPr>
                <w:rFonts w:ascii="Arial" w:hAnsi="Arial" w:cs="Arial"/>
                <w:sz w:val="22"/>
                <w:szCs w:val="22"/>
              </w:rPr>
              <w:t>Australian and New Zealand Hip Fracture Registry Steering Group. Australian and New Zealand guideline for hip fracture care: improving outcomes in hip fracture management of adults. Sydney: ANZHFR, 2014.</w:t>
            </w:r>
          </w:p>
        </w:tc>
      </w:tr>
      <w:tr w:rsidR="00FF00AC" w:rsidRPr="002A5AD5" w14:paraId="3062D1CF" w14:textId="77777777" w:rsidTr="00536F4A">
        <w:trPr>
          <w:cantSplit/>
          <w:trHeight w:val="90"/>
        </w:trPr>
        <w:tc>
          <w:tcPr>
            <w:tcW w:w="13608" w:type="dxa"/>
            <w:gridSpan w:val="2"/>
            <w:tcBorders>
              <w:top w:val="single" w:sz="4" w:space="0" w:color="auto"/>
              <w:left w:val="single" w:sz="4" w:space="0" w:color="auto"/>
              <w:right w:val="single" w:sz="4" w:space="0" w:color="auto"/>
            </w:tcBorders>
            <w:shd w:val="clear" w:color="auto" w:fill="DEEAF6" w:themeFill="accent1" w:themeFillTint="33"/>
          </w:tcPr>
          <w:p w14:paraId="0273D298" w14:textId="77777777" w:rsidR="00FF00AC" w:rsidRPr="0074479F" w:rsidRDefault="00FF00AC" w:rsidP="004D3A9D">
            <w:pPr>
              <w:autoSpaceDE w:val="0"/>
              <w:autoSpaceDN w:val="0"/>
              <w:adjustRightInd w:val="0"/>
              <w:spacing w:before="60" w:after="60"/>
              <w:rPr>
                <w:rFonts w:ascii="Arial" w:hAnsi="Arial" w:cs="Arial"/>
                <w:b/>
                <w:sz w:val="22"/>
                <w:szCs w:val="22"/>
              </w:rPr>
            </w:pPr>
            <w:r w:rsidRPr="0074479F">
              <w:rPr>
                <w:rFonts w:ascii="Arial" w:hAnsi="Arial" w:cs="Arial"/>
                <w:b/>
                <w:sz w:val="22"/>
                <w:szCs w:val="22"/>
              </w:rPr>
              <w:t>International Guidelines</w:t>
            </w:r>
          </w:p>
        </w:tc>
      </w:tr>
      <w:tr w:rsidR="00FF00AC" w:rsidRPr="002A5AD5" w14:paraId="43D47EF1" w14:textId="77777777" w:rsidTr="009C08AE">
        <w:trPr>
          <w:cantSplit/>
          <w:trHeight w:val="387"/>
        </w:trPr>
        <w:tc>
          <w:tcPr>
            <w:tcW w:w="13608" w:type="dxa"/>
            <w:gridSpan w:val="2"/>
            <w:tcBorders>
              <w:top w:val="single" w:sz="4" w:space="0" w:color="auto"/>
              <w:left w:val="single" w:sz="4" w:space="0" w:color="auto"/>
              <w:bottom w:val="single" w:sz="4" w:space="0" w:color="auto"/>
              <w:right w:val="single" w:sz="4" w:space="0" w:color="auto"/>
            </w:tcBorders>
          </w:tcPr>
          <w:p w14:paraId="06A6B0AD" w14:textId="5AFF5003" w:rsidR="00FF00AC" w:rsidRPr="000A1F69" w:rsidRDefault="000A1F69">
            <w:pPr>
              <w:pStyle w:val="ListParagraph"/>
              <w:numPr>
                <w:ilvl w:val="0"/>
                <w:numId w:val="7"/>
              </w:numPr>
              <w:spacing w:after="60"/>
              <w:ind w:left="714" w:hanging="357"/>
              <w:rPr>
                <w:rFonts w:ascii="Arial" w:hAnsi="Arial" w:cs="Arial"/>
                <w:sz w:val="22"/>
                <w:szCs w:val="22"/>
              </w:rPr>
            </w:pPr>
            <w:r w:rsidRPr="000A1F69">
              <w:rPr>
                <w:rFonts w:ascii="Arial" w:hAnsi="Arial" w:cs="Arial"/>
                <w:sz w:val="22"/>
                <w:szCs w:val="22"/>
              </w:rPr>
              <w:t xml:space="preserve">National Institute for Health and Care Excellence (GB). Hip fracture: management [clinical guideline </w:t>
            </w:r>
            <w:r w:rsidR="00A370F3">
              <w:rPr>
                <w:rFonts w:ascii="Arial" w:hAnsi="Arial" w:cs="Arial"/>
                <w:sz w:val="22"/>
                <w:szCs w:val="22"/>
              </w:rPr>
              <w:t>CG124</w:t>
            </w:r>
            <w:r w:rsidRPr="000A1F69">
              <w:rPr>
                <w:rFonts w:ascii="Arial" w:hAnsi="Arial" w:cs="Arial"/>
                <w:sz w:val="22"/>
                <w:szCs w:val="22"/>
              </w:rPr>
              <w:t>]. United Kingdom: NICE (GB), 2023.</w:t>
            </w:r>
          </w:p>
        </w:tc>
      </w:tr>
      <w:tr w:rsidR="00FF00AC" w:rsidRPr="002A5AD5" w14:paraId="63642E68" w14:textId="77777777" w:rsidTr="00536F4A">
        <w:trPr>
          <w:cantSplit/>
          <w:trHeight w:val="90"/>
        </w:trPr>
        <w:tc>
          <w:tcPr>
            <w:tcW w:w="13608" w:type="dxa"/>
            <w:gridSpan w:val="2"/>
            <w:tcBorders>
              <w:top w:val="single" w:sz="4" w:space="0" w:color="auto"/>
              <w:left w:val="single" w:sz="4" w:space="0" w:color="auto"/>
              <w:right w:val="single" w:sz="4" w:space="0" w:color="auto"/>
            </w:tcBorders>
            <w:shd w:val="clear" w:color="auto" w:fill="DEEAF6" w:themeFill="accent1" w:themeFillTint="33"/>
          </w:tcPr>
          <w:p w14:paraId="4A16AFD4" w14:textId="77777777" w:rsidR="00FF00AC" w:rsidRPr="0074479F" w:rsidRDefault="00FF00AC" w:rsidP="004D3A9D">
            <w:pPr>
              <w:spacing w:before="60" w:after="60"/>
              <w:rPr>
                <w:rFonts w:ascii="Arial" w:hAnsi="Arial" w:cs="Arial"/>
                <w:b/>
                <w:sz w:val="22"/>
                <w:szCs w:val="22"/>
              </w:rPr>
            </w:pPr>
            <w:r w:rsidRPr="0074479F">
              <w:rPr>
                <w:rFonts w:ascii="Arial" w:hAnsi="Arial" w:cs="Arial"/>
                <w:b/>
                <w:sz w:val="22"/>
                <w:szCs w:val="22"/>
              </w:rPr>
              <w:t>Additional Source</w:t>
            </w:r>
          </w:p>
        </w:tc>
      </w:tr>
      <w:tr w:rsidR="00FF00AC" w:rsidRPr="002A5AD5" w14:paraId="010C59DB" w14:textId="77777777" w:rsidTr="00536F4A">
        <w:trPr>
          <w:cantSplit/>
          <w:trHeight w:val="90"/>
        </w:trPr>
        <w:tc>
          <w:tcPr>
            <w:tcW w:w="13608" w:type="dxa"/>
            <w:gridSpan w:val="2"/>
            <w:tcBorders>
              <w:top w:val="single" w:sz="4" w:space="0" w:color="auto"/>
              <w:left w:val="single" w:sz="4" w:space="0" w:color="auto"/>
              <w:bottom w:val="single" w:sz="4" w:space="0" w:color="auto"/>
              <w:right w:val="single" w:sz="4" w:space="0" w:color="auto"/>
            </w:tcBorders>
          </w:tcPr>
          <w:p w14:paraId="07C85E14" w14:textId="2A7BDBCC" w:rsidR="000A1F69" w:rsidRDefault="000A1F69">
            <w:pPr>
              <w:pStyle w:val="ListParagraph"/>
              <w:numPr>
                <w:ilvl w:val="0"/>
                <w:numId w:val="7"/>
              </w:numPr>
              <w:autoSpaceDE w:val="0"/>
              <w:autoSpaceDN w:val="0"/>
              <w:adjustRightInd w:val="0"/>
              <w:rPr>
                <w:rFonts w:ascii="Arial" w:hAnsi="Arial" w:cs="Arial"/>
                <w:sz w:val="22"/>
                <w:szCs w:val="22"/>
                <w:lang w:eastAsia="en-AU"/>
              </w:rPr>
            </w:pPr>
            <w:r w:rsidRPr="000A1F69">
              <w:rPr>
                <w:rFonts w:ascii="Arial" w:hAnsi="Arial" w:cs="Arial"/>
                <w:sz w:val="22"/>
                <w:szCs w:val="22"/>
                <w:lang w:eastAsia="en-AU"/>
              </w:rPr>
              <w:t>Australian Commission on Safety and Quality in Health Care. Comprehensive Care Standard. Sydney: ACSQHC; 2022</w:t>
            </w:r>
            <w:r>
              <w:rPr>
                <w:rFonts w:ascii="Arial" w:hAnsi="Arial" w:cs="Arial"/>
                <w:sz w:val="22"/>
                <w:szCs w:val="22"/>
                <w:lang w:eastAsia="en-AU"/>
              </w:rPr>
              <w:t>.</w:t>
            </w:r>
            <w:r w:rsidRPr="000A1F69">
              <w:rPr>
                <w:rFonts w:ascii="Arial" w:hAnsi="Arial" w:cs="Arial"/>
                <w:sz w:val="22"/>
                <w:szCs w:val="22"/>
                <w:lang w:eastAsia="en-AU"/>
              </w:rPr>
              <w:t xml:space="preserve"> Available from: www.safetyandquality. gov.au/standards/</w:t>
            </w:r>
            <w:proofErr w:type="spellStart"/>
            <w:r w:rsidRPr="000A1F69">
              <w:rPr>
                <w:rFonts w:ascii="Arial" w:hAnsi="Arial" w:cs="Arial"/>
                <w:sz w:val="22"/>
                <w:szCs w:val="22"/>
                <w:lang w:eastAsia="en-AU"/>
              </w:rPr>
              <w:t>nsqhs</w:t>
            </w:r>
            <w:proofErr w:type="spellEnd"/>
            <w:r w:rsidRPr="000A1F69">
              <w:rPr>
                <w:rFonts w:ascii="Arial" w:hAnsi="Arial" w:cs="Arial"/>
                <w:sz w:val="22"/>
                <w:szCs w:val="22"/>
                <w:lang w:eastAsia="en-AU"/>
              </w:rPr>
              <w:t>-standards/ comprehensive-care-standard.</w:t>
            </w:r>
          </w:p>
          <w:p w14:paraId="6CABE152" w14:textId="7A5FB87F" w:rsidR="000A1F69" w:rsidRPr="00762D1A" w:rsidRDefault="00762D1A">
            <w:pPr>
              <w:pStyle w:val="ListParagraph"/>
              <w:numPr>
                <w:ilvl w:val="0"/>
                <w:numId w:val="7"/>
              </w:numPr>
              <w:rPr>
                <w:rFonts w:ascii="Arial" w:hAnsi="Arial" w:cs="Arial"/>
                <w:sz w:val="22"/>
                <w:szCs w:val="22"/>
                <w:lang w:eastAsia="en-AU"/>
              </w:rPr>
            </w:pPr>
            <w:r w:rsidRPr="00762D1A">
              <w:rPr>
                <w:rFonts w:ascii="Arial" w:hAnsi="Arial" w:cs="Arial"/>
                <w:sz w:val="22"/>
                <w:szCs w:val="22"/>
                <w:lang w:eastAsia="en-AU"/>
              </w:rPr>
              <w:t>Australian Commission on Safety and Quality in Health Care. Venous Thromboembolism Prevention Clinical Care Standard. Sydney: ACSQHC, 2020.</w:t>
            </w:r>
          </w:p>
          <w:p w14:paraId="2C68061F" w14:textId="3FD7EC94" w:rsidR="000A1F69" w:rsidRPr="000A1F69" w:rsidRDefault="000A1F69">
            <w:pPr>
              <w:pStyle w:val="ListParagraph"/>
              <w:numPr>
                <w:ilvl w:val="0"/>
                <w:numId w:val="7"/>
              </w:numPr>
              <w:rPr>
                <w:rFonts w:ascii="Arial" w:hAnsi="Arial" w:cs="Arial"/>
                <w:sz w:val="22"/>
                <w:szCs w:val="22"/>
                <w:lang w:eastAsia="en-AU"/>
              </w:rPr>
            </w:pPr>
            <w:r w:rsidRPr="000A1F69">
              <w:rPr>
                <w:rFonts w:ascii="Arial" w:hAnsi="Arial" w:cs="Arial"/>
                <w:sz w:val="22"/>
                <w:szCs w:val="22"/>
                <w:lang w:eastAsia="en-AU"/>
              </w:rPr>
              <w:t>Australian and New Zealand Hip Fracture Registry. ANZHFR sprint audits. Sydney: ANZHFR; 2021</w:t>
            </w:r>
            <w:r>
              <w:rPr>
                <w:rFonts w:ascii="Arial" w:hAnsi="Arial" w:cs="Arial"/>
                <w:sz w:val="22"/>
                <w:szCs w:val="22"/>
                <w:lang w:eastAsia="en-AU"/>
              </w:rPr>
              <w:t>.</w:t>
            </w:r>
            <w:r w:rsidRPr="000A1F69">
              <w:rPr>
                <w:rFonts w:ascii="Arial" w:hAnsi="Arial" w:cs="Arial"/>
                <w:sz w:val="22"/>
                <w:szCs w:val="22"/>
                <w:lang w:eastAsia="en-AU"/>
              </w:rPr>
              <w:t xml:space="preserve"> Available from: anzhfr.org/</w:t>
            </w:r>
            <w:proofErr w:type="spellStart"/>
            <w:r w:rsidRPr="000A1F69">
              <w:rPr>
                <w:rFonts w:ascii="Arial" w:hAnsi="Arial" w:cs="Arial"/>
                <w:sz w:val="22"/>
                <w:szCs w:val="22"/>
                <w:lang w:eastAsia="en-AU"/>
              </w:rPr>
              <w:t>sprintaudits</w:t>
            </w:r>
            <w:proofErr w:type="spellEnd"/>
            <w:r w:rsidRPr="000A1F69">
              <w:rPr>
                <w:rFonts w:ascii="Arial" w:hAnsi="Arial" w:cs="Arial"/>
                <w:sz w:val="22"/>
                <w:szCs w:val="22"/>
                <w:lang w:eastAsia="en-AU"/>
              </w:rPr>
              <w:t>.</w:t>
            </w:r>
          </w:p>
          <w:p w14:paraId="7AA9A145" w14:textId="77777777" w:rsidR="000A1F69" w:rsidRPr="000A1F69" w:rsidRDefault="000A1F69">
            <w:pPr>
              <w:pStyle w:val="ListParagraph"/>
              <w:numPr>
                <w:ilvl w:val="0"/>
                <w:numId w:val="7"/>
              </w:numPr>
              <w:rPr>
                <w:rFonts w:ascii="Arial" w:hAnsi="Arial" w:cs="Arial"/>
                <w:sz w:val="22"/>
                <w:szCs w:val="22"/>
                <w:lang w:eastAsia="en-AU"/>
              </w:rPr>
            </w:pPr>
            <w:r w:rsidRPr="000A1F69">
              <w:rPr>
                <w:rFonts w:ascii="Arial" w:hAnsi="Arial" w:cs="Arial"/>
                <w:sz w:val="22"/>
                <w:szCs w:val="22"/>
                <w:lang w:eastAsia="en-AU"/>
              </w:rPr>
              <w:t xml:space="preserve">Bell J GÓ, Hertz K, Santy-Tomlinson J, </w:t>
            </w:r>
            <w:proofErr w:type="spellStart"/>
            <w:r w:rsidRPr="000A1F69">
              <w:rPr>
                <w:rFonts w:ascii="Arial" w:hAnsi="Arial" w:cs="Arial"/>
                <w:sz w:val="22"/>
                <w:szCs w:val="22"/>
                <w:lang w:eastAsia="en-AU"/>
              </w:rPr>
              <w:t>Skúladóttir</w:t>
            </w:r>
            <w:proofErr w:type="spellEnd"/>
            <w:r w:rsidRPr="000A1F69">
              <w:rPr>
                <w:rFonts w:ascii="Arial" w:hAnsi="Arial" w:cs="Arial"/>
                <w:sz w:val="22"/>
                <w:szCs w:val="22"/>
                <w:lang w:eastAsia="en-AU"/>
              </w:rPr>
              <w:t xml:space="preserve"> S, </w:t>
            </w:r>
            <w:proofErr w:type="spellStart"/>
            <w:r w:rsidRPr="000A1F69">
              <w:rPr>
                <w:rFonts w:ascii="Arial" w:hAnsi="Arial" w:cs="Arial"/>
                <w:sz w:val="22"/>
                <w:szCs w:val="22"/>
                <w:lang w:eastAsia="en-AU"/>
              </w:rPr>
              <w:t>Eleuteri</w:t>
            </w:r>
            <w:proofErr w:type="spellEnd"/>
            <w:r w:rsidRPr="000A1F69">
              <w:rPr>
                <w:rFonts w:ascii="Arial" w:hAnsi="Arial" w:cs="Arial"/>
                <w:sz w:val="22"/>
                <w:szCs w:val="22"/>
                <w:lang w:eastAsia="en-AU"/>
              </w:rPr>
              <w:t xml:space="preserve"> S, Johansen A. Nutritional care of the older patient with fragility fracture: opportunities for systematised, interdisciplinary approaches across acute care, </w:t>
            </w:r>
            <w:proofErr w:type="gramStart"/>
            <w:r w:rsidRPr="000A1F69">
              <w:rPr>
                <w:rFonts w:ascii="Arial" w:hAnsi="Arial" w:cs="Arial"/>
                <w:sz w:val="22"/>
                <w:szCs w:val="22"/>
                <w:lang w:eastAsia="en-AU"/>
              </w:rPr>
              <w:t>rehabilitation</w:t>
            </w:r>
            <w:proofErr w:type="gramEnd"/>
            <w:r w:rsidRPr="000A1F69">
              <w:rPr>
                <w:rFonts w:ascii="Arial" w:hAnsi="Arial" w:cs="Arial"/>
                <w:sz w:val="22"/>
                <w:szCs w:val="22"/>
                <w:lang w:eastAsia="en-AU"/>
              </w:rPr>
              <w:t xml:space="preserve"> and secondary prevention settings. In: </w:t>
            </w:r>
            <w:proofErr w:type="spellStart"/>
            <w:r w:rsidRPr="000A1F69">
              <w:rPr>
                <w:rFonts w:ascii="Arial" w:hAnsi="Arial" w:cs="Arial"/>
                <w:sz w:val="22"/>
                <w:szCs w:val="22"/>
                <w:lang w:eastAsia="en-AU"/>
              </w:rPr>
              <w:t>Falaschi</w:t>
            </w:r>
            <w:proofErr w:type="spellEnd"/>
            <w:r w:rsidRPr="000A1F69">
              <w:rPr>
                <w:rFonts w:ascii="Arial" w:hAnsi="Arial" w:cs="Arial"/>
                <w:sz w:val="22"/>
                <w:szCs w:val="22"/>
                <w:lang w:eastAsia="en-AU"/>
              </w:rPr>
              <w:t xml:space="preserve"> P MD, editor. </w:t>
            </w:r>
            <w:proofErr w:type="spellStart"/>
            <w:r w:rsidRPr="000A1F69">
              <w:rPr>
                <w:rFonts w:ascii="Arial" w:hAnsi="Arial" w:cs="Arial"/>
                <w:sz w:val="22"/>
                <w:szCs w:val="22"/>
                <w:lang w:eastAsia="en-AU"/>
              </w:rPr>
              <w:t>Orthogeriatrics</w:t>
            </w:r>
            <w:proofErr w:type="spellEnd"/>
            <w:r w:rsidRPr="000A1F69">
              <w:rPr>
                <w:rFonts w:ascii="Arial" w:hAnsi="Arial" w:cs="Arial"/>
                <w:sz w:val="22"/>
                <w:szCs w:val="22"/>
                <w:lang w:eastAsia="en-AU"/>
              </w:rPr>
              <w:t>: the management of older patients with fragility fractures (2nd edition). Cham (CH): Springer; 2021.</w:t>
            </w:r>
          </w:p>
          <w:p w14:paraId="1051FD53" w14:textId="2BA2A2DA" w:rsidR="000A1F69" w:rsidRPr="000A1F69" w:rsidRDefault="000A1F69">
            <w:pPr>
              <w:pStyle w:val="ListParagraph"/>
              <w:numPr>
                <w:ilvl w:val="0"/>
                <w:numId w:val="7"/>
              </w:numPr>
              <w:autoSpaceDE w:val="0"/>
              <w:autoSpaceDN w:val="0"/>
              <w:adjustRightInd w:val="0"/>
              <w:spacing w:before="120"/>
              <w:rPr>
                <w:rFonts w:ascii="Arial" w:hAnsi="Arial" w:cs="Arial"/>
                <w:sz w:val="22"/>
                <w:szCs w:val="22"/>
                <w:lang w:eastAsia="en-AU"/>
              </w:rPr>
            </w:pPr>
            <w:proofErr w:type="spellStart"/>
            <w:r w:rsidRPr="000A1F69">
              <w:rPr>
                <w:rFonts w:ascii="Arial" w:hAnsi="Arial" w:cs="Arial"/>
                <w:sz w:val="22"/>
                <w:szCs w:val="22"/>
                <w:lang w:eastAsia="en-AU"/>
              </w:rPr>
              <w:t>Volkert</w:t>
            </w:r>
            <w:proofErr w:type="spellEnd"/>
            <w:r w:rsidRPr="000A1F69">
              <w:rPr>
                <w:rFonts w:ascii="Arial" w:hAnsi="Arial" w:cs="Arial"/>
                <w:sz w:val="22"/>
                <w:szCs w:val="22"/>
                <w:lang w:eastAsia="en-AU"/>
              </w:rPr>
              <w:t xml:space="preserve"> D, Beck AM, Cederholm T,</w:t>
            </w:r>
            <w:r>
              <w:rPr>
                <w:rFonts w:ascii="Arial" w:hAnsi="Arial" w:cs="Arial"/>
                <w:sz w:val="22"/>
                <w:szCs w:val="22"/>
                <w:lang w:eastAsia="en-AU"/>
              </w:rPr>
              <w:t xml:space="preserve"> </w:t>
            </w:r>
            <w:r w:rsidRPr="000A1F69">
              <w:rPr>
                <w:rFonts w:ascii="Arial" w:hAnsi="Arial" w:cs="Arial"/>
                <w:sz w:val="22"/>
                <w:szCs w:val="22"/>
                <w:lang w:eastAsia="en-AU"/>
              </w:rPr>
              <w:t>Cruz-</w:t>
            </w:r>
            <w:proofErr w:type="spellStart"/>
            <w:r w:rsidRPr="000A1F69">
              <w:rPr>
                <w:rFonts w:ascii="Arial" w:hAnsi="Arial" w:cs="Arial"/>
                <w:sz w:val="22"/>
                <w:szCs w:val="22"/>
                <w:lang w:eastAsia="en-AU"/>
              </w:rPr>
              <w:t>Jentoft</w:t>
            </w:r>
            <w:proofErr w:type="spellEnd"/>
            <w:r w:rsidRPr="000A1F69">
              <w:rPr>
                <w:rFonts w:ascii="Arial" w:hAnsi="Arial" w:cs="Arial"/>
                <w:sz w:val="22"/>
                <w:szCs w:val="22"/>
                <w:lang w:eastAsia="en-AU"/>
              </w:rPr>
              <w:t xml:space="preserve"> A, Hooper L, </w:t>
            </w:r>
            <w:proofErr w:type="spellStart"/>
            <w:r w:rsidRPr="000A1F69">
              <w:rPr>
                <w:rFonts w:ascii="Arial" w:hAnsi="Arial" w:cs="Arial"/>
                <w:sz w:val="22"/>
                <w:szCs w:val="22"/>
                <w:lang w:eastAsia="en-AU"/>
              </w:rPr>
              <w:t>Kiesswetter</w:t>
            </w:r>
            <w:proofErr w:type="spellEnd"/>
            <w:r w:rsidRPr="000A1F69">
              <w:rPr>
                <w:rFonts w:ascii="Arial" w:hAnsi="Arial" w:cs="Arial"/>
                <w:sz w:val="22"/>
                <w:szCs w:val="22"/>
                <w:lang w:eastAsia="en-AU"/>
              </w:rPr>
              <w:t xml:space="preserve"> E, et al. ESPEN practical guideline: clinical nutrition and hydration in geriatrics. Clin </w:t>
            </w:r>
            <w:proofErr w:type="spellStart"/>
            <w:r w:rsidRPr="000A1F69">
              <w:rPr>
                <w:rFonts w:ascii="Arial" w:hAnsi="Arial" w:cs="Arial"/>
                <w:sz w:val="22"/>
                <w:szCs w:val="22"/>
                <w:lang w:eastAsia="en-AU"/>
              </w:rPr>
              <w:t>Nutr</w:t>
            </w:r>
            <w:proofErr w:type="spellEnd"/>
            <w:r w:rsidRPr="000A1F69">
              <w:rPr>
                <w:rFonts w:ascii="Arial" w:hAnsi="Arial" w:cs="Arial"/>
                <w:sz w:val="22"/>
                <w:szCs w:val="22"/>
                <w:lang w:eastAsia="en-AU"/>
              </w:rPr>
              <w:t>. 2022 Apr;41(4):958–89.</w:t>
            </w:r>
          </w:p>
          <w:p w14:paraId="1555362F" w14:textId="16522B9D" w:rsidR="009C08AE" w:rsidRPr="00762D1A" w:rsidRDefault="00762D1A">
            <w:pPr>
              <w:pStyle w:val="ListParagraph"/>
              <w:numPr>
                <w:ilvl w:val="0"/>
                <w:numId w:val="7"/>
              </w:numPr>
              <w:spacing w:after="60"/>
              <w:ind w:left="714" w:hanging="357"/>
              <w:rPr>
                <w:rFonts w:ascii="Arial" w:hAnsi="Arial" w:cs="Arial"/>
                <w:sz w:val="22"/>
                <w:szCs w:val="22"/>
                <w:lang w:eastAsia="en-AU"/>
              </w:rPr>
            </w:pPr>
            <w:r w:rsidRPr="00762D1A">
              <w:rPr>
                <w:rFonts w:ascii="Arial" w:hAnsi="Arial" w:cs="Arial"/>
                <w:sz w:val="22"/>
                <w:szCs w:val="22"/>
                <w:lang w:eastAsia="en-AU"/>
              </w:rPr>
              <w:t xml:space="preserve">Healing Foundation. Supporting Stolen Generations survivors, </w:t>
            </w:r>
            <w:proofErr w:type="gramStart"/>
            <w:r w:rsidRPr="00762D1A">
              <w:rPr>
                <w:rFonts w:ascii="Arial" w:hAnsi="Arial" w:cs="Arial"/>
                <w:sz w:val="22"/>
                <w:szCs w:val="22"/>
                <w:lang w:eastAsia="en-AU"/>
              </w:rPr>
              <w:t>families</w:t>
            </w:r>
            <w:proofErr w:type="gramEnd"/>
            <w:r w:rsidRPr="00762D1A">
              <w:rPr>
                <w:rFonts w:ascii="Arial" w:hAnsi="Arial" w:cs="Arial"/>
                <w:sz w:val="22"/>
                <w:szCs w:val="22"/>
                <w:lang w:eastAsia="en-AU"/>
              </w:rPr>
              <w:t xml:space="preserve"> and communities. [Internet] Canberra: Healing Foundation; 2023 [cited 2023 April 11] Available from: healingfoundation.org.au.</w:t>
            </w:r>
          </w:p>
        </w:tc>
      </w:tr>
      <w:tr w:rsidR="00536F4A" w:rsidRPr="002A5AD5" w14:paraId="27C07704" w14:textId="77777777" w:rsidTr="00536F4A">
        <w:trPr>
          <w:cantSplit/>
          <w:trHeight w:val="90"/>
        </w:trPr>
        <w:tc>
          <w:tcPr>
            <w:tcW w:w="1360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506FA62" w14:textId="245ABFD3" w:rsidR="00536F4A" w:rsidRPr="00536F4A" w:rsidRDefault="00536F4A" w:rsidP="00536F4A">
            <w:pPr>
              <w:spacing w:before="60" w:after="60"/>
              <w:rPr>
                <w:rFonts w:ascii="Arial" w:hAnsi="Arial" w:cs="Arial"/>
                <w:sz w:val="22"/>
                <w:szCs w:val="22"/>
              </w:rPr>
            </w:pPr>
            <w:r w:rsidRPr="00536F4A">
              <w:rPr>
                <w:rFonts w:ascii="Arial" w:hAnsi="Arial" w:cs="Arial"/>
                <w:b/>
                <w:sz w:val="22"/>
                <w:szCs w:val="22"/>
              </w:rPr>
              <w:t>Related resources</w:t>
            </w:r>
          </w:p>
        </w:tc>
      </w:tr>
      <w:tr w:rsidR="00536F4A" w:rsidRPr="002A5AD5" w14:paraId="6A506545" w14:textId="77777777" w:rsidTr="00536F4A">
        <w:trPr>
          <w:cantSplit/>
          <w:trHeight w:val="90"/>
        </w:trPr>
        <w:tc>
          <w:tcPr>
            <w:tcW w:w="13608" w:type="dxa"/>
            <w:gridSpan w:val="2"/>
            <w:tcBorders>
              <w:top w:val="single" w:sz="4" w:space="0" w:color="auto"/>
              <w:left w:val="single" w:sz="4" w:space="0" w:color="auto"/>
              <w:right w:val="single" w:sz="4" w:space="0" w:color="auto"/>
            </w:tcBorders>
            <w:shd w:val="clear" w:color="auto" w:fill="FFFFFF" w:themeFill="background1"/>
          </w:tcPr>
          <w:p w14:paraId="3C4CF0B2" w14:textId="77777777" w:rsidR="00536F4A" w:rsidRDefault="00762D1A">
            <w:pPr>
              <w:pStyle w:val="ListParagraph"/>
              <w:numPr>
                <w:ilvl w:val="0"/>
                <w:numId w:val="8"/>
              </w:numPr>
              <w:spacing w:before="60" w:after="60"/>
              <w:rPr>
                <w:rFonts w:ascii="Arial" w:hAnsi="Arial" w:cs="Arial"/>
                <w:bCs/>
                <w:sz w:val="22"/>
                <w:szCs w:val="22"/>
              </w:rPr>
            </w:pPr>
            <w:r w:rsidRPr="00762D1A">
              <w:rPr>
                <w:rFonts w:ascii="Arial" w:hAnsi="Arial" w:cs="Arial"/>
                <w:bCs/>
                <w:sz w:val="22"/>
                <w:szCs w:val="22"/>
              </w:rPr>
              <w:t>Australian Commission on Safety and Quality in Health Care. Delirium Clinical Care Standard. Sydney: ACSQHC, 2021.</w:t>
            </w:r>
          </w:p>
          <w:p w14:paraId="58024651" w14:textId="13CA0491" w:rsidR="00762D1A" w:rsidRPr="00762D1A" w:rsidRDefault="00762D1A">
            <w:pPr>
              <w:pStyle w:val="ListParagraph"/>
              <w:numPr>
                <w:ilvl w:val="0"/>
                <w:numId w:val="8"/>
              </w:numPr>
              <w:spacing w:before="60" w:after="60"/>
              <w:rPr>
                <w:rFonts w:ascii="Arial" w:hAnsi="Arial" w:cs="Arial"/>
                <w:bCs/>
                <w:sz w:val="22"/>
                <w:szCs w:val="22"/>
              </w:rPr>
            </w:pPr>
            <w:r w:rsidRPr="00762D1A">
              <w:rPr>
                <w:rFonts w:ascii="Arial" w:hAnsi="Arial" w:cs="Arial"/>
                <w:bCs/>
                <w:sz w:val="22"/>
                <w:szCs w:val="22"/>
              </w:rPr>
              <w:t>Australian Commission on Safety and Quality in Health Care. Hospital-acquired complications (HACs). Sydney: ACSQHC; 2022</w:t>
            </w:r>
            <w:r>
              <w:rPr>
                <w:rFonts w:ascii="Arial" w:hAnsi="Arial" w:cs="Arial"/>
                <w:bCs/>
                <w:sz w:val="22"/>
                <w:szCs w:val="22"/>
              </w:rPr>
              <w:t xml:space="preserve">. </w:t>
            </w:r>
            <w:r w:rsidRPr="00762D1A">
              <w:rPr>
                <w:rFonts w:ascii="Arial" w:hAnsi="Arial" w:cs="Arial"/>
                <w:bCs/>
                <w:sz w:val="22"/>
                <w:szCs w:val="22"/>
              </w:rPr>
              <w:t>Available from: www.safetyandquality.gov.au/our-work/indicators/ hospital-acquired-complications.</w:t>
            </w:r>
          </w:p>
        </w:tc>
      </w:tr>
    </w:tbl>
    <w:p w14:paraId="51DFE38D" w14:textId="77777777" w:rsidR="00BA6F4C" w:rsidRDefault="00BA6F4C" w:rsidP="00FF00AC">
      <w:pPr>
        <w:ind w:firstLine="720"/>
      </w:pPr>
    </w:p>
    <w:p w14:paraId="6C2C8B7A" w14:textId="77777777" w:rsidR="00BA6F4C" w:rsidRDefault="00BA6F4C" w:rsidP="00BA6F4C">
      <w:pPr>
        <w:tabs>
          <w:tab w:val="left" w:pos="2175"/>
        </w:tabs>
        <w:sectPr w:rsidR="00BA6F4C" w:rsidSect="00C768B6">
          <w:headerReference w:type="default" r:id="rId15"/>
          <w:pgSz w:w="16838" w:h="11906" w:orient="landscape"/>
          <w:pgMar w:top="1440" w:right="1440" w:bottom="1440" w:left="1440" w:header="708" w:footer="708" w:gutter="0"/>
          <w:cols w:space="708"/>
          <w:docGrid w:linePitch="360"/>
        </w:sectPr>
      </w:pPr>
      <w:r>
        <w:tab/>
      </w:r>
    </w:p>
    <w:tbl>
      <w:tblPr>
        <w:tblpPr w:leftFromText="180" w:rightFromText="180" w:horzAnchor="margin" w:tblpY="-422"/>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0381"/>
      </w:tblGrid>
      <w:tr w:rsidR="00BA6F4C" w:rsidRPr="002A5AD5" w14:paraId="556B33E9" w14:textId="77777777" w:rsidTr="0026256F">
        <w:trPr>
          <w:tblHeader/>
        </w:trPr>
        <w:tc>
          <w:tcPr>
            <w:tcW w:w="3227" w:type="dxa"/>
            <w:tcBorders>
              <w:top w:val="single" w:sz="4" w:space="0" w:color="auto"/>
              <w:left w:val="single" w:sz="4" w:space="0" w:color="auto"/>
              <w:bottom w:val="single" w:sz="4" w:space="0" w:color="auto"/>
              <w:right w:val="single" w:sz="4" w:space="0" w:color="auto"/>
            </w:tcBorders>
            <w:shd w:val="clear" w:color="auto" w:fill="00988E"/>
          </w:tcPr>
          <w:p w14:paraId="03EFAE33" w14:textId="77777777" w:rsidR="00BA6F4C" w:rsidRPr="002A5AD5" w:rsidRDefault="00BA6F4C" w:rsidP="00F66CA3">
            <w:pPr>
              <w:spacing w:before="60"/>
              <w:rPr>
                <w:rFonts w:ascii="Arial" w:hAnsi="Arial" w:cs="Arial"/>
                <w:color w:val="FFFFFF"/>
                <w:sz w:val="32"/>
                <w:szCs w:val="32"/>
              </w:rPr>
            </w:pPr>
            <w:r>
              <w:rPr>
                <w:rFonts w:ascii="Arial" w:hAnsi="Arial" w:cs="Arial"/>
                <w:b/>
                <w:bCs/>
                <w:color w:val="FFFFFF"/>
                <w:sz w:val="32"/>
                <w:szCs w:val="32"/>
              </w:rPr>
              <w:lastRenderedPageBreak/>
              <w:t>Quality Statement 4</w:t>
            </w:r>
          </w:p>
        </w:tc>
        <w:tc>
          <w:tcPr>
            <w:tcW w:w="10381" w:type="dxa"/>
            <w:tcBorders>
              <w:top w:val="single" w:sz="4" w:space="0" w:color="auto"/>
              <w:left w:val="single" w:sz="4" w:space="0" w:color="auto"/>
              <w:bottom w:val="single" w:sz="4" w:space="0" w:color="auto"/>
              <w:right w:val="single" w:sz="4" w:space="0" w:color="auto"/>
            </w:tcBorders>
          </w:tcPr>
          <w:p w14:paraId="1E128EC3" w14:textId="77777777" w:rsidR="009E7CA1" w:rsidRPr="009E7CA1" w:rsidRDefault="009E7CA1" w:rsidP="009E7CA1">
            <w:pPr>
              <w:spacing w:before="60" w:after="60"/>
              <w:rPr>
                <w:rFonts w:ascii="Arial" w:hAnsi="Arial" w:cs="Arial"/>
                <w:b/>
                <w:sz w:val="22"/>
                <w:szCs w:val="22"/>
              </w:rPr>
            </w:pPr>
            <w:r w:rsidRPr="009E7CA1">
              <w:rPr>
                <w:rFonts w:ascii="Arial" w:hAnsi="Arial" w:cs="Arial"/>
                <w:b/>
                <w:sz w:val="22"/>
                <w:szCs w:val="22"/>
              </w:rPr>
              <w:t>Timing of surgery</w:t>
            </w:r>
          </w:p>
          <w:p w14:paraId="1CFA9D24" w14:textId="4D02C7DE" w:rsidR="00BA6F4C" w:rsidRPr="009E7CA1" w:rsidRDefault="00913409" w:rsidP="009E7CA1">
            <w:pPr>
              <w:spacing w:before="60" w:after="60"/>
              <w:rPr>
                <w:rFonts w:ascii="Arial" w:hAnsi="Arial" w:cs="Arial"/>
                <w:bCs/>
                <w:sz w:val="22"/>
                <w:szCs w:val="22"/>
              </w:rPr>
            </w:pPr>
            <w:r w:rsidRPr="00913409">
              <w:rPr>
                <w:rFonts w:ascii="Arial" w:hAnsi="Arial" w:cs="Arial"/>
                <w:bCs/>
                <w:sz w:val="22"/>
                <w:szCs w:val="22"/>
              </w:rPr>
              <w:t>A person with a hip fracture receives surgery within 36 hours of their first presentation to hospital</w:t>
            </w:r>
            <w:r w:rsidR="009E7CA1" w:rsidRPr="009E7CA1">
              <w:rPr>
                <w:rFonts w:ascii="Arial" w:hAnsi="Arial" w:cs="Arial"/>
                <w:bCs/>
                <w:sz w:val="22"/>
                <w:szCs w:val="22"/>
              </w:rPr>
              <w:t>.</w:t>
            </w:r>
          </w:p>
        </w:tc>
      </w:tr>
      <w:tr w:rsidR="00BA6F4C" w:rsidRPr="002A5AD5" w14:paraId="570D1294" w14:textId="77777777" w:rsidTr="0026256F">
        <w:trPr>
          <w:tblHeader/>
        </w:trPr>
        <w:tc>
          <w:tcPr>
            <w:tcW w:w="13608" w:type="dxa"/>
            <w:gridSpan w:val="2"/>
            <w:tcBorders>
              <w:top w:val="single" w:sz="4" w:space="0" w:color="auto"/>
              <w:left w:val="single" w:sz="4" w:space="0" w:color="auto"/>
              <w:bottom w:val="single" w:sz="4" w:space="0" w:color="auto"/>
              <w:right w:val="single" w:sz="4" w:space="0" w:color="auto"/>
            </w:tcBorders>
            <w:shd w:val="clear" w:color="auto" w:fill="auto"/>
          </w:tcPr>
          <w:p w14:paraId="0CB35694" w14:textId="0F1435A3" w:rsidR="00BA6F4C" w:rsidRPr="002A5AD5" w:rsidRDefault="00BA6F4C" w:rsidP="0026256F">
            <w:pPr>
              <w:rPr>
                <w:rFonts w:ascii="Arial" w:hAnsi="Arial" w:cs="Arial"/>
                <w:b/>
              </w:rPr>
            </w:pPr>
            <w:r w:rsidRPr="002A5AD5">
              <w:rPr>
                <w:rFonts w:ascii="Arial" w:hAnsi="Arial" w:cs="Arial"/>
                <w:b/>
              </w:rPr>
              <w:t xml:space="preserve">EVIDENCE SOURCES </w:t>
            </w:r>
            <w:r w:rsidR="004D78BD">
              <w:rPr>
                <w:rFonts w:ascii="Arial" w:hAnsi="Arial" w:cs="Arial"/>
                <w:b/>
              </w:rPr>
              <w:t xml:space="preserve">  </w:t>
            </w:r>
          </w:p>
        </w:tc>
      </w:tr>
      <w:tr w:rsidR="00BA6F4C" w:rsidRPr="002A5AD5" w14:paraId="17F8F309" w14:textId="77777777" w:rsidTr="004D78BD">
        <w:trPr>
          <w:trHeight w:val="90"/>
          <w:tblHeader/>
        </w:trPr>
        <w:tc>
          <w:tcPr>
            <w:tcW w:w="1360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B8E950E" w14:textId="77777777" w:rsidR="00BA6F4C" w:rsidRPr="0074479F" w:rsidRDefault="00BA6F4C" w:rsidP="00F66CA3">
            <w:pPr>
              <w:spacing w:before="60" w:after="60"/>
              <w:rPr>
                <w:rFonts w:ascii="Arial" w:hAnsi="Arial" w:cs="Arial"/>
                <w:b/>
                <w:sz w:val="22"/>
                <w:szCs w:val="22"/>
              </w:rPr>
            </w:pPr>
            <w:r w:rsidRPr="0074479F">
              <w:rPr>
                <w:rFonts w:ascii="Arial" w:hAnsi="Arial" w:cs="Arial"/>
                <w:b/>
                <w:sz w:val="22"/>
                <w:szCs w:val="22"/>
              </w:rPr>
              <w:t>Australian Guideline</w:t>
            </w:r>
            <w:r w:rsidR="00A902FE" w:rsidRPr="0074479F">
              <w:rPr>
                <w:rFonts w:ascii="Arial" w:hAnsi="Arial" w:cs="Arial"/>
                <w:b/>
                <w:sz w:val="22"/>
                <w:szCs w:val="22"/>
              </w:rPr>
              <w:t>s</w:t>
            </w:r>
          </w:p>
        </w:tc>
      </w:tr>
      <w:tr w:rsidR="00BA6F4C" w:rsidRPr="002A5AD5" w14:paraId="0A51975D" w14:textId="77777777" w:rsidTr="0026256F">
        <w:trPr>
          <w:cantSplit/>
          <w:trHeight w:val="90"/>
        </w:trPr>
        <w:tc>
          <w:tcPr>
            <w:tcW w:w="13608" w:type="dxa"/>
            <w:gridSpan w:val="2"/>
            <w:tcBorders>
              <w:top w:val="single" w:sz="4" w:space="0" w:color="auto"/>
              <w:left w:val="single" w:sz="4" w:space="0" w:color="auto"/>
              <w:bottom w:val="single" w:sz="4" w:space="0" w:color="auto"/>
              <w:right w:val="single" w:sz="4" w:space="0" w:color="auto"/>
            </w:tcBorders>
          </w:tcPr>
          <w:p w14:paraId="5447CD27" w14:textId="77777777" w:rsidR="00762D1A" w:rsidRDefault="00762D1A">
            <w:pPr>
              <w:pStyle w:val="ListParagraph"/>
              <w:numPr>
                <w:ilvl w:val="0"/>
                <w:numId w:val="9"/>
              </w:numPr>
              <w:rPr>
                <w:rFonts w:ascii="Arial" w:hAnsi="Arial" w:cs="Arial"/>
                <w:sz w:val="22"/>
                <w:szCs w:val="22"/>
              </w:rPr>
            </w:pPr>
            <w:r w:rsidRPr="00762D1A">
              <w:rPr>
                <w:rFonts w:ascii="Arial" w:hAnsi="Arial" w:cs="Arial"/>
                <w:sz w:val="22"/>
                <w:szCs w:val="22"/>
              </w:rPr>
              <w:t>Australian and New Zealand Hip Fracture Registry Steering Group. Australian and New Zealand guideline for hip fracture care: improving outcomes in hip fracture management of adults. Sydney: ANZHFR, 2014.</w:t>
            </w:r>
          </w:p>
          <w:p w14:paraId="38009B46" w14:textId="68BDB2CA" w:rsidR="009C08AE" w:rsidRPr="00762D1A" w:rsidRDefault="00762D1A">
            <w:pPr>
              <w:pStyle w:val="ListParagraph"/>
              <w:numPr>
                <w:ilvl w:val="0"/>
                <w:numId w:val="9"/>
              </w:numPr>
              <w:spacing w:after="60"/>
              <w:ind w:left="714" w:hanging="357"/>
              <w:rPr>
                <w:rFonts w:ascii="Arial" w:hAnsi="Arial" w:cs="Arial"/>
                <w:sz w:val="22"/>
                <w:szCs w:val="22"/>
              </w:rPr>
            </w:pPr>
            <w:r w:rsidRPr="00762D1A">
              <w:rPr>
                <w:rFonts w:ascii="Arial" w:hAnsi="Arial" w:cs="Arial"/>
                <w:sz w:val="22"/>
                <w:szCs w:val="22"/>
              </w:rPr>
              <w:t>Therapeutic Guidelines. Venous thromboembolism (VTE): prophylaxis. Melbourne: Therapeutic Guidelines, 2018 Updated 2020 Aug.</w:t>
            </w:r>
          </w:p>
        </w:tc>
      </w:tr>
      <w:tr w:rsidR="00BA6F4C" w:rsidRPr="002A5AD5" w14:paraId="656FB9CE" w14:textId="77777777" w:rsidTr="004D78BD">
        <w:trPr>
          <w:cantSplit/>
          <w:trHeight w:val="90"/>
        </w:trPr>
        <w:tc>
          <w:tcPr>
            <w:tcW w:w="13608" w:type="dxa"/>
            <w:gridSpan w:val="2"/>
            <w:tcBorders>
              <w:top w:val="single" w:sz="4" w:space="0" w:color="auto"/>
              <w:left w:val="single" w:sz="4" w:space="0" w:color="auto"/>
              <w:right w:val="single" w:sz="4" w:space="0" w:color="auto"/>
            </w:tcBorders>
            <w:shd w:val="clear" w:color="auto" w:fill="DEEAF6" w:themeFill="accent1" w:themeFillTint="33"/>
          </w:tcPr>
          <w:p w14:paraId="77287079" w14:textId="77777777" w:rsidR="00BA6F4C" w:rsidRPr="0074479F" w:rsidRDefault="00BA6F4C" w:rsidP="00F66CA3">
            <w:pPr>
              <w:autoSpaceDE w:val="0"/>
              <w:autoSpaceDN w:val="0"/>
              <w:adjustRightInd w:val="0"/>
              <w:spacing w:before="60" w:after="60"/>
              <w:rPr>
                <w:rFonts w:ascii="Arial" w:hAnsi="Arial" w:cs="Arial"/>
                <w:b/>
                <w:sz w:val="22"/>
                <w:szCs w:val="22"/>
              </w:rPr>
            </w:pPr>
            <w:r w:rsidRPr="0074479F">
              <w:rPr>
                <w:rFonts w:ascii="Arial" w:hAnsi="Arial" w:cs="Arial"/>
                <w:b/>
                <w:sz w:val="22"/>
                <w:szCs w:val="22"/>
              </w:rPr>
              <w:t>International Guidelines</w:t>
            </w:r>
          </w:p>
        </w:tc>
      </w:tr>
      <w:tr w:rsidR="009C08AE" w:rsidRPr="002A5AD5" w14:paraId="194171DE" w14:textId="77777777" w:rsidTr="00C86B4E">
        <w:trPr>
          <w:cantSplit/>
          <w:trHeight w:val="445"/>
        </w:trPr>
        <w:tc>
          <w:tcPr>
            <w:tcW w:w="13608" w:type="dxa"/>
            <w:gridSpan w:val="2"/>
            <w:tcBorders>
              <w:top w:val="single" w:sz="4" w:space="0" w:color="auto"/>
              <w:left w:val="single" w:sz="4" w:space="0" w:color="auto"/>
              <w:bottom w:val="single" w:sz="4" w:space="0" w:color="auto"/>
              <w:right w:val="single" w:sz="4" w:space="0" w:color="auto"/>
            </w:tcBorders>
          </w:tcPr>
          <w:p w14:paraId="48845F1B" w14:textId="2B04F9E4" w:rsidR="009C08AE" w:rsidRPr="00762D1A" w:rsidRDefault="00762D1A">
            <w:pPr>
              <w:pStyle w:val="ListParagraph"/>
              <w:numPr>
                <w:ilvl w:val="0"/>
                <w:numId w:val="9"/>
              </w:numPr>
              <w:spacing w:after="60"/>
              <w:ind w:left="714" w:hanging="357"/>
              <w:rPr>
                <w:rFonts w:ascii="Arial" w:hAnsi="Arial" w:cs="Arial"/>
                <w:sz w:val="22"/>
                <w:szCs w:val="22"/>
              </w:rPr>
            </w:pPr>
            <w:r w:rsidRPr="00762D1A">
              <w:rPr>
                <w:rFonts w:ascii="Arial" w:hAnsi="Arial" w:cs="Arial"/>
                <w:sz w:val="22"/>
                <w:szCs w:val="22"/>
              </w:rPr>
              <w:t xml:space="preserve">National Institute for Health and Care Excellence (GB). Hip fracture: management [clinical guideline </w:t>
            </w:r>
            <w:r w:rsidR="00A370F3">
              <w:rPr>
                <w:rFonts w:ascii="Arial" w:hAnsi="Arial" w:cs="Arial"/>
                <w:sz w:val="22"/>
                <w:szCs w:val="22"/>
              </w:rPr>
              <w:t>CG124</w:t>
            </w:r>
            <w:r w:rsidRPr="00762D1A">
              <w:rPr>
                <w:rFonts w:ascii="Arial" w:hAnsi="Arial" w:cs="Arial"/>
                <w:sz w:val="22"/>
                <w:szCs w:val="22"/>
              </w:rPr>
              <w:t>]. United Kingdom: NICE (GB), 2023.</w:t>
            </w:r>
          </w:p>
        </w:tc>
      </w:tr>
      <w:tr w:rsidR="009C08AE" w:rsidRPr="002A5AD5" w14:paraId="422125C3" w14:textId="77777777" w:rsidTr="004D78BD">
        <w:trPr>
          <w:cantSplit/>
          <w:trHeight w:val="90"/>
        </w:trPr>
        <w:tc>
          <w:tcPr>
            <w:tcW w:w="13608" w:type="dxa"/>
            <w:gridSpan w:val="2"/>
            <w:tcBorders>
              <w:top w:val="single" w:sz="4" w:space="0" w:color="auto"/>
              <w:left w:val="single" w:sz="4" w:space="0" w:color="auto"/>
              <w:right w:val="single" w:sz="4" w:space="0" w:color="auto"/>
            </w:tcBorders>
            <w:shd w:val="clear" w:color="auto" w:fill="DEEAF6" w:themeFill="accent1" w:themeFillTint="33"/>
          </w:tcPr>
          <w:p w14:paraId="7EBA0A11" w14:textId="77777777" w:rsidR="009C08AE" w:rsidRPr="0074479F" w:rsidRDefault="009C08AE" w:rsidP="009C08AE">
            <w:pPr>
              <w:spacing w:before="60" w:after="60"/>
              <w:rPr>
                <w:rFonts w:ascii="Arial" w:hAnsi="Arial" w:cs="Arial"/>
                <w:b/>
                <w:sz w:val="22"/>
                <w:szCs w:val="22"/>
              </w:rPr>
            </w:pPr>
            <w:r w:rsidRPr="0074479F">
              <w:rPr>
                <w:rFonts w:ascii="Arial" w:hAnsi="Arial" w:cs="Arial"/>
                <w:b/>
                <w:sz w:val="22"/>
                <w:szCs w:val="22"/>
              </w:rPr>
              <w:t>Additional Sources</w:t>
            </w:r>
          </w:p>
        </w:tc>
      </w:tr>
      <w:tr w:rsidR="009C08AE" w:rsidRPr="002A5AD5" w14:paraId="30D20DF5" w14:textId="77777777" w:rsidTr="0026256F">
        <w:trPr>
          <w:cantSplit/>
          <w:trHeight w:val="90"/>
        </w:trPr>
        <w:tc>
          <w:tcPr>
            <w:tcW w:w="13608" w:type="dxa"/>
            <w:gridSpan w:val="2"/>
            <w:tcBorders>
              <w:top w:val="single" w:sz="4" w:space="0" w:color="auto"/>
              <w:left w:val="single" w:sz="4" w:space="0" w:color="auto"/>
              <w:right w:val="single" w:sz="4" w:space="0" w:color="auto"/>
            </w:tcBorders>
          </w:tcPr>
          <w:p w14:paraId="4C34A932" w14:textId="44AFE5CD" w:rsidR="00762D1A" w:rsidRPr="00905A0F" w:rsidRDefault="00762D1A">
            <w:pPr>
              <w:pStyle w:val="ListParagraph"/>
              <w:numPr>
                <w:ilvl w:val="0"/>
                <w:numId w:val="9"/>
              </w:numPr>
              <w:rPr>
                <w:rFonts w:ascii="Arial" w:hAnsi="Arial" w:cs="Arial"/>
                <w:sz w:val="22"/>
                <w:szCs w:val="22"/>
                <w:shd w:val="clear" w:color="auto" w:fill="FFFFFF"/>
              </w:rPr>
            </w:pPr>
            <w:r w:rsidRPr="00905A0F">
              <w:rPr>
                <w:rFonts w:ascii="Arial" w:hAnsi="Arial" w:cs="Arial"/>
                <w:sz w:val="22"/>
                <w:szCs w:val="22"/>
                <w:shd w:val="clear" w:color="auto" w:fill="FFFFFF"/>
              </w:rPr>
              <w:t>Australian Commission on Safety and Quality in Health Care. Venous Thromboembolism Prevention Clinical Care Standard. Sydney: ACSQHC, 2020.</w:t>
            </w:r>
          </w:p>
          <w:p w14:paraId="15211291" w14:textId="1E09D820" w:rsidR="009C08AE" w:rsidRPr="002F38EA" w:rsidRDefault="00762D1A">
            <w:pPr>
              <w:pStyle w:val="ListParagraph"/>
              <w:numPr>
                <w:ilvl w:val="0"/>
                <w:numId w:val="9"/>
              </w:numPr>
              <w:spacing w:after="60"/>
              <w:ind w:left="714" w:hanging="357"/>
              <w:rPr>
                <w:rFonts w:ascii="Arial" w:hAnsi="Arial" w:cs="Arial"/>
                <w:color w:val="333333"/>
                <w:sz w:val="22"/>
                <w:szCs w:val="22"/>
                <w:shd w:val="clear" w:color="auto" w:fill="FFFFFF"/>
              </w:rPr>
            </w:pPr>
            <w:r w:rsidRPr="00905A0F">
              <w:rPr>
                <w:rFonts w:ascii="Arial" w:hAnsi="Arial" w:cs="Arial"/>
                <w:sz w:val="22"/>
                <w:szCs w:val="22"/>
                <w:shd w:val="clear" w:color="auto" w:fill="FFFFFF"/>
              </w:rPr>
              <w:t>Australian Commission on Safety and Quality in Health Care. Antimicrobial Stewardship Clinical Care Standard. Sydney: ACSQHC, 2020.</w:t>
            </w:r>
          </w:p>
        </w:tc>
      </w:tr>
    </w:tbl>
    <w:p w14:paraId="056E3C36" w14:textId="77777777" w:rsidR="00984180" w:rsidRDefault="00984180" w:rsidP="00BA6F4C">
      <w:pPr>
        <w:tabs>
          <w:tab w:val="left" w:pos="2175"/>
        </w:tabs>
      </w:pPr>
    </w:p>
    <w:p w14:paraId="71088CAD" w14:textId="77777777" w:rsidR="000F3536" w:rsidRDefault="000F3536" w:rsidP="00BA6F4C">
      <w:pPr>
        <w:tabs>
          <w:tab w:val="left" w:pos="2175"/>
        </w:tabs>
        <w:sectPr w:rsidR="000F3536" w:rsidSect="00C768B6">
          <w:pgSz w:w="16838" w:h="11906" w:orient="landscape"/>
          <w:pgMar w:top="1440" w:right="1440" w:bottom="1440" w:left="1440" w:header="708" w:footer="708" w:gutter="0"/>
          <w:cols w:space="708"/>
          <w:docGrid w:linePitch="360"/>
        </w:sectPr>
      </w:pPr>
    </w:p>
    <w:tbl>
      <w:tblPr>
        <w:tblpPr w:leftFromText="180" w:rightFromText="180" w:horzAnchor="margin" w:tblpY="-422"/>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0381"/>
      </w:tblGrid>
      <w:tr w:rsidR="000F3536" w:rsidRPr="002A5AD5" w14:paraId="1FBE42D5" w14:textId="77777777" w:rsidTr="0026256F">
        <w:trPr>
          <w:tblHeader/>
        </w:trPr>
        <w:tc>
          <w:tcPr>
            <w:tcW w:w="3227" w:type="dxa"/>
            <w:tcBorders>
              <w:top w:val="single" w:sz="4" w:space="0" w:color="auto"/>
              <w:left w:val="single" w:sz="4" w:space="0" w:color="auto"/>
              <w:bottom w:val="single" w:sz="4" w:space="0" w:color="auto"/>
              <w:right w:val="single" w:sz="4" w:space="0" w:color="auto"/>
            </w:tcBorders>
            <w:shd w:val="clear" w:color="auto" w:fill="00988E"/>
          </w:tcPr>
          <w:p w14:paraId="7009B75D" w14:textId="77777777" w:rsidR="000F3536" w:rsidRPr="002A5AD5" w:rsidRDefault="000F3536" w:rsidP="00F66CA3">
            <w:pPr>
              <w:spacing w:before="60"/>
              <w:rPr>
                <w:rFonts w:ascii="Arial" w:hAnsi="Arial" w:cs="Arial"/>
                <w:color w:val="FFFFFF"/>
                <w:sz w:val="32"/>
                <w:szCs w:val="32"/>
              </w:rPr>
            </w:pPr>
            <w:r>
              <w:rPr>
                <w:rFonts w:ascii="Arial" w:hAnsi="Arial" w:cs="Arial"/>
                <w:b/>
                <w:bCs/>
                <w:color w:val="FFFFFF"/>
                <w:sz w:val="32"/>
                <w:szCs w:val="32"/>
              </w:rPr>
              <w:lastRenderedPageBreak/>
              <w:t>Quality Statement 5</w:t>
            </w:r>
          </w:p>
        </w:tc>
        <w:tc>
          <w:tcPr>
            <w:tcW w:w="10381" w:type="dxa"/>
            <w:tcBorders>
              <w:top w:val="single" w:sz="4" w:space="0" w:color="auto"/>
              <w:left w:val="single" w:sz="4" w:space="0" w:color="auto"/>
              <w:bottom w:val="single" w:sz="4" w:space="0" w:color="auto"/>
              <w:right w:val="single" w:sz="4" w:space="0" w:color="auto"/>
            </w:tcBorders>
          </w:tcPr>
          <w:p w14:paraId="55E493BE" w14:textId="77777777" w:rsidR="009E7CA1" w:rsidRPr="009E7CA1" w:rsidRDefault="009E7CA1" w:rsidP="009E7CA1">
            <w:pPr>
              <w:spacing w:before="60" w:after="60"/>
              <w:rPr>
                <w:rFonts w:ascii="Arial" w:hAnsi="Arial" w:cs="Arial"/>
                <w:b/>
                <w:sz w:val="22"/>
                <w:szCs w:val="22"/>
              </w:rPr>
            </w:pPr>
            <w:proofErr w:type="spellStart"/>
            <w:r w:rsidRPr="009E7CA1">
              <w:rPr>
                <w:rFonts w:ascii="Arial" w:hAnsi="Arial" w:cs="Arial"/>
                <w:b/>
                <w:sz w:val="22"/>
                <w:szCs w:val="22"/>
              </w:rPr>
              <w:t>Mobilisation</w:t>
            </w:r>
            <w:proofErr w:type="spellEnd"/>
            <w:r w:rsidRPr="009E7CA1">
              <w:rPr>
                <w:rFonts w:ascii="Arial" w:hAnsi="Arial" w:cs="Arial"/>
                <w:b/>
                <w:sz w:val="22"/>
                <w:szCs w:val="22"/>
              </w:rPr>
              <w:t xml:space="preserve"> and weight bearing</w:t>
            </w:r>
          </w:p>
          <w:p w14:paraId="3FCC67FE" w14:textId="434E163A" w:rsidR="000F3536" w:rsidRPr="009E7CA1" w:rsidRDefault="00913409" w:rsidP="009E7CA1">
            <w:pPr>
              <w:spacing w:before="60" w:after="60"/>
              <w:rPr>
                <w:rFonts w:ascii="Arial" w:hAnsi="Arial" w:cs="Arial"/>
                <w:bCs/>
                <w:sz w:val="22"/>
                <w:szCs w:val="22"/>
              </w:rPr>
            </w:pPr>
            <w:r w:rsidRPr="00913409">
              <w:rPr>
                <w:rFonts w:ascii="Arial" w:hAnsi="Arial" w:cs="Arial"/>
                <w:bCs/>
                <w:sz w:val="22"/>
                <w:szCs w:val="22"/>
              </w:rPr>
              <w:t xml:space="preserve">A person with a hip fracture is </w:t>
            </w:r>
            <w:proofErr w:type="spellStart"/>
            <w:r w:rsidRPr="00913409">
              <w:rPr>
                <w:rFonts w:ascii="Arial" w:hAnsi="Arial" w:cs="Arial"/>
                <w:bCs/>
                <w:sz w:val="22"/>
                <w:szCs w:val="22"/>
              </w:rPr>
              <w:t>mobilised</w:t>
            </w:r>
            <w:proofErr w:type="spellEnd"/>
            <w:r w:rsidRPr="00913409">
              <w:rPr>
                <w:rFonts w:ascii="Arial" w:hAnsi="Arial" w:cs="Arial"/>
                <w:bCs/>
                <w:sz w:val="22"/>
                <w:szCs w:val="22"/>
              </w:rPr>
              <w:t xml:space="preserve"> without restrictions on weight bearing, starting the day of, or the day after, surgery, and at least once a day thereafter, according to their clinical condition and agreed goals of care</w:t>
            </w:r>
            <w:r w:rsidR="009E7CA1" w:rsidRPr="009E7CA1">
              <w:rPr>
                <w:rFonts w:ascii="Arial" w:hAnsi="Arial" w:cs="Arial"/>
                <w:bCs/>
                <w:sz w:val="22"/>
                <w:szCs w:val="22"/>
              </w:rPr>
              <w:t>.</w:t>
            </w:r>
          </w:p>
        </w:tc>
      </w:tr>
      <w:tr w:rsidR="000F3536" w:rsidRPr="002A5AD5" w14:paraId="3DA1DC52" w14:textId="77777777" w:rsidTr="0026256F">
        <w:trPr>
          <w:tblHeader/>
        </w:trPr>
        <w:tc>
          <w:tcPr>
            <w:tcW w:w="13608" w:type="dxa"/>
            <w:gridSpan w:val="2"/>
            <w:tcBorders>
              <w:top w:val="single" w:sz="4" w:space="0" w:color="auto"/>
              <w:left w:val="single" w:sz="4" w:space="0" w:color="auto"/>
              <w:bottom w:val="single" w:sz="4" w:space="0" w:color="auto"/>
              <w:right w:val="single" w:sz="4" w:space="0" w:color="auto"/>
            </w:tcBorders>
            <w:shd w:val="clear" w:color="auto" w:fill="auto"/>
          </w:tcPr>
          <w:p w14:paraId="6116AAC3" w14:textId="758B7C06" w:rsidR="000F3536" w:rsidRPr="002A5AD5" w:rsidRDefault="000F3536" w:rsidP="0026256F">
            <w:pPr>
              <w:rPr>
                <w:rFonts w:ascii="Arial" w:hAnsi="Arial" w:cs="Arial"/>
                <w:b/>
              </w:rPr>
            </w:pPr>
            <w:r w:rsidRPr="002A5AD5">
              <w:rPr>
                <w:rFonts w:ascii="Arial" w:hAnsi="Arial" w:cs="Arial"/>
                <w:b/>
              </w:rPr>
              <w:t xml:space="preserve">EVIDENCE SOURCES </w:t>
            </w:r>
            <w:r w:rsidR="004D78BD">
              <w:rPr>
                <w:rFonts w:ascii="Arial" w:hAnsi="Arial" w:cs="Arial"/>
                <w:b/>
              </w:rPr>
              <w:t xml:space="preserve"> </w:t>
            </w:r>
          </w:p>
        </w:tc>
      </w:tr>
      <w:tr w:rsidR="000F3536" w:rsidRPr="002A5AD5" w14:paraId="37C93057" w14:textId="77777777" w:rsidTr="004D78BD">
        <w:trPr>
          <w:trHeight w:val="90"/>
          <w:tblHeader/>
        </w:trPr>
        <w:tc>
          <w:tcPr>
            <w:tcW w:w="1360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58E1BB2" w14:textId="77777777" w:rsidR="000F3536" w:rsidRPr="0074479F" w:rsidRDefault="000F3536" w:rsidP="00F66CA3">
            <w:pPr>
              <w:spacing w:before="60" w:after="60"/>
              <w:rPr>
                <w:rFonts w:ascii="Arial" w:hAnsi="Arial" w:cs="Arial"/>
                <w:b/>
                <w:sz w:val="22"/>
                <w:szCs w:val="22"/>
              </w:rPr>
            </w:pPr>
            <w:r w:rsidRPr="0074479F">
              <w:rPr>
                <w:rFonts w:ascii="Arial" w:hAnsi="Arial" w:cs="Arial"/>
                <w:b/>
                <w:sz w:val="22"/>
                <w:szCs w:val="22"/>
              </w:rPr>
              <w:t>Australian Guideline</w:t>
            </w:r>
            <w:r w:rsidR="00A902FE" w:rsidRPr="0074479F">
              <w:rPr>
                <w:rFonts w:ascii="Arial" w:hAnsi="Arial" w:cs="Arial"/>
                <w:b/>
                <w:sz w:val="22"/>
                <w:szCs w:val="22"/>
              </w:rPr>
              <w:t>s</w:t>
            </w:r>
          </w:p>
        </w:tc>
      </w:tr>
      <w:tr w:rsidR="000F3536" w:rsidRPr="002A5AD5" w14:paraId="5E18BCFE" w14:textId="77777777" w:rsidTr="0026256F">
        <w:trPr>
          <w:cantSplit/>
          <w:trHeight w:val="90"/>
        </w:trPr>
        <w:tc>
          <w:tcPr>
            <w:tcW w:w="13608" w:type="dxa"/>
            <w:gridSpan w:val="2"/>
            <w:tcBorders>
              <w:top w:val="single" w:sz="4" w:space="0" w:color="auto"/>
              <w:left w:val="single" w:sz="4" w:space="0" w:color="auto"/>
              <w:bottom w:val="single" w:sz="4" w:space="0" w:color="auto"/>
              <w:right w:val="single" w:sz="4" w:space="0" w:color="auto"/>
            </w:tcBorders>
          </w:tcPr>
          <w:p w14:paraId="59604A8C" w14:textId="18D19C5C" w:rsidR="000F3536" w:rsidRPr="00762D1A" w:rsidRDefault="00762D1A">
            <w:pPr>
              <w:pStyle w:val="ListParagraph"/>
              <w:numPr>
                <w:ilvl w:val="0"/>
                <w:numId w:val="10"/>
              </w:numPr>
              <w:spacing w:after="60"/>
              <w:ind w:left="714" w:hanging="357"/>
              <w:rPr>
                <w:rFonts w:ascii="Arial" w:hAnsi="Arial" w:cs="Arial"/>
                <w:sz w:val="22"/>
                <w:szCs w:val="22"/>
              </w:rPr>
            </w:pPr>
            <w:r w:rsidRPr="00762D1A">
              <w:rPr>
                <w:rFonts w:ascii="Arial" w:hAnsi="Arial" w:cs="Arial"/>
                <w:sz w:val="22"/>
                <w:szCs w:val="22"/>
              </w:rPr>
              <w:t>Australian and New Zealand Hip Fracture Registry Steering Group. Australian and New Zealand guideline for hip fracture care: improving outcomes in hip fracture management of adults. Sydney: ANZHFR, 2014.</w:t>
            </w:r>
          </w:p>
        </w:tc>
      </w:tr>
      <w:tr w:rsidR="000F3536" w:rsidRPr="002A5AD5" w14:paraId="73C5E53B" w14:textId="77777777" w:rsidTr="004D78BD">
        <w:trPr>
          <w:cantSplit/>
          <w:trHeight w:val="90"/>
        </w:trPr>
        <w:tc>
          <w:tcPr>
            <w:tcW w:w="13608" w:type="dxa"/>
            <w:gridSpan w:val="2"/>
            <w:tcBorders>
              <w:top w:val="single" w:sz="4" w:space="0" w:color="auto"/>
              <w:left w:val="single" w:sz="4" w:space="0" w:color="auto"/>
              <w:right w:val="single" w:sz="4" w:space="0" w:color="auto"/>
            </w:tcBorders>
            <w:shd w:val="clear" w:color="auto" w:fill="DEEAF6" w:themeFill="accent1" w:themeFillTint="33"/>
          </w:tcPr>
          <w:p w14:paraId="761737D5" w14:textId="77777777" w:rsidR="000F3536" w:rsidRPr="0074479F" w:rsidRDefault="000F3536" w:rsidP="00F66CA3">
            <w:pPr>
              <w:autoSpaceDE w:val="0"/>
              <w:autoSpaceDN w:val="0"/>
              <w:adjustRightInd w:val="0"/>
              <w:spacing w:before="60" w:after="60"/>
              <w:rPr>
                <w:rFonts w:ascii="Arial" w:hAnsi="Arial" w:cs="Arial"/>
                <w:b/>
                <w:sz w:val="22"/>
                <w:szCs w:val="22"/>
              </w:rPr>
            </w:pPr>
            <w:r w:rsidRPr="0074479F">
              <w:rPr>
                <w:rFonts w:ascii="Arial" w:hAnsi="Arial" w:cs="Arial"/>
                <w:b/>
                <w:sz w:val="22"/>
                <w:szCs w:val="22"/>
              </w:rPr>
              <w:t>International Guidelines</w:t>
            </w:r>
          </w:p>
        </w:tc>
      </w:tr>
      <w:tr w:rsidR="00C86B4E" w:rsidRPr="002A5AD5" w14:paraId="540F16CB" w14:textId="77777777" w:rsidTr="0074479F">
        <w:trPr>
          <w:cantSplit/>
          <w:trHeight w:val="909"/>
        </w:trPr>
        <w:tc>
          <w:tcPr>
            <w:tcW w:w="13608" w:type="dxa"/>
            <w:gridSpan w:val="2"/>
            <w:tcBorders>
              <w:top w:val="single" w:sz="4" w:space="0" w:color="auto"/>
              <w:left w:val="single" w:sz="4" w:space="0" w:color="auto"/>
              <w:bottom w:val="single" w:sz="4" w:space="0" w:color="auto"/>
              <w:right w:val="single" w:sz="4" w:space="0" w:color="auto"/>
            </w:tcBorders>
          </w:tcPr>
          <w:p w14:paraId="72742882" w14:textId="63873DDE" w:rsidR="00B25C68" w:rsidRDefault="00762D1A">
            <w:pPr>
              <w:pStyle w:val="ListParagraph"/>
              <w:numPr>
                <w:ilvl w:val="0"/>
                <w:numId w:val="10"/>
              </w:numPr>
              <w:rPr>
                <w:rFonts w:ascii="Arial" w:hAnsi="Arial" w:cs="Arial"/>
                <w:sz w:val="22"/>
                <w:szCs w:val="22"/>
              </w:rPr>
            </w:pPr>
            <w:r w:rsidRPr="00CF5778">
              <w:rPr>
                <w:rFonts w:ascii="Arial" w:hAnsi="Arial" w:cs="Arial"/>
                <w:sz w:val="22"/>
                <w:szCs w:val="22"/>
              </w:rPr>
              <w:t xml:space="preserve">National Institute for Health and Care Excellence (GB). Hip fracture: management [clinical guideline </w:t>
            </w:r>
            <w:r w:rsidR="00A370F3">
              <w:rPr>
                <w:rFonts w:ascii="Arial" w:hAnsi="Arial" w:cs="Arial"/>
                <w:sz w:val="22"/>
                <w:szCs w:val="22"/>
              </w:rPr>
              <w:t>CG124</w:t>
            </w:r>
            <w:r w:rsidRPr="00CF5778">
              <w:rPr>
                <w:rFonts w:ascii="Arial" w:hAnsi="Arial" w:cs="Arial"/>
                <w:sz w:val="22"/>
                <w:szCs w:val="22"/>
              </w:rPr>
              <w:t>]. United Kingdom: NICE (GB), 2023.</w:t>
            </w:r>
          </w:p>
          <w:p w14:paraId="70E9CA9F" w14:textId="3E060DC3" w:rsidR="00C86B4E" w:rsidRPr="00B25C68" w:rsidRDefault="00B25C68">
            <w:pPr>
              <w:pStyle w:val="ListParagraph"/>
              <w:numPr>
                <w:ilvl w:val="0"/>
                <w:numId w:val="10"/>
              </w:numPr>
              <w:spacing w:after="60"/>
              <w:ind w:left="714" w:hanging="357"/>
              <w:rPr>
                <w:rFonts w:ascii="Arial" w:hAnsi="Arial" w:cs="Arial"/>
                <w:sz w:val="22"/>
                <w:szCs w:val="22"/>
              </w:rPr>
            </w:pPr>
            <w:r w:rsidRPr="00B25C68">
              <w:rPr>
                <w:rFonts w:ascii="Arial" w:hAnsi="Arial" w:cs="Arial"/>
                <w:sz w:val="22"/>
                <w:szCs w:val="22"/>
              </w:rPr>
              <w:t>American Academy of Orthopaedic Surgeons. Management of hip fractures in older adults. Rosemont (IL): AAOS; 20</w:t>
            </w:r>
            <w:r>
              <w:rPr>
                <w:rFonts w:ascii="Arial" w:hAnsi="Arial" w:cs="Arial"/>
                <w:sz w:val="22"/>
                <w:szCs w:val="22"/>
              </w:rPr>
              <w:t>21.</w:t>
            </w:r>
            <w:r w:rsidRPr="00B25C68">
              <w:rPr>
                <w:rFonts w:ascii="Arial" w:hAnsi="Arial" w:cs="Arial"/>
                <w:sz w:val="22"/>
                <w:szCs w:val="22"/>
              </w:rPr>
              <w:t xml:space="preserve"> Available from: www.orthoguidelines. org/</w:t>
            </w:r>
            <w:proofErr w:type="spellStart"/>
            <w:r w:rsidRPr="00B25C68">
              <w:rPr>
                <w:rFonts w:ascii="Arial" w:hAnsi="Arial" w:cs="Arial"/>
                <w:sz w:val="22"/>
                <w:szCs w:val="22"/>
              </w:rPr>
              <w:t>topic?id</w:t>
            </w:r>
            <w:proofErr w:type="spellEnd"/>
            <w:r w:rsidRPr="00B25C68">
              <w:rPr>
                <w:rFonts w:ascii="Arial" w:hAnsi="Arial" w:cs="Arial"/>
                <w:sz w:val="22"/>
                <w:szCs w:val="22"/>
              </w:rPr>
              <w:t>=1038&amp;tab=</w:t>
            </w:r>
            <w:proofErr w:type="spellStart"/>
            <w:r w:rsidRPr="00B25C68">
              <w:rPr>
                <w:rFonts w:ascii="Arial" w:hAnsi="Arial" w:cs="Arial"/>
                <w:sz w:val="22"/>
                <w:szCs w:val="22"/>
              </w:rPr>
              <w:t>all_guidelines</w:t>
            </w:r>
            <w:proofErr w:type="spellEnd"/>
            <w:r w:rsidRPr="00B25C68">
              <w:rPr>
                <w:rFonts w:ascii="Arial" w:hAnsi="Arial" w:cs="Arial"/>
                <w:sz w:val="22"/>
                <w:szCs w:val="22"/>
              </w:rPr>
              <w:t>.</w:t>
            </w:r>
          </w:p>
        </w:tc>
      </w:tr>
      <w:tr w:rsidR="00C86B4E" w:rsidRPr="002A5AD5" w14:paraId="747D1429" w14:textId="77777777" w:rsidTr="004D78BD">
        <w:trPr>
          <w:cantSplit/>
          <w:trHeight w:val="90"/>
        </w:trPr>
        <w:tc>
          <w:tcPr>
            <w:tcW w:w="13608" w:type="dxa"/>
            <w:gridSpan w:val="2"/>
            <w:tcBorders>
              <w:top w:val="single" w:sz="4" w:space="0" w:color="auto"/>
              <w:left w:val="single" w:sz="4" w:space="0" w:color="auto"/>
              <w:right w:val="single" w:sz="4" w:space="0" w:color="auto"/>
            </w:tcBorders>
            <w:shd w:val="clear" w:color="auto" w:fill="DEEAF6" w:themeFill="accent1" w:themeFillTint="33"/>
          </w:tcPr>
          <w:p w14:paraId="61EA4C46" w14:textId="77777777" w:rsidR="00C86B4E" w:rsidRPr="0074479F" w:rsidRDefault="00C86B4E" w:rsidP="00C86B4E">
            <w:pPr>
              <w:spacing w:before="60" w:after="60"/>
              <w:rPr>
                <w:rFonts w:ascii="Arial" w:hAnsi="Arial" w:cs="Arial"/>
                <w:b/>
                <w:sz w:val="22"/>
                <w:szCs w:val="22"/>
              </w:rPr>
            </w:pPr>
            <w:r w:rsidRPr="0074479F">
              <w:rPr>
                <w:rFonts w:ascii="Arial" w:hAnsi="Arial" w:cs="Arial"/>
                <w:b/>
                <w:sz w:val="22"/>
                <w:szCs w:val="22"/>
              </w:rPr>
              <w:t>Additional Sources</w:t>
            </w:r>
          </w:p>
        </w:tc>
      </w:tr>
      <w:tr w:rsidR="00C86B4E" w:rsidRPr="002A5AD5" w14:paraId="6E882DC6" w14:textId="77777777" w:rsidTr="004D78BD">
        <w:trPr>
          <w:cantSplit/>
          <w:trHeight w:val="50"/>
        </w:trPr>
        <w:tc>
          <w:tcPr>
            <w:tcW w:w="13608" w:type="dxa"/>
            <w:gridSpan w:val="2"/>
            <w:tcBorders>
              <w:top w:val="single" w:sz="4" w:space="0" w:color="auto"/>
              <w:left w:val="single" w:sz="4" w:space="0" w:color="auto"/>
              <w:bottom w:val="single" w:sz="4" w:space="0" w:color="auto"/>
              <w:right w:val="single" w:sz="4" w:space="0" w:color="auto"/>
            </w:tcBorders>
          </w:tcPr>
          <w:p w14:paraId="2DB1B844" w14:textId="48185B6D" w:rsidR="00CF5778" w:rsidRPr="00CF5778" w:rsidRDefault="00CF5778">
            <w:pPr>
              <w:pStyle w:val="ListParagraph"/>
              <w:numPr>
                <w:ilvl w:val="0"/>
                <w:numId w:val="10"/>
              </w:numPr>
              <w:rPr>
                <w:rFonts w:ascii="Arial" w:hAnsi="Arial" w:cs="Arial"/>
                <w:sz w:val="22"/>
                <w:szCs w:val="22"/>
                <w:lang w:eastAsia="en-AU"/>
              </w:rPr>
            </w:pPr>
            <w:r w:rsidRPr="00CF5778">
              <w:rPr>
                <w:rFonts w:ascii="Arial" w:hAnsi="Arial" w:cs="Arial"/>
                <w:sz w:val="22"/>
                <w:szCs w:val="22"/>
                <w:lang w:eastAsia="en-AU"/>
              </w:rPr>
              <w:t>Australian and New Zealand Hip Fracture Registry. Data dictionary [version 15]. Sydney: ANZHFR, 2022.</w:t>
            </w:r>
          </w:p>
          <w:p w14:paraId="6E85C3A3" w14:textId="4A145D57" w:rsidR="00CF5778" w:rsidRDefault="00CF5778">
            <w:pPr>
              <w:pStyle w:val="ListParagraph"/>
              <w:numPr>
                <w:ilvl w:val="0"/>
                <w:numId w:val="10"/>
              </w:numPr>
              <w:rPr>
                <w:rFonts w:ascii="Arial" w:hAnsi="Arial" w:cs="Arial"/>
                <w:sz w:val="22"/>
                <w:szCs w:val="22"/>
                <w:lang w:eastAsia="en-AU"/>
              </w:rPr>
            </w:pPr>
            <w:proofErr w:type="spellStart"/>
            <w:r w:rsidRPr="00CF5778">
              <w:rPr>
                <w:rFonts w:ascii="Arial" w:hAnsi="Arial" w:cs="Arial"/>
                <w:sz w:val="22"/>
                <w:szCs w:val="22"/>
                <w:lang w:eastAsia="en-AU"/>
              </w:rPr>
              <w:t>NeuRA</w:t>
            </w:r>
            <w:proofErr w:type="spellEnd"/>
            <w:r w:rsidRPr="00CF5778">
              <w:rPr>
                <w:rFonts w:ascii="Arial" w:hAnsi="Arial" w:cs="Arial"/>
                <w:sz w:val="22"/>
                <w:szCs w:val="22"/>
                <w:lang w:eastAsia="en-AU"/>
              </w:rPr>
              <w:t xml:space="preserve"> (Neuroscience Research Australia) Foundation </w:t>
            </w:r>
            <w:proofErr w:type="spellStart"/>
            <w:r w:rsidRPr="00CF5778">
              <w:rPr>
                <w:rFonts w:ascii="Arial" w:hAnsi="Arial" w:cs="Arial"/>
                <w:sz w:val="22"/>
                <w:szCs w:val="22"/>
                <w:lang w:eastAsia="en-AU"/>
              </w:rPr>
              <w:t>AaNZHFR</w:t>
            </w:r>
            <w:proofErr w:type="spellEnd"/>
            <w:r w:rsidRPr="00CF5778">
              <w:rPr>
                <w:rFonts w:ascii="Arial" w:hAnsi="Arial" w:cs="Arial"/>
                <w:sz w:val="22"/>
                <w:szCs w:val="22"/>
                <w:lang w:eastAsia="en-AU"/>
              </w:rPr>
              <w:t>. My hip fracture information and individual care plan. Sydney: ANZHFR; 2021.</w:t>
            </w:r>
          </w:p>
          <w:p w14:paraId="4F7249DB" w14:textId="7CA64C4A" w:rsidR="00C86B4E" w:rsidRPr="00B25C68" w:rsidRDefault="00B25C68">
            <w:pPr>
              <w:pStyle w:val="ListParagraph"/>
              <w:numPr>
                <w:ilvl w:val="0"/>
                <w:numId w:val="10"/>
              </w:numPr>
              <w:spacing w:after="60"/>
              <w:ind w:left="714" w:hanging="357"/>
              <w:rPr>
                <w:rFonts w:ascii="Arial" w:hAnsi="Arial" w:cs="Arial"/>
                <w:sz w:val="22"/>
                <w:szCs w:val="22"/>
                <w:lang w:eastAsia="en-AU"/>
              </w:rPr>
            </w:pPr>
            <w:proofErr w:type="spellStart"/>
            <w:r w:rsidRPr="00B25C68">
              <w:rPr>
                <w:rFonts w:ascii="Arial" w:hAnsi="Arial" w:cs="Arial"/>
                <w:sz w:val="22"/>
                <w:szCs w:val="22"/>
                <w:lang w:eastAsia="en-AU"/>
              </w:rPr>
              <w:t>Fairhall</w:t>
            </w:r>
            <w:proofErr w:type="spellEnd"/>
            <w:r w:rsidRPr="00B25C68">
              <w:rPr>
                <w:rFonts w:ascii="Arial" w:hAnsi="Arial" w:cs="Arial"/>
                <w:sz w:val="22"/>
                <w:szCs w:val="22"/>
                <w:lang w:eastAsia="en-AU"/>
              </w:rPr>
              <w:t xml:space="preserve"> NJ, Dyer SM, </w:t>
            </w:r>
            <w:proofErr w:type="spellStart"/>
            <w:r w:rsidRPr="00B25C68">
              <w:rPr>
                <w:rFonts w:ascii="Arial" w:hAnsi="Arial" w:cs="Arial"/>
                <w:sz w:val="22"/>
                <w:szCs w:val="22"/>
                <w:lang w:eastAsia="en-AU"/>
              </w:rPr>
              <w:t>Mak</w:t>
            </w:r>
            <w:proofErr w:type="spellEnd"/>
            <w:r w:rsidRPr="00B25C68">
              <w:rPr>
                <w:rFonts w:ascii="Arial" w:hAnsi="Arial" w:cs="Arial"/>
                <w:sz w:val="22"/>
                <w:szCs w:val="22"/>
                <w:lang w:eastAsia="en-AU"/>
              </w:rPr>
              <w:t xml:space="preserve"> JC, </w:t>
            </w:r>
            <w:proofErr w:type="spellStart"/>
            <w:r w:rsidRPr="00B25C68">
              <w:rPr>
                <w:rFonts w:ascii="Arial" w:hAnsi="Arial" w:cs="Arial"/>
                <w:sz w:val="22"/>
                <w:szCs w:val="22"/>
                <w:lang w:eastAsia="en-AU"/>
              </w:rPr>
              <w:t>Diong</w:t>
            </w:r>
            <w:proofErr w:type="spellEnd"/>
            <w:r w:rsidRPr="00B25C68">
              <w:rPr>
                <w:rFonts w:ascii="Arial" w:hAnsi="Arial" w:cs="Arial"/>
                <w:sz w:val="22"/>
                <w:szCs w:val="22"/>
                <w:lang w:eastAsia="en-AU"/>
              </w:rPr>
              <w:t xml:space="preserve"> J,</w:t>
            </w:r>
            <w:r>
              <w:rPr>
                <w:rFonts w:ascii="Arial" w:hAnsi="Arial" w:cs="Arial"/>
                <w:sz w:val="22"/>
                <w:szCs w:val="22"/>
                <w:lang w:eastAsia="en-AU"/>
              </w:rPr>
              <w:t xml:space="preserve"> </w:t>
            </w:r>
            <w:r w:rsidRPr="00B25C68">
              <w:rPr>
                <w:rFonts w:ascii="Arial" w:hAnsi="Arial" w:cs="Arial"/>
                <w:sz w:val="22"/>
                <w:szCs w:val="22"/>
                <w:lang w:eastAsia="en-AU"/>
              </w:rPr>
              <w:t>Kwok WS, Sherrington C. Interventions for improving mobility after hip fracture surgery in adults. Cochrane Database Syst Rev. 2022 Sep 7;9(9</w:t>
            </w:r>
            <w:proofErr w:type="gramStart"/>
            <w:r w:rsidRPr="00B25C68">
              <w:rPr>
                <w:rFonts w:ascii="Arial" w:hAnsi="Arial" w:cs="Arial"/>
                <w:sz w:val="22"/>
                <w:szCs w:val="22"/>
                <w:lang w:eastAsia="en-AU"/>
              </w:rPr>
              <w:t>):Cd</w:t>
            </w:r>
            <w:proofErr w:type="gramEnd"/>
            <w:r w:rsidRPr="00B25C68">
              <w:rPr>
                <w:rFonts w:ascii="Arial" w:hAnsi="Arial" w:cs="Arial"/>
                <w:sz w:val="22"/>
                <w:szCs w:val="22"/>
                <w:lang w:eastAsia="en-AU"/>
              </w:rPr>
              <w:t>001704.</w:t>
            </w:r>
          </w:p>
        </w:tc>
      </w:tr>
      <w:tr w:rsidR="004D78BD" w:rsidRPr="002A5AD5" w14:paraId="67B1E00A" w14:textId="77777777" w:rsidTr="004D78BD">
        <w:trPr>
          <w:cantSplit/>
          <w:trHeight w:val="50"/>
        </w:trPr>
        <w:tc>
          <w:tcPr>
            <w:tcW w:w="1360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A1E4E62" w14:textId="4822662F" w:rsidR="004D78BD" w:rsidRPr="004D78BD" w:rsidRDefault="004D78BD" w:rsidP="004D78BD">
            <w:pPr>
              <w:spacing w:before="60" w:after="60"/>
              <w:rPr>
                <w:rFonts w:ascii="Arial" w:hAnsi="Arial" w:cs="Arial"/>
                <w:sz w:val="22"/>
                <w:szCs w:val="22"/>
              </w:rPr>
            </w:pPr>
            <w:r w:rsidRPr="004D78BD">
              <w:rPr>
                <w:rFonts w:ascii="Arial" w:hAnsi="Arial" w:cs="Arial"/>
                <w:b/>
                <w:sz w:val="22"/>
                <w:szCs w:val="22"/>
              </w:rPr>
              <w:t>Related Resources</w:t>
            </w:r>
            <w:r>
              <w:rPr>
                <w:rFonts w:ascii="Arial" w:hAnsi="Arial" w:cs="Arial"/>
                <w:b/>
                <w:sz w:val="22"/>
                <w:szCs w:val="22"/>
              </w:rPr>
              <w:t xml:space="preserve"> </w:t>
            </w:r>
          </w:p>
        </w:tc>
      </w:tr>
      <w:tr w:rsidR="004D78BD" w:rsidRPr="002A5AD5" w14:paraId="5A30C853" w14:textId="77777777" w:rsidTr="004D78BD">
        <w:trPr>
          <w:cantSplit/>
          <w:trHeight w:val="50"/>
        </w:trPr>
        <w:tc>
          <w:tcPr>
            <w:tcW w:w="13608" w:type="dxa"/>
            <w:gridSpan w:val="2"/>
            <w:tcBorders>
              <w:top w:val="single" w:sz="4" w:space="0" w:color="auto"/>
              <w:left w:val="single" w:sz="4" w:space="0" w:color="auto"/>
              <w:right w:val="single" w:sz="4" w:space="0" w:color="auto"/>
            </w:tcBorders>
            <w:shd w:val="clear" w:color="auto" w:fill="FFFFFF" w:themeFill="background1"/>
          </w:tcPr>
          <w:p w14:paraId="0F599352" w14:textId="77777777" w:rsidR="004D78BD" w:rsidRDefault="00B25C68" w:rsidP="00A370F3">
            <w:pPr>
              <w:pStyle w:val="ListParagraph"/>
              <w:numPr>
                <w:ilvl w:val="0"/>
                <w:numId w:val="11"/>
              </w:numPr>
              <w:spacing w:after="60"/>
              <w:rPr>
                <w:rFonts w:ascii="Arial" w:hAnsi="Arial" w:cs="Arial"/>
                <w:bCs/>
                <w:sz w:val="22"/>
                <w:szCs w:val="22"/>
              </w:rPr>
            </w:pPr>
            <w:r w:rsidRPr="00B25C68">
              <w:rPr>
                <w:rFonts w:ascii="Arial" w:hAnsi="Arial" w:cs="Arial"/>
                <w:bCs/>
                <w:sz w:val="22"/>
                <w:szCs w:val="22"/>
              </w:rPr>
              <w:t>Australian Commission on Safety and Quality in Health Care. Hospital-acquired complications (HACs). Sydney: ACSQHC; 2022. Available from: www.safetyandquality.gov.au/our-work/indicators/ hospital-acquired-complications.</w:t>
            </w:r>
          </w:p>
          <w:p w14:paraId="3E2CDD40" w14:textId="642D9D03" w:rsidR="00A370F3" w:rsidRPr="001D04F0" w:rsidRDefault="00A370F3" w:rsidP="001D04F0">
            <w:pPr>
              <w:pStyle w:val="ListParagraph"/>
              <w:numPr>
                <w:ilvl w:val="0"/>
                <w:numId w:val="11"/>
              </w:numPr>
              <w:rPr>
                <w:rFonts w:ascii="Arial" w:hAnsi="Arial" w:cs="Arial"/>
                <w:sz w:val="22"/>
                <w:szCs w:val="22"/>
                <w:lang w:eastAsia="en-AU"/>
              </w:rPr>
            </w:pPr>
            <w:r w:rsidRPr="00B25C68">
              <w:rPr>
                <w:rFonts w:ascii="Arial" w:hAnsi="Arial" w:cs="Arial"/>
                <w:sz w:val="22"/>
                <w:szCs w:val="22"/>
                <w:lang w:eastAsia="en-AU"/>
              </w:rPr>
              <w:t>Australian Commission on Safety and Quality in Health Care. Hospital-acquired complication 1: pressure injury factsheet. Sydney: ACSQHC; 2018</w:t>
            </w:r>
            <w:r>
              <w:rPr>
                <w:rFonts w:ascii="Arial" w:hAnsi="Arial" w:cs="Arial"/>
                <w:sz w:val="22"/>
                <w:szCs w:val="22"/>
                <w:lang w:eastAsia="en-AU"/>
              </w:rPr>
              <w:t>.</w:t>
            </w:r>
            <w:r w:rsidRPr="00B25C68">
              <w:rPr>
                <w:rFonts w:ascii="Arial" w:hAnsi="Arial" w:cs="Arial"/>
                <w:sz w:val="22"/>
                <w:szCs w:val="22"/>
                <w:lang w:eastAsia="en-AU"/>
              </w:rPr>
              <w:t xml:space="preserve"> Available from: www.safetyandquality.gov.au/ publications-and-resources/resource-library/ hospital-acquired-complication-1-pressure- injury-</w:t>
            </w:r>
            <w:proofErr w:type="gramStart"/>
            <w:r w:rsidRPr="00B25C68">
              <w:rPr>
                <w:rFonts w:ascii="Arial" w:hAnsi="Arial" w:cs="Arial"/>
                <w:sz w:val="22"/>
                <w:szCs w:val="22"/>
                <w:lang w:eastAsia="en-AU"/>
              </w:rPr>
              <w:t>fact-sheet</w:t>
            </w:r>
            <w:proofErr w:type="gramEnd"/>
            <w:r w:rsidRPr="00B25C68">
              <w:rPr>
                <w:rFonts w:ascii="Arial" w:hAnsi="Arial" w:cs="Arial"/>
                <w:sz w:val="22"/>
                <w:szCs w:val="22"/>
                <w:lang w:eastAsia="en-AU"/>
              </w:rPr>
              <w:t>.</w:t>
            </w:r>
          </w:p>
        </w:tc>
      </w:tr>
    </w:tbl>
    <w:p w14:paraId="7950EF40" w14:textId="77777777" w:rsidR="00D326C1" w:rsidRDefault="00D326C1" w:rsidP="00BA6F4C">
      <w:pPr>
        <w:tabs>
          <w:tab w:val="left" w:pos="2175"/>
        </w:tabs>
      </w:pPr>
    </w:p>
    <w:p w14:paraId="30F760DD" w14:textId="77777777" w:rsidR="00D326C1" w:rsidRPr="00D326C1" w:rsidRDefault="00D326C1" w:rsidP="00D326C1"/>
    <w:p w14:paraId="1D4BC672" w14:textId="77777777" w:rsidR="00D326C1" w:rsidRDefault="00D326C1" w:rsidP="00D326C1"/>
    <w:p w14:paraId="7F08B3D0" w14:textId="77777777" w:rsidR="009E3785" w:rsidRDefault="009E3785">
      <w:pPr>
        <w:spacing w:after="160" w:line="259" w:lineRule="auto"/>
      </w:pPr>
      <w:r>
        <w:br w:type="page"/>
      </w:r>
    </w:p>
    <w:p w14:paraId="0BE73FCE" w14:textId="77777777" w:rsidR="00D326C1" w:rsidRDefault="00D326C1" w:rsidP="00D326C1">
      <w:pPr>
        <w:ind w:firstLine="720"/>
        <w:sectPr w:rsidR="00D326C1" w:rsidSect="00C768B6">
          <w:pgSz w:w="16838" w:h="11906" w:orient="landscape"/>
          <w:pgMar w:top="1440" w:right="1440" w:bottom="1440" w:left="1440" w:header="708" w:footer="708" w:gutter="0"/>
          <w:cols w:space="708"/>
          <w:docGrid w:linePitch="360"/>
        </w:sectPr>
      </w:pPr>
    </w:p>
    <w:tbl>
      <w:tblPr>
        <w:tblpPr w:leftFromText="180" w:rightFromText="180" w:horzAnchor="margin" w:tblpY="-422"/>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0381"/>
      </w:tblGrid>
      <w:tr w:rsidR="00D326C1" w:rsidRPr="002A5AD5" w14:paraId="650B4699" w14:textId="77777777" w:rsidTr="0026256F">
        <w:trPr>
          <w:tblHeader/>
        </w:trPr>
        <w:tc>
          <w:tcPr>
            <w:tcW w:w="3227" w:type="dxa"/>
            <w:tcBorders>
              <w:top w:val="single" w:sz="4" w:space="0" w:color="auto"/>
              <w:left w:val="single" w:sz="4" w:space="0" w:color="auto"/>
              <w:bottom w:val="single" w:sz="4" w:space="0" w:color="auto"/>
              <w:right w:val="single" w:sz="4" w:space="0" w:color="auto"/>
            </w:tcBorders>
            <w:shd w:val="clear" w:color="auto" w:fill="00988E"/>
          </w:tcPr>
          <w:p w14:paraId="41878473" w14:textId="77777777" w:rsidR="00D326C1" w:rsidRPr="002A5AD5" w:rsidRDefault="00D326C1" w:rsidP="00124DAF">
            <w:pPr>
              <w:spacing w:before="60"/>
              <w:rPr>
                <w:rFonts w:ascii="Arial" w:hAnsi="Arial" w:cs="Arial"/>
                <w:color w:val="FFFFFF"/>
                <w:sz w:val="32"/>
                <w:szCs w:val="32"/>
              </w:rPr>
            </w:pPr>
            <w:r>
              <w:rPr>
                <w:rFonts w:ascii="Arial" w:hAnsi="Arial" w:cs="Arial"/>
                <w:b/>
                <w:bCs/>
                <w:color w:val="FFFFFF"/>
                <w:sz w:val="32"/>
                <w:szCs w:val="32"/>
              </w:rPr>
              <w:lastRenderedPageBreak/>
              <w:t>Quality Statement 6</w:t>
            </w:r>
          </w:p>
        </w:tc>
        <w:tc>
          <w:tcPr>
            <w:tcW w:w="10381" w:type="dxa"/>
            <w:tcBorders>
              <w:top w:val="single" w:sz="4" w:space="0" w:color="auto"/>
              <w:left w:val="single" w:sz="4" w:space="0" w:color="auto"/>
              <w:bottom w:val="single" w:sz="4" w:space="0" w:color="auto"/>
              <w:right w:val="single" w:sz="4" w:space="0" w:color="auto"/>
            </w:tcBorders>
          </w:tcPr>
          <w:p w14:paraId="0DFC8B98" w14:textId="77777777" w:rsidR="009E7CA1" w:rsidRPr="009E7CA1" w:rsidRDefault="009E7CA1" w:rsidP="009E7CA1">
            <w:pPr>
              <w:spacing w:before="60" w:after="60"/>
              <w:rPr>
                <w:rFonts w:ascii="Arial" w:hAnsi="Arial" w:cs="Arial"/>
                <w:b/>
                <w:sz w:val="22"/>
                <w:szCs w:val="22"/>
              </w:rPr>
            </w:pPr>
            <w:proofErr w:type="spellStart"/>
            <w:r w:rsidRPr="009E7CA1">
              <w:rPr>
                <w:rFonts w:ascii="Arial" w:hAnsi="Arial" w:cs="Arial"/>
                <w:b/>
                <w:sz w:val="22"/>
                <w:szCs w:val="22"/>
              </w:rPr>
              <w:t>Minimising</w:t>
            </w:r>
            <w:proofErr w:type="spellEnd"/>
            <w:r w:rsidRPr="009E7CA1">
              <w:rPr>
                <w:rFonts w:ascii="Arial" w:hAnsi="Arial" w:cs="Arial"/>
                <w:b/>
                <w:sz w:val="22"/>
                <w:szCs w:val="22"/>
              </w:rPr>
              <w:t xml:space="preserve"> risk of another fracture </w:t>
            </w:r>
          </w:p>
          <w:p w14:paraId="06F0F59D" w14:textId="2536190C" w:rsidR="00D326C1" w:rsidRPr="009E7CA1" w:rsidRDefault="00913409" w:rsidP="009E7CA1">
            <w:pPr>
              <w:spacing w:before="60" w:after="60"/>
              <w:rPr>
                <w:rFonts w:ascii="Arial" w:hAnsi="Arial" w:cs="Arial"/>
                <w:bCs/>
                <w:sz w:val="22"/>
                <w:szCs w:val="22"/>
              </w:rPr>
            </w:pPr>
            <w:r w:rsidRPr="00913409">
              <w:rPr>
                <w:rFonts w:ascii="Arial" w:hAnsi="Arial" w:cs="Arial"/>
                <w:bCs/>
                <w:sz w:val="22"/>
                <w:szCs w:val="22"/>
              </w:rPr>
              <w:t>Before a person leaves hospital after a hip fracture, they receive a falls and bone health assessment and management plan, with appropriate referral for secondary fracture prevention</w:t>
            </w:r>
            <w:r w:rsidR="009E7CA1" w:rsidRPr="009E7CA1">
              <w:rPr>
                <w:rFonts w:ascii="Arial" w:hAnsi="Arial" w:cs="Arial"/>
                <w:bCs/>
                <w:sz w:val="22"/>
                <w:szCs w:val="22"/>
              </w:rPr>
              <w:t>.</w:t>
            </w:r>
          </w:p>
        </w:tc>
      </w:tr>
      <w:tr w:rsidR="00D326C1" w:rsidRPr="002A5AD5" w14:paraId="2D08358D" w14:textId="77777777" w:rsidTr="0026256F">
        <w:trPr>
          <w:tblHeader/>
        </w:trPr>
        <w:tc>
          <w:tcPr>
            <w:tcW w:w="13608" w:type="dxa"/>
            <w:gridSpan w:val="2"/>
            <w:tcBorders>
              <w:top w:val="single" w:sz="4" w:space="0" w:color="auto"/>
              <w:left w:val="single" w:sz="4" w:space="0" w:color="auto"/>
              <w:bottom w:val="single" w:sz="4" w:space="0" w:color="auto"/>
              <w:right w:val="single" w:sz="4" w:space="0" w:color="auto"/>
            </w:tcBorders>
            <w:shd w:val="clear" w:color="auto" w:fill="auto"/>
          </w:tcPr>
          <w:p w14:paraId="7CA04F1E" w14:textId="28849796" w:rsidR="00D326C1" w:rsidRPr="002A5AD5" w:rsidRDefault="00D326C1" w:rsidP="0026256F">
            <w:pPr>
              <w:rPr>
                <w:rFonts w:ascii="Arial" w:hAnsi="Arial" w:cs="Arial"/>
                <w:b/>
              </w:rPr>
            </w:pPr>
            <w:r w:rsidRPr="002A5AD5">
              <w:rPr>
                <w:rFonts w:ascii="Arial" w:hAnsi="Arial" w:cs="Arial"/>
                <w:b/>
              </w:rPr>
              <w:t xml:space="preserve">EVIDENCE SOURCES </w:t>
            </w:r>
          </w:p>
        </w:tc>
      </w:tr>
      <w:tr w:rsidR="00D326C1" w:rsidRPr="002A5AD5" w14:paraId="7250FC20" w14:textId="77777777" w:rsidTr="004D78BD">
        <w:trPr>
          <w:trHeight w:val="90"/>
          <w:tblHeader/>
        </w:trPr>
        <w:tc>
          <w:tcPr>
            <w:tcW w:w="1360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EFB1B3F" w14:textId="77777777" w:rsidR="00D326C1" w:rsidRPr="002A5AD5" w:rsidRDefault="00D326C1" w:rsidP="00E63BB5">
            <w:pPr>
              <w:spacing w:before="60" w:after="60"/>
              <w:rPr>
                <w:rFonts w:ascii="Arial" w:hAnsi="Arial" w:cs="Arial"/>
                <w:b/>
                <w:sz w:val="20"/>
                <w:szCs w:val="20"/>
              </w:rPr>
            </w:pPr>
            <w:r w:rsidRPr="00B25C68">
              <w:rPr>
                <w:rFonts w:ascii="Arial" w:hAnsi="Arial" w:cs="Arial"/>
                <w:b/>
                <w:sz w:val="22"/>
                <w:szCs w:val="22"/>
              </w:rPr>
              <w:t>Australian Guideline</w:t>
            </w:r>
            <w:r w:rsidR="00A902FE" w:rsidRPr="00B25C68">
              <w:rPr>
                <w:rFonts w:ascii="Arial" w:hAnsi="Arial" w:cs="Arial"/>
                <w:b/>
                <w:sz w:val="22"/>
                <w:szCs w:val="22"/>
              </w:rPr>
              <w:t>s</w:t>
            </w:r>
          </w:p>
        </w:tc>
      </w:tr>
      <w:tr w:rsidR="00D326C1" w:rsidRPr="002A5AD5" w14:paraId="4E3E40B0" w14:textId="77777777" w:rsidTr="0026256F">
        <w:trPr>
          <w:cantSplit/>
          <w:trHeight w:val="90"/>
        </w:trPr>
        <w:tc>
          <w:tcPr>
            <w:tcW w:w="13608" w:type="dxa"/>
            <w:gridSpan w:val="2"/>
            <w:tcBorders>
              <w:top w:val="single" w:sz="4" w:space="0" w:color="auto"/>
              <w:left w:val="single" w:sz="4" w:space="0" w:color="auto"/>
              <w:bottom w:val="single" w:sz="4" w:space="0" w:color="auto"/>
              <w:right w:val="single" w:sz="4" w:space="0" w:color="auto"/>
            </w:tcBorders>
          </w:tcPr>
          <w:p w14:paraId="436D2C03" w14:textId="0F62E19A" w:rsidR="007812E7" w:rsidRPr="00B25C68" w:rsidRDefault="00B25C68">
            <w:pPr>
              <w:pStyle w:val="ListParagraph"/>
              <w:numPr>
                <w:ilvl w:val="0"/>
                <w:numId w:val="11"/>
              </w:numPr>
              <w:autoSpaceDE w:val="0"/>
              <w:autoSpaceDN w:val="0"/>
              <w:adjustRightInd w:val="0"/>
              <w:spacing w:after="60"/>
              <w:ind w:left="714" w:hanging="357"/>
              <w:rPr>
                <w:rFonts w:ascii="Arial" w:hAnsi="Arial" w:cs="Arial"/>
                <w:sz w:val="22"/>
                <w:szCs w:val="22"/>
              </w:rPr>
            </w:pPr>
            <w:r w:rsidRPr="00B25C68">
              <w:rPr>
                <w:rFonts w:ascii="Arial" w:hAnsi="Arial" w:cs="Arial"/>
                <w:sz w:val="22"/>
                <w:szCs w:val="22"/>
              </w:rPr>
              <w:t>Australian and New Zealand Hip Fracture Registry Steering Group. Australian and New Zealand guideline for hip fracture care: improving outcomes in hip fracture management of adults. Sydney: ANZHFR, 2014.</w:t>
            </w:r>
          </w:p>
        </w:tc>
      </w:tr>
      <w:tr w:rsidR="00D326C1" w:rsidRPr="002A5AD5" w14:paraId="5C3D7593" w14:textId="77777777" w:rsidTr="004D78BD">
        <w:trPr>
          <w:cantSplit/>
          <w:trHeight w:val="90"/>
        </w:trPr>
        <w:tc>
          <w:tcPr>
            <w:tcW w:w="13608" w:type="dxa"/>
            <w:gridSpan w:val="2"/>
            <w:tcBorders>
              <w:top w:val="single" w:sz="4" w:space="0" w:color="auto"/>
              <w:left w:val="single" w:sz="4" w:space="0" w:color="auto"/>
              <w:right w:val="single" w:sz="4" w:space="0" w:color="auto"/>
            </w:tcBorders>
            <w:shd w:val="clear" w:color="auto" w:fill="DEEAF6" w:themeFill="accent1" w:themeFillTint="33"/>
          </w:tcPr>
          <w:p w14:paraId="4BAA3844" w14:textId="77777777" w:rsidR="00D326C1" w:rsidRPr="0074479F" w:rsidRDefault="00D326C1" w:rsidP="00E63BB5">
            <w:pPr>
              <w:spacing w:before="60" w:after="60"/>
              <w:rPr>
                <w:rFonts w:ascii="Arial" w:hAnsi="Arial" w:cs="Arial"/>
                <w:b/>
                <w:sz w:val="22"/>
                <w:szCs w:val="22"/>
              </w:rPr>
            </w:pPr>
            <w:r w:rsidRPr="0074479F">
              <w:rPr>
                <w:rFonts w:ascii="Arial" w:hAnsi="Arial" w:cs="Arial"/>
                <w:b/>
                <w:sz w:val="22"/>
                <w:szCs w:val="22"/>
              </w:rPr>
              <w:t>Additional Source</w:t>
            </w:r>
            <w:r w:rsidR="00F157BC" w:rsidRPr="0074479F">
              <w:rPr>
                <w:rFonts w:ascii="Arial" w:hAnsi="Arial" w:cs="Arial"/>
                <w:b/>
                <w:sz w:val="22"/>
                <w:szCs w:val="22"/>
              </w:rPr>
              <w:t>s</w:t>
            </w:r>
          </w:p>
        </w:tc>
      </w:tr>
      <w:tr w:rsidR="00D326C1" w:rsidRPr="002A5AD5" w14:paraId="538D5EE7" w14:textId="77777777" w:rsidTr="004D78BD">
        <w:trPr>
          <w:cantSplit/>
          <w:trHeight w:val="90"/>
        </w:trPr>
        <w:tc>
          <w:tcPr>
            <w:tcW w:w="13608" w:type="dxa"/>
            <w:gridSpan w:val="2"/>
            <w:tcBorders>
              <w:top w:val="single" w:sz="4" w:space="0" w:color="auto"/>
              <w:left w:val="single" w:sz="4" w:space="0" w:color="auto"/>
              <w:bottom w:val="single" w:sz="4" w:space="0" w:color="auto"/>
              <w:right w:val="single" w:sz="4" w:space="0" w:color="auto"/>
            </w:tcBorders>
          </w:tcPr>
          <w:p w14:paraId="1AA553D2" w14:textId="5CEDA0F5" w:rsidR="00D326C1" w:rsidRPr="00B25C68" w:rsidRDefault="00B25C68">
            <w:pPr>
              <w:pStyle w:val="ListParagraph"/>
              <w:numPr>
                <w:ilvl w:val="0"/>
                <w:numId w:val="11"/>
              </w:numPr>
              <w:spacing w:after="60"/>
              <w:ind w:left="714" w:hanging="357"/>
              <w:rPr>
                <w:rFonts w:ascii="Arial" w:hAnsi="Arial" w:cs="Arial"/>
                <w:sz w:val="22"/>
                <w:szCs w:val="22"/>
              </w:rPr>
            </w:pPr>
            <w:r w:rsidRPr="00B25C68">
              <w:rPr>
                <w:rFonts w:ascii="Arial" w:hAnsi="Arial" w:cs="Arial"/>
                <w:sz w:val="22"/>
                <w:szCs w:val="22"/>
              </w:rPr>
              <w:t>Osteoporosis New Zealand. Clinical standards for fracture liaison services in New Zealand. Wellington (NZ): Osteoporosis New Zealand, 2021.</w:t>
            </w:r>
          </w:p>
        </w:tc>
      </w:tr>
      <w:tr w:rsidR="004D78BD" w:rsidRPr="002A5AD5" w14:paraId="04F32510" w14:textId="77777777" w:rsidTr="004D78BD">
        <w:trPr>
          <w:cantSplit/>
          <w:trHeight w:val="90"/>
        </w:trPr>
        <w:tc>
          <w:tcPr>
            <w:tcW w:w="1360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C766450" w14:textId="481906A7" w:rsidR="004D78BD" w:rsidRPr="004D78BD" w:rsidRDefault="004D78BD" w:rsidP="004D78BD">
            <w:pPr>
              <w:spacing w:before="60" w:after="60"/>
              <w:rPr>
                <w:rFonts w:ascii="Arial" w:hAnsi="Arial" w:cs="Arial"/>
                <w:sz w:val="22"/>
                <w:szCs w:val="22"/>
              </w:rPr>
            </w:pPr>
            <w:r w:rsidRPr="004D78BD">
              <w:rPr>
                <w:rFonts w:ascii="Arial" w:hAnsi="Arial" w:cs="Arial"/>
                <w:b/>
                <w:sz w:val="22"/>
                <w:szCs w:val="22"/>
              </w:rPr>
              <w:t>Related Resources</w:t>
            </w:r>
            <w:r>
              <w:rPr>
                <w:rFonts w:ascii="Arial" w:hAnsi="Arial" w:cs="Arial"/>
                <w:b/>
                <w:sz w:val="22"/>
                <w:szCs w:val="22"/>
              </w:rPr>
              <w:t xml:space="preserve"> </w:t>
            </w:r>
          </w:p>
        </w:tc>
      </w:tr>
      <w:tr w:rsidR="004D78BD" w:rsidRPr="002A5AD5" w14:paraId="4B95BB57" w14:textId="77777777" w:rsidTr="004D78BD">
        <w:trPr>
          <w:cantSplit/>
          <w:trHeight w:val="90"/>
        </w:trPr>
        <w:tc>
          <w:tcPr>
            <w:tcW w:w="13608" w:type="dxa"/>
            <w:gridSpan w:val="2"/>
            <w:tcBorders>
              <w:top w:val="single" w:sz="4" w:space="0" w:color="auto"/>
              <w:left w:val="single" w:sz="4" w:space="0" w:color="auto"/>
              <w:right w:val="single" w:sz="4" w:space="0" w:color="auto"/>
            </w:tcBorders>
            <w:shd w:val="clear" w:color="auto" w:fill="FFFFFF" w:themeFill="background1"/>
          </w:tcPr>
          <w:p w14:paraId="2409A143" w14:textId="7AF83B22" w:rsidR="00B25C68" w:rsidRDefault="00B25C68">
            <w:pPr>
              <w:pStyle w:val="ListParagraph"/>
              <w:numPr>
                <w:ilvl w:val="0"/>
                <w:numId w:val="11"/>
              </w:numPr>
              <w:spacing w:after="60"/>
              <w:rPr>
                <w:rFonts w:ascii="Arial" w:hAnsi="Arial" w:cs="Arial"/>
                <w:bCs/>
                <w:sz w:val="22"/>
                <w:szCs w:val="22"/>
              </w:rPr>
            </w:pPr>
            <w:r w:rsidRPr="00B25C68">
              <w:rPr>
                <w:rFonts w:ascii="Arial" w:hAnsi="Arial" w:cs="Arial"/>
                <w:bCs/>
                <w:sz w:val="22"/>
                <w:szCs w:val="22"/>
              </w:rPr>
              <w:t>Australian Commission on Safety and Quality in Health Care. Comprehensive Care Standard. Sydney: ACSQHC; 2022</w:t>
            </w:r>
            <w:r>
              <w:rPr>
                <w:rFonts w:ascii="Arial" w:hAnsi="Arial" w:cs="Arial"/>
                <w:bCs/>
                <w:sz w:val="22"/>
                <w:szCs w:val="22"/>
              </w:rPr>
              <w:t>.</w:t>
            </w:r>
            <w:r w:rsidRPr="00B25C68">
              <w:rPr>
                <w:rFonts w:ascii="Arial" w:hAnsi="Arial" w:cs="Arial"/>
                <w:bCs/>
                <w:sz w:val="22"/>
                <w:szCs w:val="22"/>
              </w:rPr>
              <w:t xml:space="preserve"> Available from: www.safetyandquality. gov.au/standards/</w:t>
            </w:r>
            <w:proofErr w:type="spellStart"/>
            <w:r w:rsidRPr="00B25C68">
              <w:rPr>
                <w:rFonts w:ascii="Arial" w:hAnsi="Arial" w:cs="Arial"/>
                <w:bCs/>
                <w:sz w:val="22"/>
                <w:szCs w:val="22"/>
              </w:rPr>
              <w:t>nsqhs</w:t>
            </w:r>
            <w:proofErr w:type="spellEnd"/>
            <w:r w:rsidRPr="00B25C68">
              <w:rPr>
                <w:rFonts w:ascii="Arial" w:hAnsi="Arial" w:cs="Arial"/>
                <w:bCs/>
                <w:sz w:val="22"/>
                <w:szCs w:val="22"/>
              </w:rPr>
              <w:t>-standards/ comprehensive-care-standard.</w:t>
            </w:r>
          </w:p>
          <w:p w14:paraId="579EEBEB" w14:textId="706D169E" w:rsidR="004D78BD" w:rsidRDefault="00B25C68">
            <w:pPr>
              <w:pStyle w:val="ListParagraph"/>
              <w:numPr>
                <w:ilvl w:val="0"/>
                <w:numId w:val="11"/>
              </w:numPr>
              <w:spacing w:before="60" w:after="60"/>
              <w:rPr>
                <w:rFonts w:ascii="Arial" w:hAnsi="Arial" w:cs="Arial"/>
                <w:bCs/>
                <w:sz w:val="22"/>
                <w:szCs w:val="22"/>
              </w:rPr>
            </w:pPr>
            <w:r w:rsidRPr="00B25C68">
              <w:rPr>
                <w:rFonts w:ascii="Arial" w:hAnsi="Arial" w:cs="Arial"/>
                <w:bCs/>
                <w:sz w:val="22"/>
                <w:szCs w:val="22"/>
              </w:rPr>
              <w:t>Australian and New Zealand Hip Fracture Registry. Reducing the risk of future fractures: osteoporosis and fall prevention. Sydney: ANZHFR; 2022. Available from: anzhfr.org/wp-content/ uploads/sites/1164/2022/11/ANZHFR4438- Hip-Fracture-</w:t>
            </w:r>
            <w:proofErr w:type="spellStart"/>
            <w:r w:rsidRPr="00B25C68">
              <w:rPr>
                <w:rFonts w:ascii="Arial" w:hAnsi="Arial" w:cs="Arial"/>
                <w:bCs/>
                <w:sz w:val="22"/>
                <w:szCs w:val="22"/>
              </w:rPr>
              <w:t>infosheet_Reducing</w:t>
            </w:r>
            <w:proofErr w:type="spellEnd"/>
            <w:r w:rsidRPr="00B25C68">
              <w:rPr>
                <w:rFonts w:ascii="Arial" w:hAnsi="Arial" w:cs="Arial"/>
                <w:bCs/>
                <w:sz w:val="22"/>
                <w:szCs w:val="22"/>
              </w:rPr>
              <w:t>-the-risk-of- future-fractures_v3.pdf.</w:t>
            </w:r>
          </w:p>
          <w:p w14:paraId="4BAEB576" w14:textId="5EBCA481" w:rsidR="00B25C68" w:rsidRPr="00B25C68" w:rsidRDefault="00B25C68">
            <w:pPr>
              <w:pStyle w:val="ListParagraph"/>
              <w:numPr>
                <w:ilvl w:val="0"/>
                <w:numId w:val="11"/>
              </w:numPr>
              <w:rPr>
                <w:rFonts w:ascii="Arial" w:hAnsi="Arial" w:cs="Arial"/>
                <w:bCs/>
                <w:sz w:val="22"/>
                <w:szCs w:val="22"/>
              </w:rPr>
            </w:pPr>
            <w:r w:rsidRPr="00B25C68">
              <w:rPr>
                <w:rFonts w:ascii="Arial" w:hAnsi="Arial" w:cs="Arial"/>
                <w:bCs/>
                <w:sz w:val="22"/>
                <w:szCs w:val="22"/>
              </w:rPr>
              <w:t>Healthy Bones Australia. Fact sheets</w:t>
            </w:r>
            <w:r>
              <w:rPr>
                <w:rFonts w:ascii="Arial" w:hAnsi="Arial" w:cs="Arial"/>
                <w:bCs/>
                <w:sz w:val="22"/>
                <w:szCs w:val="22"/>
              </w:rPr>
              <w:t xml:space="preserve">. </w:t>
            </w:r>
            <w:r w:rsidRPr="00B25C68">
              <w:rPr>
                <w:rFonts w:ascii="Arial" w:hAnsi="Arial" w:cs="Arial"/>
                <w:bCs/>
                <w:sz w:val="22"/>
                <w:szCs w:val="22"/>
              </w:rPr>
              <w:t>Sydney: Health Bones Australia; 2023</w:t>
            </w:r>
            <w:r>
              <w:rPr>
                <w:rFonts w:ascii="Arial" w:hAnsi="Arial" w:cs="Arial"/>
                <w:bCs/>
                <w:sz w:val="22"/>
                <w:szCs w:val="22"/>
              </w:rPr>
              <w:t>.</w:t>
            </w:r>
            <w:r w:rsidRPr="00B25C68">
              <w:rPr>
                <w:rFonts w:ascii="Arial" w:hAnsi="Arial" w:cs="Arial"/>
                <w:bCs/>
                <w:sz w:val="22"/>
                <w:szCs w:val="22"/>
              </w:rPr>
              <w:t xml:space="preserve"> Available from: healthybonesaustralia.org.au/resource-hub/ </w:t>
            </w:r>
            <w:proofErr w:type="gramStart"/>
            <w:r w:rsidRPr="00B25C68">
              <w:rPr>
                <w:rFonts w:ascii="Arial" w:hAnsi="Arial" w:cs="Arial"/>
                <w:bCs/>
                <w:sz w:val="22"/>
                <w:szCs w:val="22"/>
              </w:rPr>
              <w:t>fact-sheets</w:t>
            </w:r>
            <w:proofErr w:type="gramEnd"/>
            <w:r w:rsidRPr="00B25C68">
              <w:rPr>
                <w:rFonts w:ascii="Arial" w:hAnsi="Arial" w:cs="Arial"/>
                <w:bCs/>
                <w:sz w:val="22"/>
                <w:szCs w:val="22"/>
              </w:rPr>
              <w:t>.</w:t>
            </w:r>
          </w:p>
          <w:p w14:paraId="6E2CE68E" w14:textId="47C1EB0F" w:rsidR="00B25C68" w:rsidRPr="00B25C68" w:rsidRDefault="00B25C68">
            <w:pPr>
              <w:pStyle w:val="ListParagraph"/>
              <w:numPr>
                <w:ilvl w:val="0"/>
                <w:numId w:val="11"/>
              </w:numPr>
              <w:spacing w:before="60" w:after="60"/>
              <w:rPr>
                <w:rFonts w:ascii="Arial" w:hAnsi="Arial" w:cs="Arial"/>
                <w:bCs/>
                <w:sz w:val="22"/>
                <w:szCs w:val="22"/>
              </w:rPr>
            </w:pPr>
            <w:r w:rsidRPr="00B25C68">
              <w:rPr>
                <w:rFonts w:ascii="Arial" w:hAnsi="Arial" w:cs="Arial"/>
                <w:bCs/>
                <w:sz w:val="22"/>
                <w:szCs w:val="22"/>
              </w:rPr>
              <w:t>Therapeutic Guidelines. Osteoporosis and minimal-trauma fracture. [Internet] Melbourne: Therapeutic Guidelines; 2022 Available from: tgldcdp.tg.org.au/viewTopic?topicfile=osteoporosis-minimal-trauma-fracture.</w:t>
            </w:r>
          </w:p>
        </w:tc>
      </w:tr>
    </w:tbl>
    <w:p w14:paraId="717EA5EC" w14:textId="77777777" w:rsidR="00072A5E" w:rsidRDefault="00072A5E" w:rsidP="00D326C1">
      <w:pPr>
        <w:ind w:firstLine="720"/>
      </w:pPr>
    </w:p>
    <w:p w14:paraId="22B03F0E" w14:textId="77777777" w:rsidR="00072A5E" w:rsidRDefault="00072A5E" w:rsidP="00072A5E"/>
    <w:p w14:paraId="5E6FBA5A" w14:textId="77777777" w:rsidR="00072A5E" w:rsidRDefault="00072A5E" w:rsidP="00072A5E">
      <w:pPr>
        <w:tabs>
          <w:tab w:val="left" w:pos="915"/>
        </w:tabs>
        <w:sectPr w:rsidR="00072A5E" w:rsidSect="00C768B6">
          <w:pgSz w:w="16838" w:h="11906" w:orient="landscape"/>
          <w:pgMar w:top="1440" w:right="1440" w:bottom="1440" w:left="1440" w:header="708" w:footer="708" w:gutter="0"/>
          <w:cols w:space="708"/>
          <w:docGrid w:linePitch="360"/>
        </w:sectPr>
      </w:pPr>
    </w:p>
    <w:tbl>
      <w:tblPr>
        <w:tblpPr w:leftFromText="180" w:rightFromText="180" w:horzAnchor="margin" w:tblpY="-422"/>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0381"/>
      </w:tblGrid>
      <w:tr w:rsidR="00072A5E" w:rsidRPr="002A5AD5" w14:paraId="3E2146B0" w14:textId="77777777" w:rsidTr="0026256F">
        <w:trPr>
          <w:tblHeader/>
        </w:trPr>
        <w:tc>
          <w:tcPr>
            <w:tcW w:w="3227" w:type="dxa"/>
            <w:tcBorders>
              <w:top w:val="single" w:sz="4" w:space="0" w:color="auto"/>
              <w:left w:val="single" w:sz="4" w:space="0" w:color="auto"/>
              <w:bottom w:val="single" w:sz="4" w:space="0" w:color="auto"/>
              <w:right w:val="single" w:sz="4" w:space="0" w:color="auto"/>
            </w:tcBorders>
            <w:shd w:val="clear" w:color="auto" w:fill="00988E"/>
          </w:tcPr>
          <w:p w14:paraId="7F4CE65C" w14:textId="77777777" w:rsidR="00072A5E" w:rsidRPr="002A5AD5" w:rsidRDefault="00072A5E" w:rsidP="000261A7">
            <w:pPr>
              <w:spacing w:before="60"/>
              <w:rPr>
                <w:rFonts w:ascii="Arial" w:hAnsi="Arial" w:cs="Arial"/>
                <w:color w:val="FFFFFF"/>
                <w:sz w:val="32"/>
                <w:szCs w:val="32"/>
              </w:rPr>
            </w:pPr>
            <w:r>
              <w:rPr>
                <w:rFonts w:ascii="Arial" w:hAnsi="Arial" w:cs="Arial"/>
                <w:b/>
                <w:bCs/>
                <w:color w:val="FFFFFF"/>
                <w:sz w:val="32"/>
                <w:szCs w:val="32"/>
              </w:rPr>
              <w:lastRenderedPageBreak/>
              <w:t>Quality Statement 7</w:t>
            </w:r>
          </w:p>
        </w:tc>
        <w:tc>
          <w:tcPr>
            <w:tcW w:w="10381" w:type="dxa"/>
            <w:tcBorders>
              <w:top w:val="single" w:sz="4" w:space="0" w:color="auto"/>
              <w:left w:val="single" w:sz="4" w:space="0" w:color="auto"/>
              <w:bottom w:val="single" w:sz="4" w:space="0" w:color="auto"/>
              <w:right w:val="single" w:sz="4" w:space="0" w:color="auto"/>
            </w:tcBorders>
          </w:tcPr>
          <w:p w14:paraId="428ADC14" w14:textId="77777777" w:rsidR="009E7CA1" w:rsidRPr="009E7CA1" w:rsidRDefault="009E7CA1" w:rsidP="009E7CA1">
            <w:pPr>
              <w:spacing w:before="60" w:after="60"/>
              <w:rPr>
                <w:rFonts w:ascii="Arial" w:hAnsi="Arial" w:cs="Arial"/>
                <w:b/>
                <w:sz w:val="22"/>
                <w:szCs w:val="22"/>
              </w:rPr>
            </w:pPr>
            <w:r w:rsidRPr="009E7CA1">
              <w:rPr>
                <w:rFonts w:ascii="Arial" w:hAnsi="Arial" w:cs="Arial"/>
                <w:b/>
                <w:sz w:val="22"/>
                <w:szCs w:val="22"/>
              </w:rPr>
              <w:t xml:space="preserve">Transition from hospital care </w:t>
            </w:r>
          </w:p>
          <w:p w14:paraId="442E4531" w14:textId="697BC76E" w:rsidR="00072A5E" w:rsidRPr="009E7CA1" w:rsidRDefault="00913409" w:rsidP="009E7CA1">
            <w:pPr>
              <w:spacing w:before="60" w:after="60"/>
              <w:rPr>
                <w:rFonts w:ascii="Arial" w:hAnsi="Arial" w:cs="Arial"/>
                <w:bCs/>
                <w:sz w:val="22"/>
                <w:szCs w:val="22"/>
              </w:rPr>
            </w:pPr>
            <w:r w:rsidRPr="00913409">
              <w:rPr>
                <w:rFonts w:ascii="Arial" w:hAnsi="Arial" w:cs="Arial"/>
                <w:bCs/>
                <w:sz w:val="22"/>
                <w:szCs w:val="22"/>
              </w:rPr>
              <w:t xml:space="preserve">Before a person leaves hospital after a hip fracture, an </w:t>
            </w:r>
            <w:proofErr w:type="spellStart"/>
            <w:r w:rsidRPr="00913409">
              <w:rPr>
                <w:rFonts w:ascii="Arial" w:hAnsi="Arial" w:cs="Arial"/>
                <w:bCs/>
                <w:sz w:val="22"/>
                <w:szCs w:val="22"/>
              </w:rPr>
              <w:t>individualised</w:t>
            </w:r>
            <w:proofErr w:type="spellEnd"/>
            <w:r w:rsidRPr="00913409">
              <w:rPr>
                <w:rFonts w:ascii="Arial" w:hAnsi="Arial" w:cs="Arial"/>
                <w:bCs/>
                <w:sz w:val="22"/>
                <w:szCs w:val="22"/>
              </w:rPr>
              <w:t xml:space="preserve"> care plan is developed that describes their goals of care and ongoing care needs. This plan is developed in discussion with the person and their family or support people. The plan includes </w:t>
            </w:r>
            <w:proofErr w:type="spellStart"/>
            <w:r w:rsidRPr="00913409">
              <w:rPr>
                <w:rFonts w:ascii="Arial" w:hAnsi="Arial" w:cs="Arial"/>
                <w:bCs/>
                <w:sz w:val="22"/>
                <w:szCs w:val="22"/>
              </w:rPr>
              <w:t>mobilisation</w:t>
            </w:r>
            <w:proofErr w:type="spellEnd"/>
            <w:r w:rsidRPr="00913409">
              <w:rPr>
                <w:rFonts w:ascii="Arial" w:hAnsi="Arial" w:cs="Arial"/>
                <w:bCs/>
                <w:sz w:val="22"/>
                <w:szCs w:val="22"/>
              </w:rPr>
              <w:t xml:space="preserve"> activities and expected function post-injury, wound care, pain management, nutrition, fracture prevention strategies, changed or new medicines, and specific rehabilitation services and equipment. On discharge, the plan is provided to the person and communicated with their general practice and other ongoing clinicians and care providers</w:t>
            </w:r>
            <w:r w:rsidR="009E7CA1" w:rsidRPr="009E7CA1">
              <w:rPr>
                <w:rFonts w:ascii="Arial" w:hAnsi="Arial" w:cs="Arial"/>
                <w:bCs/>
                <w:sz w:val="22"/>
                <w:szCs w:val="22"/>
              </w:rPr>
              <w:t>.</w:t>
            </w:r>
          </w:p>
        </w:tc>
      </w:tr>
      <w:tr w:rsidR="00072A5E" w:rsidRPr="002A5AD5" w14:paraId="5B5B49BC" w14:textId="77777777" w:rsidTr="0026256F">
        <w:trPr>
          <w:tblHeader/>
        </w:trPr>
        <w:tc>
          <w:tcPr>
            <w:tcW w:w="13608" w:type="dxa"/>
            <w:gridSpan w:val="2"/>
            <w:tcBorders>
              <w:top w:val="single" w:sz="4" w:space="0" w:color="auto"/>
              <w:left w:val="single" w:sz="4" w:space="0" w:color="auto"/>
              <w:bottom w:val="single" w:sz="4" w:space="0" w:color="auto"/>
              <w:right w:val="single" w:sz="4" w:space="0" w:color="auto"/>
            </w:tcBorders>
            <w:shd w:val="clear" w:color="auto" w:fill="auto"/>
          </w:tcPr>
          <w:p w14:paraId="1DA19845" w14:textId="0E79BF53" w:rsidR="00072A5E" w:rsidRPr="002A5AD5" w:rsidRDefault="00072A5E" w:rsidP="0026256F">
            <w:pPr>
              <w:rPr>
                <w:rFonts w:ascii="Arial" w:hAnsi="Arial" w:cs="Arial"/>
                <w:b/>
              </w:rPr>
            </w:pPr>
            <w:r w:rsidRPr="002A5AD5">
              <w:rPr>
                <w:rFonts w:ascii="Arial" w:hAnsi="Arial" w:cs="Arial"/>
                <w:b/>
              </w:rPr>
              <w:t xml:space="preserve">EVIDENCE SOURCES </w:t>
            </w:r>
          </w:p>
        </w:tc>
      </w:tr>
      <w:tr w:rsidR="00072A5E" w:rsidRPr="002A5AD5" w14:paraId="27B92084" w14:textId="77777777" w:rsidTr="004D78BD">
        <w:trPr>
          <w:trHeight w:val="90"/>
          <w:tblHeader/>
        </w:trPr>
        <w:tc>
          <w:tcPr>
            <w:tcW w:w="1360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82893C0" w14:textId="73D4319E" w:rsidR="00072A5E" w:rsidRPr="002A5AD5" w:rsidRDefault="00072A5E" w:rsidP="000261A7">
            <w:pPr>
              <w:spacing w:before="60" w:after="60"/>
              <w:rPr>
                <w:rFonts w:ascii="Arial" w:hAnsi="Arial" w:cs="Arial"/>
                <w:b/>
                <w:sz w:val="20"/>
                <w:szCs w:val="20"/>
              </w:rPr>
            </w:pPr>
            <w:r w:rsidRPr="00AB2756">
              <w:rPr>
                <w:rFonts w:ascii="Arial" w:hAnsi="Arial" w:cs="Arial"/>
                <w:b/>
                <w:sz w:val="22"/>
                <w:szCs w:val="22"/>
              </w:rPr>
              <w:t>Australian Guideline</w:t>
            </w:r>
            <w:r w:rsidR="00A902FE" w:rsidRPr="00AB2756">
              <w:rPr>
                <w:rFonts w:ascii="Arial" w:hAnsi="Arial" w:cs="Arial"/>
                <w:b/>
                <w:sz w:val="22"/>
                <w:szCs w:val="22"/>
              </w:rPr>
              <w:t>s</w:t>
            </w:r>
          </w:p>
        </w:tc>
      </w:tr>
      <w:tr w:rsidR="00072A5E" w:rsidRPr="002A5AD5" w14:paraId="3BCC86A6" w14:textId="77777777" w:rsidTr="0026256F">
        <w:trPr>
          <w:cantSplit/>
          <w:trHeight w:val="90"/>
        </w:trPr>
        <w:tc>
          <w:tcPr>
            <w:tcW w:w="13608" w:type="dxa"/>
            <w:gridSpan w:val="2"/>
            <w:tcBorders>
              <w:top w:val="single" w:sz="4" w:space="0" w:color="auto"/>
              <w:left w:val="single" w:sz="4" w:space="0" w:color="auto"/>
              <w:bottom w:val="single" w:sz="4" w:space="0" w:color="auto"/>
              <w:right w:val="single" w:sz="4" w:space="0" w:color="auto"/>
            </w:tcBorders>
          </w:tcPr>
          <w:p w14:paraId="2189BAB5" w14:textId="0C962051" w:rsidR="00B04BBD" w:rsidRPr="00905A0F" w:rsidRDefault="00905A0F">
            <w:pPr>
              <w:pStyle w:val="ListParagraph"/>
              <w:numPr>
                <w:ilvl w:val="0"/>
                <w:numId w:val="12"/>
              </w:numPr>
              <w:autoSpaceDE w:val="0"/>
              <w:autoSpaceDN w:val="0"/>
              <w:adjustRightInd w:val="0"/>
              <w:spacing w:after="60"/>
              <w:ind w:left="714" w:hanging="357"/>
              <w:rPr>
                <w:rFonts w:ascii="Arial" w:hAnsi="Arial" w:cs="Arial"/>
                <w:sz w:val="22"/>
                <w:szCs w:val="22"/>
              </w:rPr>
            </w:pPr>
            <w:r w:rsidRPr="00905A0F">
              <w:rPr>
                <w:rFonts w:ascii="Arial" w:hAnsi="Arial" w:cs="Arial"/>
                <w:sz w:val="22"/>
                <w:szCs w:val="22"/>
              </w:rPr>
              <w:t>Australian and New Zealand Hip Fracture Registry Steering Group. Australian and New Zealand guideline for hip fracture care: improving outcomes in hip fracture management of adults. Sydney: ANZHFR, 2014.</w:t>
            </w:r>
          </w:p>
        </w:tc>
      </w:tr>
      <w:tr w:rsidR="00072A5E" w:rsidRPr="002A5AD5" w14:paraId="549D3F19" w14:textId="77777777" w:rsidTr="004D78BD">
        <w:trPr>
          <w:cantSplit/>
          <w:trHeight w:val="90"/>
        </w:trPr>
        <w:tc>
          <w:tcPr>
            <w:tcW w:w="13608" w:type="dxa"/>
            <w:gridSpan w:val="2"/>
            <w:tcBorders>
              <w:top w:val="single" w:sz="4" w:space="0" w:color="auto"/>
              <w:left w:val="single" w:sz="4" w:space="0" w:color="auto"/>
              <w:right w:val="single" w:sz="4" w:space="0" w:color="auto"/>
            </w:tcBorders>
            <w:shd w:val="clear" w:color="auto" w:fill="DEEAF6" w:themeFill="accent1" w:themeFillTint="33"/>
          </w:tcPr>
          <w:p w14:paraId="3159945B" w14:textId="77777777" w:rsidR="00072A5E" w:rsidRPr="0074479F" w:rsidRDefault="00072A5E" w:rsidP="000261A7">
            <w:pPr>
              <w:spacing w:before="60" w:after="60"/>
              <w:rPr>
                <w:rFonts w:ascii="Arial" w:hAnsi="Arial" w:cs="Arial"/>
                <w:b/>
                <w:sz w:val="22"/>
                <w:szCs w:val="22"/>
              </w:rPr>
            </w:pPr>
            <w:r w:rsidRPr="0074479F">
              <w:rPr>
                <w:rFonts w:ascii="Arial" w:hAnsi="Arial" w:cs="Arial"/>
                <w:b/>
                <w:sz w:val="22"/>
                <w:szCs w:val="22"/>
              </w:rPr>
              <w:t>Additional Source</w:t>
            </w:r>
            <w:r w:rsidR="00F157BC" w:rsidRPr="0074479F">
              <w:rPr>
                <w:rFonts w:ascii="Arial" w:hAnsi="Arial" w:cs="Arial"/>
                <w:b/>
                <w:sz w:val="22"/>
                <w:szCs w:val="22"/>
              </w:rPr>
              <w:t>s</w:t>
            </w:r>
          </w:p>
        </w:tc>
      </w:tr>
      <w:tr w:rsidR="00072A5E" w:rsidRPr="002A5AD5" w14:paraId="116B03DD" w14:textId="77777777" w:rsidTr="001D04F0">
        <w:trPr>
          <w:cantSplit/>
          <w:trHeight w:val="90"/>
        </w:trPr>
        <w:tc>
          <w:tcPr>
            <w:tcW w:w="13608" w:type="dxa"/>
            <w:gridSpan w:val="2"/>
            <w:tcBorders>
              <w:top w:val="single" w:sz="4" w:space="0" w:color="auto"/>
              <w:left w:val="single" w:sz="4" w:space="0" w:color="auto"/>
              <w:bottom w:val="single" w:sz="4" w:space="0" w:color="auto"/>
              <w:right w:val="single" w:sz="4" w:space="0" w:color="auto"/>
            </w:tcBorders>
          </w:tcPr>
          <w:p w14:paraId="29753B27" w14:textId="0EE8BF0E" w:rsidR="00C86B4E" w:rsidRPr="00AB2756" w:rsidRDefault="00AB2756">
            <w:pPr>
              <w:pStyle w:val="ListParagraph"/>
              <w:numPr>
                <w:ilvl w:val="0"/>
                <w:numId w:val="12"/>
              </w:numPr>
              <w:spacing w:after="60"/>
              <w:ind w:left="714" w:hanging="357"/>
              <w:rPr>
                <w:rFonts w:ascii="Arial" w:hAnsi="Arial" w:cs="Arial"/>
                <w:sz w:val="22"/>
                <w:szCs w:val="22"/>
                <w:lang w:eastAsia="en-AU"/>
              </w:rPr>
            </w:pPr>
            <w:r w:rsidRPr="00AB2756">
              <w:rPr>
                <w:rFonts w:ascii="Arial" w:hAnsi="Arial" w:cs="Arial"/>
                <w:sz w:val="22"/>
                <w:szCs w:val="22"/>
                <w:lang w:eastAsia="en-AU"/>
              </w:rPr>
              <w:t xml:space="preserve">Perioperative Mortality Review Committee. Perioperative mortality in New Zealand. Wellington (NZ): </w:t>
            </w:r>
            <w:proofErr w:type="spellStart"/>
            <w:r w:rsidRPr="00AB2756">
              <w:rPr>
                <w:rFonts w:ascii="Arial" w:hAnsi="Arial" w:cs="Arial"/>
                <w:sz w:val="22"/>
                <w:szCs w:val="22"/>
                <w:lang w:eastAsia="en-AU"/>
              </w:rPr>
              <w:t>Te</w:t>
            </w:r>
            <w:proofErr w:type="spellEnd"/>
            <w:r w:rsidRPr="00AB2756">
              <w:rPr>
                <w:rFonts w:ascii="Arial" w:hAnsi="Arial" w:cs="Arial"/>
                <w:sz w:val="22"/>
                <w:szCs w:val="22"/>
                <w:lang w:eastAsia="en-AU"/>
              </w:rPr>
              <w:t xml:space="preserve"> </w:t>
            </w:r>
            <w:proofErr w:type="spellStart"/>
            <w:r w:rsidRPr="00AB2756">
              <w:rPr>
                <w:rFonts w:ascii="Arial" w:hAnsi="Arial" w:cs="Arial"/>
                <w:sz w:val="22"/>
                <w:szCs w:val="22"/>
                <w:lang w:eastAsia="en-AU"/>
              </w:rPr>
              <w:t>Tāhū</w:t>
            </w:r>
            <w:proofErr w:type="spellEnd"/>
            <w:r w:rsidRPr="00AB2756">
              <w:rPr>
                <w:rFonts w:ascii="Arial" w:hAnsi="Arial" w:cs="Arial"/>
                <w:sz w:val="22"/>
                <w:szCs w:val="22"/>
                <w:lang w:eastAsia="en-AU"/>
              </w:rPr>
              <w:t xml:space="preserve"> Hauora Health Quality and Safety Commission New Zealand (NZ), 2019.</w:t>
            </w:r>
          </w:p>
        </w:tc>
      </w:tr>
      <w:tr w:rsidR="001D04F0" w:rsidRPr="002A5AD5" w14:paraId="5547FE86" w14:textId="77777777" w:rsidTr="001D04F0">
        <w:trPr>
          <w:cantSplit/>
          <w:trHeight w:val="90"/>
        </w:trPr>
        <w:tc>
          <w:tcPr>
            <w:tcW w:w="1360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F48C204" w14:textId="74F06F1A" w:rsidR="001D04F0" w:rsidRPr="001D04F0" w:rsidRDefault="001D04F0" w:rsidP="001D04F0">
            <w:pPr>
              <w:spacing w:before="60" w:after="60"/>
              <w:rPr>
                <w:rFonts w:ascii="Arial" w:hAnsi="Arial" w:cs="Arial"/>
                <w:sz w:val="22"/>
                <w:szCs w:val="22"/>
              </w:rPr>
            </w:pPr>
            <w:r w:rsidRPr="001D04F0">
              <w:rPr>
                <w:rFonts w:ascii="Arial" w:hAnsi="Arial" w:cs="Arial"/>
                <w:b/>
                <w:sz w:val="22"/>
                <w:szCs w:val="22"/>
              </w:rPr>
              <w:t>Related Resources</w:t>
            </w:r>
          </w:p>
        </w:tc>
      </w:tr>
      <w:tr w:rsidR="001D04F0" w:rsidRPr="002A5AD5" w14:paraId="3158F1EE" w14:textId="77777777" w:rsidTr="001D04F0">
        <w:trPr>
          <w:cantSplit/>
          <w:trHeight w:val="90"/>
        </w:trPr>
        <w:tc>
          <w:tcPr>
            <w:tcW w:w="13608" w:type="dxa"/>
            <w:gridSpan w:val="2"/>
            <w:tcBorders>
              <w:top w:val="single" w:sz="4" w:space="0" w:color="auto"/>
              <w:left w:val="single" w:sz="4" w:space="0" w:color="auto"/>
              <w:right w:val="single" w:sz="4" w:space="0" w:color="auto"/>
            </w:tcBorders>
            <w:shd w:val="clear" w:color="auto" w:fill="auto"/>
          </w:tcPr>
          <w:p w14:paraId="11E7B7AA" w14:textId="77777777" w:rsidR="001D04F0" w:rsidRDefault="001D04F0" w:rsidP="001D04F0">
            <w:pPr>
              <w:pStyle w:val="ListParagraph"/>
              <w:numPr>
                <w:ilvl w:val="0"/>
                <w:numId w:val="12"/>
              </w:numPr>
              <w:autoSpaceDE w:val="0"/>
              <w:autoSpaceDN w:val="0"/>
              <w:adjustRightInd w:val="0"/>
              <w:rPr>
                <w:rFonts w:ascii="Arial" w:hAnsi="Arial" w:cs="Arial"/>
                <w:sz w:val="22"/>
                <w:szCs w:val="22"/>
                <w:lang w:eastAsia="en-AU"/>
              </w:rPr>
            </w:pPr>
            <w:proofErr w:type="spellStart"/>
            <w:r w:rsidRPr="00AB2756">
              <w:rPr>
                <w:rFonts w:ascii="Arial" w:hAnsi="Arial" w:cs="Arial"/>
                <w:sz w:val="22"/>
                <w:szCs w:val="22"/>
              </w:rPr>
              <w:t>NeuRA</w:t>
            </w:r>
            <w:proofErr w:type="spellEnd"/>
            <w:r w:rsidRPr="00AB2756">
              <w:rPr>
                <w:rFonts w:ascii="Arial" w:hAnsi="Arial" w:cs="Arial"/>
                <w:sz w:val="22"/>
                <w:szCs w:val="22"/>
              </w:rPr>
              <w:t xml:space="preserve"> (Neuroscience Research Australia) Foundation </w:t>
            </w:r>
            <w:proofErr w:type="spellStart"/>
            <w:r w:rsidRPr="00AB2756">
              <w:rPr>
                <w:rFonts w:ascii="Arial" w:hAnsi="Arial" w:cs="Arial"/>
                <w:sz w:val="22"/>
                <w:szCs w:val="22"/>
              </w:rPr>
              <w:t>AaNZHFR</w:t>
            </w:r>
            <w:proofErr w:type="spellEnd"/>
            <w:r w:rsidRPr="00AB2756">
              <w:rPr>
                <w:rFonts w:ascii="Arial" w:hAnsi="Arial" w:cs="Arial"/>
                <w:sz w:val="22"/>
                <w:szCs w:val="22"/>
              </w:rPr>
              <w:t>. My hip fracture information and individual care plan. Sydney: ANZHFR; 2021.</w:t>
            </w:r>
          </w:p>
          <w:p w14:paraId="7AA5451A" w14:textId="1D6A3422" w:rsidR="001D04F0" w:rsidRPr="001D04F0" w:rsidRDefault="001D04F0" w:rsidP="001D04F0">
            <w:pPr>
              <w:pStyle w:val="ListParagraph"/>
              <w:numPr>
                <w:ilvl w:val="0"/>
                <w:numId w:val="12"/>
              </w:numPr>
              <w:rPr>
                <w:rFonts w:ascii="Arial" w:hAnsi="Arial" w:cs="Arial"/>
                <w:sz w:val="22"/>
                <w:szCs w:val="22"/>
                <w:lang w:eastAsia="en-AU"/>
              </w:rPr>
            </w:pPr>
            <w:proofErr w:type="spellStart"/>
            <w:r w:rsidRPr="00AB2756">
              <w:rPr>
                <w:rFonts w:ascii="Arial" w:hAnsi="Arial" w:cs="Arial"/>
                <w:sz w:val="22"/>
                <w:szCs w:val="22"/>
                <w:lang w:eastAsia="en-AU"/>
              </w:rPr>
              <w:t>Te</w:t>
            </w:r>
            <w:proofErr w:type="spellEnd"/>
            <w:r w:rsidRPr="00AB2756">
              <w:rPr>
                <w:rFonts w:ascii="Arial" w:hAnsi="Arial" w:cs="Arial"/>
                <w:sz w:val="22"/>
                <w:szCs w:val="22"/>
                <w:lang w:eastAsia="en-AU"/>
              </w:rPr>
              <w:t xml:space="preserve"> </w:t>
            </w:r>
            <w:proofErr w:type="spellStart"/>
            <w:r w:rsidRPr="00AB2756">
              <w:rPr>
                <w:rFonts w:ascii="Arial" w:hAnsi="Arial" w:cs="Arial"/>
                <w:sz w:val="22"/>
                <w:szCs w:val="22"/>
                <w:lang w:eastAsia="en-AU"/>
              </w:rPr>
              <w:t>Tāhū</w:t>
            </w:r>
            <w:proofErr w:type="spellEnd"/>
            <w:r w:rsidRPr="00AB2756">
              <w:rPr>
                <w:rFonts w:ascii="Arial" w:hAnsi="Arial" w:cs="Arial"/>
                <w:sz w:val="22"/>
                <w:szCs w:val="22"/>
                <w:lang w:eastAsia="en-AU"/>
              </w:rPr>
              <w:t xml:space="preserve"> Hauora Health Quality &amp; Safety Commission (NZ). Recovering from a hip fracture: </w:t>
            </w:r>
            <w:proofErr w:type="spellStart"/>
            <w:r w:rsidRPr="00AB2756">
              <w:rPr>
                <w:rFonts w:ascii="Arial" w:hAnsi="Arial" w:cs="Arial"/>
                <w:sz w:val="22"/>
                <w:szCs w:val="22"/>
                <w:lang w:eastAsia="en-AU"/>
              </w:rPr>
              <w:t>Pikinga</w:t>
            </w:r>
            <w:proofErr w:type="spellEnd"/>
            <w:r w:rsidRPr="00AB2756">
              <w:rPr>
                <w:rFonts w:ascii="Arial" w:hAnsi="Arial" w:cs="Arial"/>
                <w:sz w:val="22"/>
                <w:szCs w:val="22"/>
                <w:lang w:eastAsia="en-AU"/>
              </w:rPr>
              <w:t xml:space="preserve"> </w:t>
            </w:r>
            <w:proofErr w:type="spellStart"/>
            <w:r w:rsidRPr="00AB2756">
              <w:rPr>
                <w:rFonts w:ascii="Arial" w:hAnsi="Arial" w:cs="Arial"/>
                <w:sz w:val="22"/>
                <w:szCs w:val="22"/>
                <w:lang w:eastAsia="en-AU"/>
              </w:rPr>
              <w:t>ora</w:t>
            </w:r>
            <w:proofErr w:type="spellEnd"/>
            <w:r w:rsidRPr="00AB2756">
              <w:rPr>
                <w:rFonts w:ascii="Arial" w:hAnsi="Arial" w:cs="Arial"/>
                <w:sz w:val="22"/>
                <w:szCs w:val="22"/>
                <w:lang w:eastAsia="en-AU"/>
              </w:rPr>
              <w:t xml:space="preserve"> </w:t>
            </w:r>
            <w:proofErr w:type="spellStart"/>
            <w:r w:rsidRPr="00AB2756">
              <w:rPr>
                <w:rFonts w:ascii="Arial" w:hAnsi="Arial" w:cs="Arial"/>
                <w:sz w:val="22"/>
                <w:szCs w:val="22"/>
                <w:lang w:eastAsia="en-AU"/>
              </w:rPr>
              <w:t>i</w:t>
            </w:r>
            <w:proofErr w:type="spellEnd"/>
            <w:r w:rsidRPr="00AB2756">
              <w:rPr>
                <w:rFonts w:ascii="Arial" w:hAnsi="Arial" w:cs="Arial"/>
                <w:sz w:val="22"/>
                <w:szCs w:val="22"/>
                <w:lang w:eastAsia="en-AU"/>
              </w:rPr>
              <w:t xml:space="preserve"> </w:t>
            </w:r>
            <w:proofErr w:type="spellStart"/>
            <w:r w:rsidRPr="00AB2756">
              <w:rPr>
                <w:rFonts w:ascii="Arial" w:hAnsi="Arial" w:cs="Arial"/>
                <w:sz w:val="22"/>
                <w:szCs w:val="22"/>
                <w:lang w:eastAsia="en-AU"/>
              </w:rPr>
              <w:t>tētahi</w:t>
            </w:r>
            <w:proofErr w:type="spellEnd"/>
            <w:r w:rsidRPr="00AB2756">
              <w:rPr>
                <w:rFonts w:ascii="Arial" w:hAnsi="Arial" w:cs="Arial"/>
                <w:sz w:val="22"/>
                <w:szCs w:val="22"/>
                <w:lang w:eastAsia="en-AU"/>
              </w:rPr>
              <w:t xml:space="preserve"> </w:t>
            </w:r>
            <w:proofErr w:type="spellStart"/>
            <w:r w:rsidRPr="00AB2756">
              <w:rPr>
                <w:rFonts w:ascii="Arial" w:hAnsi="Arial" w:cs="Arial"/>
                <w:sz w:val="22"/>
                <w:szCs w:val="22"/>
                <w:lang w:eastAsia="en-AU"/>
              </w:rPr>
              <w:t>whainga</w:t>
            </w:r>
            <w:proofErr w:type="spellEnd"/>
            <w:r w:rsidRPr="00AB2756">
              <w:rPr>
                <w:rFonts w:ascii="Arial" w:hAnsi="Arial" w:cs="Arial"/>
                <w:sz w:val="22"/>
                <w:szCs w:val="22"/>
                <w:lang w:eastAsia="en-AU"/>
              </w:rPr>
              <w:t xml:space="preserve"> hope. Wellington (NZ): </w:t>
            </w:r>
            <w:proofErr w:type="spellStart"/>
            <w:r w:rsidRPr="00AB2756">
              <w:rPr>
                <w:rFonts w:ascii="Arial" w:hAnsi="Arial" w:cs="Arial"/>
                <w:sz w:val="22"/>
                <w:szCs w:val="22"/>
                <w:lang w:eastAsia="en-AU"/>
              </w:rPr>
              <w:t>Te</w:t>
            </w:r>
            <w:proofErr w:type="spellEnd"/>
            <w:r w:rsidRPr="00AB2756">
              <w:rPr>
                <w:rFonts w:ascii="Arial" w:hAnsi="Arial" w:cs="Arial"/>
                <w:sz w:val="22"/>
                <w:szCs w:val="22"/>
                <w:lang w:eastAsia="en-AU"/>
              </w:rPr>
              <w:t xml:space="preserve"> </w:t>
            </w:r>
            <w:proofErr w:type="spellStart"/>
            <w:r w:rsidRPr="00AB2756">
              <w:rPr>
                <w:rFonts w:ascii="Arial" w:hAnsi="Arial" w:cs="Arial"/>
                <w:sz w:val="22"/>
                <w:szCs w:val="22"/>
                <w:lang w:eastAsia="en-AU"/>
              </w:rPr>
              <w:t>Tāhū</w:t>
            </w:r>
            <w:proofErr w:type="spellEnd"/>
            <w:r w:rsidRPr="00AB2756">
              <w:rPr>
                <w:rFonts w:ascii="Arial" w:hAnsi="Arial" w:cs="Arial"/>
                <w:sz w:val="22"/>
                <w:szCs w:val="22"/>
                <w:lang w:eastAsia="en-AU"/>
              </w:rPr>
              <w:t xml:space="preserve"> Hauora; 2021</w:t>
            </w:r>
            <w:r>
              <w:rPr>
                <w:rFonts w:ascii="Arial" w:hAnsi="Arial" w:cs="Arial"/>
                <w:sz w:val="22"/>
                <w:szCs w:val="22"/>
                <w:lang w:eastAsia="en-AU"/>
              </w:rPr>
              <w:t>.</w:t>
            </w:r>
            <w:r w:rsidRPr="00AB2756">
              <w:rPr>
                <w:rFonts w:ascii="Arial" w:hAnsi="Arial" w:cs="Arial"/>
                <w:sz w:val="22"/>
                <w:szCs w:val="22"/>
                <w:lang w:eastAsia="en-AU"/>
              </w:rPr>
              <w:t xml:space="preserve"> Available from: www. hqsc.govt.nz/resources/resource-library/ recovering-from-a-hip-fracture-</w:t>
            </w:r>
            <w:proofErr w:type="spellStart"/>
            <w:r w:rsidRPr="00AB2756">
              <w:rPr>
                <w:rFonts w:ascii="Arial" w:hAnsi="Arial" w:cs="Arial"/>
                <w:sz w:val="22"/>
                <w:szCs w:val="22"/>
                <w:lang w:eastAsia="en-AU"/>
              </w:rPr>
              <w:t>pikinga</w:t>
            </w:r>
            <w:proofErr w:type="spellEnd"/>
            <w:r w:rsidRPr="00AB2756">
              <w:rPr>
                <w:rFonts w:ascii="Arial" w:hAnsi="Arial" w:cs="Arial"/>
                <w:sz w:val="22"/>
                <w:szCs w:val="22"/>
                <w:lang w:eastAsia="en-AU"/>
              </w:rPr>
              <w:t>-</w:t>
            </w:r>
            <w:proofErr w:type="spellStart"/>
            <w:r w:rsidRPr="00AB2756">
              <w:rPr>
                <w:rFonts w:ascii="Arial" w:hAnsi="Arial" w:cs="Arial"/>
                <w:sz w:val="22"/>
                <w:szCs w:val="22"/>
                <w:lang w:eastAsia="en-AU"/>
              </w:rPr>
              <w:t>ora-i</w:t>
            </w:r>
            <w:proofErr w:type="spellEnd"/>
            <w:r w:rsidRPr="00AB2756">
              <w:rPr>
                <w:rFonts w:ascii="Arial" w:hAnsi="Arial" w:cs="Arial"/>
                <w:sz w:val="22"/>
                <w:szCs w:val="22"/>
                <w:lang w:eastAsia="en-AU"/>
              </w:rPr>
              <w:t xml:space="preserve">- </w:t>
            </w:r>
            <w:proofErr w:type="spellStart"/>
            <w:r w:rsidRPr="00AB2756">
              <w:rPr>
                <w:rFonts w:ascii="Arial" w:hAnsi="Arial" w:cs="Arial"/>
                <w:sz w:val="22"/>
                <w:szCs w:val="22"/>
                <w:lang w:eastAsia="en-AU"/>
              </w:rPr>
              <w:t>tetahi</w:t>
            </w:r>
            <w:proofErr w:type="spellEnd"/>
            <w:r w:rsidRPr="00AB2756">
              <w:rPr>
                <w:rFonts w:ascii="Arial" w:hAnsi="Arial" w:cs="Arial"/>
                <w:sz w:val="22"/>
                <w:szCs w:val="22"/>
                <w:lang w:eastAsia="en-AU"/>
              </w:rPr>
              <w:t>-</w:t>
            </w:r>
            <w:proofErr w:type="spellStart"/>
            <w:r w:rsidRPr="00AB2756">
              <w:rPr>
                <w:rFonts w:ascii="Arial" w:hAnsi="Arial" w:cs="Arial"/>
                <w:sz w:val="22"/>
                <w:szCs w:val="22"/>
                <w:lang w:eastAsia="en-AU"/>
              </w:rPr>
              <w:t>whainga</w:t>
            </w:r>
            <w:proofErr w:type="spellEnd"/>
            <w:r w:rsidRPr="00AB2756">
              <w:rPr>
                <w:rFonts w:ascii="Arial" w:hAnsi="Arial" w:cs="Arial"/>
                <w:sz w:val="22"/>
                <w:szCs w:val="22"/>
                <w:lang w:eastAsia="en-AU"/>
              </w:rPr>
              <w:t>-hope-booklet.</w:t>
            </w:r>
          </w:p>
        </w:tc>
      </w:tr>
    </w:tbl>
    <w:p w14:paraId="517FEDB5" w14:textId="77777777" w:rsidR="000F3536" w:rsidRPr="00072A5E" w:rsidRDefault="000F3536" w:rsidP="00072A5E">
      <w:pPr>
        <w:tabs>
          <w:tab w:val="left" w:pos="915"/>
        </w:tabs>
      </w:pPr>
    </w:p>
    <w:sectPr w:rsidR="000F3536" w:rsidRPr="00072A5E" w:rsidSect="00C768B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8E328" w14:textId="77777777" w:rsidR="00030BED" w:rsidRDefault="00030BED" w:rsidP="000E4C6C">
      <w:r>
        <w:separator/>
      </w:r>
    </w:p>
  </w:endnote>
  <w:endnote w:type="continuationSeparator" w:id="0">
    <w:p w14:paraId="3EBF3941" w14:textId="77777777" w:rsidR="00030BED" w:rsidRDefault="00030BED" w:rsidP="000E4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440134571"/>
      <w:docPartObj>
        <w:docPartGallery w:val="Page Numbers (Bottom of Page)"/>
        <w:docPartUnique/>
      </w:docPartObj>
    </w:sdtPr>
    <w:sdtEndPr>
      <w:rPr>
        <w:noProof/>
      </w:rPr>
    </w:sdtEndPr>
    <w:sdtContent>
      <w:p w14:paraId="6724350E" w14:textId="77777777" w:rsidR="001A4ED7" w:rsidRPr="0045389E" w:rsidRDefault="001A4ED7">
        <w:pPr>
          <w:pStyle w:val="Footer"/>
          <w:jc w:val="right"/>
          <w:rPr>
            <w:rFonts w:ascii="Arial" w:hAnsi="Arial" w:cs="Arial"/>
            <w:sz w:val="18"/>
            <w:szCs w:val="18"/>
          </w:rPr>
        </w:pPr>
        <w:r w:rsidRPr="0045389E">
          <w:rPr>
            <w:rFonts w:ascii="Arial" w:hAnsi="Arial" w:cs="Arial"/>
            <w:sz w:val="18"/>
            <w:szCs w:val="18"/>
          </w:rPr>
          <w:fldChar w:fldCharType="begin"/>
        </w:r>
        <w:r w:rsidRPr="0045389E">
          <w:rPr>
            <w:rFonts w:ascii="Arial" w:hAnsi="Arial" w:cs="Arial"/>
            <w:sz w:val="18"/>
            <w:szCs w:val="18"/>
          </w:rPr>
          <w:instrText xml:space="preserve"> PAGE   \* MERGEFORMAT </w:instrText>
        </w:r>
        <w:r w:rsidRPr="0045389E">
          <w:rPr>
            <w:rFonts w:ascii="Arial" w:hAnsi="Arial" w:cs="Arial"/>
            <w:sz w:val="18"/>
            <w:szCs w:val="18"/>
          </w:rPr>
          <w:fldChar w:fldCharType="separate"/>
        </w:r>
        <w:r>
          <w:rPr>
            <w:rFonts w:ascii="Arial" w:hAnsi="Arial" w:cs="Arial"/>
            <w:noProof/>
            <w:sz w:val="18"/>
            <w:szCs w:val="18"/>
          </w:rPr>
          <w:t>2</w:t>
        </w:r>
        <w:r w:rsidRPr="0045389E">
          <w:rPr>
            <w:rFonts w:ascii="Arial" w:hAnsi="Arial" w:cs="Arial"/>
            <w:noProof/>
            <w:sz w:val="18"/>
            <w:szCs w:val="18"/>
          </w:rPr>
          <w:fldChar w:fldCharType="end"/>
        </w:r>
      </w:p>
    </w:sdtContent>
  </w:sdt>
  <w:p w14:paraId="7314351F" w14:textId="77777777" w:rsidR="001A4ED7" w:rsidRPr="0045389E" w:rsidRDefault="001A4ED7">
    <w:pPr>
      <w:pStyle w:val="Footer"/>
      <w:rPr>
        <w:rFonts w:ascii="Arial" w:hAnsi="Arial" w:cs="Arial"/>
        <w:sz w:val="18"/>
        <w:szCs w:val="18"/>
      </w:rPr>
    </w:pPr>
    <w:r w:rsidRPr="0045389E">
      <w:rPr>
        <w:rFonts w:ascii="Arial" w:hAnsi="Arial" w:cs="Arial"/>
        <w:sz w:val="18"/>
        <w:szCs w:val="18"/>
      </w:rPr>
      <w:t>Evidence Sources: Hip Fracture Care Clinical Care Standard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776028"/>
      <w:docPartObj>
        <w:docPartGallery w:val="Page Numbers (Bottom of Page)"/>
        <w:docPartUnique/>
      </w:docPartObj>
    </w:sdtPr>
    <w:sdtEndPr>
      <w:rPr>
        <w:noProof/>
      </w:rPr>
    </w:sdtEndPr>
    <w:sdtContent>
      <w:p w14:paraId="59BFC7AC" w14:textId="77777777" w:rsidR="001A4ED7" w:rsidRDefault="001A4ED7" w:rsidP="0045389E">
        <w:pPr>
          <w:pStyle w:val="Footer"/>
          <w:jc w:val="right"/>
        </w:pPr>
      </w:p>
      <w:p w14:paraId="2D5C01CE" w14:textId="54B09FA4" w:rsidR="001A4ED7" w:rsidRDefault="00A115CC" w:rsidP="0045389E">
        <w:pPr>
          <w:pStyle w:val="Footer"/>
          <w:jc w:val="right"/>
          <w:rPr>
            <w:rFonts w:ascii="Arial" w:hAnsi="Arial" w:cs="Arial"/>
            <w:sz w:val="18"/>
            <w:szCs w:val="18"/>
          </w:rPr>
        </w:pPr>
        <w:sdt>
          <w:sdtPr>
            <w:id w:val="386458883"/>
            <w:docPartObj>
              <w:docPartGallery w:val="Page Numbers (Bottom of Page)"/>
              <w:docPartUnique/>
            </w:docPartObj>
          </w:sdtPr>
          <w:sdtEndPr>
            <w:rPr>
              <w:rFonts w:ascii="Arial" w:hAnsi="Arial" w:cs="Arial"/>
              <w:noProof/>
              <w:sz w:val="18"/>
              <w:szCs w:val="18"/>
            </w:rPr>
          </w:sdtEndPr>
          <w:sdtContent>
            <w:r w:rsidR="001A4ED7" w:rsidRPr="00615598">
              <w:rPr>
                <w:rFonts w:ascii="Arial" w:hAnsi="Arial" w:cs="Arial"/>
                <w:sz w:val="18"/>
                <w:szCs w:val="18"/>
              </w:rPr>
              <w:fldChar w:fldCharType="begin"/>
            </w:r>
            <w:r w:rsidR="001A4ED7" w:rsidRPr="00615598">
              <w:rPr>
                <w:rFonts w:ascii="Arial" w:hAnsi="Arial" w:cs="Arial"/>
                <w:sz w:val="18"/>
                <w:szCs w:val="18"/>
              </w:rPr>
              <w:instrText xml:space="preserve"> PAGE   \* MERGEFORMAT </w:instrText>
            </w:r>
            <w:r w:rsidR="001A4ED7" w:rsidRPr="00615598">
              <w:rPr>
                <w:rFonts w:ascii="Arial" w:hAnsi="Arial" w:cs="Arial"/>
                <w:sz w:val="18"/>
                <w:szCs w:val="18"/>
              </w:rPr>
              <w:fldChar w:fldCharType="separate"/>
            </w:r>
            <w:r w:rsidR="00A01FF1">
              <w:rPr>
                <w:rFonts w:ascii="Arial" w:hAnsi="Arial" w:cs="Arial"/>
                <w:noProof/>
                <w:sz w:val="18"/>
                <w:szCs w:val="18"/>
              </w:rPr>
              <w:t>10</w:t>
            </w:r>
            <w:r w:rsidR="001A4ED7" w:rsidRPr="00615598">
              <w:rPr>
                <w:rFonts w:ascii="Arial" w:hAnsi="Arial" w:cs="Arial"/>
                <w:noProof/>
                <w:sz w:val="18"/>
                <w:szCs w:val="18"/>
              </w:rPr>
              <w:fldChar w:fldCharType="end"/>
            </w:r>
          </w:sdtContent>
        </w:sdt>
      </w:p>
      <w:p w14:paraId="3DBDFA07" w14:textId="4AEE8017" w:rsidR="001A4ED7" w:rsidRPr="0045389E" w:rsidRDefault="001A4ED7" w:rsidP="0045389E">
        <w:pPr>
          <w:pStyle w:val="Footer"/>
          <w:ind w:right="360"/>
          <w:rPr>
            <w:rFonts w:ascii="Arial" w:hAnsi="Arial" w:cs="Arial"/>
            <w:sz w:val="18"/>
            <w:szCs w:val="18"/>
          </w:rPr>
        </w:pPr>
        <w:r>
          <w:rPr>
            <w:rFonts w:ascii="Arial" w:hAnsi="Arial" w:cs="Arial"/>
            <w:sz w:val="18"/>
            <w:szCs w:val="18"/>
          </w:rPr>
          <w:t>Evidence Sources: Hip Fracture Clinical Care Standard</w:t>
        </w:r>
        <w:r w:rsidR="003574C3">
          <w:rPr>
            <w:rFonts w:ascii="Arial" w:hAnsi="Arial" w:cs="Arial"/>
            <w:sz w:val="18"/>
            <w:szCs w:val="18"/>
          </w:rPr>
          <w:t xml:space="preserve"> 202</w:t>
        </w:r>
        <w:r w:rsidR="0062701C">
          <w:rPr>
            <w:rFonts w:ascii="Arial" w:hAnsi="Arial" w:cs="Arial"/>
            <w:sz w:val="18"/>
            <w:szCs w:val="18"/>
          </w:rPr>
          <w:t>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D38BE" w14:textId="77777777" w:rsidR="00030BED" w:rsidRDefault="00030BED" w:rsidP="000E4C6C">
      <w:r>
        <w:separator/>
      </w:r>
    </w:p>
  </w:footnote>
  <w:footnote w:type="continuationSeparator" w:id="0">
    <w:p w14:paraId="4DDA7F17" w14:textId="77777777" w:rsidR="00030BED" w:rsidRDefault="00030BED" w:rsidP="000E4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42CA4" w14:textId="77777777" w:rsidR="001A4ED7" w:rsidRDefault="001A4E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A90D" w14:textId="77777777" w:rsidR="001A4ED7" w:rsidRDefault="001A4E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62CC7" w14:textId="77777777" w:rsidR="001A4ED7" w:rsidRDefault="001A4E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36A88"/>
    <w:multiLevelType w:val="hybridMultilevel"/>
    <w:tmpl w:val="2B584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6A45FE"/>
    <w:multiLevelType w:val="hybridMultilevel"/>
    <w:tmpl w:val="520AD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C03110"/>
    <w:multiLevelType w:val="hybridMultilevel"/>
    <w:tmpl w:val="6F44E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0C25E5"/>
    <w:multiLevelType w:val="hybridMultilevel"/>
    <w:tmpl w:val="E41C9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2E56D3"/>
    <w:multiLevelType w:val="hybridMultilevel"/>
    <w:tmpl w:val="13B8E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414159"/>
    <w:multiLevelType w:val="hybridMultilevel"/>
    <w:tmpl w:val="5080B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705A8D"/>
    <w:multiLevelType w:val="hybridMultilevel"/>
    <w:tmpl w:val="18CA7472"/>
    <w:lvl w:ilvl="0" w:tplc="1392132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DD11EFA"/>
    <w:multiLevelType w:val="hybridMultilevel"/>
    <w:tmpl w:val="49D60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A80374D"/>
    <w:multiLevelType w:val="hybridMultilevel"/>
    <w:tmpl w:val="6AA0D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B7A7E7F"/>
    <w:multiLevelType w:val="hybridMultilevel"/>
    <w:tmpl w:val="5666E35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0" w15:restartNumberingAfterBreak="0">
    <w:nsid w:val="700B332E"/>
    <w:multiLevelType w:val="hybridMultilevel"/>
    <w:tmpl w:val="65804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E461CE5"/>
    <w:multiLevelType w:val="hybridMultilevel"/>
    <w:tmpl w:val="485C4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62438989">
    <w:abstractNumId w:val="6"/>
  </w:num>
  <w:num w:numId="2" w16cid:durableId="1323243419">
    <w:abstractNumId w:val="9"/>
  </w:num>
  <w:num w:numId="3" w16cid:durableId="826090832">
    <w:abstractNumId w:val="1"/>
  </w:num>
  <w:num w:numId="4" w16cid:durableId="586428121">
    <w:abstractNumId w:val="10"/>
  </w:num>
  <w:num w:numId="5" w16cid:durableId="408426601">
    <w:abstractNumId w:val="2"/>
  </w:num>
  <w:num w:numId="6" w16cid:durableId="1529491495">
    <w:abstractNumId w:val="11"/>
  </w:num>
  <w:num w:numId="7" w16cid:durableId="2144150789">
    <w:abstractNumId w:val="8"/>
  </w:num>
  <w:num w:numId="8" w16cid:durableId="1381710294">
    <w:abstractNumId w:val="3"/>
  </w:num>
  <w:num w:numId="9" w16cid:durableId="1508207289">
    <w:abstractNumId w:val="4"/>
  </w:num>
  <w:num w:numId="10" w16cid:durableId="905074146">
    <w:abstractNumId w:val="0"/>
  </w:num>
  <w:num w:numId="11" w16cid:durableId="1855873622">
    <w:abstractNumId w:val="7"/>
  </w:num>
  <w:num w:numId="12" w16cid:durableId="660935595">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8B6"/>
    <w:rsid w:val="000012B6"/>
    <w:rsid w:val="00023B3F"/>
    <w:rsid w:val="00025084"/>
    <w:rsid w:val="000261A7"/>
    <w:rsid w:val="00030BED"/>
    <w:rsid w:val="00044929"/>
    <w:rsid w:val="000675C8"/>
    <w:rsid w:val="00070438"/>
    <w:rsid w:val="00072A5E"/>
    <w:rsid w:val="00081EFA"/>
    <w:rsid w:val="00085596"/>
    <w:rsid w:val="00096EAA"/>
    <w:rsid w:val="000A1F69"/>
    <w:rsid w:val="000A236E"/>
    <w:rsid w:val="000B0D50"/>
    <w:rsid w:val="000B2D93"/>
    <w:rsid w:val="000C21D8"/>
    <w:rsid w:val="000C56C0"/>
    <w:rsid w:val="000D34F4"/>
    <w:rsid w:val="000E0BB4"/>
    <w:rsid w:val="000E374D"/>
    <w:rsid w:val="000E4C6C"/>
    <w:rsid w:val="000F3536"/>
    <w:rsid w:val="00117A0B"/>
    <w:rsid w:val="00124DAF"/>
    <w:rsid w:val="00126134"/>
    <w:rsid w:val="00143FA7"/>
    <w:rsid w:val="00144320"/>
    <w:rsid w:val="0014486B"/>
    <w:rsid w:val="00160A73"/>
    <w:rsid w:val="00164EE0"/>
    <w:rsid w:val="001841A9"/>
    <w:rsid w:val="001913C7"/>
    <w:rsid w:val="0019542A"/>
    <w:rsid w:val="001A4ED7"/>
    <w:rsid w:val="001A745D"/>
    <w:rsid w:val="001C0076"/>
    <w:rsid w:val="001D04F0"/>
    <w:rsid w:val="001E3677"/>
    <w:rsid w:val="00202E60"/>
    <w:rsid w:val="00217AC0"/>
    <w:rsid w:val="00222A8E"/>
    <w:rsid w:val="0022350E"/>
    <w:rsid w:val="002603EA"/>
    <w:rsid w:val="0026256F"/>
    <w:rsid w:val="00291A06"/>
    <w:rsid w:val="00291DEC"/>
    <w:rsid w:val="00297151"/>
    <w:rsid w:val="002A2ECD"/>
    <w:rsid w:val="002A3387"/>
    <w:rsid w:val="002A7165"/>
    <w:rsid w:val="002B14F5"/>
    <w:rsid w:val="002B54F3"/>
    <w:rsid w:val="002B6E95"/>
    <w:rsid w:val="002B7295"/>
    <w:rsid w:val="002C0835"/>
    <w:rsid w:val="002C10EC"/>
    <w:rsid w:val="002C4B1A"/>
    <w:rsid w:val="002D6C36"/>
    <w:rsid w:val="002D7093"/>
    <w:rsid w:val="002E23A9"/>
    <w:rsid w:val="002F38EA"/>
    <w:rsid w:val="003125FC"/>
    <w:rsid w:val="00312B07"/>
    <w:rsid w:val="00324BD2"/>
    <w:rsid w:val="00325ACC"/>
    <w:rsid w:val="003263DF"/>
    <w:rsid w:val="003574C3"/>
    <w:rsid w:val="003645C7"/>
    <w:rsid w:val="00371B4C"/>
    <w:rsid w:val="003876FF"/>
    <w:rsid w:val="0039386D"/>
    <w:rsid w:val="00397BE3"/>
    <w:rsid w:val="003B0E4A"/>
    <w:rsid w:val="003B2FD2"/>
    <w:rsid w:val="003D077E"/>
    <w:rsid w:val="003D5000"/>
    <w:rsid w:val="003F4D5B"/>
    <w:rsid w:val="00423172"/>
    <w:rsid w:val="00442CD4"/>
    <w:rsid w:val="00447400"/>
    <w:rsid w:val="0045389E"/>
    <w:rsid w:val="00454D27"/>
    <w:rsid w:val="004610C1"/>
    <w:rsid w:val="004618E4"/>
    <w:rsid w:val="00462A2E"/>
    <w:rsid w:val="00481D46"/>
    <w:rsid w:val="004A2E86"/>
    <w:rsid w:val="004B0A28"/>
    <w:rsid w:val="004B7888"/>
    <w:rsid w:val="004D3A9D"/>
    <w:rsid w:val="004D78BD"/>
    <w:rsid w:val="004E2A08"/>
    <w:rsid w:val="004F1E17"/>
    <w:rsid w:val="004F26B6"/>
    <w:rsid w:val="004F6C7D"/>
    <w:rsid w:val="005037E3"/>
    <w:rsid w:val="00513D1A"/>
    <w:rsid w:val="00534886"/>
    <w:rsid w:val="00536F4A"/>
    <w:rsid w:val="00540DD7"/>
    <w:rsid w:val="005416D6"/>
    <w:rsid w:val="005434DE"/>
    <w:rsid w:val="005449F0"/>
    <w:rsid w:val="0056479E"/>
    <w:rsid w:val="00567C9A"/>
    <w:rsid w:val="00567E9C"/>
    <w:rsid w:val="00585D03"/>
    <w:rsid w:val="00586615"/>
    <w:rsid w:val="0058717A"/>
    <w:rsid w:val="005949BE"/>
    <w:rsid w:val="005B0AEF"/>
    <w:rsid w:val="005B20A3"/>
    <w:rsid w:val="005B46A9"/>
    <w:rsid w:val="005C5092"/>
    <w:rsid w:val="005C6008"/>
    <w:rsid w:val="005E3CDD"/>
    <w:rsid w:val="005E672F"/>
    <w:rsid w:val="00603D43"/>
    <w:rsid w:val="00611DF2"/>
    <w:rsid w:val="00615598"/>
    <w:rsid w:val="0062701C"/>
    <w:rsid w:val="006349EC"/>
    <w:rsid w:val="0064064B"/>
    <w:rsid w:val="006478BE"/>
    <w:rsid w:val="00657998"/>
    <w:rsid w:val="00692883"/>
    <w:rsid w:val="006A7DE3"/>
    <w:rsid w:val="006C31E6"/>
    <w:rsid w:val="006F60CE"/>
    <w:rsid w:val="00710357"/>
    <w:rsid w:val="00721E2C"/>
    <w:rsid w:val="007265EA"/>
    <w:rsid w:val="007274B0"/>
    <w:rsid w:val="0074479F"/>
    <w:rsid w:val="0075071B"/>
    <w:rsid w:val="00761116"/>
    <w:rsid w:val="00762283"/>
    <w:rsid w:val="00762D1A"/>
    <w:rsid w:val="00774959"/>
    <w:rsid w:val="007812E7"/>
    <w:rsid w:val="007873C8"/>
    <w:rsid w:val="007A49F0"/>
    <w:rsid w:val="007A6D13"/>
    <w:rsid w:val="007A7FF3"/>
    <w:rsid w:val="007B5B9F"/>
    <w:rsid w:val="007B6B53"/>
    <w:rsid w:val="007C2070"/>
    <w:rsid w:val="007C2B04"/>
    <w:rsid w:val="007D199B"/>
    <w:rsid w:val="007D6AC4"/>
    <w:rsid w:val="007E04B8"/>
    <w:rsid w:val="007E48CA"/>
    <w:rsid w:val="007E57DC"/>
    <w:rsid w:val="007F14AB"/>
    <w:rsid w:val="007F77BE"/>
    <w:rsid w:val="00822685"/>
    <w:rsid w:val="00845DFC"/>
    <w:rsid w:val="008639AB"/>
    <w:rsid w:val="0086473D"/>
    <w:rsid w:val="00865107"/>
    <w:rsid w:val="008708E9"/>
    <w:rsid w:val="008709CC"/>
    <w:rsid w:val="0087408C"/>
    <w:rsid w:val="0088268C"/>
    <w:rsid w:val="008A68A9"/>
    <w:rsid w:val="008C6372"/>
    <w:rsid w:val="008C664D"/>
    <w:rsid w:val="008D5CD6"/>
    <w:rsid w:val="008F6FD0"/>
    <w:rsid w:val="00901176"/>
    <w:rsid w:val="00901DF0"/>
    <w:rsid w:val="00902F9B"/>
    <w:rsid w:val="00905A0F"/>
    <w:rsid w:val="009124CF"/>
    <w:rsid w:val="00913409"/>
    <w:rsid w:val="00950C19"/>
    <w:rsid w:val="00972DDC"/>
    <w:rsid w:val="00984180"/>
    <w:rsid w:val="009912E7"/>
    <w:rsid w:val="009917E0"/>
    <w:rsid w:val="009A76D2"/>
    <w:rsid w:val="009B6885"/>
    <w:rsid w:val="009C08AE"/>
    <w:rsid w:val="009C6248"/>
    <w:rsid w:val="009E3539"/>
    <w:rsid w:val="009E3785"/>
    <w:rsid w:val="009E48CA"/>
    <w:rsid w:val="009E759F"/>
    <w:rsid w:val="009E7CA1"/>
    <w:rsid w:val="009F345B"/>
    <w:rsid w:val="009F4B73"/>
    <w:rsid w:val="00A01FF1"/>
    <w:rsid w:val="00A043B8"/>
    <w:rsid w:val="00A04B69"/>
    <w:rsid w:val="00A115CC"/>
    <w:rsid w:val="00A25BE7"/>
    <w:rsid w:val="00A33BD5"/>
    <w:rsid w:val="00A370F3"/>
    <w:rsid w:val="00A5662F"/>
    <w:rsid w:val="00A56A2F"/>
    <w:rsid w:val="00A62C25"/>
    <w:rsid w:val="00A65CF3"/>
    <w:rsid w:val="00A86021"/>
    <w:rsid w:val="00A87C3D"/>
    <w:rsid w:val="00A902FE"/>
    <w:rsid w:val="00A93157"/>
    <w:rsid w:val="00A938AD"/>
    <w:rsid w:val="00AA4C24"/>
    <w:rsid w:val="00AB2756"/>
    <w:rsid w:val="00AB6DC7"/>
    <w:rsid w:val="00AC494E"/>
    <w:rsid w:val="00AD07DC"/>
    <w:rsid w:val="00AE37AC"/>
    <w:rsid w:val="00AE6D5D"/>
    <w:rsid w:val="00AF3E34"/>
    <w:rsid w:val="00AF546D"/>
    <w:rsid w:val="00B04BBD"/>
    <w:rsid w:val="00B25C68"/>
    <w:rsid w:val="00B33B6F"/>
    <w:rsid w:val="00B37188"/>
    <w:rsid w:val="00B445DF"/>
    <w:rsid w:val="00B504BD"/>
    <w:rsid w:val="00B60018"/>
    <w:rsid w:val="00B823C3"/>
    <w:rsid w:val="00B94524"/>
    <w:rsid w:val="00BA12BD"/>
    <w:rsid w:val="00BA1378"/>
    <w:rsid w:val="00BA2D34"/>
    <w:rsid w:val="00BA6F4C"/>
    <w:rsid w:val="00BC5204"/>
    <w:rsid w:val="00BC7E86"/>
    <w:rsid w:val="00BD3298"/>
    <w:rsid w:val="00BE0EE5"/>
    <w:rsid w:val="00BE4705"/>
    <w:rsid w:val="00BE512A"/>
    <w:rsid w:val="00C0371B"/>
    <w:rsid w:val="00C152B8"/>
    <w:rsid w:val="00C453FC"/>
    <w:rsid w:val="00C46F29"/>
    <w:rsid w:val="00C51E94"/>
    <w:rsid w:val="00C52512"/>
    <w:rsid w:val="00C72204"/>
    <w:rsid w:val="00C74495"/>
    <w:rsid w:val="00C755CE"/>
    <w:rsid w:val="00C768B6"/>
    <w:rsid w:val="00C80D51"/>
    <w:rsid w:val="00C86B4E"/>
    <w:rsid w:val="00C873B6"/>
    <w:rsid w:val="00CC3406"/>
    <w:rsid w:val="00CF5778"/>
    <w:rsid w:val="00D00A7D"/>
    <w:rsid w:val="00D0710F"/>
    <w:rsid w:val="00D326C1"/>
    <w:rsid w:val="00D35667"/>
    <w:rsid w:val="00D43311"/>
    <w:rsid w:val="00D469B4"/>
    <w:rsid w:val="00D530C0"/>
    <w:rsid w:val="00D5527A"/>
    <w:rsid w:val="00D60693"/>
    <w:rsid w:val="00D66CDD"/>
    <w:rsid w:val="00D805D0"/>
    <w:rsid w:val="00D94F56"/>
    <w:rsid w:val="00DB31F5"/>
    <w:rsid w:val="00DB6196"/>
    <w:rsid w:val="00DC4E0C"/>
    <w:rsid w:val="00DC7C1B"/>
    <w:rsid w:val="00DD069E"/>
    <w:rsid w:val="00DD1DCA"/>
    <w:rsid w:val="00DF5348"/>
    <w:rsid w:val="00E13F3B"/>
    <w:rsid w:val="00E32108"/>
    <w:rsid w:val="00E33673"/>
    <w:rsid w:val="00E340E4"/>
    <w:rsid w:val="00E44AE6"/>
    <w:rsid w:val="00E47158"/>
    <w:rsid w:val="00E47616"/>
    <w:rsid w:val="00E63BB5"/>
    <w:rsid w:val="00E76C50"/>
    <w:rsid w:val="00E85256"/>
    <w:rsid w:val="00E857DE"/>
    <w:rsid w:val="00E9763B"/>
    <w:rsid w:val="00EA3C1B"/>
    <w:rsid w:val="00EA7EB3"/>
    <w:rsid w:val="00EB2E63"/>
    <w:rsid w:val="00EC71CA"/>
    <w:rsid w:val="00F028C8"/>
    <w:rsid w:val="00F1038F"/>
    <w:rsid w:val="00F12EF8"/>
    <w:rsid w:val="00F13380"/>
    <w:rsid w:val="00F156D3"/>
    <w:rsid w:val="00F157BC"/>
    <w:rsid w:val="00F16A7D"/>
    <w:rsid w:val="00F36473"/>
    <w:rsid w:val="00F36691"/>
    <w:rsid w:val="00F41E83"/>
    <w:rsid w:val="00F465E3"/>
    <w:rsid w:val="00F621F9"/>
    <w:rsid w:val="00F66CA3"/>
    <w:rsid w:val="00F77D2A"/>
    <w:rsid w:val="00FA3474"/>
    <w:rsid w:val="00FB2212"/>
    <w:rsid w:val="00FB2D2F"/>
    <w:rsid w:val="00FE2E17"/>
    <w:rsid w:val="00FF00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80E19"/>
  <w15:docId w15:val="{EA0D4E82-BE5B-4795-A52A-C391E1903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8B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449F0"/>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uiPriority w:val="9"/>
    <w:semiHidden/>
    <w:unhideWhenUsed/>
    <w:qFormat/>
    <w:rsid w:val="008F6FD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6">
    <w:name w:val="heading 6"/>
    <w:basedOn w:val="Normal"/>
    <w:next w:val="Normal"/>
    <w:link w:val="Heading6Char"/>
    <w:uiPriority w:val="9"/>
    <w:semiHidden/>
    <w:unhideWhenUsed/>
    <w:qFormat/>
    <w:rsid w:val="00D469B4"/>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768B6"/>
    <w:rPr>
      <w:color w:val="0000FF"/>
      <w:u w:val="single"/>
    </w:rPr>
  </w:style>
  <w:style w:type="character" w:customStyle="1" w:styleId="Heading1Char">
    <w:name w:val="Heading 1 Char"/>
    <w:basedOn w:val="DefaultParagraphFont"/>
    <w:link w:val="Heading1"/>
    <w:rsid w:val="005449F0"/>
    <w:rPr>
      <w:rFonts w:ascii="Arial" w:eastAsia="Times New Roman" w:hAnsi="Arial" w:cs="Arial"/>
      <w:b/>
      <w:bCs/>
      <w:kern w:val="28"/>
      <w:sz w:val="28"/>
      <w:szCs w:val="32"/>
      <w:lang w:val="en-US"/>
    </w:rPr>
  </w:style>
  <w:style w:type="paragraph" w:styleId="Header">
    <w:name w:val="header"/>
    <w:basedOn w:val="Normal"/>
    <w:link w:val="HeaderChar"/>
    <w:uiPriority w:val="99"/>
    <w:unhideWhenUsed/>
    <w:rsid w:val="000E4C6C"/>
    <w:pPr>
      <w:tabs>
        <w:tab w:val="center" w:pos="4513"/>
        <w:tab w:val="right" w:pos="9026"/>
      </w:tabs>
    </w:pPr>
  </w:style>
  <w:style w:type="character" w:customStyle="1" w:styleId="HeaderChar">
    <w:name w:val="Header Char"/>
    <w:basedOn w:val="DefaultParagraphFont"/>
    <w:link w:val="Header"/>
    <w:uiPriority w:val="99"/>
    <w:rsid w:val="000E4C6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E4C6C"/>
    <w:pPr>
      <w:tabs>
        <w:tab w:val="center" w:pos="4513"/>
        <w:tab w:val="right" w:pos="9026"/>
      </w:tabs>
    </w:pPr>
  </w:style>
  <w:style w:type="character" w:customStyle="1" w:styleId="FooterChar">
    <w:name w:val="Footer Char"/>
    <w:basedOn w:val="DefaultParagraphFont"/>
    <w:link w:val="Footer"/>
    <w:uiPriority w:val="99"/>
    <w:rsid w:val="000E4C6C"/>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B823C3"/>
    <w:rPr>
      <w:color w:val="954F72" w:themeColor="followedHyperlink"/>
      <w:u w:val="single"/>
    </w:rPr>
  </w:style>
  <w:style w:type="character" w:styleId="IntenseReference">
    <w:name w:val="Intense Reference"/>
    <w:basedOn w:val="DefaultParagraphFont"/>
    <w:uiPriority w:val="32"/>
    <w:qFormat/>
    <w:rsid w:val="00DC7C1B"/>
    <w:rPr>
      <w:b/>
      <w:bCs/>
      <w:i/>
      <w:smallCaps/>
      <w:color w:val="ED7D31" w:themeColor="accent2"/>
      <w:spacing w:val="5"/>
      <w:u w:val="none"/>
    </w:rPr>
  </w:style>
  <w:style w:type="paragraph" w:styleId="ListParagraph">
    <w:name w:val="List Paragraph"/>
    <w:aliases w:val="List Paragraph1,Recommendation,NFP GP Bulleted List,Bullet table"/>
    <w:basedOn w:val="Normal"/>
    <w:link w:val="ListParagraphChar"/>
    <w:uiPriority w:val="34"/>
    <w:qFormat/>
    <w:rsid w:val="00DC7C1B"/>
    <w:pPr>
      <w:ind w:left="720"/>
      <w:contextualSpacing/>
    </w:pPr>
    <w:rPr>
      <w:lang w:val="en-AU"/>
    </w:rPr>
  </w:style>
  <w:style w:type="paragraph" w:styleId="BalloonText">
    <w:name w:val="Balloon Text"/>
    <w:basedOn w:val="Normal"/>
    <w:link w:val="BalloonTextChar"/>
    <w:uiPriority w:val="99"/>
    <w:semiHidden/>
    <w:unhideWhenUsed/>
    <w:rsid w:val="00AD07DC"/>
    <w:rPr>
      <w:rFonts w:ascii="Tahoma" w:hAnsi="Tahoma" w:cs="Tahoma"/>
      <w:sz w:val="16"/>
      <w:szCs w:val="16"/>
    </w:rPr>
  </w:style>
  <w:style w:type="character" w:customStyle="1" w:styleId="BalloonTextChar">
    <w:name w:val="Balloon Text Char"/>
    <w:basedOn w:val="DefaultParagraphFont"/>
    <w:link w:val="BalloonText"/>
    <w:uiPriority w:val="99"/>
    <w:semiHidden/>
    <w:rsid w:val="00AD07DC"/>
    <w:rPr>
      <w:rFonts w:ascii="Tahoma" w:eastAsia="Times New Roman" w:hAnsi="Tahoma" w:cs="Tahoma"/>
      <w:sz w:val="16"/>
      <w:szCs w:val="16"/>
      <w:lang w:val="en-US"/>
    </w:rPr>
  </w:style>
  <w:style w:type="paragraph" w:styleId="Title">
    <w:name w:val="Title"/>
    <w:basedOn w:val="Normal"/>
    <w:next w:val="Normal"/>
    <w:link w:val="TitleChar"/>
    <w:qFormat/>
    <w:rsid w:val="00AD07DC"/>
    <w:pPr>
      <w:spacing w:after="300"/>
      <w:contextualSpacing/>
      <w:jc w:val="center"/>
    </w:pPr>
    <w:rPr>
      <w:rFonts w:ascii="Calibri" w:eastAsia="MS Gothic" w:hAnsi="Calibri"/>
      <w:b/>
      <w:spacing w:val="5"/>
      <w:kern w:val="28"/>
      <w:sz w:val="48"/>
      <w:szCs w:val="52"/>
      <w:lang w:val="en-AU" w:eastAsia="en-AU"/>
    </w:rPr>
  </w:style>
  <w:style w:type="character" w:customStyle="1" w:styleId="TitleChar">
    <w:name w:val="Title Char"/>
    <w:basedOn w:val="DefaultParagraphFont"/>
    <w:link w:val="Title"/>
    <w:rsid w:val="00AD07DC"/>
    <w:rPr>
      <w:rFonts w:ascii="Calibri" w:eastAsia="MS Gothic" w:hAnsi="Calibri" w:cs="Times New Roman"/>
      <w:b/>
      <w:spacing w:val="5"/>
      <w:kern w:val="28"/>
      <w:sz w:val="48"/>
      <w:szCs w:val="52"/>
      <w:lang w:eastAsia="en-AU"/>
    </w:rPr>
  </w:style>
  <w:style w:type="paragraph" w:styleId="Subtitle">
    <w:name w:val="Subtitle"/>
    <w:basedOn w:val="Normal"/>
    <w:next w:val="Normal"/>
    <w:link w:val="SubtitleChar"/>
    <w:qFormat/>
    <w:rsid w:val="00AD07DC"/>
    <w:pPr>
      <w:numPr>
        <w:ilvl w:val="1"/>
      </w:numPr>
      <w:spacing w:after="240"/>
      <w:jc w:val="center"/>
    </w:pPr>
    <w:rPr>
      <w:rFonts w:ascii="Calibri" w:eastAsia="MS Gothic" w:hAnsi="Calibri"/>
      <w:b/>
      <w:iCs/>
      <w:sz w:val="40"/>
      <w:lang w:val="en-AU" w:eastAsia="en-AU"/>
    </w:rPr>
  </w:style>
  <w:style w:type="character" w:customStyle="1" w:styleId="SubtitleChar">
    <w:name w:val="Subtitle Char"/>
    <w:basedOn w:val="DefaultParagraphFont"/>
    <w:link w:val="Subtitle"/>
    <w:rsid w:val="00AD07DC"/>
    <w:rPr>
      <w:rFonts w:ascii="Calibri" w:eastAsia="MS Gothic" w:hAnsi="Calibri" w:cs="Times New Roman"/>
      <w:b/>
      <w:iCs/>
      <w:sz w:val="40"/>
      <w:szCs w:val="24"/>
      <w:lang w:eastAsia="en-AU"/>
    </w:rPr>
  </w:style>
  <w:style w:type="character" w:styleId="PageNumber">
    <w:name w:val="page number"/>
    <w:basedOn w:val="DefaultParagraphFont"/>
    <w:rsid w:val="008F6FD0"/>
  </w:style>
  <w:style w:type="paragraph" w:customStyle="1" w:styleId="Heading2a">
    <w:name w:val="Heading 2a"/>
    <w:basedOn w:val="Heading2"/>
    <w:next w:val="Normal"/>
    <w:rsid w:val="008F6FD0"/>
    <w:pPr>
      <w:keepLines w:val="0"/>
      <w:spacing w:before="240" w:after="240"/>
      <w:outlineLvl w:val="9"/>
    </w:pPr>
    <w:rPr>
      <w:rFonts w:ascii="Calibri" w:eastAsia="Times New Roman" w:hAnsi="Calibri" w:cs="Arial"/>
      <w:iCs/>
      <w:color w:val="000000"/>
      <w:sz w:val="28"/>
      <w:szCs w:val="28"/>
      <w:lang w:val="en-AU" w:eastAsia="en-AU"/>
    </w:rPr>
  </w:style>
  <w:style w:type="character" w:customStyle="1" w:styleId="Heading2Char">
    <w:name w:val="Heading 2 Char"/>
    <w:basedOn w:val="DefaultParagraphFont"/>
    <w:link w:val="Heading2"/>
    <w:uiPriority w:val="9"/>
    <w:semiHidden/>
    <w:rsid w:val="008F6FD0"/>
    <w:rPr>
      <w:rFonts w:asciiTheme="majorHAnsi" w:eastAsiaTheme="majorEastAsia" w:hAnsiTheme="majorHAnsi" w:cstheme="majorBidi"/>
      <w:b/>
      <w:bCs/>
      <w:color w:val="5B9BD5" w:themeColor="accent1"/>
      <w:sz w:val="26"/>
      <w:szCs w:val="26"/>
      <w:lang w:val="en-US"/>
    </w:rPr>
  </w:style>
  <w:style w:type="character" w:styleId="CommentReference">
    <w:name w:val="annotation reference"/>
    <w:basedOn w:val="DefaultParagraphFont"/>
    <w:uiPriority w:val="99"/>
    <w:semiHidden/>
    <w:unhideWhenUsed/>
    <w:rsid w:val="00023B3F"/>
    <w:rPr>
      <w:sz w:val="16"/>
      <w:szCs w:val="16"/>
    </w:rPr>
  </w:style>
  <w:style w:type="paragraph" w:styleId="CommentText">
    <w:name w:val="annotation text"/>
    <w:basedOn w:val="Normal"/>
    <w:link w:val="CommentTextChar"/>
    <w:uiPriority w:val="99"/>
    <w:unhideWhenUsed/>
    <w:rsid w:val="00023B3F"/>
    <w:rPr>
      <w:sz w:val="20"/>
      <w:szCs w:val="20"/>
    </w:rPr>
  </w:style>
  <w:style w:type="character" w:customStyle="1" w:styleId="CommentTextChar">
    <w:name w:val="Comment Text Char"/>
    <w:basedOn w:val="DefaultParagraphFont"/>
    <w:link w:val="CommentText"/>
    <w:uiPriority w:val="99"/>
    <w:rsid w:val="00023B3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23B3F"/>
    <w:rPr>
      <w:b/>
      <w:bCs/>
    </w:rPr>
  </w:style>
  <w:style w:type="character" w:customStyle="1" w:styleId="CommentSubjectChar">
    <w:name w:val="Comment Subject Char"/>
    <w:basedOn w:val="CommentTextChar"/>
    <w:link w:val="CommentSubject"/>
    <w:uiPriority w:val="99"/>
    <w:semiHidden/>
    <w:rsid w:val="00023B3F"/>
    <w:rPr>
      <w:rFonts w:ascii="Times New Roman" w:eastAsia="Times New Roman" w:hAnsi="Times New Roman" w:cs="Times New Roman"/>
      <w:b/>
      <w:bCs/>
      <w:sz w:val="20"/>
      <w:szCs w:val="20"/>
      <w:lang w:val="en-US"/>
    </w:rPr>
  </w:style>
  <w:style w:type="paragraph" w:customStyle="1" w:styleId="x05-citation">
    <w:name w:val="x05-citation"/>
    <w:basedOn w:val="Normal"/>
    <w:rsid w:val="00DF5348"/>
    <w:pPr>
      <w:spacing w:after="120" w:line="200" w:lineRule="atLeast"/>
    </w:pPr>
    <w:rPr>
      <w:rFonts w:ascii="Arial" w:eastAsiaTheme="minorEastAsia" w:hAnsi="Arial" w:cstheme="minorBidi"/>
      <w:color w:val="4D4F4D"/>
      <w:sz w:val="18"/>
      <w:szCs w:val="18"/>
      <w:lang w:val="en-AU"/>
    </w:rPr>
  </w:style>
  <w:style w:type="paragraph" w:customStyle="1" w:styleId="x05-citation-heading">
    <w:name w:val="x05-citation-heading"/>
    <w:basedOn w:val="Normal"/>
    <w:rsid w:val="00DF5348"/>
    <w:pPr>
      <w:spacing w:after="120" w:line="280" w:lineRule="atLeast"/>
    </w:pPr>
    <w:rPr>
      <w:rFonts w:ascii="Arial" w:eastAsiaTheme="minorEastAsia" w:hAnsi="Arial" w:cstheme="minorBidi"/>
      <w:b/>
      <w:bCs/>
      <w:color w:val="4D4F4D"/>
      <w:sz w:val="20"/>
      <w:szCs w:val="20"/>
      <w:lang w:val="en-AU"/>
    </w:rPr>
  </w:style>
  <w:style w:type="character" w:customStyle="1" w:styleId="x03-web-hyperlink">
    <w:name w:val="x03-web-hyperlink"/>
    <w:basedOn w:val="DefaultParagraphFont"/>
    <w:rsid w:val="00DF5348"/>
    <w:rPr>
      <w:rFonts w:ascii="Arial" w:hAnsi="Arial"/>
      <w:b/>
      <w:bCs/>
      <w:color w:val="00988E"/>
    </w:rPr>
  </w:style>
  <w:style w:type="character" w:customStyle="1" w:styleId="Heading6Char">
    <w:name w:val="Heading 6 Char"/>
    <w:basedOn w:val="DefaultParagraphFont"/>
    <w:link w:val="Heading6"/>
    <w:uiPriority w:val="9"/>
    <w:semiHidden/>
    <w:rsid w:val="00D469B4"/>
    <w:rPr>
      <w:rFonts w:asciiTheme="majorHAnsi" w:eastAsiaTheme="majorEastAsia" w:hAnsiTheme="majorHAnsi" w:cstheme="majorBidi"/>
      <w:i/>
      <w:iCs/>
      <w:color w:val="1F4D78" w:themeColor="accent1" w:themeShade="7F"/>
      <w:sz w:val="24"/>
      <w:szCs w:val="24"/>
      <w:lang w:val="en-US"/>
    </w:rPr>
  </w:style>
  <w:style w:type="character" w:customStyle="1" w:styleId="ListParagraphChar">
    <w:name w:val="List Paragraph Char"/>
    <w:aliases w:val="List Paragraph1 Char,Recommendation Char,NFP GP Bulleted List Char,Bullet table Char"/>
    <w:basedOn w:val="DefaultParagraphFont"/>
    <w:link w:val="ListParagraph"/>
    <w:uiPriority w:val="34"/>
    <w:rsid w:val="001A745D"/>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A3387"/>
    <w:rPr>
      <w:color w:val="605E5C"/>
      <w:shd w:val="clear" w:color="auto" w:fill="E1DFDD"/>
    </w:rPr>
  </w:style>
  <w:style w:type="paragraph" w:customStyle="1" w:styleId="EndNoteBibliography">
    <w:name w:val="EndNote Bibliography"/>
    <w:basedOn w:val="Normal"/>
    <w:link w:val="EndNoteBibliographyChar"/>
    <w:rsid w:val="002B7295"/>
    <w:pPr>
      <w:spacing w:after="200"/>
    </w:pPr>
    <w:rPr>
      <w:rFonts w:ascii="Arial" w:hAnsi="Arial" w:cs="Arial"/>
      <w:noProof/>
      <w:sz w:val="22"/>
      <w:szCs w:val="22"/>
      <w:lang w:val="en-AU" w:eastAsia="en-AU"/>
    </w:rPr>
  </w:style>
  <w:style w:type="character" w:customStyle="1" w:styleId="EndNoteBibliographyChar">
    <w:name w:val="EndNote Bibliography Char"/>
    <w:basedOn w:val="DefaultParagraphFont"/>
    <w:link w:val="EndNoteBibliography"/>
    <w:rsid w:val="002B7295"/>
    <w:rPr>
      <w:rFonts w:ascii="Arial" w:eastAsia="Times New Roman" w:hAnsi="Arial" w:cs="Arial"/>
      <w:noProof/>
      <w:lang w:eastAsia="en-AU"/>
    </w:rPr>
  </w:style>
  <w:style w:type="paragraph" w:styleId="Revision">
    <w:name w:val="Revision"/>
    <w:hidden/>
    <w:uiPriority w:val="99"/>
    <w:semiHidden/>
    <w:rsid w:val="00A370F3"/>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dapp.co/pain-assessment-in-advanced-dementia-painad-scale-calculator-5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97F76-B66D-47E3-8433-DA07D400C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2328</Words>
  <Characters>13273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kass adams</dc:creator>
  <cp:lastModifiedBy>HUMPHREYS, Alex</cp:lastModifiedBy>
  <cp:revision>2</cp:revision>
  <cp:lastPrinted>2015-05-21T23:29:00Z</cp:lastPrinted>
  <dcterms:created xsi:type="dcterms:W3CDTF">2023-09-06T23:46:00Z</dcterms:created>
  <dcterms:modified xsi:type="dcterms:W3CDTF">2023-09-06T23:46:00Z</dcterms:modified>
</cp:coreProperties>
</file>