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D3FA" w14:textId="26795FC9" w:rsidR="00323D21" w:rsidRPr="00323D21" w:rsidRDefault="0055358F" w:rsidP="00323D21">
      <w:pPr>
        <w:spacing w:after="0" w:line="240" w:lineRule="auto"/>
        <w:rPr>
          <w:rFonts w:eastAsia="Times New Roman"/>
          <w:vanish/>
          <w:lang w:eastAsia="en-AU"/>
        </w:rPr>
      </w:pPr>
      <w:r>
        <w:rPr>
          <w:noProof/>
        </w:rPr>
        <w:drawing>
          <wp:inline distT="0" distB="0" distL="0" distR="0" wp14:anchorId="195C6D7A" wp14:editId="0658E343">
            <wp:extent cx="5731510" cy="54876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487670"/>
                    </a:xfrm>
                    <a:prstGeom prst="rect">
                      <a:avLst/>
                    </a:prstGeom>
                  </pic:spPr>
                </pic:pic>
              </a:graphicData>
            </a:graphic>
          </wp:inline>
        </w:drawing>
      </w:r>
    </w:p>
    <w:p w14:paraId="54BB20F6" w14:textId="77777777" w:rsidR="0071782C" w:rsidRDefault="0071782C">
      <w:r>
        <w:br w:type="page"/>
      </w: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945"/>
        <w:gridCol w:w="81"/>
      </w:tblGrid>
      <w:tr w:rsidR="009B5073" w:rsidRPr="00323D21" w14:paraId="090F7D54" w14:textId="77777777" w:rsidTr="0055358F">
        <w:trPr>
          <w:tblCellSpacing w:w="15" w:type="dxa"/>
          <w:jc w:val="center"/>
        </w:trPr>
        <w:tc>
          <w:tcPr>
            <w:tcW w:w="0" w:type="auto"/>
            <w:shd w:val="clear" w:color="auto" w:fill="FFFFFF"/>
            <w:vAlign w:val="center"/>
          </w:tcPr>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79"/>
              <w:gridCol w:w="3891"/>
            </w:tblGrid>
            <w:tr w:rsidR="0055358F" w:rsidRPr="00323D21" w14:paraId="0EAAA67F" w14:textId="77777777" w:rsidTr="00AF31BE">
              <w:trPr>
                <w:tblCellSpacing w:w="15" w:type="dxa"/>
                <w:jc w:val="center"/>
              </w:trPr>
              <w:tc>
                <w:tcPr>
                  <w:tcW w:w="0" w:type="auto"/>
                  <w:shd w:val="clear" w:color="auto" w:fill="FFFFFF"/>
                  <w:vAlign w:val="center"/>
                  <w:hideMark/>
                </w:tcPr>
                <w:p w14:paraId="23A28C7C" w14:textId="77777777" w:rsidR="0055358F" w:rsidRPr="00323D21" w:rsidRDefault="0055358F" w:rsidP="0055358F">
                  <w:pPr>
                    <w:spacing w:after="0" w:line="240" w:lineRule="auto"/>
                    <w:rPr>
                      <w:rFonts w:ascii="Arial" w:eastAsia="Times New Roman" w:hAnsi="Arial" w:cs="Arial"/>
                      <w:b/>
                      <w:bCs/>
                      <w:color w:val="666666"/>
                      <w:lang w:eastAsia="en-AU"/>
                    </w:rPr>
                  </w:pPr>
                  <w:r w:rsidRPr="00323D21">
                    <w:rPr>
                      <w:rFonts w:ascii="Arial" w:eastAsia="Times New Roman" w:hAnsi="Arial" w:cs="Arial"/>
                      <w:b/>
                      <w:bCs/>
                      <w:color w:val="666666"/>
                      <w:lang w:eastAsia="en-AU"/>
                    </w:rPr>
                    <w:lastRenderedPageBreak/>
                    <w:t>Across</w:t>
                  </w:r>
                </w:p>
              </w:tc>
              <w:tc>
                <w:tcPr>
                  <w:tcW w:w="0" w:type="auto"/>
                  <w:shd w:val="clear" w:color="auto" w:fill="FFFFFF"/>
                  <w:vAlign w:val="center"/>
                  <w:hideMark/>
                </w:tcPr>
                <w:p w14:paraId="2DF44292" w14:textId="77777777" w:rsidR="0055358F" w:rsidRPr="00323D21" w:rsidRDefault="0055358F" w:rsidP="0055358F">
                  <w:pPr>
                    <w:spacing w:after="0" w:line="240" w:lineRule="auto"/>
                    <w:ind w:firstLine="70"/>
                    <w:rPr>
                      <w:rFonts w:ascii="Arial" w:eastAsia="Times New Roman" w:hAnsi="Arial" w:cs="Arial"/>
                      <w:b/>
                      <w:bCs/>
                      <w:color w:val="666666"/>
                      <w:lang w:eastAsia="en-AU"/>
                    </w:rPr>
                  </w:pPr>
                  <w:r w:rsidRPr="00323D21">
                    <w:rPr>
                      <w:rFonts w:ascii="Arial" w:eastAsia="Times New Roman" w:hAnsi="Arial" w:cs="Arial"/>
                      <w:b/>
                      <w:bCs/>
                      <w:color w:val="666666"/>
                      <w:lang w:eastAsia="en-AU"/>
                    </w:rPr>
                    <w:t>Down</w:t>
                  </w:r>
                </w:p>
              </w:tc>
            </w:tr>
            <w:tr w:rsidR="0055358F" w:rsidRPr="00323D21" w14:paraId="45064DFB" w14:textId="77777777" w:rsidTr="00AF31BE">
              <w:trPr>
                <w:tblCellSpacing w:w="15" w:type="dxa"/>
                <w:jc w:val="center"/>
              </w:trPr>
              <w:tc>
                <w:tcPr>
                  <w:tcW w:w="0" w:type="auto"/>
                  <w:shd w:val="clear" w:color="auto" w:fill="FFFFFF"/>
                  <w:hideMark/>
                </w:tcPr>
                <w:tbl>
                  <w:tblPr>
                    <w:tblW w:w="4085" w:type="pct"/>
                    <w:tblCellSpacing w:w="15" w:type="dxa"/>
                    <w:tblCellMar>
                      <w:top w:w="15" w:type="dxa"/>
                      <w:left w:w="15" w:type="dxa"/>
                      <w:bottom w:w="15" w:type="dxa"/>
                      <w:right w:w="15" w:type="dxa"/>
                    </w:tblCellMar>
                    <w:tblLook w:val="04A0" w:firstRow="1" w:lastRow="0" w:firstColumn="1" w:lastColumn="0" w:noHBand="0" w:noVBand="1"/>
                  </w:tblPr>
                  <w:tblGrid>
                    <w:gridCol w:w="535"/>
                    <w:gridCol w:w="3472"/>
                  </w:tblGrid>
                  <w:tr w:rsidR="0055358F" w:rsidRPr="009B5073" w14:paraId="13767746" w14:textId="77777777" w:rsidTr="00AF31BE">
                    <w:trPr>
                      <w:trHeight w:val="1497"/>
                      <w:tblCellSpacing w:w="15" w:type="dxa"/>
                    </w:trPr>
                    <w:tc>
                      <w:tcPr>
                        <w:tcW w:w="612" w:type="pct"/>
                        <w:tcMar>
                          <w:top w:w="15" w:type="dxa"/>
                          <w:left w:w="43" w:type="dxa"/>
                          <w:bottom w:w="15" w:type="dxa"/>
                          <w:right w:w="120" w:type="dxa"/>
                        </w:tcMar>
                        <w:hideMark/>
                      </w:tcPr>
                      <w:p w14:paraId="43C2063E" w14:textId="77777777" w:rsidR="0055358F" w:rsidRPr="00323D21" w:rsidRDefault="0055358F" w:rsidP="0055358F">
                        <w:pPr>
                          <w:spacing w:after="0" w:line="240" w:lineRule="auto"/>
                          <w:rPr>
                            <w:rFonts w:ascii="Arial" w:eastAsia="Times New Roman" w:hAnsi="Arial" w:cs="Arial"/>
                            <w:sz w:val="22"/>
                            <w:szCs w:val="22"/>
                            <w:lang w:eastAsia="en-AU"/>
                          </w:rPr>
                        </w:pPr>
                        <w:r>
                          <w:rPr>
                            <w:rFonts w:ascii="Arial" w:eastAsia="Times New Roman" w:hAnsi="Arial" w:cs="Arial"/>
                            <w:sz w:val="22"/>
                            <w:szCs w:val="22"/>
                            <w:lang w:eastAsia="en-AU"/>
                          </w:rPr>
                          <w:t>3</w:t>
                        </w:r>
                      </w:p>
                    </w:tc>
                    <w:tc>
                      <w:tcPr>
                        <w:tcW w:w="4277" w:type="pct"/>
                        <w:tcMar>
                          <w:top w:w="15" w:type="dxa"/>
                          <w:left w:w="43" w:type="dxa"/>
                          <w:bottom w:w="15" w:type="dxa"/>
                          <w:right w:w="120" w:type="dxa"/>
                        </w:tcMar>
                        <w:hideMark/>
                      </w:tcPr>
                      <w:p w14:paraId="05764388" w14:textId="7CB25562" w:rsidR="0055358F" w:rsidRDefault="0055358F" w:rsidP="0055358F">
                        <w:pPr>
                          <w:spacing w:after="0" w:line="240" w:lineRule="auto"/>
                          <w:rPr>
                            <w:rFonts w:ascii="Arial" w:hAnsi="Arial" w:cs="Arial"/>
                            <w:sz w:val="22"/>
                            <w:szCs w:val="22"/>
                          </w:rPr>
                        </w:pPr>
                        <w:r w:rsidRPr="00611A68">
                          <w:rPr>
                            <w:rFonts w:ascii="Arial" w:hAnsi="Arial" w:cs="Arial"/>
                            <w:sz w:val="22"/>
                            <w:szCs w:val="22"/>
                          </w:rPr>
                          <w:t>Devices which in whole or part enter</w:t>
                        </w:r>
                        <w:r w:rsidR="002B0148">
                          <w:rPr>
                            <w:rFonts w:ascii="Arial" w:hAnsi="Arial" w:cs="Arial"/>
                            <w:sz w:val="22"/>
                            <w:szCs w:val="22"/>
                          </w:rPr>
                          <w:t>s</w:t>
                        </w:r>
                        <w:r w:rsidRPr="00611A68">
                          <w:rPr>
                            <w:rFonts w:ascii="Arial" w:hAnsi="Arial" w:cs="Arial"/>
                            <w:sz w:val="22"/>
                            <w:szCs w:val="22"/>
                          </w:rPr>
                          <w:t xml:space="preserve"> the body through an orifice or through any surface of the body. This includes penetrating skin, mucous membranes, </w:t>
                        </w:r>
                        <w:proofErr w:type="gramStart"/>
                        <w:r w:rsidRPr="00611A68">
                          <w:rPr>
                            <w:rFonts w:ascii="Arial" w:hAnsi="Arial" w:cs="Arial"/>
                            <w:sz w:val="22"/>
                            <w:szCs w:val="22"/>
                          </w:rPr>
                          <w:t>organs</w:t>
                        </w:r>
                        <w:proofErr w:type="gramEnd"/>
                        <w:r w:rsidRPr="00611A68">
                          <w:rPr>
                            <w:rFonts w:ascii="Arial" w:hAnsi="Arial" w:cs="Arial"/>
                            <w:sz w:val="22"/>
                            <w:szCs w:val="22"/>
                          </w:rPr>
                          <w:t xml:space="preserve"> or internal cavities of the body.</w:t>
                        </w:r>
                      </w:p>
                      <w:p w14:paraId="25096511" w14:textId="77777777" w:rsidR="0055358F" w:rsidRDefault="0055358F" w:rsidP="0055358F">
                        <w:pPr>
                          <w:spacing w:after="0" w:line="240" w:lineRule="auto"/>
                          <w:rPr>
                            <w:rFonts w:ascii="Arial" w:hAnsi="Arial" w:cs="Arial"/>
                            <w:sz w:val="22"/>
                            <w:szCs w:val="22"/>
                          </w:rPr>
                        </w:pPr>
                      </w:p>
                      <w:p w14:paraId="7476FA8A"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4DAFFBAE" w14:textId="77777777" w:rsidTr="00AF31BE">
                    <w:trPr>
                      <w:trHeight w:val="1776"/>
                      <w:tblCellSpacing w:w="15" w:type="dxa"/>
                    </w:trPr>
                    <w:tc>
                      <w:tcPr>
                        <w:tcW w:w="612" w:type="pct"/>
                        <w:tcMar>
                          <w:top w:w="15" w:type="dxa"/>
                          <w:left w:w="43" w:type="dxa"/>
                          <w:bottom w:w="15" w:type="dxa"/>
                          <w:right w:w="120" w:type="dxa"/>
                        </w:tcMar>
                        <w:hideMark/>
                      </w:tcPr>
                      <w:p w14:paraId="42CA64B6" w14:textId="77777777" w:rsidR="0055358F" w:rsidRPr="00323D21" w:rsidRDefault="0055358F" w:rsidP="0055358F">
                        <w:pPr>
                          <w:spacing w:after="0" w:line="240" w:lineRule="auto"/>
                          <w:rPr>
                            <w:rFonts w:ascii="Arial" w:eastAsia="Times New Roman" w:hAnsi="Arial" w:cs="Arial"/>
                            <w:sz w:val="22"/>
                            <w:szCs w:val="22"/>
                            <w:lang w:eastAsia="en-AU"/>
                          </w:rPr>
                        </w:pPr>
                        <w:r>
                          <w:rPr>
                            <w:rFonts w:ascii="Arial" w:eastAsia="Times New Roman" w:hAnsi="Arial" w:cs="Arial"/>
                            <w:sz w:val="22"/>
                            <w:szCs w:val="22"/>
                            <w:lang w:eastAsia="en-AU"/>
                          </w:rPr>
                          <w:t>6</w:t>
                        </w:r>
                      </w:p>
                    </w:tc>
                    <w:tc>
                      <w:tcPr>
                        <w:tcW w:w="4277" w:type="pct"/>
                        <w:tcMar>
                          <w:top w:w="15" w:type="dxa"/>
                          <w:left w:w="43" w:type="dxa"/>
                          <w:bottom w:w="15" w:type="dxa"/>
                          <w:right w:w="120" w:type="dxa"/>
                        </w:tcMar>
                        <w:hideMark/>
                      </w:tcPr>
                      <w:p w14:paraId="6986815E" w14:textId="77777777" w:rsidR="0055358F" w:rsidRDefault="0055358F" w:rsidP="0055358F">
                        <w:pPr>
                          <w:spacing w:after="0" w:line="240" w:lineRule="auto"/>
                          <w:rPr>
                            <w:rFonts w:ascii="Arial" w:hAnsi="Arial" w:cs="Arial"/>
                            <w:sz w:val="22"/>
                            <w:szCs w:val="22"/>
                          </w:rPr>
                        </w:pPr>
                        <w:r w:rsidRPr="00611A68">
                          <w:rPr>
                            <w:rFonts w:ascii="Arial" w:hAnsi="Arial" w:cs="Arial"/>
                            <w:sz w:val="22"/>
                            <w:szCs w:val="22"/>
                          </w:rPr>
                          <w:t xml:space="preserve">Waste material that consists wholly or partly of human or animal tissue, blood or body substances, excretions, drugs or other pharmaceutical products, swabs/dressings, syringes, </w:t>
                        </w:r>
                        <w:proofErr w:type="gramStart"/>
                        <w:r w:rsidRPr="00611A68">
                          <w:rPr>
                            <w:rFonts w:ascii="Arial" w:hAnsi="Arial" w:cs="Arial"/>
                            <w:sz w:val="22"/>
                            <w:szCs w:val="22"/>
                          </w:rPr>
                          <w:t>needles</w:t>
                        </w:r>
                        <w:proofErr w:type="gramEnd"/>
                        <w:r w:rsidRPr="00611A68">
                          <w:rPr>
                            <w:rFonts w:ascii="Arial" w:hAnsi="Arial" w:cs="Arial"/>
                            <w:sz w:val="22"/>
                            <w:szCs w:val="22"/>
                          </w:rPr>
                          <w:t xml:space="preserve"> or other sharp instruments.</w:t>
                        </w:r>
                      </w:p>
                      <w:p w14:paraId="681DD886" w14:textId="77777777" w:rsidR="0055358F" w:rsidRDefault="0055358F" w:rsidP="0055358F">
                        <w:pPr>
                          <w:spacing w:after="0" w:line="240" w:lineRule="auto"/>
                          <w:rPr>
                            <w:rFonts w:ascii="Arial" w:hAnsi="Arial" w:cs="Arial"/>
                            <w:sz w:val="22"/>
                            <w:szCs w:val="22"/>
                          </w:rPr>
                        </w:pPr>
                      </w:p>
                      <w:p w14:paraId="5C0883AA"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333914B0" w14:textId="77777777" w:rsidTr="00AF31BE">
                    <w:trPr>
                      <w:trHeight w:val="629"/>
                      <w:tblCellSpacing w:w="15" w:type="dxa"/>
                    </w:trPr>
                    <w:tc>
                      <w:tcPr>
                        <w:tcW w:w="612" w:type="pct"/>
                        <w:tcMar>
                          <w:top w:w="15" w:type="dxa"/>
                          <w:left w:w="43" w:type="dxa"/>
                          <w:bottom w:w="15" w:type="dxa"/>
                          <w:right w:w="120" w:type="dxa"/>
                        </w:tcMar>
                        <w:hideMark/>
                      </w:tcPr>
                      <w:p w14:paraId="735723C4" w14:textId="77777777" w:rsidR="0055358F" w:rsidRPr="00323D21" w:rsidRDefault="0055358F" w:rsidP="0055358F">
                        <w:pPr>
                          <w:spacing w:after="0" w:line="240" w:lineRule="auto"/>
                          <w:rPr>
                            <w:rFonts w:ascii="Arial" w:eastAsia="Times New Roman" w:hAnsi="Arial" w:cs="Arial"/>
                            <w:sz w:val="22"/>
                            <w:szCs w:val="22"/>
                            <w:lang w:eastAsia="en-AU"/>
                          </w:rPr>
                        </w:pPr>
                        <w:r>
                          <w:rPr>
                            <w:rFonts w:ascii="Arial" w:eastAsia="Times New Roman" w:hAnsi="Arial" w:cs="Arial"/>
                            <w:sz w:val="22"/>
                            <w:szCs w:val="22"/>
                            <w:lang w:eastAsia="en-AU"/>
                          </w:rPr>
                          <w:t>7</w:t>
                        </w:r>
                      </w:p>
                    </w:tc>
                    <w:tc>
                      <w:tcPr>
                        <w:tcW w:w="4277" w:type="pct"/>
                        <w:tcMar>
                          <w:top w:w="15" w:type="dxa"/>
                          <w:left w:w="43" w:type="dxa"/>
                          <w:bottom w:w="15" w:type="dxa"/>
                          <w:right w:w="120" w:type="dxa"/>
                        </w:tcMar>
                        <w:hideMark/>
                      </w:tcPr>
                      <w:p w14:paraId="71040312" w14:textId="77777777" w:rsidR="0055358F" w:rsidRDefault="0055358F" w:rsidP="0055358F">
                        <w:pPr>
                          <w:spacing w:after="0" w:line="240" w:lineRule="auto"/>
                          <w:rPr>
                            <w:rFonts w:ascii="Arial" w:hAnsi="Arial" w:cs="Arial"/>
                            <w:sz w:val="22"/>
                            <w:szCs w:val="22"/>
                          </w:rPr>
                        </w:pPr>
                        <w:r w:rsidRPr="00611A68">
                          <w:rPr>
                            <w:rFonts w:ascii="Arial" w:hAnsi="Arial" w:cs="Arial"/>
                            <w:sz w:val="22"/>
                            <w:szCs w:val="22"/>
                          </w:rPr>
                          <w:t>Actions taken to clean hands.</w:t>
                        </w:r>
                      </w:p>
                      <w:p w14:paraId="41F6C6E5"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5BDED8D6" w14:textId="77777777" w:rsidTr="00AF31BE">
                    <w:trPr>
                      <w:trHeight w:val="2379"/>
                      <w:tblCellSpacing w:w="15" w:type="dxa"/>
                    </w:trPr>
                    <w:tc>
                      <w:tcPr>
                        <w:tcW w:w="612" w:type="pct"/>
                        <w:tcMar>
                          <w:top w:w="15" w:type="dxa"/>
                          <w:left w:w="43" w:type="dxa"/>
                          <w:bottom w:w="15" w:type="dxa"/>
                          <w:right w:w="120" w:type="dxa"/>
                        </w:tcMar>
                        <w:hideMark/>
                      </w:tcPr>
                      <w:p w14:paraId="2FDB6115" w14:textId="77777777" w:rsidR="0055358F" w:rsidRPr="00323D21" w:rsidRDefault="0055358F" w:rsidP="0055358F">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9</w:t>
                        </w:r>
                      </w:p>
                    </w:tc>
                    <w:tc>
                      <w:tcPr>
                        <w:tcW w:w="4277" w:type="pct"/>
                        <w:tcMar>
                          <w:top w:w="15" w:type="dxa"/>
                          <w:left w:w="43" w:type="dxa"/>
                          <w:bottom w:w="15" w:type="dxa"/>
                          <w:right w:w="120" w:type="dxa"/>
                        </w:tcMar>
                        <w:hideMark/>
                      </w:tcPr>
                      <w:p w14:paraId="0E281E80" w14:textId="77777777" w:rsidR="0055358F" w:rsidRDefault="0055358F" w:rsidP="0055358F">
                        <w:pPr>
                          <w:spacing w:after="0" w:line="240" w:lineRule="auto"/>
                          <w:rPr>
                            <w:rFonts w:ascii="Arial" w:hAnsi="Arial" w:cs="Arial"/>
                            <w:sz w:val="22"/>
                            <w:szCs w:val="22"/>
                          </w:rPr>
                        </w:pPr>
                        <w:r w:rsidRPr="00611A68">
                          <w:rPr>
                            <w:rFonts w:ascii="Arial" w:hAnsi="Arial" w:cs="Arial"/>
                            <w:sz w:val="22"/>
                            <w:szCs w:val="22"/>
                          </w:rPr>
                          <w:t>An ongoing effort by a health service organisation to reduce the risks associated with increasing antimicrobial resistance and to extend the effectiveness of antimicrobial treatments. It may incorporate several strategies, including monitoring and review of antimicrobial use.</w:t>
                        </w:r>
                      </w:p>
                      <w:p w14:paraId="3426CCFF" w14:textId="77777777" w:rsidR="0055358F" w:rsidRDefault="0055358F" w:rsidP="0055358F">
                        <w:pPr>
                          <w:spacing w:after="0" w:line="240" w:lineRule="auto"/>
                          <w:rPr>
                            <w:rFonts w:ascii="Arial" w:hAnsi="Arial" w:cs="Arial"/>
                            <w:sz w:val="22"/>
                            <w:szCs w:val="22"/>
                          </w:rPr>
                        </w:pPr>
                      </w:p>
                      <w:p w14:paraId="4F932AD4"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44F1DCB5" w14:textId="77777777" w:rsidTr="00AF31BE">
                    <w:trPr>
                      <w:trHeight w:val="1351"/>
                      <w:tblCellSpacing w:w="15" w:type="dxa"/>
                    </w:trPr>
                    <w:tc>
                      <w:tcPr>
                        <w:tcW w:w="612" w:type="pct"/>
                        <w:tcMar>
                          <w:top w:w="15" w:type="dxa"/>
                          <w:left w:w="43" w:type="dxa"/>
                          <w:bottom w:w="15" w:type="dxa"/>
                          <w:right w:w="120" w:type="dxa"/>
                        </w:tcMar>
                        <w:hideMark/>
                      </w:tcPr>
                      <w:p w14:paraId="0F317112" w14:textId="77777777" w:rsidR="0055358F" w:rsidRPr="00323D21" w:rsidRDefault="0055358F" w:rsidP="0055358F">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10</w:t>
                        </w:r>
                      </w:p>
                    </w:tc>
                    <w:tc>
                      <w:tcPr>
                        <w:tcW w:w="4277" w:type="pct"/>
                        <w:tcMar>
                          <w:top w:w="15" w:type="dxa"/>
                          <w:left w:w="43" w:type="dxa"/>
                          <w:bottom w:w="15" w:type="dxa"/>
                          <w:right w:w="120" w:type="dxa"/>
                        </w:tcMar>
                        <w:hideMark/>
                      </w:tcPr>
                      <w:p w14:paraId="76CB8585" w14:textId="77777777" w:rsidR="0055358F" w:rsidRDefault="0055358F" w:rsidP="0055358F">
                        <w:pPr>
                          <w:spacing w:after="0" w:line="240" w:lineRule="auto"/>
                          <w:rPr>
                            <w:rFonts w:ascii="Arial" w:hAnsi="Arial" w:cs="Arial"/>
                            <w:sz w:val="22"/>
                            <w:szCs w:val="22"/>
                          </w:rPr>
                        </w:pPr>
                        <w:r w:rsidRPr="00611A68">
                          <w:rPr>
                            <w:rFonts w:ascii="Arial" w:hAnsi="Arial" w:cs="Arial"/>
                            <w:sz w:val="22"/>
                            <w:szCs w:val="22"/>
                          </w:rPr>
                          <w:t xml:space="preserve">The minimum infection prevention and control practices that must be </w:t>
                        </w:r>
                        <w:proofErr w:type="gramStart"/>
                        <w:r w:rsidRPr="00611A68">
                          <w:rPr>
                            <w:rFonts w:ascii="Arial" w:hAnsi="Arial" w:cs="Arial"/>
                            <w:sz w:val="22"/>
                            <w:szCs w:val="22"/>
                          </w:rPr>
                          <w:t>used at all times</w:t>
                        </w:r>
                        <w:proofErr w:type="gramEnd"/>
                        <w:r w:rsidRPr="00611A68">
                          <w:rPr>
                            <w:rFonts w:ascii="Arial" w:hAnsi="Arial" w:cs="Arial"/>
                            <w:sz w:val="22"/>
                            <w:szCs w:val="22"/>
                          </w:rPr>
                          <w:t>, for all patients, in all situations.</w:t>
                        </w:r>
                      </w:p>
                      <w:p w14:paraId="78CE322E" w14:textId="77777777" w:rsidR="0055358F" w:rsidRDefault="0055358F" w:rsidP="0055358F">
                        <w:pPr>
                          <w:spacing w:after="0" w:line="240" w:lineRule="auto"/>
                          <w:rPr>
                            <w:rFonts w:ascii="Arial" w:hAnsi="Arial" w:cs="Arial"/>
                            <w:sz w:val="22"/>
                            <w:szCs w:val="22"/>
                          </w:rPr>
                        </w:pPr>
                      </w:p>
                      <w:p w14:paraId="1967FA16"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4F2B115C" w14:textId="77777777" w:rsidTr="00AF31BE">
                    <w:trPr>
                      <w:tblCellSpacing w:w="15" w:type="dxa"/>
                    </w:trPr>
                    <w:tc>
                      <w:tcPr>
                        <w:tcW w:w="612" w:type="pct"/>
                        <w:tcMar>
                          <w:top w:w="15" w:type="dxa"/>
                          <w:left w:w="43" w:type="dxa"/>
                          <w:bottom w:w="15" w:type="dxa"/>
                          <w:right w:w="120" w:type="dxa"/>
                        </w:tcMar>
                        <w:hideMark/>
                      </w:tcPr>
                      <w:p w14:paraId="0DACE6DF" w14:textId="77777777" w:rsidR="0055358F" w:rsidRPr="00323D21" w:rsidRDefault="0055358F" w:rsidP="0055358F">
                        <w:pPr>
                          <w:spacing w:line="240" w:lineRule="auto"/>
                          <w:rPr>
                            <w:rFonts w:ascii="Arial" w:eastAsia="Times New Roman" w:hAnsi="Arial" w:cs="Arial"/>
                            <w:sz w:val="22"/>
                            <w:szCs w:val="22"/>
                            <w:lang w:eastAsia="en-AU"/>
                          </w:rPr>
                        </w:pPr>
                        <w:r w:rsidRPr="009B5073">
                          <w:rPr>
                            <w:rFonts w:ascii="Arial" w:eastAsia="Times New Roman" w:hAnsi="Arial" w:cs="Arial"/>
                            <w:sz w:val="22"/>
                            <w:szCs w:val="22"/>
                            <w:lang w:eastAsia="en-AU"/>
                          </w:rPr>
                          <w:t>1</w:t>
                        </w:r>
                        <w:r>
                          <w:rPr>
                            <w:rFonts w:ascii="Arial" w:eastAsia="Times New Roman" w:hAnsi="Arial" w:cs="Arial"/>
                            <w:sz w:val="22"/>
                            <w:szCs w:val="22"/>
                            <w:lang w:eastAsia="en-AU"/>
                          </w:rPr>
                          <w:t>1</w:t>
                        </w:r>
                      </w:p>
                    </w:tc>
                    <w:tc>
                      <w:tcPr>
                        <w:tcW w:w="4277" w:type="pct"/>
                        <w:tcMar>
                          <w:top w:w="15" w:type="dxa"/>
                          <w:left w:w="43" w:type="dxa"/>
                          <w:bottom w:w="15" w:type="dxa"/>
                          <w:right w:w="120" w:type="dxa"/>
                        </w:tcMar>
                        <w:hideMark/>
                      </w:tcPr>
                      <w:p w14:paraId="3D21A7B1" w14:textId="77777777" w:rsidR="0055358F" w:rsidRPr="00323D21" w:rsidRDefault="0055358F" w:rsidP="0055358F">
                        <w:pPr>
                          <w:spacing w:after="0" w:line="240" w:lineRule="auto"/>
                          <w:rPr>
                            <w:rFonts w:ascii="Arial" w:eastAsia="Times New Roman" w:hAnsi="Arial" w:cs="Arial"/>
                            <w:sz w:val="22"/>
                            <w:szCs w:val="22"/>
                            <w:lang w:eastAsia="en-AU"/>
                          </w:rPr>
                        </w:pPr>
                        <w:r w:rsidRPr="00611A68">
                          <w:rPr>
                            <w:rFonts w:ascii="Arial" w:hAnsi="Arial" w:cs="Arial"/>
                            <w:sz w:val="22"/>
                            <w:szCs w:val="22"/>
                          </w:rPr>
                          <w:t>The invasion by, and reproduction of, pathogenic (disease-causing) organisms inside the body.</w:t>
                        </w:r>
                      </w:p>
                    </w:tc>
                  </w:tr>
                </w:tbl>
                <w:p w14:paraId="4245CB04" w14:textId="77777777" w:rsidR="0055358F" w:rsidRPr="00323D21" w:rsidRDefault="0055358F" w:rsidP="0055358F">
                  <w:pPr>
                    <w:spacing w:after="0" w:line="240" w:lineRule="auto"/>
                    <w:rPr>
                      <w:rFonts w:ascii="Arial" w:eastAsia="Times New Roman" w:hAnsi="Arial" w:cs="Arial"/>
                      <w:color w:val="666666"/>
                      <w:sz w:val="22"/>
                      <w:szCs w:val="22"/>
                      <w:lang w:eastAsia="en-AU"/>
                    </w:rPr>
                  </w:pPr>
                </w:p>
              </w:tc>
              <w:tc>
                <w:tcPr>
                  <w:tcW w:w="0" w:type="auto"/>
                  <w:shd w:val="clear" w:color="auto" w:fill="FFFFFF"/>
                  <w:hideMark/>
                </w:tcPr>
                <w:tbl>
                  <w:tblPr>
                    <w:tblW w:w="4762" w:type="pct"/>
                    <w:tblCellSpacing w:w="15" w:type="dxa"/>
                    <w:tblCellMar>
                      <w:top w:w="15" w:type="dxa"/>
                      <w:left w:w="15" w:type="dxa"/>
                      <w:bottom w:w="15" w:type="dxa"/>
                      <w:right w:w="15" w:type="dxa"/>
                    </w:tblCellMar>
                    <w:tblLook w:val="04A0" w:firstRow="1" w:lastRow="0" w:firstColumn="1" w:lastColumn="0" w:noHBand="0" w:noVBand="1"/>
                  </w:tblPr>
                  <w:tblGrid>
                    <w:gridCol w:w="376"/>
                    <w:gridCol w:w="3258"/>
                  </w:tblGrid>
                  <w:tr w:rsidR="0055358F" w:rsidRPr="009B5073" w14:paraId="41886B53" w14:textId="77777777" w:rsidTr="00AF31BE">
                    <w:trPr>
                      <w:tblCellSpacing w:w="15" w:type="dxa"/>
                    </w:trPr>
                    <w:tc>
                      <w:tcPr>
                        <w:tcW w:w="456" w:type="pct"/>
                        <w:tcMar>
                          <w:top w:w="15" w:type="dxa"/>
                          <w:left w:w="43" w:type="dxa"/>
                          <w:bottom w:w="15" w:type="dxa"/>
                          <w:right w:w="120" w:type="dxa"/>
                        </w:tcMar>
                        <w:hideMark/>
                      </w:tcPr>
                      <w:p w14:paraId="0A8A3511" w14:textId="77777777" w:rsidR="0055358F" w:rsidRPr="00323D21" w:rsidRDefault="0055358F" w:rsidP="0055358F">
                        <w:pPr>
                          <w:spacing w:line="240" w:lineRule="auto"/>
                          <w:rPr>
                            <w:rFonts w:ascii="Arial" w:eastAsia="Times New Roman" w:hAnsi="Arial" w:cs="Arial"/>
                            <w:sz w:val="22"/>
                            <w:szCs w:val="22"/>
                            <w:lang w:eastAsia="en-AU"/>
                          </w:rPr>
                        </w:pPr>
                        <w:r w:rsidRPr="00323D21">
                          <w:rPr>
                            <w:rFonts w:ascii="Arial" w:eastAsia="Times New Roman" w:hAnsi="Arial" w:cs="Arial"/>
                            <w:sz w:val="22"/>
                            <w:szCs w:val="22"/>
                            <w:lang w:eastAsia="en-AU"/>
                          </w:rPr>
                          <w:t>1</w:t>
                        </w:r>
                      </w:p>
                    </w:tc>
                    <w:tc>
                      <w:tcPr>
                        <w:tcW w:w="4423" w:type="pct"/>
                        <w:tcMar>
                          <w:top w:w="15" w:type="dxa"/>
                          <w:left w:w="43" w:type="dxa"/>
                          <w:bottom w:w="15" w:type="dxa"/>
                          <w:right w:w="120" w:type="dxa"/>
                        </w:tcMar>
                        <w:hideMark/>
                      </w:tcPr>
                      <w:p w14:paraId="73229421" w14:textId="77777777" w:rsidR="0055358F" w:rsidRDefault="0055358F" w:rsidP="0055358F">
                        <w:pPr>
                          <w:spacing w:after="0" w:line="240" w:lineRule="auto"/>
                          <w:rPr>
                            <w:rFonts w:ascii="Arial" w:eastAsia="Times New Roman" w:hAnsi="Arial" w:cs="Arial"/>
                            <w:sz w:val="22"/>
                            <w:szCs w:val="22"/>
                            <w:lang w:eastAsia="en-AU"/>
                          </w:rPr>
                        </w:pPr>
                        <w:r w:rsidRPr="00611A68">
                          <w:rPr>
                            <w:rFonts w:ascii="Arial" w:eastAsia="Times New Roman" w:hAnsi="Arial" w:cs="Arial"/>
                            <w:sz w:val="22"/>
                            <w:szCs w:val="22"/>
                            <w:lang w:eastAsia="en-AU"/>
                          </w:rPr>
                          <w:t>Failure of an antimicrobial to inhibit a microorganism at the antimicrobial concentrations usually achieved over time with standard dosing regimens.</w:t>
                        </w:r>
                      </w:p>
                      <w:p w14:paraId="1099B6B8" w14:textId="77777777" w:rsidR="0055358F" w:rsidRDefault="0055358F" w:rsidP="0055358F">
                        <w:pPr>
                          <w:spacing w:after="0" w:line="240" w:lineRule="auto"/>
                          <w:rPr>
                            <w:rFonts w:ascii="Arial" w:eastAsia="Times New Roman" w:hAnsi="Arial" w:cs="Arial"/>
                            <w:sz w:val="22"/>
                            <w:szCs w:val="22"/>
                            <w:lang w:eastAsia="en-AU"/>
                          </w:rPr>
                        </w:pPr>
                      </w:p>
                      <w:p w14:paraId="740366B7"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281E27F0" w14:textId="77777777" w:rsidTr="00AF31BE">
                    <w:trPr>
                      <w:tblCellSpacing w:w="15" w:type="dxa"/>
                    </w:trPr>
                    <w:tc>
                      <w:tcPr>
                        <w:tcW w:w="456" w:type="pct"/>
                        <w:tcMar>
                          <w:top w:w="15" w:type="dxa"/>
                          <w:left w:w="43" w:type="dxa"/>
                          <w:bottom w:w="15" w:type="dxa"/>
                          <w:right w:w="120" w:type="dxa"/>
                        </w:tcMar>
                        <w:hideMark/>
                      </w:tcPr>
                      <w:p w14:paraId="298A17E9" w14:textId="77777777" w:rsidR="0055358F" w:rsidRPr="00323D21" w:rsidRDefault="0055358F" w:rsidP="0055358F">
                        <w:pPr>
                          <w:spacing w:line="240" w:lineRule="auto"/>
                          <w:rPr>
                            <w:rFonts w:ascii="Arial" w:eastAsia="Times New Roman" w:hAnsi="Arial" w:cs="Arial"/>
                            <w:sz w:val="22"/>
                            <w:szCs w:val="22"/>
                            <w:lang w:eastAsia="en-AU"/>
                          </w:rPr>
                        </w:pPr>
                        <w:r w:rsidRPr="00323D21">
                          <w:rPr>
                            <w:rFonts w:ascii="Arial" w:eastAsia="Times New Roman" w:hAnsi="Arial" w:cs="Arial"/>
                            <w:sz w:val="22"/>
                            <w:szCs w:val="22"/>
                            <w:lang w:eastAsia="en-AU"/>
                          </w:rPr>
                          <w:t>2</w:t>
                        </w:r>
                      </w:p>
                    </w:tc>
                    <w:tc>
                      <w:tcPr>
                        <w:tcW w:w="4423" w:type="pct"/>
                        <w:tcMar>
                          <w:top w:w="15" w:type="dxa"/>
                          <w:left w:w="43" w:type="dxa"/>
                          <w:bottom w:w="15" w:type="dxa"/>
                          <w:right w:w="120" w:type="dxa"/>
                        </w:tcMar>
                        <w:hideMark/>
                      </w:tcPr>
                      <w:p w14:paraId="31C4076F" w14:textId="77777777" w:rsidR="0055358F" w:rsidRDefault="0055358F" w:rsidP="0055358F">
                        <w:pPr>
                          <w:spacing w:after="0" w:line="240" w:lineRule="auto"/>
                          <w:rPr>
                            <w:rFonts w:ascii="Arial" w:eastAsia="Times New Roman" w:hAnsi="Arial" w:cs="Arial"/>
                            <w:sz w:val="22"/>
                            <w:szCs w:val="22"/>
                            <w:lang w:eastAsia="en-AU"/>
                          </w:rPr>
                        </w:pPr>
                        <w:r w:rsidRPr="00611A68">
                          <w:rPr>
                            <w:rFonts w:ascii="Arial" w:eastAsia="Times New Roman" w:hAnsi="Arial" w:cs="Arial"/>
                            <w:sz w:val="22"/>
                            <w:szCs w:val="22"/>
                            <w:lang w:eastAsia="en-AU"/>
                          </w:rPr>
                          <w:t>The removal of dirt and germs from surfaces, so that the environment is a clean and hygienic space for patients, visitors, and healthcare works.</w:t>
                        </w:r>
                      </w:p>
                      <w:p w14:paraId="485DF33B" w14:textId="77777777" w:rsidR="0055358F" w:rsidRDefault="0055358F" w:rsidP="0055358F">
                        <w:pPr>
                          <w:spacing w:after="0" w:line="240" w:lineRule="auto"/>
                          <w:rPr>
                            <w:rFonts w:ascii="Arial" w:eastAsia="Times New Roman" w:hAnsi="Arial" w:cs="Arial"/>
                            <w:sz w:val="22"/>
                            <w:szCs w:val="22"/>
                            <w:lang w:eastAsia="en-AU"/>
                          </w:rPr>
                        </w:pPr>
                      </w:p>
                      <w:p w14:paraId="57490A54"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1E930C4F" w14:textId="77777777" w:rsidTr="00AF31BE">
                    <w:trPr>
                      <w:tblCellSpacing w:w="15" w:type="dxa"/>
                    </w:trPr>
                    <w:tc>
                      <w:tcPr>
                        <w:tcW w:w="456" w:type="pct"/>
                        <w:tcMar>
                          <w:top w:w="15" w:type="dxa"/>
                          <w:left w:w="43" w:type="dxa"/>
                          <w:bottom w:w="15" w:type="dxa"/>
                          <w:right w:w="120" w:type="dxa"/>
                        </w:tcMar>
                        <w:hideMark/>
                      </w:tcPr>
                      <w:p w14:paraId="27EED97D" w14:textId="77777777" w:rsidR="0055358F" w:rsidRPr="00323D21" w:rsidRDefault="0055358F" w:rsidP="0055358F">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4</w:t>
                        </w:r>
                      </w:p>
                    </w:tc>
                    <w:tc>
                      <w:tcPr>
                        <w:tcW w:w="4423" w:type="pct"/>
                        <w:tcMar>
                          <w:top w:w="15" w:type="dxa"/>
                          <w:left w:w="43" w:type="dxa"/>
                          <w:bottom w:w="15" w:type="dxa"/>
                          <w:right w:w="120" w:type="dxa"/>
                        </w:tcMar>
                        <w:hideMark/>
                      </w:tcPr>
                      <w:p w14:paraId="111A45D6" w14:textId="77777777" w:rsidR="0055358F" w:rsidRDefault="0055358F" w:rsidP="0055358F">
                        <w:pPr>
                          <w:spacing w:after="0" w:line="240" w:lineRule="auto"/>
                          <w:rPr>
                            <w:rFonts w:ascii="Arial" w:hAnsi="Arial" w:cs="Arial"/>
                            <w:sz w:val="22"/>
                            <w:szCs w:val="22"/>
                          </w:rPr>
                        </w:pPr>
                        <w:r w:rsidRPr="00611A68">
                          <w:rPr>
                            <w:rFonts w:ascii="Arial" w:hAnsi="Arial" w:cs="Arial"/>
                            <w:sz w:val="22"/>
                            <w:szCs w:val="22"/>
                          </w:rPr>
                          <w:t>The sustained presence of replicating infectious agents on, or in, the body but without any evidence of infection or disease.</w:t>
                        </w:r>
                      </w:p>
                      <w:p w14:paraId="37F5E9C6" w14:textId="77777777" w:rsidR="0055358F" w:rsidRDefault="0055358F" w:rsidP="0055358F">
                        <w:pPr>
                          <w:spacing w:after="0" w:line="240" w:lineRule="auto"/>
                          <w:rPr>
                            <w:rFonts w:ascii="Arial" w:hAnsi="Arial" w:cs="Arial"/>
                            <w:sz w:val="22"/>
                            <w:szCs w:val="22"/>
                          </w:rPr>
                        </w:pPr>
                      </w:p>
                      <w:p w14:paraId="70163242"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767303AA" w14:textId="77777777" w:rsidTr="00AF31BE">
                    <w:trPr>
                      <w:tblCellSpacing w:w="15" w:type="dxa"/>
                    </w:trPr>
                    <w:tc>
                      <w:tcPr>
                        <w:tcW w:w="456" w:type="pct"/>
                        <w:tcMar>
                          <w:top w:w="15" w:type="dxa"/>
                          <w:left w:w="43" w:type="dxa"/>
                          <w:bottom w:w="15" w:type="dxa"/>
                          <w:right w:w="120" w:type="dxa"/>
                        </w:tcMar>
                        <w:hideMark/>
                      </w:tcPr>
                      <w:p w14:paraId="0A4BEFC5" w14:textId="77777777" w:rsidR="0055358F" w:rsidRPr="00323D21" w:rsidRDefault="0055358F" w:rsidP="0055358F">
                        <w:pPr>
                          <w:spacing w:line="240" w:lineRule="auto"/>
                          <w:rPr>
                            <w:rFonts w:ascii="Arial" w:eastAsia="Times New Roman" w:hAnsi="Arial" w:cs="Arial"/>
                            <w:sz w:val="22"/>
                            <w:szCs w:val="22"/>
                            <w:lang w:eastAsia="en-AU"/>
                          </w:rPr>
                        </w:pPr>
                        <w:r w:rsidRPr="009B5073">
                          <w:rPr>
                            <w:rFonts w:ascii="Arial" w:eastAsia="Times New Roman" w:hAnsi="Arial" w:cs="Arial"/>
                            <w:sz w:val="22"/>
                            <w:szCs w:val="22"/>
                            <w:lang w:eastAsia="en-AU"/>
                          </w:rPr>
                          <w:t>5</w:t>
                        </w:r>
                      </w:p>
                    </w:tc>
                    <w:tc>
                      <w:tcPr>
                        <w:tcW w:w="4423" w:type="pct"/>
                        <w:tcMar>
                          <w:top w:w="15" w:type="dxa"/>
                          <w:left w:w="43" w:type="dxa"/>
                          <w:bottom w:w="15" w:type="dxa"/>
                          <w:right w:w="120" w:type="dxa"/>
                        </w:tcMar>
                        <w:hideMark/>
                      </w:tcPr>
                      <w:p w14:paraId="1E3A0D78" w14:textId="77777777" w:rsidR="0055358F" w:rsidRDefault="0055358F" w:rsidP="0055358F">
                        <w:pPr>
                          <w:spacing w:after="0" w:line="240" w:lineRule="auto"/>
                          <w:rPr>
                            <w:rFonts w:ascii="Arial" w:hAnsi="Arial" w:cs="Arial"/>
                            <w:sz w:val="22"/>
                            <w:szCs w:val="22"/>
                          </w:rPr>
                        </w:pPr>
                        <w:r w:rsidRPr="00611A68">
                          <w:rPr>
                            <w:rFonts w:ascii="Arial" w:hAnsi="Arial" w:cs="Arial"/>
                            <w:sz w:val="22"/>
                            <w:szCs w:val="22"/>
                          </w:rPr>
                          <w:t>A set of practices aimed at minimising contamination and is particularly used to protect the patient from infection during procedures.</w:t>
                        </w:r>
                      </w:p>
                      <w:p w14:paraId="34237136" w14:textId="77777777" w:rsidR="0055358F" w:rsidRDefault="0055358F" w:rsidP="0055358F">
                        <w:pPr>
                          <w:spacing w:after="0" w:line="240" w:lineRule="auto"/>
                          <w:rPr>
                            <w:rFonts w:ascii="Arial" w:hAnsi="Arial" w:cs="Arial"/>
                            <w:sz w:val="22"/>
                            <w:szCs w:val="22"/>
                          </w:rPr>
                        </w:pPr>
                      </w:p>
                      <w:p w14:paraId="4EBAFC6F" w14:textId="77777777" w:rsidR="0055358F" w:rsidRPr="00323D21" w:rsidRDefault="0055358F" w:rsidP="0055358F">
                        <w:pPr>
                          <w:spacing w:after="0" w:line="240" w:lineRule="auto"/>
                          <w:rPr>
                            <w:rFonts w:ascii="Arial" w:eastAsia="Times New Roman" w:hAnsi="Arial" w:cs="Arial"/>
                            <w:sz w:val="22"/>
                            <w:szCs w:val="22"/>
                            <w:lang w:eastAsia="en-AU"/>
                          </w:rPr>
                        </w:pPr>
                      </w:p>
                    </w:tc>
                  </w:tr>
                  <w:tr w:rsidR="0055358F" w:rsidRPr="009B5073" w14:paraId="718E27FE" w14:textId="77777777" w:rsidTr="00AF31BE">
                    <w:trPr>
                      <w:tblCellSpacing w:w="15" w:type="dxa"/>
                    </w:trPr>
                    <w:tc>
                      <w:tcPr>
                        <w:tcW w:w="456" w:type="pct"/>
                        <w:tcMar>
                          <w:top w:w="15" w:type="dxa"/>
                          <w:left w:w="43" w:type="dxa"/>
                          <w:bottom w:w="15" w:type="dxa"/>
                          <w:right w:w="120" w:type="dxa"/>
                        </w:tcMar>
                      </w:tcPr>
                      <w:p w14:paraId="35608CB1" w14:textId="77777777" w:rsidR="0055358F" w:rsidRPr="009B5073" w:rsidRDefault="0055358F" w:rsidP="0055358F">
                        <w:pPr>
                          <w:spacing w:line="240" w:lineRule="auto"/>
                          <w:rPr>
                            <w:rFonts w:ascii="Arial" w:eastAsia="Times New Roman" w:hAnsi="Arial" w:cs="Arial"/>
                            <w:sz w:val="22"/>
                            <w:szCs w:val="22"/>
                            <w:lang w:eastAsia="en-AU"/>
                          </w:rPr>
                        </w:pPr>
                        <w:r>
                          <w:rPr>
                            <w:rFonts w:ascii="Arial" w:eastAsia="Times New Roman" w:hAnsi="Arial" w:cs="Arial"/>
                            <w:sz w:val="22"/>
                            <w:szCs w:val="22"/>
                            <w:lang w:eastAsia="en-AU"/>
                          </w:rPr>
                          <w:t>8</w:t>
                        </w:r>
                      </w:p>
                    </w:tc>
                    <w:tc>
                      <w:tcPr>
                        <w:tcW w:w="4423" w:type="pct"/>
                        <w:tcMar>
                          <w:top w:w="15" w:type="dxa"/>
                          <w:left w:w="43" w:type="dxa"/>
                          <w:bottom w:w="15" w:type="dxa"/>
                          <w:right w:w="120" w:type="dxa"/>
                        </w:tcMar>
                      </w:tcPr>
                      <w:p w14:paraId="5402268F" w14:textId="77777777" w:rsidR="0055358F" w:rsidRPr="009B5073" w:rsidRDefault="0055358F" w:rsidP="0055358F">
                        <w:pPr>
                          <w:spacing w:line="240" w:lineRule="auto"/>
                          <w:rPr>
                            <w:rFonts w:ascii="Arial" w:hAnsi="Arial" w:cs="Arial"/>
                            <w:sz w:val="22"/>
                            <w:szCs w:val="22"/>
                          </w:rPr>
                        </w:pPr>
                        <w:r w:rsidRPr="00611A68">
                          <w:rPr>
                            <w:rFonts w:ascii="Arial" w:hAnsi="Arial" w:cs="Arial"/>
                            <w:sz w:val="22"/>
                            <w:szCs w:val="22"/>
                          </w:rPr>
                          <w:t xml:space="preserve">Consists of fulfilling the needs of current generations without compromising the needs of future generations, while ensuring a balance between economic growth, environmental </w:t>
                        </w:r>
                        <w:proofErr w:type="gramStart"/>
                        <w:r w:rsidRPr="00611A68">
                          <w:rPr>
                            <w:rFonts w:ascii="Arial" w:hAnsi="Arial" w:cs="Arial"/>
                            <w:sz w:val="22"/>
                            <w:szCs w:val="22"/>
                          </w:rPr>
                          <w:t>care</w:t>
                        </w:r>
                        <w:proofErr w:type="gramEnd"/>
                        <w:r w:rsidRPr="00611A68">
                          <w:rPr>
                            <w:rFonts w:ascii="Arial" w:hAnsi="Arial" w:cs="Arial"/>
                            <w:sz w:val="22"/>
                            <w:szCs w:val="22"/>
                          </w:rPr>
                          <w:t xml:space="preserve"> and social well-being.</w:t>
                        </w:r>
                      </w:p>
                    </w:tc>
                  </w:tr>
                </w:tbl>
                <w:p w14:paraId="75A138A0" w14:textId="77777777" w:rsidR="0055358F" w:rsidRPr="00323D21" w:rsidRDefault="0055358F" w:rsidP="0055358F">
                  <w:pPr>
                    <w:spacing w:after="0" w:line="240" w:lineRule="auto"/>
                    <w:rPr>
                      <w:rFonts w:ascii="Arial" w:eastAsia="Times New Roman" w:hAnsi="Arial" w:cs="Arial"/>
                      <w:color w:val="666666"/>
                      <w:sz w:val="22"/>
                      <w:szCs w:val="22"/>
                      <w:lang w:eastAsia="en-AU"/>
                    </w:rPr>
                  </w:pPr>
                </w:p>
              </w:tc>
            </w:tr>
          </w:tbl>
          <w:p w14:paraId="37A0C30F" w14:textId="320EC9D6" w:rsidR="00323D21" w:rsidRPr="00323D21" w:rsidRDefault="00323D21" w:rsidP="00323D21">
            <w:pPr>
              <w:spacing w:after="0" w:line="240" w:lineRule="auto"/>
              <w:rPr>
                <w:rFonts w:ascii="Arial" w:eastAsia="Times New Roman" w:hAnsi="Arial" w:cs="Arial"/>
                <w:b/>
                <w:bCs/>
                <w:color w:val="666666"/>
                <w:lang w:eastAsia="en-AU"/>
              </w:rPr>
            </w:pPr>
          </w:p>
        </w:tc>
        <w:tc>
          <w:tcPr>
            <w:tcW w:w="0" w:type="auto"/>
            <w:shd w:val="clear" w:color="auto" w:fill="FFFFFF"/>
            <w:vAlign w:val="center"/>
          </w:tcPr>
          <w:p w14:paraId="2D67FADB" w14:textId="627EB5BC" w:rsidR="00323D21" w:rsidRPr="00323D21" w:rsidRDefault="00323D21" w:rsidP="00B30C24">
            <w:pPr>
              <w:spacing w:after="0" w:line="240" w:lineRule="auto"/>
              <w:ind w:firstLine="70"/>
              <w:rPr>
                <w:rFonts w:ascii="Arial" w:eastAsia="Times New Roman" w:hAnsi="Arial" w:cs="Arial"/>
                <w:b/>
                <w:bCs/>
                <w:color w:val="666666"/>
                <w:lang w:eastAsia="en-AU"/>
              </w:rPr>
            </w:pPr>
          </w:p>
        </w:tc>
      </w:tr>
      <w:tr w:rsidR="009B5073" w:rsidRPr="00323D21" w14:paraId="303C47F5" w14:textId="77777777" w:rsidTr="0055358F">
        <w:trPr>
          <w:tblCellSpacing w:w="15" w:type="dxa"/>
          <w:jc w:val="center"/>
        </w:trPr>
        <w:tc>
          <w:tcPr>
            <w:tcW w:w="0" w:type="auto"/>
            <w:shd w:val="clear" w:color="auto" w:fill="FFFFFF"/>
          </w:tcPr>
          <w:p w14:paraId="7D50014C" w14:textId="77777777" w:rsidR="00323D21" w:rsidRPr="00323D21" w:rsidRDefault="00323D21" w:rsidP="00323D21">
            <w:pPr>
              <w:spacing w:after="0" w:line="240" w:lineRule="auto"/>
              <w:rPr>
                <w:rFonts w:ascii="Arial" w:eastAsia="Times New Roman" w:hAnsi="Arial" w:cs="Arial"/>
                <w:color w:val="666666"/>
                <w:sz w:val="22"/>
                <w:szCs w:val="22"/>
                <w:lang w:eastAsia="en-AU"/>
              </w:rPr>
            </w:pPr>
          </w:p>
        </w:tc>
        <w:tc>
          <w:tcPr>
            <w:tcW w:w="0" w:type="auto"/>
            <w:shd w:val="clear" w:color="auto" w:fill="FFFFFF"/>
          </w:tcPr>
          <w:p w14:paraId="1BFF67C2" w14:textId="77777777" w:rsidR="00323D21" w:rsidRPr="00323D21" w:rsidRDefault="00323D21" w:rsidP="00323D21">
            <w:pPr>
              <w:spacing w:after="0" w:line="240" w:lineRule="auto"/>
              <w:rPr>
                <w:rFonts w:ascii="Arial" w:eastAsia="Times New Roman" w:hAnsi="Arial" w:cs="Arial"/>
                <w:color w:val="666666"/>
                <w:sz w:val="22"/>
                <w:szCs w:val="22"/>
                <w:lang w:eastAsia="en-AU"/>
              </w:rPr>
            </w:pPr>
          </w:p>
        </w:tc>
      </w:tr>
    </w:tbl>
    <w:p w14:paraId="16D6F4FA" w14:textId="77777777" w:rsidR="00323D21" w:rsidRDefault="00323D21" w:rsidP="009B5073"/>
    <w:sectPr w:rsidR="00323D21" w:rsidSect="00C723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668F" w14:textId="77777777" w:rsidR="00D46281" w:rsidRDefault="00D46281" w:rsidP="002E6E50">
      <w:pPr>
        <w:spacing w:after="0" w:line="240" w:lineRule="auto"/>
      </w:pPr>
      <w:r>
        <w:separator/>
      </w:r>
    </w:p>
  </w:endnote>
  <w:endnote w:type="continuationSeparator" w:id="0">
    <w:p w14:paraId="0F990479" w14:textId="77777777" w:rsidR="00D46281" w:rsidRDefault="00D46281" w:rsidP="002E6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816E" w14:textId="77777777" w:rsidR="00BA724B" w:rsidRDefault="00BA7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8007" w14:textId="234DA0A8" w:rsidR="006C670A" w:rsidRDefault="006C670A" w:rsidP="006C670A">
    <w:pPr>
      <w:pStyle w:val="Footer"/>
      <w:tabs>
        <w:tab w:val="clear" w:pos="9026"/>
        <w:tab w:val="right" w:pos="9639"/>
      </w:tabs>
    </w:pPr>
    <w:r w:rsidRPr="00B36AE8">
      <w:t xml:space="preserve">Infection </w:t>
    </w:r>
    <w:r>
      <w:t>p</w:t>
    </w:r>
    <w:r w:rsidRPr="00B36AE8">
      <w:t xml:space="preserve">revention and </w:t>
    </w:r>
    <w:r>
      <w:t>c</w:t>
    </w:r>
    <w:r w:rsidRPr="00B36AE8">
      <w:t xml:space="preserve">ontrol </w:t>
    </w:r>
    <w:r>
      <w:t>w</w:t>
    </w:r>
    <w:r w:rsidRPr="00B36AE8">
      <w:t xml:space="preserve">eek </w:t>
    </w:r>
    <w:r>
      <w:t>crossword</w:t>
    </w:r>
    <w:r w:rsidRPr="00D84622">
      <w:tab/>
    </w:r>
    <w:r w:rsidRPr="00D84622">
      <w:fldChar w:fldCharType="begin"/>
    </w:r>
    <w:r w:rsidRPr="00D84622">
      <w:instrText xml:space="preserve"> PAGE   \* MERGEFORMAT </w:instrText>
    </w:r>
    <w:r w:rsidRPr="00D84622">
      <w:fldChar w:fldCharType="separate"/>
    </w:r>
    <w:r>
      <w:t>1</w:t>
    </w:r>
    <w:r w:rsidRPr="00D84622">
      <w:fldChar w:fldCharType="end"/>
    </w:r>
  </w:p>
  <w:p w14:paraId="2508F1FF" w14:textId="77777777" w:rsidR="006C670A" w:rsidRDefault="006C6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9B02" w14:textId="462FF0DE" w:rsidR="002719AC" w:rsidRDefault="002719AC" w:rsidP="002719AC">
    <w:pPr>
      <w:pStyle w:val="Footer"/>
      <w:tabs>
        <w:tab w:val="clear" w:pos="9026"/>
        <w:tab w:val="right" w:pos="9639"/>
      </w:tabs>
    </w:pPr>
    <w:r w:rsidRPr="00B36AE8">
      <w:t xml:space="preserve">Infection </w:t>
    </w:r>
    <w:r>
      <w:t>p</w:t>
    </w:r>
    <w:r w:rsidRPr="00B36AE8">
      <w:t xml:space="preserve">revention and </w:t>
    </w:r>
    <w:r>
      <w:t>c</w:t>
    </w:r>
    <w:r w:rsidRPr="00B36AE8">
      <w:t xml:space="preserve">ontrol </w:t>
    </w:r>
    <w:r>
      <w:t>w</w:t>
    </w:r>
    <w:r w:rsidRPr="00B36AE8">
      <w:t xml:space="preserve">eek </w:t>
    </w:r>
    <w:r>
      <w:t>crossword</w:t>
    </w:r>
    <w:r w:rsidRPr="00D84622">
      <w:tab/>
    </w:r>
    <w:r w:rsidRPr="00D84622">
      <w:fldChar w:fldCharType="begin"/>
    </w:r>
    <w:r w:rsidRPr="00D84622">
      <w:instrText xml:space="preserve"> PAGE   \* MERGEFORMAT </w:instrText>
    </w:r>
    <w:r w:rsidRPr="00D84622">
      <w:fldChar w:fldCharType="separate"/>
    </w:r>
    <w:r>
      <w:t>1</w:t>
    </w:r>
    <w:r w:rsidRPr="00D84622">
      <w:fldChar w:fldCharType="end"/>
    </w:r>
  </w:p>
  <w:p w14:paraId="2DB8EE59" w14:textId="77777777" w:rsidR="002719AC" w:rsidRDefault="00271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40B9" w14:textId="77777777" w:rsidR="00D46281" w:rsidRDefault="00D46281" w:rsidP="002E6E50">
      <w:pPr>
        <w:spacing w:after="0" w:line="240" w:lineRule="auto"/>
      </w:pPr>
      <w:r>
        <w:separator/>
      </w:r>
    </w:p>
  </w:footnote>
  <w:footnote w:type="continuationSeparator" w:id="0">
    <w:p w14:paraId="1E24D1F7" w14:textId="77777777" w:rsidR="00D46281" w:rsidRDefault="00D46281" w:rsidP="002E6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ECB6" w14:textId="77777777" w:rsidR="00BA724B" w:rsidRDefault="00BA7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6AF6" w14:textId="5536A716" w:rsidR="002E6E50" w:rsidRDefault="002E6E50" w:rsidP="00C72377">
    <w:pPr>
      <w:tabs>
        <w:tab w:val="left" w:pos="2755"/>
      </w:tabs>
    </w:pPr>
    <w:r w:rsidRPr="00DF4792">
      <w:rPr>
        <w:rFonts w:ascii="Arial" w:hAnsi="Arial" w:cs="Arial"/>
        <w:b/>
        <w:noProof/>
        <w:sz w:val="44"/>
        <w:szCs w:val="44"/>
        <w:lang w:eastAsia="en-AU"/>
      </w:rPr>
      <w:drawing>
        <wp:anchor distT="0" distB="0" distL="114300" distR="114300" simplePos="0" relativeHeight="251657216" behindDoc="0" locked="0" layoutInCell="1" allowOverlap="1" wp14:anchorId="5DDD1C6F" wp14:editId="17DAB14A">
          <wp:simplePos x="0" y="0"/>
          <wp:positionH relativeFrom="column">
            <wp:posOffset>4837623</wp:posOffset>
          </wp:positionH>
          <wp:positionV relativeFrom="paragraph">
            <wp:posOffset>154305</wp:posOffset>
          </wp:positionV>
          <wp:extent cx="748665" cy="658495"/>
          <wp:effectExtent l="0" t="0" r="0" b="8255"/>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748665" cy="658495"/>
                  </a:xfrm>
                  <a:prstGeom prst="rect">
                    <a:avLst/>
                  </a:prstGeom>
                </pic:spPr>
              </pic:pic>
            </a:graphicData>
          </a:graphic>
        </wp:anchor>
      </w:drawing>
    </w:r>
    <w:r w:rsidR="00C72377">
      <w:tab/>
    </w:r>
  </w:p>
  <w:p w14:paraId="1FFB4832" w14:textId="77777777" w:rsidR="002E6E50" w:rsidRDefault="002E6E50" w:rsidP="002E6E50">
    <w:pPr>
      <w:rPr>
        <w:rFonts w:ascii="Arial" w:hAnsi="Arial" w:cs="Arial"/>
        <w:b/>
        <w:sz w:val="44"/>
        <w:szCs w:val="44"/>
        <w:lang w:val="en-GB"/>
      </w:rPr>
    </w:pPr>
    <w:r>
      <w:rPr>
        <w:noProof/>
      </w:rPr>
      <w:drawing>
        <wp:inline distT="0" distB="0" distL="0" distR="0" wp14:anchorId="2A38BC44" wp14:editId="5D9B4E86">
          <wp:extent cx="4055165" cy="546735"/>
          <wp:effectExtent l="0" t="0" r="2540" b="5715"/>
          <wp:docPr id="139" name="Picture 139"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2"/>
                  <a:srcRect r="33968"/>
                  <a:stretch/>
                </pic:blipFill>
                <pic:spPr bwMode="auto">
                  <a:xfrm>
                    <a:off x="0" y="0"/>
                    <a:ext cx="4080020" cy="550086"/>
                  </a:xfrm>
                  <a:prstGeom prst="rect">
                    <a:avLst/>
                  </a:prstGeom>
                  <a:ln>
                    <a:noFill/>
                  </a:ln>
                  <a:extLst>
                    <a:ext uri="{53640926-AAD7-44D8-BBD7-CCE9431645EC}">
                      <a14:shadowObscured xmlns:a14="http://schemas.microsoft.com/office/drawing/2010/main"/>
                    </a:ext>
                  </a:extLst>
                </pic:spPr>
              </pic:pic>
            </a:graphicData>
          </a:graphic>
        </wp:inline>
      </w:drawing>
    </w:r>
  </w:p>
  <w:p w14:paraId="05E4B408" w14:textId="0D84767D" w:rsidR="002E6E50" w:rsidRDefault="00C72377" w:rsidP="00C72377">
    <w:pPr>
      <w:jc w:val="center"/>
    </w:pPr>
    <w:r>
      <w:rPr>
        <w:rFonts w:ascii="Arial" w:hAnsi="Arial" w:cs="Arial"/>
        <w:b/>
        <w:color w:val="005370"/>
        <w:sz w:val="44"/>
        <w:szCs w:val="44"/>
        <w:lang w:val="en-GB"/>
      </w:rPr>
      <w:t>Clue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14A9" w14:textId="26FA8F7F" w:rsidR="00C72377" w:rsidRDefault="00C72377" w:rsidP="00C72377">
    <w:pPr>
      <w:rPr>
        <w:rFonts w:ascii="Arial" w:hAnsi="Arial" w:cs="Arial"/>
        <w:b/>
        <w:sz w:val="44"/>
        <w:szCs w:val="44"/>
        <w:lang w:val="en-GB"/>
      </w:rPr>
    </w:pPr>
    <w:r w:rsidRPr="00DF4792">
      <w:rPr>
        <w:rFonts w:ascii="Arial" w:hAnsi="Arial" w:cs="Arial"/>
        <w:b/>
        <w:noProof/>
        <w:sz w:val="44"/>
        <w:szCs w:val="44"/>
        <w:lang w:eastAsia="en-AU"/>
      </w:rPr>
      <w:drawing>
        <wp:anchor distT="0" distB="0" distL="114300" distR="114300" simplePos="0" relativeHeight="251657728" behindDoc="0" locked="0" layoutInCell="1" allowOverlap="1" wp14:anchorId="70F6E0A5" wp14:editId="31ACCD34">
          <wp:simplePos x="0" y="0"/>
          <wp:positionH relativeFrom="margin">
            <wp:align>right</wp:align>
          </wp:positionH>
          <wp:positionV relativeFrom="paragraph">
            <wp:posOffset>-127856</wp:posOffset>
          </wp:positionV>
          <wp:extent cx="748665" cy="6584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8665" cy="658495"/>
                  </a:xfrm>
                  <a:prstGeom prst="rect">
                    <a:avLst/>
                  </a:prstGeom>
                </pic:spPr>
              </pic:pic>
            </a:graphicData>
          </a:graphic>
        </wp:anchor>
      </w:drawing>
    </w:r>
    <w:r>
      <w:rPr>
        <w:noProof/>
      </w:rPr>
      <w:drawing>
        <wp:inline distT="0" distB="0" distL="0" distR="0" wp14:anchorId="13C20940" wp14:editId="749F32EE">
          <wp:extent cx="4055165" cy="546735"/>
          <wp:effectExtent l="0" t="0" r="2540" b="5715"/>
          <wp:docPr id="1" name="Picture 1" descr="Australian Commission on Safety and Quality in Health Care and the National Safety and Quality Health Service Standard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Commission on Safety and Quality in Health Care and the National Safety and Quality Health Service Standards logos"/>
                  <pic:cNvPicPr/>
                </pic:nvPicPr>
                <pic:blipFill rotWithShape="1">
                  <a:blip r:embed="rId2"/>
                  <a:srcRect r="33968"/>
                  <a:stretch/>
                </pic:blipFill>
                <pic:spPr bwMode="auto">
                  <a:xfrm>
                    <a:off x="0" y="0"/>
                    <a:ext cx="4080020" cy="550086"/>
                  </a:xfrm>
                  <a:prstGeom prst="rect">
                    <a:avLst/>
                  </a:prstGeom>
                  <a:ln>
                    <a:noFill/>
                  </a:ln>
                  <a:extLst>
                    <a:ext uri="{53640926-AAD7-44D8-BBD7-CCE9431645EC}">
                      <a14:shadowObscured xmlns:a14="http://schemas.microsoft.com/office/drawing/2010/main"/>
                    </a:ext>
                  </a:extLst>
                </pic:spPr>
              </pic:pic>
            </a:graphicData>
          </a:graphic>
        </wp:inline>
      </w:drawing>
    </w:r>
  </w:p>
  <w:p w14:paraId="60A94D6B" w14:textId="77777777" w:rsidR="00C72377" w:rsidRPr="00CC02BB" w:rsidRDefault="00C72377" w:rsidP="00C72377">
    <w:pPr>
      <w:jc w:val="center"/>
      <w:rPr>
        <w:rFonts w:ascii="Arial" w:hAnsi="Arial" w:cs="Arial"/>
        <w:b/>
        <w:color w:val="005370"/>
        <w:sz w:val="44"/>
        <w:szCs w:val="44"/>
        <w:lang w:val="en-GB"/>
      </w:rPr>
    </w:pPr>
    <w:r w:rsidRPr="00CC02BB">
      <w:rPr>
        <w:rFonts w:ascii="Arial" w:hAnsi="Arial" w:cs="Arial"/>
        <w:b/>
        <w:color w:val="005370"/>
        <w:sz w:val="44"/>
        <w:szCs w:val="44"/>
        <w:lang w:val="en-GB"/>
      </w:rPr>
      <w:t>Infection Prevention and Control Week</w:t>
    </w:r>
  </w:p>
  <w:p w14:paraId="5A0BDA49" w14:textId="77777777" w:rsidR="00C72377" w:rsidRPr="00CC02BB" w:rsidRDefault="00C72377" w:rsidP="00C72377">
    <w:pPr>
      <w:jc w:val="center"/>
      <w:rPr>
        <w:rFonts w:ascii="Arial" w:hAnsi="Arial" w:cs="Arial"/>
        <w:b/>
        <w:color w:val="005370"/>
        <w:sz w:val="44"/>
        <w:szCs w:val="44"/>
        <w:vertAlign w:val="superscript"/>
        <w:lang w:val="en-GB"/>
      </w:rPr>
    </w:pPr>
    <w:r>
      <w:rPr>
        <w:rFonts w:ascii="Arial" w:hAnsi="Arial" w:cs="Arial"/>
        <w:b/>
        <w:color w:val="005370"/>
        <w:sz w:val="44"/>
        <w:szCs w:val="44"/>
        <w:lang w:val="en-GB"/>
      </w:rPr>
      <w:t xml:space="preserve">Crossword </w:t>
    </w:r>
  </w:p>
  <w:p w14:paraId="37F2CC44" w14:textId="77777777" w:rsidR="00C72377" w:rsidRDefault="00C72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45A4E"/>
    <w:multiLevelType w:val="hybridMultilevel"/>
    <w:tmpl w:val="7C7AF450"/>
    <w:lvl w:ilvl="0" w:tplc="378EBFF2">
      <w:start w:val="1"/>
      <w:numFmt w:val="bullet"/>
      <w:lvlText w:val="•"/>
      <w:lvlJc w:val="left"/>
      <w:pPr>
        <w:tabs>
          <w:tab w:val="num" w:pos="720"/>
        </w:tabs>
        <w:ind w:left="720" w:hanging="360"/>
      </w:pPr>
      <w:rPr>
        <w:rFonts w:ascii="Arial" w:hAnsi="Arial" w:hint="default"/>
      </w:rPr>
    </w:lvl>
    <w:lvl w:ilvl="1" w:tplc="4AB68BA0" w:tentative="1">
      <w:start w:val="1"/>
      <w:numFmt w:val="bullet"/>
      <w:lvlText w:val="•"/>
      <w:lvlJc w:val="left"/>
      <w:pPr>
        <w:tabs>
          <w:tab w:val="num" w:pos="1440"/>
        </w:tabs>
        <w:ind w:left="1440" w:hanging="360"/>
      </w:pPr>
      <w:rPr>
        <w:rFonts w:ascii="Arial" w:hAnsi="Arial" w:hint="default"/>
      </w:rPr>
    </w:lvl>
    <w:lvl w:ilvl="2" w:tplc="E9FE75EC" w:tentative="1">
      <w:start w:val="1"/>
      <w:numFmt w:val="bullet"/>
      <w:lvlText w:val="•"/>
      <w:lvlJc w:val="left"/>
      <w:pPr>
        <w:tabs>
          <w:tab w:val="num" w:pos="2160"/>
        </w:tabs>
        <w:ind w:left="2160" w:hanging="360"/>
      </w:pPr>
      <w:rPr>
        <w:rFonts w:ascii="Arial" w:hAnsi="Arial" w:hint="default"/>
      </w:rPr>
    </w:lvl>
    <w:lvl w:ilvl="3" w:tplc="6FB25D86" w:tentative="1">
      <w:start w:val="1"/>
      <w:numFmt w:val="bullet"/>
      <w:lvlText w:val="•"/>
      <w:lvlJc w:val="left"/>
      <w:pPr>
        <w:tabs>
          <w:tab w:val="num" w:pos="2880"/>
        </w:tabs>
        <w:ind w:left="2880" w:hanging="360"/>
      </w:pPr>
      <w:rPr>
        <w:rFonts w:ascii="Arial" w:hAnsi="Arial" w:hint="default"/>
      </w:rPr>
    </w:lvl>
    <w:lvl w:ilvl="4" w:tplc="451A6902" w:tentative="1">
      <w:start w:val="1"/>
      <w:numFmt w:val="bullet"/>
      <w:lvlText w:val="•"/>
      <w:lvlJc w:val="left"/>
      <w:pPr>
        <w:tabs>
          <w:tab w:val="num" w:pos="3600"/>
        </w:tabs>
        <w:ind w:left="3600" w:hanging="360"/>
      </w:pPr>
      <w:rPr>
        <w:rFonts w:ascii="Arial" w:hAnsi="Arial" w:hint="default"/>
      </w:rPr>
    </w:lvl>
    <w:lvl w:ilvl="5" w:tplc="F7EE31C8" w:tentative="1">
      <w:start w:val="1"/>
      <w:numFmt w:val="bullet"/>
      <w:lvlText w:val="•"/>
      <w:lvlJc w:val="left"/>
      <w:pPr>
        <w:tabs>
          <w:tab w:val="num" w:pos="4320"/>
        </w:tabs>
        <w:ind w:left="4320" w:hanging="360"/>
      </w:pPr>
      <w:rPr>
        <w:rFonts w:ascii="Arial" w:hAnsi="Arial" w:hint="default"/>
      </w:rPr>
    </w:lvl>
    <w:lvl w:ilvl="6" w:tplc="16E25A4A" w:tentative="1">
      <w:start w:val="1"/>
      <w:numFmt w:val="bullet"/>
      <w:lvlText w:val="•"/>
      <w:lvlJc w:val="left"/>
      <w:pPr>
        <w:tabs>
          <w:tab w:val="num" w:pos="5040"/>
        </w:tabs>
        <w:ind w:left="5040" w:hanging="360"/>
      </w:pPr>
      <w:rPr>
        <w:rFonts w:ascii="Arial" w:hAnsi="Arial" w:hint="default"/>
      </w:rPr>
    </w:lvl>
    <w:lvl w:ilvl="7" w:tplc="3F144194" w:tentative="1">
      <w:start w:val="1"/>
      <w:numFmt w:val="bullet"/>
      <w:lvlText w:val="•"/>
      <w:lvlJc w:val="left"/>
      <w:pPr>
        <w:tabs>
          <w:tab w:val="num" w:pos="5760"/>
        </w:tabs>
        <w:ind w:left="5760" w:hanging="360"/>
      </w:pPr>
      <w:rPr>
        <w:rFonts w:ascii="Arial" w:hAnsi="Arial" w:hint="default"/>
      </w:rPr>
    </w:lvl>
    <w:lvl w:ilvl="8" w:tplc="43A0A2E6" w:tentative="1">
      <w:start w:val="1"/>
      <w:numFmt w:val="bullet"/>
      <w:lvlText w:val="•"/>
      <w:lvlJc w:val="left"/>
      <w:pPr>
        <w:tabs>
          <w:tab w:val="num" w:pos="6480"/>
        </w:tabs>
        <w:ind w:left="6480" w:hanging="360"/>
      </w:pPr>
      <w:rPr>
        <w:rFonts w:ascii="Arial" w:hAnsi="Arial" w:hint="default"/>
      </w:rPr>
    </w:lvl>
  </w:abstractNum>
  <w:num w:numId="1" w16cid:durableId="104151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1"/>
    <w:rsid w:val="000C694A"/>
    <w:rsid w:val="000F7F36"/>
    <w:rsid w:val="001137F6"/>
    <w:rsid w:val="0013739A"/>
    <w:rsid w:val="001F2100"/>
    <w:rsid w:val="00244E17"/>
    <w:rsid w:val="0027051D"/>
    <w:rsid w:val="002719AC"/>
    <w:rsid w:val="00280050"/>
    <w:rsid w:val="002914A5"/>
    <w:rsid w:val="002A0EF7"/>
    <w:rsid w:val="002B0148"/>
    <w:rsid w:val="002B540C"/>
    <w:rsid w:val="002E6E50"/>
    <w:rsid w:val="002E7886"/>
    <w:rsid w:val="00314876"/>
    <w:rsid w:val="00316A4D"/>
    <w:rsid w:val="00323D21"/>
    <w:rsid w:val="00351B35"/>
    <w:rsid w:val="00360780"/>
    <w:rsid w:val="00366F74"/>
    <w:rsid w:val="003C67CF"/>
    <w:rsid w:val="00416294"/>
    <w:rsid w:val="00430C57"/>
    <w:rsid w:val="00454F44"/>
    <w:rsid w:val="00464469"/>
    <w:rsid w:val="004A106C"/>
    <w:rsid w:val="004F4F15"/>
    <w:rsid w:val="005252EC"/>
    <w:rsid w:val="0055358F"/>
    <w:rsid w:val="005954BE"/>
    <w:rsid w:val="005A0152"/>
    <w:rsid w:val="005F2FA8"/>
    <w:rsid w:val="00625D48"/>
    <w:rsid w:val="00663EFC"/>
    <w:rsid w:val="00681DAD"/>
    <w:rsid w:val="006A448C"/>
    <w:rsid w:val="006C670A"/>
    <w:rsid w:val="0071782C"/>
    <w:rsid w:val="007208C3"/>
    <w:rsid w:val="0072401B"/>
    <w:rsid w:val="00783A41"/>
    <w:rsid w:val="00787892"/>
    <w:rsid w:val="007E6701"/>
    <w:rsid w:val="007F73E3"/>
    <w:rsid w:val="0081378F"/>
    <w:rsid w:val="00891086"/>
    <w:rsid w:val="008B097A"/>
    <w:rsid w:val="008B4407"/>
    <w:rsid w:val="008D2077"/>
    <w:rsid w:val="0090307B"/>
    <w:rsid w:val="00912F79"/>
    <w:rsid w:val="00930A9A"/>
    <w:rsid w:val="009534DA"/>
    <w:rsid w:val="00967255"/>
    <w:rsid w:val="009B5073"/>
    <w:rsid w:val="009D0F3E"/>
    <w:rsid w:val="009E633A"/>
    <w:rsid w:val="009F22D7"/>
    <w:rsid w:val="009F5136"/>
    <w:rsid w:val="00A52D0C"/>
    <w:rsid w:val="00A53668"/>
    <w:rsid w:val="00AA2482"/>
    <w:rsid w:val="00AA67C5"/>
    <w:rsid w:val="00AC7B28"/>
    <w:rsid w:val="00B30C24"/>
    <w:rsid w:val="00BA724B"/>
    <w:rsid w:val="00BC1150"/>
    <w:rsid w:val="00BC5DFA"/>
    <w:rsid w:val="00C72377"/>
    <w:rsid w:val="00C754A0"/>
    <w:rsid w:val="00CF3D41"/>
    <w:rsid w:val="00D46281"/>
    <w:rsid w:val="00DE53DC"/>
    <w:rsid w:val="00E061D4"/>
    <w:rsid w:val="00E8102C"/>
    <w:rsid w:val="00E94D24"/>
    <w:rsid w:val="00E95204"/>
    <w:rsid w:val="00EB32A8"/>
    <w:rsid w:val="00F104CA"/>
    <w:rsid w:val="00F14D6C"/>
    <w:rsid w:val="00F15821"/>
    <w:rsid w:val="00F2054F"/>
    <w:rsid w:val="00F25724"/>
    <w:rsid w:val="00F850A7"/>
    <w:rsid w:val="00F94128"/>
    <w:rsid w:val="00FB12C2"/>
    <w:rsid w:val="00FC3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8A52"/>
  <w15:chartTrackingRefBased/>
  <w15:docId w15:val="{FAD2636C-3F4C-4C63-838E-4B465D41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377"/>
  </w:style>
  <w:style w:type="paragraph" w:styleId="Heading1">
    <w:name w:val="heading 1"/>
    <w:basedOn w:val="Normal"/>
    <w:next w:val="Normal"/>
    <w:link w:val="Heading1Char"/>
    <w:uiPriority w:val="9"/>
    <w:qFormat/>
    <w:rsid w:val="00E810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23D21"/>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A41"/>
    <w:pPr>
      <w:spacing w:after="0" w:line="240" w:lineRule="auto"/>
      <w:ind w:left="720"/>
      <w:contextualSpacing/>
    </w:pPr>
    <w:rPr>
      <w:rFonts w:eastAsia="Times New Roman"/>
      <w:lang w:eastAsia="en-AU"/>
    </w:rPr>
  </w:style>
  <w:style w:type="character" w:customStyle="1" w:styleId="Heading2Char">
    <w:name w:val="Heading 2 Char"/>
    <w:basedOn w:val="DefaultParagraphFont"/>
    <w:link w:val="Heading2"/>
    <w:uiPriority w:val="9"/>
    <w:rsid w:val="00323D21"/>
    <w:rPr>
      <w:rFonts w:eastAsia="Times New Roman"/>
      <w:b/>
      <w:bCs/>
      <w:sz w:val="36"/>
      <w:szCs w:val="36"/>
      <w:lang w:eastAsia="en-AU"/>
    </w:rPr>
  </w:style>
  <w:style w:type="table" w:styleId="TableGrid">
    <w:name w:val="Table Grid"/>
    <w:basedOn w:val="TableNormal"/>
    <w:uiPriority w:val="39"/>
    <w:rsid w:val="0093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E50"/>
  </w:style>
  <w:style w:type="paragraph" w:styleId="Footer">
    <w:name w:val="footer"/>
    <w:basedOn w:val="Normal"/>
    <w:link w:val="FooterChar"/>
    <w:unhideWhenUsed/>
    <w:rsid w:val="002E6E50"/>
    <w:pPr>
      <w:tabs>
        <w:tab w:val="center" w:pos="4513"/>
        <w:tab w:val="right" w:pos="9026"/>
      </w:tabs>
      <w:spacing w:after="0" w:line="240" w:lineRule="auto"/>
    </w:pPr>
  </w:style>
  <w:style w:type="character" w:customStyle="1" w:styleId="FooterChar">
    <w:name w:val="Footer Char"/>
    <w:basedOn w:val="DefaultParagraphFont"/>
    <w:link w:val="Footer"/>
    <w:rsid w:val="002E6E50"/>
  </w:style>
  <w:style w:type="character" w:customStyle="1" w:styleId="Heading1Char">
    <w:name w:val="Heading 1 Char"/>
    <w:basedOn w:val="DefaultParagraphFont"/>
    <w:link w:val="Heading1"/>
    <w:uiPriority w:val="9"/>
    <w:rsid w:val="00E8102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A67C5"/>
    <w:rPr>
      <w:sz w:val="16"/>
      <w:szCs w:val="16"/>
    </w:rPr>
  </w:style>
  <w:style w:type="paragraph" w:styleId="CommentText">
    <w:name w:val="annotation text"/>
    <w:basedOn w:val="Normal"/>
    <w:link w:val="CommentTextChar"/>
    <w:uiPriority w:val="99"/>
    <w:unhideWhenUsed/>
    <w:rsid w:val="00AA67C5"/>
    <w:pPr>
      <w:spacing w:line="240" w:lineRule="auto"/>
    </w:pPr>
    <w:rPr>
      <w:sz w:val="20"/>
      <w:szCs w:val="20"/>
    </w:rPr>
  </w:style>
  <w:style w:type="character" w:customStyle="1" w:styleId="CommentTextChar">
    <w:name w:val="Comment Text Char"/>
    <w:basedOn w:val="DefaultParagraphFont"/>
    <w:link w:val="CommentText"/>
    <w:uiPriority w:val="99"/>
    <w:rsid w:val="00AA67C5"/>
    <w:rPr>
      <w:sz w:val="20"/>
      <w:szCs w:val="20"/>
    </w:rPr>
  </w:style>
  <w:style w:type="paragraph" w:styleId="CommentSubject">
    <w:name w:val="annotation subject"/>
    <w:basedOn w:val="CommentText"/>
    <w:next w:val="CommentText"/>
    <w:link w:val="CommentSubjectChar"/>
    <w:uiPriority w:val="99"/>
    <w:semiHidden/>
    <w:unhideWhenUsed/>
    <w:rsid w:val="00AA67C5"/>
    <w:rPr>
      <w:b/>
      <w:bCs/>
    </w:rPr>
  </w:style>
  <w:style w:type="character" w:customStyle="1" w:styleId="CommentSubjectChar">
    <w:name w:val="Comment Subject Char"/>
    <w:basedOn w:val="CommentTextChar"/>
    <w:link w:val="CommentSubject"/>
    <w:uiPriority w:val="99"/>
    <w:semiHidden/>
    <w:rsid w:val="00AA6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779">
      <w:bodyDiv w:val="1"/>
      <w:marLeft w:val="0"/>
      <w:marRight w:val="0"/>
      <w:marTop w:val="0"/>
      <w:marBottom w:val="0"/>
      <w:divBdr>
        <w:top w:val="none" w:sz="0" w:space="0" w:color="auto"/>
        <w:left w:val="none" w:sz="0" w:space="0" w:color="auto"/>
        <w:bottom w:val="none" w:sz="0" w:space="0" w:color="auto"/>
        <w:right w:val="none" w:sz="0" w:space="0" w:color="auto"/>
      </w:divBdr>
    </w:div>
    <w:div w:id="457066203">
      <w:bodyDiv w:val="1"/>
      <w:marLeft w:val="0"/>
      <w:marRight w:val="0"/>
      <w:marTop w:val="0"/>
      <w:marBottom w:val="0"/>
      <w:divBdr>
        <w:top w:val="none" w:sz="0" w:space="0" w:color="auto"/>
        <w:left w:val="none" w:sz="0" w:space="0" w:color="auto"/>
        <w:bottom w:val="none" w:sz="0" w:space="0" w:color="auto"/>
        <w:right w:val="none" w:sz="0" w:space="0" w:color="auto"/>
      </w:divBdr>
    </w:div>
    <w:div w:id="1019161331">
      <w:bodyDiv w:val="1"/>
      <w:marLeft w:val="0"/>
      <w:marRight w:val="0"/>
      <w:marTop w:val="0"/>
      <w:marBottom w:val="0"/>
      <w:divBdr>
        <w:top w:val="none" w:sz="0" w:space="0" w:color="auto"/>
        <w:left w:val="none" w:sz="0" w:space="0" w:color="auto"/>
        <w:bottom w:val="none" w:sz="0" w:space="0" w:color="auto"/>
        <w:right w:val="none" w:sz="0" w:space="0" w:color="auto"/>
      </w:divBdr>
      <w:divsChild>
        <w:div w:id="1435319522">
          <w:marLeft w:val="360"/>
          <w:marRight w:val="0"/>
          <w:marTop w:val="200"/>
          <w:marBottom w:val="0"/>
          <w:divBdr>
            <w:top w:val="none" w:sz="0" w:space="0" w:color="auto"/>
            <w:left w:val="none" w:sz="0" w:space="0" w:color="auto"/>
            <w:bottom w:val="none" w:sz="0" w:space="0" w:color="auto"/>
            <w:right w:val="none" w:sz="0" w:space="0" w:color="auto"/>
          </w:divBdr>
        </w:div>
      </w:divsChild>
    </w:div>
    <w:div w:id="20391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Serina</dc:creator>
  <cp:keywords/>
  <dc:description/>
  <cp:lastModifiedBy>GLADING, Jodi</cp:lastModifiedBy>
  <cp:revision>2</cp:revision>
  <dcterms:created xsi:type="dcterms:W3CDTF">2023-09-25T12:40:00Z</dcterms:created>
  <dcterms:modified xsi:type="dcterms:W3CDTF">2023-09-25T12:40:00Z</dcterms:modified>
</cp:coreProperties>
</file>