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3FCEA"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4A48335C" w:rsidR="009932E9" w:rsidRDefault="009932E9" w:rsidP="00F738B5">
      <w:pPr>
        <w:rPr>
          <w:rFonts w:ascii="Garamond" w:hAnsi="Garamond"/>
          <w:lang w:val="en-AU"/>
        </w:rPr>
      </w:pPr>
      <w:r>
        <w:rPr>
          <w:rFonts w:ascii="Garamond" w:hAnsi="Garamond"/>
          <w:lang w:val="en-AU"/>
        </w:rPr>
        <w:t>Issue 6</w:t>
      </w:r>
      <w:r w:rsidR="00A249C6">
        <w:rPr>
          <w:rFonts w:ascii="Garamond" w:hAnsi="Garamond"/>
          <w:lang w:val="en-AU"/>
        </w:rPr>
        <w:t>2</w:t>
      </w:r>
      <w:r w:rsidR="00B42540">
        <w:rPr>
          <w:rFonts w:ascii="Garamond" w:hAnsi="Garamond"/>
          <w:lang w:val="en-AU"/>
        </w:rPr>
        <w:t>4</w:t>
      </w:r>
    </w:p>
    <w:p w14:paraId="5081D681" w14:textId="5FED739C" w:rsidR="001A4346" w:rsidRDefault="00B42540" w:rsidP="00F738B5">
      <w:pPr>
        <w:rPr>
          <w:rFonts w:ascii="Garamond" w:hAnsi="Garamond"/>
          <w:lang w:val="en-AU"/>
        </w:rPr>
      </w:pPr>
      <w:r>
        <w:rPr>
          <w:rFonts w:ascii="Garamond" w:hAnsi="Garamond"/>
          <w:lang w:val="en-AU"/>
        </w:rPr>
        <w:t>16</w:t>
      </w:r>
      <w:r w:rsidR="00210EC6">
        <w:rPr>
          <w:rFonts w:ascii="Garamond" w:hAnsi="Garamond"/>
          <w:lang w:val="en-AU"/>
        </w:rPr>
        <w:t xml:space="preserve"> Octob</w:t>
      </w:r>
      <w:r w:rsidR="00472B6B">
        <w:rPr>
          <w:rFonts w:ascii="Garamond" w:hAnsi="Garamond"/>
          <w:lang w:val="en-AU"/>
        </w:rPr>
        <w:t xml:space="preserve">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D810F60"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7A2B86AB" w14:textId="72DA573D" w:rsidR="000D1313" w:rsidRDefault="000D1313" w:rsidP="009525CC">
      <w:pPr>
        <w:rPr>
          <w:rFonts w:ascii="Garamond" w:hAnsi="Garamond"/>
          <w:bCs/>
          <w:lang w:val="en-AU"/>
        </w:rPr>
      </w:pPr>
    </w:p>
    <w:p w14:paraId="7BC9C418" w14:textId="77777777" w:rsidR="00945742" w:rsidRDefault="00945742" w:rsidP="009525CC">
      <w:pPr>
        <w:rPr>
          <w:rFonts w:ascii="Garamond" w:hAnsi="Garamond"/>
          <w:bCs/>
          <w:lang w:val="en-AU"/>
        </w:rPr>
      </w:pPr>
    </w:p>
    <w:p w14:paraId="4B8FB857" w14:textId="77777777" w:rsidR="00945742" w:rsidRDefault="00945742" w:rsidP="009525CC">
      <w:pPr>
        <w:rPr>
          <w:rFonts w:ascii="Garamond" w:hAnsi="Garamond"/>
          <w:bCs/>
          <w:lang w:val="en-AU"/>
        </w:rPr>
      </w:pPr>
    </w:p>
    <w:p w14:paraId="0376641D" w14:textId="77777777" w:rsidR="00945742" w:rsidRDefault="00945742" w:rsidP="009525CC">
      <w:pPr>
        <w:rPr>
          <w:rFonts w:ascii="Garamond" w:hAnsi="Garamond"/>
          <w:bCs/>
          <w:lang w:val="en-AU"/>
        </w:rPr>
      </w:pPr>
    </w:p>
    <w:p w14:paraId="738B1966" w14:textId="49030E4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4124B58F" w14:textId="47F4853E" w:rsidR="0008384D" w:rsidRDefault="0008384D" w:rsidP="0008384D">
      <w:pPr>
        <w:keepNext/>
        <w:rPr>
          <w:rFonts w:ascii="Garamond" w:hAnsi="Garamond"/>
          <w:lang w:val="en-AU"/>
        </w:rPr>
      </w:pPr>
    </w:p>
    <w:p w14:paraId="3CF5CCE9" w14:textId="2561D31A" w:rsidR="00804160" w:rsidRPr="00804160" w:rsidRDefault="00804160" w:rsidP="00E74AF0">
      <w:pPr>
        <w:keepNext/>
        <w:tabs>
          <w:tab w:val="left" w:pos="6840"/>
        </w:tabs>
        <w:rPr>
          <w:rFonts w:ascii="Garamond" w:hAnsi="Garamond"/>
          <w:i/>
          <w:iCs/>
          <w:lang w:val="en-AU"/>
        </w:rPr>
      </w:pPr>
      <w:bookmarkStart w:id="1" w:name="_Hlk146099193"/>
      <w:r w:rsidRPr="00804160">
        <w:rPr>
          <w:rFonts w:ascii="Garamond" w:hAnsi="Garamond"/>
          <w:i/>
          <w:iCs/>
          <w:lang w:val="en-AU"/>
        </w:rPr>
        <w:t>Closing the gap: Actions to reduce waiting times for children and young people</w:t>
      </w:r>
      <w:r w:rsidR="00E74AF0">
        <w:rPr>
          <w:rFonts w:ascii="Garamond" w:hAnsi="Garamond"/>
          <w:i/>
          <w:iCs/>
          <w:lang w:val="en-AU"/>
        </w:rPr>
        <w:tab/>
      </w:r>
    </w:p>
    <w:p w14:paraId="632BDB60" w14:textId="77777777" w:rsidR="00804160" w:rsidRDefault="00804160" w:rsidP="00F5481E">
      <w:pPr>
        <w:keepNext/>
        <w:rPr>
          <w:rFonts w:ascii="Garamond" w:hAnsi="Garamond"/>
          <w:lang w:val="en-AU"/>
        </w:rPr>
      </w:pPr>
      <w:r w:rsidRPr="00804160">
        <w:rPr>
          <w:rFonts w:ascii="Garamond" w:hAnsi="Garamond"/>
          <w:lang w:val="en-AU"/>
        </w:rPr>
        <w:t>Getting It Right First Time (GIRFT)</w:t>
      </w:r>
    </w:p>
    <w:p w14:paraId="387AD727" w14:textId="51EA875E" w:rsidR="00EF2B8F" w:rsidRPr="00D65371" w:rsidRDefault="00804160" w:rsidP="00F5481E">
      <w:pPr>
        <w:keepNext/>
        <w:rPr>
          <w:rFonts w:ascii="Garamond" w:hAnsi="Garamond"/>
          <w:lang w:val="en-AU"/>
        </w:rPr>
      </w:pPr>
      <w:r w:rsidRPr="00804160">
        <w:rPr>
          <w:rFonts w:ascii="Garamond" w:hAnsi="Garamond"/>
          <w:lang w:val="en-AU"/>
        </w:rPr>
        <w:t>London: NHS England; 2023. p. 6.</w:t>
      </w:r>
    </w:p>
    <w:tbl>
      <w:tblPr>
        <w:tblStyle w:val="TableGrid"/>
        <w:tblW w:w="9360" w:type="dxa"/>
        <w:tblInd w:w="288" w:type="dxa"/>
        <w:tblLayout w:type="fixed"/>
        <w:tblLook w:val="01E0" w:firstRow="1" w:lastRow="1" w:firstColumn="1" w:lastColumn="1" w:noHBand="0" w:noVBand="0"/>
      </w:tblPr>
      <w:tblGrid>
        <w:gridCol w:w="1080"/>
        <w:gridCol w:w="8280"/>
      </w:tblGrid>
      <w:tr w:rsidR="00F5481E" w:rsidRPr="000170DA" w14:paraId="31E7BF53"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bookmarkEnd w:id="1"/>
          <w:p w14:paraId="31509DDE" w14:textId="104F7A08" w:rsidR="00F5481E" w:rsidRPr="000170DA" w:rsidRDefault="00EF2B8F" w:rsidP="00E7529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CC5234A" w14:textId="026CD80A" w:rsidR="00F5481E" w:rsidRPr="000170DA" w:rsidRDefault="00000000" w:rsidP="00E75298">
            <w:pPr>
              <w:keepNext/>
              <w:rPr>
                <w:rStyle w:val="Hyperlink"/>
                <w:rFonts w:ascii="Garamond" w:hAnsi="Garamond"/>
                <w:color w:val="auto"/>
                <w:u w:val="none"/>
                <w:lang w:val="en-AU"/>
              </w:rPr>
            </w:pPr>
            <w:hyperlink r:id="rId15" w:history="1">
              <w:r w:rsidR="00804160" w:rsidRPr="00AF0AB2">
                <w:rPr>
                  <w:rStyle w:val="Hyperlink"/>
                  <w:rFonts w:ascii="Garamond" w:hAnsi="Garamond"/>
                  <w:lang w:val="en-AU"/>
                </w:rPr>
                <w:t>https://gettingitrightfirsttime.co.uk/concise-guide-offers-actions-for-reducing-waiting-times-for-children-and-young-peoples-surger</w:t>
              </w:r>
            </w:hyperlink>
            <w:r w:rsidR="00B23E60">
              <w:rPr>
                <w:rStyle w:val="Hyperlink"/>
                <w:rFonts w:ascii="Garamond" w:hAnsi="Garamond"/>
                <w:lang w:val="en-AU"/>
              </w:rPr>
              <w:t>y/</w:t>
            </w:r>
          </w:p>
        </w:tc>
      </w:tr>
      <w:tr w:rsidR="00F5481E" w:rsidRPr="000170DA" w14:paraId="1FAA8DDE"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22A3AD4B" w14:textId="77777777" w:rsidR="00F5481E" w:rsidRPr="000170DA" w:rsidRDefault="00F5481E" w:rsidP="00E752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51083CD" w14:textId="1F6D9509" w:rsidR="00804160" w:rsidRDefault="00804160" w:rsidP="00E75298">
            <w:pPr>
              <w:rPr>
                <w:rFonts w:ascii="Garamond" w:hAnsi="Garamond"/>
                <w:lang w:val="en-AU"/>
              </w:rPr>
            </w:pPr>
            <w:r>
              <w:rPr>
                <w:rFonts w:ascii="Garamond" w:hAnsi="Garamond"/>
                <w:lang w:val="en-AU"/>
              </w:rPr>
              <w:t xml:space="preserve">The Getting It Right First Time (GRIFT) initiative in the UK has produced this short guidance document listing </w:t>
            </w:r>
            <w:r w:rsidRPr="00804160">
              <w:rPr>
                <w:rFonts w:ascii="Garamond" w:hAnsi="Garamond"/>
                <w:lang w:val="en-AU"/>
              </w:rPr>
              <w:t>ten actions which can help reduce waiting times for children, as well as quick links to data, resources and best practice case studies.</w:t>
            </w:r>
            <w:r w:rsidR="005456D2">
              <w:rPr>
                <w:rFonts w:ascii="Garamond" w:hAnsi="Garamond"/>
                <w:lang w:val="en-AU"/>
              </w:rPr>
              <w:tab/>
            </w:r>
          </w:p>
          <w:p w14:paraId="3F80F634" w14:textId="7ED3F951" w:rsidR="006A514E" w:rsidRDefault="00804160" w:rsidP="00E75298">
            <w:pPr>
              <w:rPr>
                <w:rFonts w:ascii="Garamond" w:hAnsi="Garamond"/>
                <w:lang w:val="en-AU"/>
              </w:rPr>
            </w:pPr>
            <w:r>
              <w:rPr>
                <w:rFonts w:ascii="Garamond" w:hAnsi="Garamond"/>
                <w:lang w:val="en-AU"/>
              </w:rPr>
              <w:t>The actions include:</w:t>
            </w:r>
          </w:p>
          <w:p w14:paraId="4F8C4C05" w14:textId="32259953" w:rsidR="00804160" w:rsidRDefault="00804160" w:rsidP="00804160">
            <w:pPr>
              <w:rPr>
                <w:rFonts w:ascii="Garamond" w:hAnsi="Garamond"/>
                <w:lang w:val="en-AU"/>
              </w:rPr>
            </w:pPr>
            <w:r>
              <w:rPr>
                <w:rFonts w:ascii="Garamond" w:hAnsi="Garamond"/>
                <w:lang w:val="en-AU"/>
              </w:rPr>
              <w:t>‘</w:t>
            </w:r>
            <w:r w:rsidRPr="00804160">
              <w:rPr>
                <w:rFonts w:ascii="Garamond" w:hAnsi="Garamond"/>
                <w:lang w:val="en-AU"/>
              </w:rPr>
              <w:t>Increase theatre capacity</w:t>
            </w:r>
          </w:p>
          <w:p w14:paraId="1E6FB33D" w14:textId="6E8AB421"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Run dedicated paediatric lists or operating days</w:t>
            </w:r>
          </w:p>
          <w:p w14:paraId="3E3BED3F" w14:textId="2317FA2A"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Add extra sessions or ‘super-days’ for children’s surgery</w:t>
            </w:r>
          </w:p>
          <w:p w14:paraId="1C096BAC" w14:textId="0E1C6073"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Share capacity across systems, including elective surgical hubs</w:t>
            </w:r>
          </w:p>
          <w:p w14:paraId="50B9E316" w14:textId="310D5FD5" w:rsidR="00804160" w:rsidRPr="00804160" w:rsidRDefault="00804160" w:rsidP="00804160">
            <w:pPr>
              <w:rPr>
                <w:rFonts w:ascii="Garamond" w:hAnsi="Garamond"/>
                <w:lang w:val="en-AU"/>
              </w:rPr>
            </w:pPr>
            <w:r w:rsidRPr="00804160">
              <w:rPr>
                <w:rFonts w:ascii="Garamond" w:hAnsi="Garamond"/>
                <w:lang w:val="en-AU"/>
              </w:rPr>
              <w:lastRenderedPageBreak/>
              <w:t>Increase theatre utilisation</w:t>
            </w:r>
          </w:p>
          <w:p w14:paraId="0649ACB8" w14:textId="0E9A76A6"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Book the recommended number of cases per list</w:t>
            </w:r>
          </w:p>
          <w:p w14:paraId="5373CDA2" w14:textId="17DF421F"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Increase efficiency of flow with safe expedited discharge protocols</w:t>
            </w:r>
          </w:p>
          <w:p w14:paraId="1CA4A1EF" w14:textId="55AD15C2"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Stagger children’s admission times for surgery</w:t>
            </w:r>
          </w:p>
          <w:p w14:paraId="7FF1BBB8" w14:textId="63C637AD" w:rsidR="00804160" w:rsidRPr="00804160" w:rsidRDefault="00804160" w:rsidP="00804160">
            <w:pPr>
              <w:rPr>
                <w:rFonts w:ascii="Garamond" w:hAnsi="Garamond"/>
                <w:lang w:val="en-AU"/>
              </w:rPr>
            </w:pPr>
            <w:r w:rsidRPr="00804160">
              <w:rPr>
                <w:rFonts w:ascii="Garamond" w:hAnsi="Garamond"/>
                <w:lang w:val="en-AU"/>
              </w:rPr>
              <w:t>Streamline pathways of care</w:t>
            </w:r>
          </w:p>
          <w:p w14:paraId="7116C57B" w14:textId="3554BA19" w:rsidR="00804160" w:rsidRPr="00804160" w:rsidRDefault="00804160" w:rsidP="00455F95">
            <w:pPr>
              <w:pStyle w:val="ListParagraph"/>
              <w:numPr>
                <w:ilvl w:val="0"/>
                <w:numId w:val="46"/>
              </w:numPr>
              <w:rPr>
                <w:rFonts w:ascii="Garamond" w:hAnsi="Garamond"/>
                <w:lang w:val="en-AU"/>
              </w:rPr>
            </w:pPr>
            <w:r w:rsidRPr="00804160">
              <w:rPr>
                <w:rFonts w:ascii="Garamond" w:hAnsi="Garamond"/>
                <w:lang w:val="en-AU"/>
              </w:rPr>
              <w:t>Avoid procedures of limited medical benefit, such as circumcision, using clinical</w:t>
            </w:r>
            <w:r>
              <w:rPr>
                <w:rFonts w:ascii="Garamond" w:hAnsi="Garamond"/>
                <w:lang w:val="en-AU"/>
              </w:rPr>
              <w:t xml:space="preserve"> </w:t>
            </w:r>
            <w:r w:rsidRPr="00804160">
              <w:rPr>
                <w:rFonts w:ascii="Garamond" w:hAnsi="Garamond"/>
                <w:lang w:val="en-AU"/>
              </w:rPr>
              <w:t>decision tools</w:t>
            </w:r>
          </w:p>
          <w:p w14:paraId="11A2F480" w14:textId="3764C205"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Ensure all children go through preoperative assessment</w:t>
            </w:r>
          </w:p>
          <w:p w14:paraId="338A8CDF" w14:textId="0FD8AB99"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Use holistic prioritisation tools</w:t>
            </w:r>
          </w:p>
          <w:p w14:paraId="7C3BDD6D" w14:textId="427ECB5A" w:rsidR="00804160" w:rsidRPr="00804160" w:rsidRDefault="00804160" w:rsidP="00804160">
            <w:pPr>
              <w:pStyle w:val="ListParagraph"/>
              <w:numPr>
                <w:ilvl w:val="0"/>
                <w:numId w:val="46"/>
              </w:numPr>
              <w:rPr>
                <w:rFonts w:ascii="Garamond" w:hAnsi="Garamond"/>
                <w:lang w:val="en-AU"/>
              </w:rPr>
            </w:pPr>
            <w:r w:rsidRPr="00804160">
              <w:rPr>
                <w:rFonts w:ascii="Garamond" w:hAnsi="Garamond"/>
                <w:lang w:val="en-AU"/>
              </w:rPr>
              <w:t>Provide ‘waiting well’ or self-care resources to children and parents</w:t>
            </w:r>
            <w:r>
              <w:rPr>
                <w:rFonts w:ascii="Garamond" w:hAnsi="Garamond"/>
                <w:lang w:val="en-AU"/>
              </w:rPr>
              <w:t>’</w:t>
            </w:r>
          </w:p>
        </w:tc>
      </w:tr>
    </w:tbl>
    <w:p w14:paraId="6D114D72" w14:textId="1F55D3DB" w:rsidR="00F5481E" w:rsidRDefault="00F5481E" w:rsidP="00F5481E">
      <w:pPr>
        <w:keepLines/>
        <w:autoSpaceDE w:val="0"/>
        <w:autoSpaceDN w:val="0"/>
        <w:adjustRightInd w:val="0"/>
        <w:rPr>
          <w:rFonts w:ascii="Garamond" w:hAnsi="Garamond"/>
          <w:lang w:val="en-AU"/>
        </w:rPr>
      </w:pPr>
    </w:p>
    <w:p w14:paraId="3CBE0783" w14:textId="77777777" w:rsidR="00C025B7" w:rsidRPr="00C025B7" w:rsidRDefault="00C025B7" w:rsidP="00C025B7">
      <w:pPr>
        <w:keepNext/>
        <w:rPr>
          <w:rFonts w:ascii="Garamond" w:hAnsi="Garamond"/>
          <w:i/>
          <w:iCs/>
          <w:lang w:val="en-AU"/>
        </w:rPr>
      </w:pPr>
      <w:r w:rsidRPr="00C025B7">
        <w:rPr>
          <w:rFonts w:ascii="Garamond" w:hAnsi="Garamond"/>
          <w:i/>
          <w:iCs/>
          <w:lang w:val="en-AU"/>
        </w:rPr>
        <w:t>National Joint Registry 20th Annual Report</w:t>
      </w:r>
    </w:p>
    <w:p w14:paraId="747F26B6" w14:textId="77777777" w:rsidR="00C025B7" w:rsidRDefault="00C025B7" w:rsidP="00472B6B">
      <w:pPr>
        <w:keepNext/>
        <w:rPr>
          <w:rFonts w:ascii="Garamond" w:hAnsi="Garamond"/>
          <w:lang w:val="en-AU"/>
        </w:rPr>
      </w:pPr>
      <w:r w:rsidRPr="00C025B7">
        <w:rPr>
          <w:rFonts w:ascii="Garamond" w:hAnsi="Garamond"/>
          <w:lang w:val="en-AU"/>
        </w:rPr>
        <w:t>NJR Editorial Committee</w:t>
      </w:r>
    </w:p>
    <w:p w14:paraId="4D9E27E4" w14:textId="6132FF75" w:rsidR="00472B6B" w:rsidRDefault="00C025B7" w:rsidP="00472B6B">
      <w:pPr>
        <w:keepNext/>
        <w:rPr>
          <w:rFonts w:ascii="Garamond" w:hAnsi="Garamond"/>
          <w:lang w:val="en-AU"/>
        </w:rPr>
      </w:pPr>
      <w:r w:rsidRPr="00C025B7">
        <w:rPr>
          <w:rFonts w:ascii="Garamond" w:hAnsi="Garamond"/>
          <w:lang w:val="en-AU"/>
        </w:rPr>
        <w:t>National Joint Registry (UK); 2023. p. 370.</w:t>
      </w:r>
    </w:p>
    <w:p w14:paraId="7C7F27A8" w14:textId="3310A012" w:rsidR="00C025B7" w:rsidRDefault="00C025B7" w:rsidP="00472B6B">
      <w:pPr>
        <w:keepNext/>
        <w:rPr>
          <w:rFonts w:ascii="Garamond" w:hAnsi="Garamond"/>
          <w:lang w:val="en-AU"/>
        </w:rPr>
      </w:pPr>
    </w:p>
    <w:p w14:paraId="012405C6" w14:textId="77777777" w:rsidR="00DF1534" w:rsidRPr="00DF1534" w:rsidRDefault="00DF1534" w:rsidP="00DF1534">
      <w:pPr>
        <w:keepNext/>
        <w:rPr>
          <w:rFonts w:ascii="Garamond" w:hAnsi="Garamond"/>
          <w:i/>
          <w:iCs/>
          <w:lang w:val="en-AU"/>
        </w:rPr>
      </w:pPr>
      <w:r w:rsidRPr="00DF1534">
        <w:rPr>
          <w:rFonts w:ascii="Garamond" w:hAnsi="Garamond"/>
          <w:i/>
          <w:iCs/>
          <w:lang w:val="en-AU"/>
        </w:rPr>
        <w:t>Hip, Knee and Shoulder Arthroplasty: 2023 Annual Report</w:t>
      </w:r>
    </w:p>
    <w:p w14:paraId="5601DCB7" w14:textId="77777777" w:rsidR="00DF1534" w:rsidRDefault="00DF1534" w:rsidP="00472B6B">
      <w:pPr>
        <w:keepNext/>
        <w:rPr>
          <w:rFonts w:ascii="Garamond" w:hAnsi="Garamond"/>
          <w:lang w:val="en-AU"/>
        </w:rPr>
      </w:pPr>
      <w:r w:rsidRPr="00DF1534">
        <w:rPr>
          <w:rFonts w:ascii="Garamond" w:hAnsi="Garamond"/>
          <w:lang w:val="en-AU"/>
        </w:rPr>
        <w:t xml:space="preserve">Smith PN, Gill DR, McAuliffe MJ, McDougall C, Stoney JD, Vertullo CJ, et al. </w:t>
      </w:r>
    </w:p>
    <w:p w14:paraId="1FD99CA5" w14:textId="15DCFDD8" w:rsidR="00DF1534" w:rsidRPr="00D65371" w:rsidRDefault="00DF1534" w:rsidP="00472B6B">
      <w:pPr>
        <w:keepNext/>
        <w:rPr>
          <w:rFonts w:ascii="Garamond" w:hAnsi="Garamond"/>
          <w:lang w:val="en-AU"/>
        </w:rPr>
      </w:pPr>
      <w:r w:rsidRPr="00DF1534">
        <w:rPr>
          <w:rFonts w:ascii="Garamond" w:hAnsi="Garamond"/>
          <w:lang w:val="en-AU"/>
        </w:rPr>
        <w:t>Adelaide: Australian Orthopaedic Association National Joint Replacement Registry, AOA; 2023. p. 482.</w:t>
      </w:r>
    </w:p>
    <w:tbl>
      <w:tblPr>
        <w:tblStyle w:val="TableGrid"/>
        <w:tblW w:w="9360" w:type="dxa"/>
        <w:tblInd w:w="288" w:type="dxa"/>
        <w:tblLayout w:type="fixed"/>
        <w:tblLook w:val="01E0" w:firstRow="1" w:lastRow="1" w:firstColumn="1" w:lastColumn="1" w:noHBand="0" w:noVBand="0"/>
      </w:tblPr>
      <w:tblGrid>
        <w:gridCol w:w="1080"/>
        <w:gridCol w:w="8280"/>
      </w:tblGrid>
      <w:tr w:rsidR="00472B6B" w:rsidRPr="000170DA" w14:paraId="54A2BB73" w14:textId="77777777" w:rsidTr="008613C3">
        <w:tc>
          <w:tcPr>
            <w:tcW w:w="1080" w:type="dxa"/>
            <w:tcBorders>
              <w:top w:val="single" w:sz="4" w:space="0" w:color="auto"/>
              <w:left w:val="single" w:sz="4" w:space="0" w:color="auto"/>
              <w:bottom w:val="single" w:sz="4" w:space="0" w:color="auto"/>
              <w:right w:val="single" w:sz="4" w:space="0" w:color="auto"/>
            </w:tcBorders>
            <w:vAlign w:val="center"/>
          </w:tcPr>
          <w:p w14:paraId="476D3390" w14:textId="77777777" w:rsidR="00472B6B" w:rsidRPr="000170DA" w:rsidRDefault="00472B6B" w:rsidP="008613C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B6AC156" w14:textId="3429C922" w:rsidR="00472B6B" w:rsidRDefault="00C025B7" w:rsidP="008613C3">
            <w:pPr>
              <w:keepNext/>
              <w:rPr>
                <w:rStyle w:val="Hyperlink"/>
                <w:rFonts w:ascii="Garamond" w:hAnsi="Garamond"/>
                <w:color w:val="auto"/>
                <w:u w:val="none"/>
                <w:lang w:val="en-AU"/>
              </w:rPr>
            </w:pPr>
            <w:r w:rsidRPr="00C025B7">
              <w:rPr>
                <w:rFonts w:ascii="Garamond" w:hAnsi="Garamond"/>
                <w:lang w:val="en-AU"/>
              </w:rPr>
              <w:t>National Joint Registry (UK)</w:t>
            </w:r>
            <w:r>
              <w:rPr>
                <w:rFonts w:ascii="Garamond" w:hAnsi="Garamond"/>
                <w:lang w:val="en-AU"/>
              </w:rPr>
              <w:t xml:space="preserve"> </w:t>
            </w:r>
            <w:hyperlink r:id="rId16" w:history="1">
              <w:r w:rsidRPr="00AF0AB2">
                <w:rPr>
                  <w:rStyle w:val="Hyperlink"/>
                  <w:rFonts w:ascii="Garamond" w:hAnsi="Garamond"/>
                  <w:lang w:val="en-AU"/>
                </w:rPr>
                <w:t>https://www.hqip.org.uk/resource/national-joint-registry-20th-annual-report-2023/</w:t>
              </w:r>
            </w:hyperlink>
          </w:p>
          <w:p w14:paraId="1BF68233" w14:textId="77777777" w:rsidR="008F52CB" w:rsidRDefault="00C025B7" w:rsidP="008613C3">
            <w:pPr>
              <w:keepNext/>
              <w:rPr>
                <w:rStyle w:val="Hyperlink"/>
                <w:rFonts w:ascii="Garamond" w:hAnsi="Garamond"/>
                <w:color w:val="auto"/>
                <w:u w:val="none"/>
                <w:lang w:val="en-AU"/>
              </w:rPr>
            </w:pPr>
            <w:r w:rsidRPr="005456D2">
              <w:rPr>
                <w:rFonts w:ascii="Garamond" w:hAnsi="Garamond"/>
                <w:lang w:val="en-AU"/>
              </w:rPr>
              <w:t xml:space="preserve">Australian Orthopaedic Association National Joint Replacement Registry </w:t>
            </w:r>
            <w:hyperlink r:id="rId17" w:history="1">
              <w:r w:rsidRPr="00AF0AB2">
                <w:rPr>
                  <w:rStyle w:val="Hyperlink"/>
                  <w:rFonts w:ascii="Garamond" w:hAnsi="Garamond"/>
                  <w:lang w:val="en-AU"/>
                </w:rPr>
                <w:t>https://aoanjrr.sahmri.com/</w:t>
              </w:r>
            </w:hyperlink>
          </w:p>
          <w:p w14:paraId="435FFE11" w14:textId="390C972E" w:rsidR="00DF1534" w:rsidRPr="000170DA" w:rsidRDefault="00000000" w:rsidP="00DF1534">
            <w:pPr>
              <w:keepNext/>
              <w:rPr>
                <w:rStyle w:val="Hyperlink"/>
                <w:rFonts w:ascii="Garamond" w:hAnsi="Garamond"/>
                <w:color w:val="auto"/>
                <w:u w:val="none"/>
                <w:lang w:val="en-AU"/>
              </w:rPr>
            </w:pPr>
            <w:hyperlink r:id="rId18" w:history="1">
              <w:r w:rsidR="00DF1534" w:rsidRPr="00AF0AB2">
                <w:rPr>
                  <w:rStyle w:val="Hyperlink"/>
                  <w:rFonts w:ascii="Garamond" w:hAnsi="Garamond"/>
                  <w:lang w:val="en-AU"/>
                </w:rPr>
                <w:t>https://doi.org/10.25310/YWQZ9375</w:t>
              </w:r>
            </w:hyperlink>
          </w:p>
        </w:tc>
      </w:tr>
      <w:tr w:rsidR="00472B6B" w:rsidRPr="000170DA" w14:paraId="32724174" w14:textId="77777777" w:rsidTr="008613C3">
        <w:tc>
          <w:tcPr>
            <w:tcW w:w="1080" w:type="dxa"/>
            <w:tcBorders>
              <w:top w:val="single" w:sz="4" w:space="0" w:color="auto"/>
              <w:left w:val="single" w:sz="4" w:space="0" w:color="auto"/>
              <w:bottom w:val="single" w:sz="4" w:space="0" w:color="auto"/>
              <w:right w:val="single" w:sz="4" w:space="0" w:color="auto"/>
            </w:tcBorders>
            <w:vAlign w:val="center"/>
          </w:tcPr>
          <w:p w14:paraId="01FE0C7D" w14:textId="77777777" w:rsidR="00472B6B" w:rsidRPr="000170DA" w:rsidRDefault="00472B6B" w:rsidP="008613C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D7A5EC5" w14:textId="0498A37F" w:rsidR="00472B6B" w:rsidRDefault="005456D2" w:rsidP="008613C3">
            <w:pPr>
              <w:rPr>
                <w:rFonts w:ascii="Garamond" w:hAnsi="Garamond"/>
                <w:lang w:val="en-AU"/>
              </w:rPr>
            </w:pPr>
            <w:r>
              <w:rPr>
                <w:rFonts w:ascii="Garamond" w:hAnsi="Garamond"/>
                <w:lang w:val="en-AU"/>
              </w:rPr>
              <w:t xml:space="preserve">The UK’s </w:t>
            </w:r>
            <w:r w:rsidRPr="005456D2">
              <w:rPr>
                <w:rFonts w:ascii="Garamond" w:hAnsi="Garamond"/>
                <w:lang w:val="en-AU"/>
              </w:rPr>
              <w:t>National Joint Registry</w:t>
            </w:r>
            <w:r>
              <w:rPr>
                <w:rFonts w:ascii="Garamond" w:hAnsi="Garamond"/>
                <w:lang w:val="en-AU"/>
              </w:rPr>
              <w:t xml:space="preserve"> </w:t>
            </w:r>
            <w:r w:rsidR="008F52CB">
              <w:rPr>
                <w:rFonts w:ascii="Garamond" w:hAnsi="Garamond"/>
                <w:lang w:val="en-AU"/>
              </w:rPr>
              <w:t>has released its 20</w:t>
            </w:r>
            <w:r w:rsidR="008F52CB" w:rsidRPr="008F52CB">
              <w:rPr>
                <w:rFonts w:ascii="Garamond" w:hAnsi="Garamond"/>
                <w:vertAlign w:val="superscript"/>
                <w:lang w:val="en-AU"/>
              </w:rPr>
              <w:t>th</w:t>
            </w:r>
            <w:r w:rsidR="008F52CB">
              <w:rPr>
                <w:rFonts w:ascii="Garamond" w:hAnsi="Garamond"/>
                <w:lang w:val="en-AU"/>
              </w:rPr>
              <w:t xml:space="preserve"> annual report. </w:t>
            </w:r>
            <w:r w:rsidR="008F52CB">
              <w:rPr>
                <w:rFonts w:ascii="FF Meta" w:hAnsi="FF Meta"/>
                <w:color w:val="333333"/>
                <w:shd w:val="clear" w:color="auto" w:fill="FFFFFF"/>
              </w:rPr>
              <w:t xml:space="preserve">The registry’s purpose </w:t>
            </w:r>
            <w:r w:rsidR="00C025B7">
              <w:rPr>
                <w:rFonts w:ascii="FF Meta" w:hAnsi="FF Meta"/>
                <w:color w:val="333333"/>
                <w:shd w:val="clear" w:color="auto" w:fill="FFFFFF"/>
              </w:rPr>
              <w:t>‘</w:t>
            </w:r>
            <w:r w:rsidR="008F52CB">
              <w:rPr>
                <w:rFonts w:ascii="FF Meta" w:hAnsi="FF Meta"/>
                <w:color w:val="333333"/>
                <w:shd w:val="clear" w:color="auto" w:fill="FFFFFF"/>
              </w:rPr>
              <w:t>is to record patient information and provide data on the performance and longevity of replacement joint implants, the surgical outcomes for the hospitals where these operations are carried out, and on the performance outcomes of the surgeons who conduct the procedures</w:t>
            </w:r>
            <w:r w:rsidR="00C025B7">
              <w:rPr>
                <w:rFonts w:ascii="FF Meta" w:hAnsi="FF Meta"/>
                <w:color w:val="333333"/>
                <w:shd w:val="clear" w:color="auto" w:fill="FFFFFF"/>
              </w:rPr>
              <w:t>’</w:t>
            </w:r>
            <w:r w:rsidR="008F52CB">
              <w:rPr>
                <w:rFonts w:ascii="FF Meta" w:hAnsi="FF Meta"/>
                <w:color w:val="333333"/>
                <w:shd w:val="clear" w:color="auto" w:fill="FFFFFF"/>
              </w:rPr>
              <w:t>.</w:t>
            </w:r>
            <w:r w:rsidR="00C025B7">
              <w:rPr>
                <w:rFonts w:ascii="FF Meta" w:hAnsi="FF Meta"/>
                <w:color w:val="333333"/>
                <w:shd w:val="clear" w:color="auto" w:fill="FFFFFF"/>
              </w:rPr>
              <w:t xml:space="preserve"> The NJR is also looking at incorporating patient reported outcome measures (PROM) and issues around sustainability and environmental impact of </w:t>
            </w:r>
            <w:r w:rsidR="00C025B7" w:rsidRPr="004E719B">
              <w:rPr>
                <w:rFonts w:ascii="FF Meta" w:hAnsi="FF Meta"/>
                <w:color w:val="333333"/>
                <w:shd w:val="clear" w:color="auto" w:fill="FFFFFF"/>
                <w:lang w:val="en-AU"/>
              </w:rPr>
              <w:t>orthopaedic</w:t>
            </w:r>
            <w:r w:rsidR="00C025B7">
              <w:rPr>
                <w:rFonts w:ascii="FF Meta" w:hAnsi="FF Meta"/>
                <w:color w:val="333333"/>
                <w:shd w:val="clear" w:color="auto" w:fill="FFFFFF"/>
              </w:rPr>
              <w:t xml:space="preserve"> surgery.</w:t>
            </w:r>
          </w:p>
          <w:p w14:paraId="47F9D48F" w14:textId="77777777" w:rsidR="005456D2" w:rsidRDefault="005456D2" w:rsidP="008613C3">
            <w:pPr>
              <w:rPr>
                <w:rFonts w:ascii="Garamond" w:hAnsi="Garamond"/>
                <w:lang w:val="en-AU"/>
              </w:rPr>
            </w:pPr>
          </w:p>
          <w:p w14:paraId="0A31C57F" w14:textId="402C5513" w:rsidR="005456D2" w:rsidRPr="00D0490E" w:rsidRDefault="005456D2" w:rsidP="00DF1534">
            <w:pPr>
              <w:rPr>
                <w:rFonts w:ascii="Garamond" w:hAnsi="Garamond"/>
                <w:lang w:val="en-AU"/>
              </w:rPr>
            </w:pPr>
            <w:r>
              <w:rPr>
                <w:rFonts w:ascii="Garamond" w:hAnsi="Garamond"/>
                <w:lang w:val="en-AU"/>
              </w:rPr>
              <w:t xml:space="preserve">The Australian joint replacement registry, which is slightly older than it’s UK counterpart, also produces annual reports. The </w:t>
            </w:r>
            <w:r w:rsidRPr="005456D2">
              <w:rPr>
                <w:rFonts w:ascii="Garamond" w:hAnsi="Garamond"/>
                <w:lang w:val="en-AU"/>
              </w:rPr>
              <w:t>Australian Orthopaedic Association National Joint Replacement Registry (AOANJRR)</w:t>
            </w:r>
            <w:r w:rsidR="00AB1C18">
              <w:rPr>
                <w:rFonts w:ascii="Garamond" w:hAnsi="Garamond"/>
                <w:lang w:val="en-AU"/>
              </w:rPr>
              <w:t xml:space="preserve"> (</w:t>
            </w:r>
            <w:hyperlink r:id="rId19" w:history="1">
              <w:r w:rsidR="00AB1C18" w:rsidRPr="00AF0AB2">
                <w:rPr>
                  <w:rStyle w:val="Hyperlink"/>
                  <w:rFonts w:ascii="Garamond" w:hAnsi="Garamond"/>
                  <w:lang w:val="en-AU"/>
                </w:rPr>
                <w:t>https://aoanjrr.sahmri.com/</w:t>
              </w:r>
            </w:hyperlink>
            <w:r w:rsidR="00AB1C18">
              <w:rPr>
                <w:rFonts w:ascii="Garamond" w:hAnsi="Garamond"/>
                <w:lang w:val="en-AU"/>
              </w:rPr>
              <w:t>)</w:t>
            </w:r>
            <w:r w:rsidRPr="005456D2">
              <w:rPr>
                <w:rFonts w:ascii="Garamond" w:hAnsi="Garamond"/>
                <w:lang w:val="en-AU"/>
              </w:rPr>
              <w:t xml:space="preserve"> </w:t>
            </w:r>
            <w:r w:rsidR="00AB1C18">
              <w:rPr>
                <w:rFonts w:ascii="Garamond" w:hAnsi="Garamond"/>
                <w:lang w:val="en-AU"/>
              </w:rPr>
              <w:t xml:space="preserve">has released its </w:t>
            </w:r>
            <w:r w:rsidR="00AB1C18" w:rsidRPr="00AB1C18">
              <w:rPr>
                <w:rFonts w:ascii="Garamond" w:hAnsi="Garamond"/>
                <w:i/>
                <w:iCs/>
                <w:lang w:val="en-AU"/>
              </w:rPr>
              <w:t xml:space="preserve">2023 </w:t>
            </w:r>
            <w:r w:rsidR="00DF1534">
              <w:rPr>
                <w:rFonts w:ascii="Garamond" w:hAnsi="Garamond"/>
                <w:i/>
                <w:iCs/>
                <w:lang w:val="en-AU"/>
              </w:rPr>
              <w:t xml:space="preserve">Annual Report </w:t>
            </w:r>
            <w:r w:rsidR="00AB1C18" w:rsidRPr="00AB1C18">
              <w:rPr>
                <w:rFonts w:ascii="Garamond" w:hAnsi="Garamond"/>
                <w:i/>
                <w:iCs/>
                <w:lang w:val="en-AU"/>
              </w:rPr>
              <w:t>Hip, Knee and Shoulder Arthroplasty</w:t>
            </w:r>
            <w:r w:rsidR="00DD54FE">
              <w:rPr>
                <w:rFonts w:ascii="Garamond" w:hAnsi="Garamond"/>
                <w:lang w:val="en-AU"/>
              </w:rPr>
              <w:t xml:space="preserve"> report</w:t>
            </w:r>
            <w:r w:rsidR="00AB1C18">
              <w:rPr>
                <w:rFonts w:ascii="Garamond" w:hAnsi="Garamond"/>
                <w:lang w:val="en-AU"/>
              </w:rPr>
              <w:t>. This is the r</w:t>
            </w:r>
            <w:r w:rsidR="00AB1C18" w:rsidRPr="00AB1C18">
              <w:rPr>
                <w:rFonts w:ascii="Garamond" w:hAnsi="Garamond"/>
                <w:lang w:val="en-AU"/>
              </w:rPr>
              <w:t>egistry's 24th Annual Report</w:t>
            </w:r>
            <w:r w:rsidR="00AB1C18">
              <w:rPr>
                <w:rFonts w:ascii="Garamond" w:hAnsi="Garamond"/>
                <w:lang w:val="en-AU"/>
              </w:rPr>
              <w:t xml:space="preserve">. </w:t>
            </w:r>
            <w:r w:rsidR="00AB1C18" w:rsidRPr="00AB1C18">
              <w:rPr>
                <w:rFonts w:ascii="Garamond" w:hAnsi="Garamond"/>
                <w:lang w:val="en-AU"/>
              </w:rPr>
              <w:t>The 2023 report is based on the analysis of 1,982,200 joint replacement procedures, including 850,603 hip replacements, 1,046,247 knee replacements, and 85,350 shoulder replacements.</w:t>
            </w:r>
            <w:r w:rsidR="00AB1C18">
              <w:rPr>
                <w:rFonts w:ascii="Garamond" w:hAnsi="Garamond"/>
                <w:lang w:val="en-AU"/>
              </w:rPr>
              <w:t xml:space="preserve"> </w:t>
            </w:r>
            <w:r w:rsidR="008F52CB" w:rsidRPr="008F52CB">
              <w:rPr>
                <w:rFonts w:ascii="Garamond" w:hAnsi="Garamond"/>
                <w:lang w:val="en-AU"/>
              </w:rPr>
              <w:t>The AOANJRR identifies prostheses with higher than expected rates of revision. In the 2023 report, four total conventional hip prostheses, three total knee prostheses, and two total stemmed reverse shoulder prostheses have been newly identified.</w:t>
            </w:r>
            <w:r w:rsidR="008F52CB">
              <w:rPr>
                <w:rFonts w:ascii="Garamond" w:hAnsi="Garamond"/>
                <w:lang w:val="en-AU"/>
              </w:rPr>
              <w:t xml:space="preserve"> </w:t>
            </w:r>
            <w:r w:rsidR="00AB1C18">
              <w:rPr>
                <w:rFonts w:ascii="Garamond" w:hAnsi="Garamond"/>
                <w:lang w:val="en-AU"/>
              </w:rPr>
              <w:t xml:space="preserve">Over the years, the AOANJRR has played a significant role in </w:t>
            </w:r>
            <w:r w:rsidR="008F52CB">
              <w:rPr>
                <w:rFonts w:ascii="Garamond" w:hAnsi="Garamond"/>
                <w:lang w:val="en-AU"/>
              </w:rPr>
              <w:t>shaping the market by identifying prostheses with higher revision rates.</w:t>
            </w:r>
            <w:r w:rsidR="00DF1534">
              <w:rPr>
                <w:rFonts w:ascii="Garamond" w:hAnsi="Garamond"/>
                <w:lang w:val="en-AU"/>
              </w:rPr>
              <w:t xml:space="preserve"> The 2023 report also ‘</w:t>
            </w:r>
            <w:r w:rsidR="00DF1534" w:rsidRPr="00DF1534">
              <w:rPr>
                <w:rFonts w:ascii="Garamond" w:hAnsi="Garamond"/>
                <w:lang w:val="en-AU"/>
              </w:rPr>
              <w:t>includes a separate chapter on infection,</w:t>
            </w:r>
            <w:r w:rsidR="00DF1534">
              <w:rPr>
                <w:rFonts w:ascii="Garamond" w:hAnsi="Garamond"/>
                <w:lang w:val="en-AU"/>
              </w:rPr>
              <w:t xml:space="preserve"> </w:t>
            </w:r>
            <w:r w:rsidR="00DF1534" w:rsidRPr="00DF1534">
              <w:rPr>
                <w:rFonts w:ascii="Garamond" w:hAnsi="Garamond"/>
                <w:lang w:val="en-AU"/>
              </w:rPr>
              <w:t>currently the most common reason for revision surgery and</w:t>
            </w:r>
            <w:r w:rsidR="00DF1534">
              <w:rPr>
                <w:rFonts w:ascii="Garamond" w:hAnsi="Garamond"/>
                <w:lang w:val="en-AU"/>
              </w:rPr>
              <w:t xml:space="preserve"> </w:t>
            </w:r>
            <w:r w:rsidR="00DF1534" w:rsidRPr="00DF1534">
              <w:rPr>
                <w:rFonts w:ascii="Garamond" w:hAnsi="Garamond"/>
                <w:lang w:val="en-AU"/>
              </w:rPr>
              <w:t>a PROMs section in a dedicated supplementary chapter</w:t>
            </w:r>
            <w:r w:rsidR="00DF1534">
              <w:rPr>
                <w:rFonts w:ascii="Garamond" w:hAnsi="Garamond"/>
                <w:lang w:val="en-AU"/>
              </w:rPr>
              <w:t>’</w:t>
            </w:r>
            <w:r w:rsidR="00DF1534" w:rsidRPr="00DF1534">
              <w:rPr>
                <w:rFonts w:ascii="Garamond" w:hAnsi="Garamond"/>
                <w:lang w:val="en-AU"/>
              </w:rPr>
              <w:t>.</w:t>
            </w:r>
          </w:p>
        </w:tc>
      </w:tr>
    </w:tbl>
    <w:p w14:paraId="6445BEF8" w14:textId="77777777" w:rsidR="00472B6B" w:rsidRDefault="00472B6B" w:rsidP="00472B6B">
      <w:pPr>
        <w:keepLines/>
        <w:autoSpaceDE w:val="0"/>
        <w:autoSpaceDN w:val="0"/>
        <w:adjustRightInd w:val="0"/>
        <w:rPr>
          <w:rFonts w:ascii="Garamond" w:hAnsi="Garamond"/>
          <w:lang w:val="en-AU"/>
        </w:rPr>
      </w:pPr>
    </w:p>
    <w:p w14:paraId="117060DD" w14:textId="3B20927B" w:rsidR="0008384D" w:rsidRDefault="00340929" w:rsidP="0008384D">
      <w:pPr>
        <w:keepLines/>
        <w:autoSpaceDE w:val="0"/>
        <w:autoSpaceDN w:val="0"/>
        <w:adjustRightInd w:val="0"/>
        <w:rPr>
          <w:rFonts w:ascii="Garamond" w:hAnsi="Garamond"/>
          <w:lang w:val="en-AU"/>
        </w:rPr>
      </w:pPr>
      <w:r>
        <w:rPr>
          <w:rFonts w:ascii="Garamond" w:hAnsi="Garamond"/>
          <w:lang w:val="en-AU"/>
        </w:rPr>
        <w:t xml:space="preserve">For information on the Commission’s work on clinical quality registries, including the </w:t>
      </w:r>
      <w:r w:rsidRPr="00340929">
        <w:rPr>
          <w:rFonts w:ascii="Garamond" w:hAnsi="Garamond"/>
          <w:i/>
          <w:iCs/>
          <w:lang w:val="en-AU"/>
        </w:rPr>
        <w:t>Framework for Australian clinical quality registries</w:t>
      </w:r>
      <w:r>
        <w:rPr>
          <w:rFonts w:ascii="Garamond" w:hAnsi="Garamond"/>
          <w:lang w:val="en-AU"/>
        </w:rPr>
        <w:t>,</w:t>
      </w:r>
      <w:r w:rsidRPr="00340929">
        <w:rPr>
          <w:rFonts w:ascii="Garamond" w:hAnsi="Garamond"/>
          <w:lang w:val="en-AU"/>
        </w:rPr>
        <w:t xml:space="preserve"> </w:t>
      </w:r>
      <w:r>
        <w:rPr>
          <w:rFonts w:ascii="Garamond" w:hAnsi="Garamond"/>
          <w:lang w:val="en-AU"/>
        </w:rPr>
        <w:t xml:space="preserve">see </w:t>
      </w:r>
      <w:hyperlink r:id="rId20" w:history="1">
        <w:r w:rsidRPr="00AF0AB2">
          <w:rPr>
            <w:rStyle w:val="Hyperlink"/>
            <w:rFonts w:ascii="Garamond" w:hAnsi="Garamond"/>
            <w:lang w:val="en-AU"/>
          </w:rPr>
          <w:t>https://www.safetyandquality.gov.au/our-work/health-and-human-research/national-arrangements-clinical-quality-registries</w:t>
        </w:r>
      </w:hyperlink>
    </w:p>
    <w:p w14:paraId="4284F99B" w14:textId="77777777" w:rsidR="00340929" w:rsidRDefault="00340929" w:rsidP="0008384D">
      <w:pPr>
        <w:keepLines/>
        <w:autoSpaceDE w:val="0"/>
        <w:autoSpaceDN w:val="0"/>
        <w:adjustRightInd w:val="0"/>
        <w:rPr>
          <w:rFonts w:ascii="Garamond" w:hAnsi="Garamond"/>
          <w:lang w:val="en-AU"/>
        </w:rPr>
      </w:pPr>
    </w:p>
    <w:p w14:paraId="303001A8" w14:textId="77777777" w:rsidR="00D0490E" w:rsidRDefault="00D0490E"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13DE6A40" w14:textId="4BD4F969" w:rsidR="0008384D" w:rsidRDefault="0008384D" w:rsidP="002C6DF1">
      <w:pPr>
        <w:keepLines/>
        <w:autoSpaceDE w:val="0"/>
        <w:autoSpaceDN w:val="0"/>
        <w:adjustRightInd w:val="0"/>
        <w:rPr>
          <w:rFonts w:ascii="Garamond" w:hAnsi="Garamond"/>
          <w:lang w:val="en-AU"/>
        </w:rPr>
      </w:pPr>
    </w:p>
    <w:p w14:paraId="152DF513" w14:textId="77777777" w:rsidR="000763DB" w:rsidRPr="000763DB" w:rsidRDefault="000763DB" w:rsidP="000763DB">
      <w:pPr>
        <w:keepLines/>
        <w:autoSpaceDE w:val="0"/>
        <w:autoSpaceDN w:val="0"/>
        <w:adjustRightInd w:val="0"/>
        <w:rPr>
          <w:rFonts w:ascii="Garamond" w:hAnsi="Garamond"/>
          <w:i/>
          <w:iCs/>
          <w:lang w:val="en-AU"/>
        </w:rPr>
      </w:pPr>
      <w:r w:rsidRPr="000763DB">
        <w:rPr>
          <w:rFonts w:ascii="Garamond" w:hAnsi="Garamond"/>
          <w:i/>
          <w:iCs/>
          <w:lang w:val="en-AU"/>
        </w:rPr>
        <w:t>Building on value-based health care: Towards a health system perspective</w:t>
      </w:r>
    </w:p>
    <w:p w14:paraId="54C1C2C8" w14:textId="77777777" w:rsidR="000763DB" w:rsidRDefault="000763DB" w:rsidP="002C6DF1">
      <w:pPr>
        <w:keepLines/>
        <w:autoSpaceDE w:val="0"/>
        <w:autoSpaceDN w:val="0"/>
        <w:adjustRightInd w:val="0"/>
        <w:rPr>
          <w:rFonts w:ascii="Garamond" w:hAnsi="Garamond"/>
          <w:lang w:val="en-AU"/>
        </w:rPr>
      </w:pPr>
      <w:r w:rsidRPr="000763DB">
        <w:rPr>
          <w:rFonts w:ascii="Garamond" w:hAnsi="Garamond"/>
          <w:lang w:val="en-AU"/>
        </w:rPr>
        <w:t>Smith PC, Sagan A, Siciliani L, Figueras J</w:t>
      </w:r>
    </w:p>
    <w:p w14:paraId="272498F3" w14:textId="449D13A6" w:rsidR="00B13E4F" w:rsidRDefault="000763DB" w:rsidP="002C6DF1">
      <w:pPr>
        <w:keepLines/>
        <w:autoSpaceDE w:val="0"/>
        <w:autoSpaceDN w:val="0"/>
        <w:adjustRightInd w:val="0"/>
        <w:rPr>
          <w:rFonts w:ascii="Garamond" w:hAnsi="Garamond"/>
          <w:lang w:val="en-AU"/>
        </w:rPr>
      </w:pPr>
      <w:r w:rsidRPr="000763DB">
        <w:rPr>
          <w:rFonts w:ascii="Garamond" w:hAnsi="Garamond"/>
          <w:lang w:val="en-AU"/>
        </w:rPr>
        <w:t>Health Policy 2023;138:104918.</w:t>
      </w:r>
    </w:p>
    <w:tbl>
      <w:tblPr>
        <w:tblStyle w:val="TableGrid"/>
        <w:tblW w:w="9360" w:type="dxa"/>
        <w:tblInd w:w="288" w:type="dxa"/>
        <w:tblLayout w:type="fixed"/>
        <w:tblLook w:val="01E0" w:firstRow="1" w:lastRow="1" w:firstColumn="1" w:lastColumn="1" w:noHBand="0" w:noVBand="0"/>
      </w:tblPr>
      <w:tblGrid>
        <w:gridCol w:w="1080"/>
        <w:gridCol w:w="8280"/>
      </w:tblGrid>
      <w:tr w:rsidR="00B13E4F" w:rsidRPr="000170DA" w14:paraId="748A505B"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420C6FD4" w14:textId="77777777" w:rsidR="00B13E4F" w:rsidRPr="000170DA" w:rsidRDefault="00B13E4F" w:rsidP="00B946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2AF1C7" w14:textId="3DD136E0" w:rsidR="00B13E4F" w:rsidRPr="000170DA" w:rsidRDefault="00000000" w:rsidP="00B9460B">
            <w:pPr>
              <w:keepNext/>
              <w:rPr>
                <w:rStyle w:val="Hyperlink"/>
                <w:rFonts w:ascii="Garamond" w:hAnsi="Garamond"/>
                <w:color w:val="auto"/>
                <w:u w:val="none"/>
                <w:lang w:val="en-AU"/>
              </w:rPr>
            </w:pPr>
            <w:hyperlink r:id="rId21" w:history="1">
              <w:r w:rsidR="000763DB" w:rsidRPr="00AF0AB2">
                <w:rPr>
                  <w:rStyle w:val="Hyperlink"/>
                  <w:rFonts w:ascii="Garamond" w:hAnsi="Garamond"/>
                  <w:lang w:val="en-AU"/>
                </w:rPr>
                <w:t>https://doi.org/10.1016/j.healthpol.2023.104918</w:t>
              </w:r>
            </w:hyperlink>
          </w:p>
        </w:tc>
      </w:tr>
      <w:tr w:rsidR="00B13E4F" w:rsidRPr="000170DA" w14:paraId="353B51F6"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7939B701" w14:textId="77777777" w:rsidR="00B13E4F" w:rsidRPr="000170DA" w:rsidRDefault="00B13E4F" w:rsidP="00B946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DFDD17" w14:textId="45677DEB" w:rsidR="00B13E4F" w:rsidRDefault="000763DB" w:rsidP="00B9460B">
            <w:pPr>
              <w:rPr>
                <w:rFonts w:ascii="Garamond" w:hAnsi="Garamond"/>
                <w:lang w:val="en-AU"/>
              </w:rPr>
            </w:pPr>
            <w:r>
              <w:rPr>
                <w:rFonts w:ascii="Garamond" w:hAnsi="Garamond"/>
                <w:lang w:val="en-AU"/>
              </w:rPr>
              <w:t>Recent years have seen interest in various aspects of value in health care. The authors of this paper propose ‘</w:t>
            </w:r>
            <w:r w:rsidRPr="000763DB">
              <w:rPr>
                <w:rFonts w:ascii="Garamond" w:hAnsi="Garamond"/>
                <w:lang w:val="en-AU"/>
              </w:rPr>
              <w:t>develop a framework to reconcile different approaches towards value-based health policies</w:t>
            </w:r>
            <w:r>
              <w:rPr>
                <w:rFonts w:ascii="Garamond" w:hAnsi="Garamond"/>
                <w:lang w:val="en-AU"/>
              </w:rPr>
              <w:t>’. The framework comprises ‘</w:t>
            </w:r>
            <w:r w:rsidRPr="000763DB">
              <w:rPr>
                <w:rFonts w:ascii="Garamond" w:hAnsi="Garamond"/>
                <w:lang w:val="en-AU"/>
              </w:rPr>
              <w:t>five dimensions of value, embracing health improvement, health care responsiveness, financial protection, efficiency and equity</w:t>
            </w:r>
            <w:r>
              <w:rPr>
                <w:rFonts w:ascii="Garamond" w:hAnsi="Garamond"/>
                <w:lang w:val="en-AU"/>
              </w:rPr>
              <w:t>’. The focus is on ‘v</w:t>
            </w:r>
            <w:r w:rsidRPr="000763DB">
              <w:rPr>
                <w:rFonts w:ascii="Garamond" w:hAnsi="Garamond"/>
                <w:lang w:val="en-AU"/>
              </w:rPr>
              <w:t>alue created by the health system as a whole</w:t>
            </w:r>
            <w:r>
              <w:rPr>
                <w:rFonts w:ascii="Garamond" w:hAnsi="Garamond"/>
                <w:lang w:val="en-AU"/>
              </w:rPr>
              <w:t>’ while recognising that those within the system make varying contributions and that there may be a ‘</w:t>
            </w:r>
            <w:r w:rsidRPr="000763DB">
              <w:rPr>
                <w:rFonts w:ascii="Garamond" w:hAnsi="Garamond"/>
                <w:lang w:val="en-AU"/>
              </w:rPr>
              <w:t>range of policy levers promoting different aspects of value.</w:t>
            </w:r>
            <w:r>
              <w:rPr>
                <w:rFonts w:ascii="Garamond" w:hAnsi="Garamond"/>
                <w:lang w:val="en-AU"/>
              </w:rPr>
              <w:t>’</w:t>
            </w:r>
          </w:p>
          <w:p w14:paraId="46B23A41" w14:textId="77777777" w:rsidR="000763DB" w:rsidRDefault="000763DB" w:rsidP="00B9460B">
            <w:pPr>
              <w:rPr>
                <w:rFonts w:ascii="Garamond" w:hAnsi="Garamond"/>
                <w:lang w:val="en-AU"/>
              </w:rPr>
            </w:pPr>
          </w:p>
          <w:p w14:paraId="362E9C9F" w14:textId="53385EC4" w:rsidR="000763DB" w:rsidRPr="00D0490E" w:rsidRDefault="000763DB" w:rsidP="00B9460B">
            <w:pPr>
              <w:rPr>
                <w:rFonts w:ascii="Garamond" w:hAnsi="Garamond"/>
                <w:lang w:val="en-AU"/>
              </w:rPr>
            </w:pPr>
            <w:r>
              <w:rPr>
                <w:rFonts w:ascii="Garamond" w:hAnsi="Garamond"/>
                <w:noProof/>
                <w:lang w:val="en-AU"/>
              </w:rPr>
              <w:drawing>
                <wp:inline distT="0" distB="0" distL="0" distR="0" wp14:anchorId="2A3C5047" wp14:editId="386F4F36">
                  <wp:extent cx="5099538" cy="2510814"/>
                  <wp:effectExtent l="0" t="0" r="6350" b="3810"/>
                  <wp:docPr id="4" name="Picture 4" descr="Figure setting  out a framework that captures the concept of health system value. The health system is allocated funds that it is expected to convert into valued health-related outcomes, which in turn improve wellbeing. Health systems aim at providing health services that satisfy patients’ needs promptly (responsiveness) and improve health, and that are free of charge or involve small co-payments (finan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setting  out a framework that captures the concept of health system value. The health system is allocated funds that it is expected to convert into valued health-related outcomes, which in turn improve wellbeing. Health systems aim at providing health services that satisfy patients’ needs promptly (responsiveness) and improve health, and that are free of charge or involve small co-payments (financial prot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9715" cy="2515825"/>
                          </a:xfrm>
                          <a:prstGeom prst="rect">
                            <a:avLst/>
                          </a:prstGeom>
                          <a:noFill/>
                          <a:ln>
                            <a:noFill/>
                          </a:ln>
                        </pic:spPr>
                      </pic:pic>
                    </a:graphicData>
                  </a:graphic>
                </wp:inline>
              </w:drawing>
            </w:r>
          </w:p>
        </w:tc>
      </w:tr>
    </w:tbl>
    <w:p w14:paraId="3FC407CF" w14:textId="77777777" w:rsidR="00B13E4F" w:rsidRDefault="00B13E4F" w:rsidP="00B13E4F">
      <w:pPr>
        <w:keepLines/>
        <w:autoSpaceDE w:val="0"/>
        <w:autoSpaceDN w:val="0"/>
        <w:adjustRightInd w:val="0"/>
        <w:rPr>
          <w:rFonts w:ascii="Garamond" w:hAnsi="Garamond"/>
          <w:lang w:val="en-AU"/>
        </w:rPr>
      </w:pPr>
    </w:p>
    <w:p w14:paraId="1B2B11FD" w14:textId="77777777" w:rsidR="00640D35" w:rsidRDefault="00640D35" w:rsidP="00C41722">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00000" w:rsidP="00B13BCF">
            <w:pPr>
              <w:keepNext/>
              <w:rPr>
                <w:rFonts w:ascii="Garamond" w:hAnsi="Garamond"/>
                <w:lang w:val="en-AU"/>
              </w:rPr>
            </w:pPr>
            <w:hyperlink r:id="rId23"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0172917F" w:rsidR="00A2616F" w:rsidRPr="00E37911" w:rsidRDefault="00D54F64" w:rsidP="00D54F64">
            <w:pPr>
              <w:pStyle w:val="ListParagraph"/>
              <w:numPr>
                <w:ilvl w:val="0"/>
                <w:numId w:val="16"/>
              </w:numPr>
              <w:rPr>
                <w:rFonts w:ascii="Garamond" w:hAnsi="Garamond"/>
                <w:lang w:val="en-AU"/>
              </w:rPr>
            </w:pPr>
            <w:r w:rsidRPr="00D54F64">
              <w:rPr>
                <w:rFonts w:ascii="Garamond" w:hAnsi="Garamond"/>
                <w:lang w:val="en-AU"/>
              </w:rPr>
              <w:t>Informing understanding of c</w:t>
            </w:r>
            <w:r w:rsidRPr="00D54F64">
              <w:rPr>
                <w:rFonts w:ascii="Garamond" w:hAnsi="Garamond"/>
                <w:b/>
                <w:bCs/>
                <w:lang w:val="en-AU"/>
              </w:rPr>
              <w:t>oordination of care for patients with heart failure</w:t>
            </w:r>
            <w:r w:rsidRPr="00D54F64">
              <w:rPr>
                <w:rFonts w:ascii="Garamond" w:hAnsi="Garamond"/>
                <w:lang w:val="en-AU"/>
              </w:rPr>
              <w:t xml:space="preserve"> with preserved ejection fraction: a secondary qualitative analysis</w:t>
            </w:r>
            <w:r>
              <w:rPr>
                <w:rFonts w:ascii="Garamond" w:hAnsi="Garamond"/>
                <w:lang w:val="en-AU"/>
              </w:rPr>
              <w:t xml:space="preserve"> (</w:t>
            </w:r>
            <w:r w:rsidRPr="00D54F64">
              <w:rPr>
                <w:rFonts w:ascii="Garamond" w:hAnsi="Garamond"/>
                <w:lang w:val="en-AU"/>
              </w:rPr>
              <w:t>Rosalie Brooman-White, Thomas Blakeman, Duncan McNab, Christi Deaton</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24"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EECCD1" w14:textId="77777777" w:rsidR="00AD0820" w:rsidRDefault="00D1061B" w:rsidP="00210EC6">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76346146" w14:textId="480B2E31" w:rsidR="00D54F64" w:rsidRPr="00D54F64" w:rsidRDefault="00D54F64" w:rsidP="00094064">
            <w:pPr>
              <w:pStyle w:val="ListParagraph"/>
              <w:numPr>
                <w:ilvl w:val="0"/>
                <w:numId w:val="16"/>
              </w:numPr>
              <w:rPr>
                <w:rFonts w:ascii="Garamond" w:hAnsi="Garamond"/>
                <w:lang w:val="en-AU"/>
              </w:rPr>
            </w:pPr>
            <w:r w:rsidRPr="00D54F64">
              <w:rPr>
                <w:rFonts w:ascii="Garamond" w:hAnsi="Garamond"/>
                <w:lang w:val="en-AU"/>
              </w:rPr>
              <w:t xml:space="preserve">Care in the future - reconciling </w:t>
            </w:r>
            <w:r w:rsidRPr="00D54F64">
              <w:rPr>
                <w:rFonts w:ascii="Garamond" w:hAnsi="Garamond"/>
                <w:b/>
                <w:bCs/>
                <w:lang w:val="en-AU"/>
              </w:rPr>
              <w:t>health system and individual resilience</w:t>
            </w:r>
            <w:r w:rsidRPr="00D54F64">
              <w:rPr>
                <w:rFonts w:ascii="Garamond" w:hAnsi="Garamond"/>
                <w:lang w:val="en-AU"/>
              </w:rPr>
              <w:t xml:space="preserve"> (Siri Wiig </w:t>
            </w:r>
            <w:r>
              <w:rPr>
                <w:rFonts w:ascii="Garamond" w:hAnsi="Garamond"/>
                <w:lang w:val="en-AU"/>
              </w:rPr>
              <w:t>et al)</w:t>
            </w:r>
          </w:p>
          <w:p w14:paraId="730B1CCA" w14:textId="6C79EFAD" w:rsidR="00D43C2B" w:rsidRPr="00D43C2B" w:rsidRDefault="00D54F64" w:rsidP="00D54F64">
            <w:pPr>
              <w:pStyle w:val="ListParagraph"/>
              <w:numPr>
                <w:ilvl w:val="0"/>
                <w:numId w:val="16"/>
              </w:numPr>
              <w:rPr>
                <w:rFonts w:ascii="Garamond" w:hAnsi="Garamond"/>
                <w:lang w:val="en-AU"/>
              </w:rPr>
            </w:pPr>
            <w:r w:rsidRPr="00D54F64">
              <w:rPr>
                <w:rFonts w:ascii="Garamond" w:hAnsi="Garamond"/>
                <w:b/>
                <w:bCs/>
                <w:lang w:val="en-AU"/>
              </w:rPr>
              <w:t>Unsafe care in residential settings for older adults</w:t>
            </w:r>
            <w:r w:rsidRPr="00D54F64">
              <w:rPr>
                <w:rFonts w:ascii="Garamond" w:hAnsi="Garamond"/>
                <w:lang w:val="en-AU"/>
              </w:rPr>
              <w:t>. A content analysis of accreditation reports</w:t>
            </w:r>
            <w:r>
              <w:rPr>
                <w:rFonts w:ascii="Garamond" w:hAnsi="Garamond"/>
                <w:lang w:val="en-AU"/>
              </w:rPr>
              <w:t xml:space="preserve"> (</w:t>
            </w:r>
            <w:r w:rsidRPr="00D54F64">
              <w:rPr>
                <w:rFonts w:ascii="Garamond" w:hAnsi="Garamond"/>
                <w:lang w:val="en-AU"/>
              </w:rPr>
              <w:t xml:space="preserve">Peter D Hibbert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150BFFF7" w14:textId="77777777" w:rsidR="006A1E48" w:rsidRDefault="006A1E48">
      <w:pPr>
        <w:rPr>
          <w:rFonts w:ascii="Garamond" w:hAnsi="Garamond"/>
          <w:b/>
          <w:lang w:val="en-AU"/>
        </w:rPr>
      </w:pPr>
      <w:r>
        <w:rPr>
          <w:rFonts w:ascii="Garamond" w:hAnsi="Garamond"/>
          <w:b/>
          <w:lang w:val="en-AU"/>
        </w:rPr>
        <w:br w:type="page"/>
      </w:r>
    </w:p>
    <w:p w14:paraId="332C5B51" w14:textId="2F16B434"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080F6B7C" w14:textId="77777777" w:rsidR="002A4F78" w:rsidRDefault="002A4F78" w:rsidP="002A4F78">
      <w:pPr>
        <w:rPr>
          <w:rFonts w:ascii="Garamond" w:hAnsi="Garamond"/>
          <w:b/>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000000" w:rsidP="00C4268C">
      <w:pPr>
        <w:keepNext/>
        <w:rPr>
          <w:rFonts w:ascii="Garamond" w:hAnsi="Garamond"/>
          <w:lang w:val="en-AU"/>
        </w:rPr>
      </w:pPr>
      <w:hyperlink r:id="rId25"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2D7049B" w14:textId="223EB5EA" w:rsidR="003C6563" w:rsidRDefault="00A60BA8" w:rsidP="00A249C6">
      <w:pPr>
        <w:pStyle w:val="ListParagraph"/>
        <w:numPr>
          <w:ilvl w:val="0"/>
          <w:numId w:val="14"/>
        </w:numPr>
        <w:rPr>
          <w:rFonts w:ascii="Garamond" w:hAnsi="Garamond"/>
          <w:iCs/>
          <w:lang w:val="en-AU"/>
        </w:rPr>
      </w:pPr>
      <w:r w:rsidRPr="008A67BD">
        <w:rPr>
          <w:rFonts w:ascii="Garamond" w:hAnsi="Garamond"/>
          <w:iCs/>
          <w:lang w:val="en-AU"/>
        </w:rPr>
        <w:t>NICE Guideline NG</w:t>
      </w:r>
      <w:r w:rsidR="003047BD">
        <w:rPr>
          <w:rFonts w:ascii="Garamond" w:hAnsi="Garamond"/>
          <w:iCs/>
          <w:lang w:val="en-AU"/>
        </w:rPr>
        <w:t>145</w:t>
      </w:r>
      <w:r w:rsidR="00B42540">
        <w:rPr>
          <w:rFonts w:ascii="Garamond" w:hAnsi="Garamond"/>
          <w:iCs/>
          <w:lang w:val="en-AU"/>
        </w:rPr>
        <w:t xml:space="preserve"> </w:t>
      </w:r>
      <w:r w:rsidR="003047BD" w:rsidRPr="003047BD">
        <w:rPr>
          <w:rFonts w:ascii="Garamond" w:hAnsi="Garamond"/>
          <w:b/>
          <w:bCs/>
          <w:i/>
          <w:lang w:val="en-AU"/>
        </w:rPr>
        <w:t>Thyroid disease</w:t>
      </w:r>
      <w:r w:rsidR="003047BD" w:rsidRPr="003047BD">
        <w:rPr>
          <w:rFonts w:ascii="Garamond" w:hAnsi="Garamond"/>
          <w:i/>
          <w:lang w:val="en-AU"/>
        </w:rPr>
        <w:t>: assessment and management</w:t>
      </w:r>
      <w:r w:rsidR="003047BD">
        <w:rPr>
          <w:rFonts w:ascii="Garamond" w:hAnsi="Garamond"/>
          <w:iCs/>
          <w:lang w:val="en-AU"/>
        </w:rPr>
        <w:t xml:space="preserve"> </w:t>
      </w:r>
      <w:hyperlink r:id="rId26" w:history="1">
        <w:r w:rsidR="003047BD" w:rsidRPr="005410D5">
          <w:rPr>
            <w:rStyle w:val="Hyperlink"/>
            <w:rFonts w:ascii="Garamond" w:hAnsi="Garamond"/>
            <w:iCs/>
            <w:lang w:val="en-AU"/>
          </w:rPr>
          <w:t>https://www.nice.org.uk/guidance/ng145</w:t>
        </w:r>
      </w:hyperlink>
    </w:p>
    <w:p w14:paraId="2E352F15" w14:textId="77777777" w:rsidR="00E83262" w:rsidRDefault="00E83262" w:rsidP="00D1061B">
      <w:pPr>
        <w:rPr>
          <w:rFonts w:ascii="Garamond" w:hAnsi="Garamond"/>
          <w:b/>
          <w:lang w:val="en-AU"/>
        </w:rPr>
      </w:pPr>
    </w:p>
    <w:p w14:paraId="3D762B6D" w14:textId="77777777" w:rsidR="008F7772" w:rsidRDefault="008F7772" w:rsidP="00D1061B">
      <w:pPr>
        <w:rPr>
          <w:rFonts w:ascii="Garamond" w:hAnsi="Garamond"/>
          <w:b/>
          <w:lang w:val="en-AU"/>
        </w:rPr>
      </w:pPr>
    </w:p>
    <w:p w14:paraId="5F3E0497" w14:textId="77777777" w:rsidR="008F7772" w:rsidRDefault="008F777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8630969">
            <wp:extent cx="2985247" cy="4212233"/>
            <wp:effectExtent l="0" t="0" r="5715" b="0"/>
            <wp:docPr id="8" name="Picture 8" descr="COVID-19 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002063" cy="423596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A4622E" w:rsidRDefault="00D574D3" w:rsidP="00D574D3">
      <w:pPr>
        <w:keepNext/>
        <w:keepLines/>
        <w:rPr>
          <w:rFonts w:ascii="Garamond" w:hAnsi="Garamond"/>
          <w:i/>
          <w:lang w:val="en-AU"/>
        </w:rPr>
      </w:pPr>
      <w:r w:rsidRPr="00A4622E">
        <w:rPr>
          <w:rFonts w:ascii="Garamond" w:hAnsi="Garamond"/>
          <w:i/>
          <w:lang w:val="en-AU"/>
        </w:rPr>
        <w:lastRenderedPageBreak/>
        <w:t>National Clinical Evidence Taskforce</w:t>
      </w:r>
    </w:p>
    <w:p w14:paraId="066BAB2A" w14:textId="1753A1A5" w:rsidR="009C6AF9" w:rsidRPr="00A4622E" w:rsidRDefault="00000000" w:rsidP="00D574D3">
      <w:pPr>
        <w:keepNext/>
        <w:keepLines/>
        <w:rPr>
          <w:rFonts w:ascii="Garamond" w:hAnsi="Garamond"/>
        </w:rPr>
      </w:pPr>
      <w:hyperlink r:id="rId41" w:history="1">
        <w:r w:rsidR="009C6AF9" w:rsidRPr="00A4622E">
          <w:rPr>
            <w:rStyle w:val="Hyperlink"/>
            <w:rFonts w:ascii="Garamond" w:hAnsi="Garamond"/>
          </w:rPr>
          <w:t>https://clinicalevidence.net.au/</w:t>
        </w:r>
      </w:hyperlink>
    </w:p>
    <w:p w14:paraId="7C588070" w14:textId="77777777" w:rsidR="009C6AF9" w:rsidRPr="00A4622E" w:rsidRDefault="009C6AF9" w:rsidP="009C6AF9">
      <w:pPr>
        <w:keepLines/>
        <w:rPr>
          <w:rFonts w:ascii="Garamond" w:hAnsi="Garamond"/>
          <w:lang w:val="en-AU"/>
        </w:rPr>
      </w:pPr>
      <w:r w:rsidRPr="00A4622E">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A4622E" w:rsidRDefault="009C6AF9" w:rsidP="009C6AF9">
      <w:pPr>
        <w:keepLines/>
        <w:rPr>
          <w:rFonts w:ascii="Garamond" w:hAnsi="Garamond"/>
          <w:lang w:val="en-AU"/>
        </w:rPr>
      </w:pPr>
      <w:r w:rsidRPr="00A4622E">
        <w:rPr>
          <w:rFonts w:ascii="Garamond" w:hAnsi="Garamond"/>
          <w:lang w:val="en-AU"/>
        </w:rPr>
        <w:t>This alliance established the world’s first ‘living guidelines’ for the care of people with COVID-19 and MPX.</w:t>
      </w:r>
    </w:p>
    <w:p w14:paraId="3FE22EB3" w14:textId="77777777" w:rsidR="009C6AF9" w:rsidRPr="00A4622E" w:rsidRDefault="009C6AF9" w:rsidP="009C6AF9">
      <w:pPr>
        <w:keepLines/>
        <w:rPr>
          <w:rFonts w:ascii="Garamond" w:hAnsi="Garamond"/>
          <w:lang w:val="en-AU"/>
        </w:rPr>
      </w:pPr>
      <w:r w:rsidRPr="00A4622E">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A4622E">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00000" w:rsidP="00D574D3">
      <w:pPr>
        <w:keepNext/>
        <w:keepLines/>
        <w:rPr>
          <w:rFonts w:ascii="Garamond" w:hAnsi="Garamond"/>
          <w:lang w:val="en-AU"/>
        </w:rPr>
      </w:pPr>
      <w:hyperlink r:id="rId4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7AE90A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BA62" w14:textId="77777777" w:rsidR="007A1AE0" w:rsidRDefault="007A1AE0">
      <w:r>
        <w:separator/>
      </w:r>
    </w:p>
  </w:endnote>
  <w:endnote w:type="continuationSeparator" w:id="0">
    <w:p w14:paraId="23FE9200" w14:textId="77777777" w:rsidR="007A1AE0" w:rsidRDefault="007A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FF Me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3AF2529"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B42540">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9271BC4"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B42540">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AD77" w14:textId="77777777" w:rsidR="007A1AE0" w:rsidRDefault="007A1AE0">
      <w:r>
        <w:separator/>
      </w:r>
    </w:p>
  </w:footnote>
  <w:footnote w:type="continuationSeparator" w:id="0">
    <w:p w14:paraId="23D2A6BA" w14:textId="77777777" w:rsidR="007A1AE0" w:rsidRDefault="007A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A3E9D"/>
    <w:multiLevelType w:val="hybridMultilevel"/>
    <w:tmpl w:val="8968E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10671F"/>
    <w:multiLevelType w:val="hybridMultilevel"/>
    <w:tmpl w:val="A15A9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0025D5"/>
    <w:multiLevelType w:val="hybridMultilevel"/>
    <w:tmpl w:val="3CD8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4B695B"/>
    <w:multiLevelType w:val="hybridMultilevel"/>
    <w:tmpl w:val="4E8E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8B1CA8"/>
    <w:multiLevelType w:val="hybridMultilevel"/>
    <w:tmpl w:val="1EC4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1A3CA3"/>
    <w:multiLevelType w:val="hybridMultilevel"/>
    <w:tmpl w:val="EAE8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CE372B"/>
    <w:multiLevelType w:val="hybridMultilevel"/>
    <w:tmpl w:val="5E6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416A42"/>
    <w:multiLevelType w:val="hybridMultilevel"/>
    <w:tmpl w:val="5328B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9201091">
    <w:abstractNumId w:val="28"/>
  </w:num>
  <w:num w:numId="2" w16cid:durableId="1683386478">
    <w:abstractNumId w:val="44"/>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6"/>
  </w:num>
  <w:num w:numId="14" w16cid:durableId="28579523">
    <w:abstractNumId w:val="29"/>
  </w:num>
  <w:num w:numId="15" w16cid:durableId="1756245841">
    <w:abstractNumId w:val="35"/>
  </w:num>
  <w:num w:numId="16" w16cid:durableId="1878159678">
    <w:abstractNumId w:val="18"/>
  </w:num>
  <w:num w:numId="17" w16cid:durableId="45615576">
    <w:abstractNumId w:val="20"/>
  </w:num>
  <w:num w:numId="18" w16cid:durableId="1406414453">
    <w:abstractNumId w:val="27"/>
  </w:num>
  <w:num w:numId="19" w16cid:durableId="737750215">
    <w:abstractNumId w:val="37"/>
  </w:num>
  <w:num w:numId="20" w16cid:durableId="1200898167">
    <w:abstractNumId w:val="11"/>
  </w:num>
  <w:num w:numId="21" w16cid:durableId="1166938752">
    <w:abstractNumId w:val="32"/>
  </w:num>
  <w:num w:numId="22" w16cid:durableId="737703960">
    <w:abstractNumId w:val="42"/>
  </w:num>
  <w:num w:numId="23" w16cid:durableId="2025203827">
    <w:abstractNumId w:val="17"/>
  </w:num>
  <w:num w:numId="24" w16cid:durableId="999892538">
    <w:abstractNumId w:val="14"/>
  </w:num>
  <w:num w:numId="25" w16cid:durableId="1463618998">
    <w:abstractNumId w:val="31"/>
  </w:num>
  <w:num w:numId="26" w16cid:durableId="959187077">
    <w:abstractNumId w:val="24"/>
  </w:num>
  <w:num w:numId="27" w16cid:durableId="801995102">
    <w:abstractNumId w:val="26"/>
  </w:num>
  <w:num w:numId="28" w16cid:durableId="600181248">
    <w:abstractNumId w:val="29"/>
  </w:num>
  <w:num w:numId="29" w16cid:durableId="1789663196">
    <w:abstractNumId w:val="45"/>
  </w:num>
  <w:num w:numId="30" w16cid:durableId="1527939059">
    <w:abstractNumId w:val="19"/>
  </w:num>
  <w:num w:numId="31" w16cid:durableId="270630794">
    <w:abstractNumId w:val="23"/>
  </w:num>
  <w:num w:numId="32" w16cid:durableId="1066418894">
    <w:abstractNumId w:val="13"/>
  </w:num>
  <w:num w:numId="33" w16cid:durableId="1216812581">
    <w:abstractNumId w:val="39"/>
  </w:num>
  <w:num w:numId="34" w16cid:durableId="172959014">
    <w:abstractNumId w:val="38"/>
  </w:num>
  <w:num w:numId="35" w16cid:durableId="287129421">
    <w:abstractNumId w:val="30"/>
  </w:num>
  <w:num w:numId="36" w16cid:durableId="713041987">
    <w:abstractNumId w:val="33"/>
  </w:num>
  <w:num w:numId="37" w16cid:durableId="1502544703">
    <w:abstractNumId w:val="16"/>
  </w:num>
  <w:num w:numId="38" w16cid:durableId="1109547922">
    <w:abstractNumId w:val="25"/>
  </w:num>
  <w:num w:numId="39" w16cid:durableId="941648099">
    <w:abstractNumId w:val="12"/>
  </w:num>
  <w:num w:numId="40" w16cid:durableId="1906449081">
    <w:abstractNumId w:val="34"/>
  </w:num>
  <w:num w:numId="41" w16cid:durableId="1096169244">
    <w:abstractNumId w:val="40"/>
  </w:num>
  <w:num w:numId="42" w16cid:durableId="1033264518">
    <w:abstractNumId w:val="22"/>
  </w:num>
  <w:num w:numId="43" w16cid:durableId="675618239">
    <w:abstractNumId w:val="43"/>
  </w:num>
  <w:num w:numId="44" w16cid:durableId="1778914552">
    <w:abstractNumId w:val="21"/>
  </w:num>
  <w:num w:numId="45" w16cid:durableId="673798415">
    <w:abstractNumId w:val="41"/>
  </w:num>
  <w:num w:numId="46" w16cid:durableId="1214000531">
    <w:abstractNumId w:val="15"/>
  </w:num>
  <w:num w:numId="47" w16cid:durableId="226916196">
    <w:abstractNumId w:val="10"/>
  </w:num>
  <w:num w:numId="48" w16cid:durableId="1568373104">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252"/>
    <w:rsid w:val="000763DB"/>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64A"/>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6B"/>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95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7BD"/>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19B"/>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48"/>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E7E2B"/>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3D4"/>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AE0"/>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BE5"/>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2ED"/>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772"/>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931"/>
    <w:rsid w:val="00944BA8"/>
    <w:rsid w:val="00944E82"/>
    <w:rsid w:val="00945130"/>
    <w:rsid w:val="00945742"/>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ECB"/>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22E"/>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60"/>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264"/>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4FE"/>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AF0"/>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5D6"/>
    <w:rsid w:val="00ED168E"/>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7D5"/>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25310/YWQZ9375" TargetMode="External"/><Relationship Id="rId26" Type="http://schemas.openxmlformats.org/officeDocument/2006/relationships/hyperlink" Target="https://www.nice.org.uk/guidance/ng145" TargetMode="External"/><Relationship Id="rId39"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 Id="rId21" Type="http://schemas.openxmlformats.org/officeDocument/2006/relationships/hyperlink" Target="https://doi.org/10.1016/j.healthpol.2023.104918"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oanjrr.sahmri.com/" TargetMode="External"/><Relationship Id="rId25" Type="http://schemas.openxmlformats.org/officeDocument/2006/relationships/hyperlink" Target="https://www.nice.org.uk/guidance"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publications-and-resources/resource-library/covid-19-and-face-masks-information-consumer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qip.org.uk/resource/national-joint-registry-20th-annual-report-2023/" TargetMode="External"/><Relationship Id="rId20" Type="http://schemas.openxmlformats.org/officeDocument/2006/relationships/hyperlink" Target="https://www.safetyandquality.gov.au/our-work/health-and-human-research/national-arrangements-clinical-quality-registries"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41" Type="http://schemas.openxmlformats.org/officeDocument/2006/relationships/hyperlink" Target="https://clinical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image" Target="media/image4.PNG"/><Relationship Id="rId37" Type="http://schemas.openxmlformats.org/officeDocument/2006/relationships/image" Target="media/image5.PNG"/><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ttingitrightfirsttime.co.uk/concise-guide-offers-actions-for-reducing-waiting-times-for-children-and-young-peoples-surger"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www.safetyandquality.gov.au/publications-and-resources/resource-library/covid-19-infection-prevention-and-control-risk-management-guidance"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oanjrr.sahmri.com/" TargetMode="External"/><Relationship Id="rId31" Type="http://schemas.openxmlformats.org/officeDocument/2006/relationships/hyperlink" Target="https://www.safetyandquality.gov.au/publications-and-resources/resource-library/poster-combined-airborne-and-contact-precaution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image" Target="media/image2.jpeg"/><Relationship Id="rId27" Type="http://schemas.openxmlformats.org/officeDocument/2006/relationships/hyperlink" Target="https://www.safetyandquality.gov.au/covid-19" TargetMode="External"/><Relationship Id="rId30" Type="http://schemas.openxmlformats.org/officeDocument/2006/relationships/image" Target="media/image3.PNG"/><Relationship Id="rId35" Type="http://schemas.openxmlformats.org/officeDocument/2006/relationships/hyperlink" Target="https://www.safetyandquality.gov.au/our-work/cognitive-impairment/cognitive-impairment-and-covid-1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Draft On the Radar Issue 624</vt:lpstr>
    </vt:vector>
  </TitlesOfParts>
  <Company>ACSQHC</Company>
  <LinksUpToDate>false</LinksUpToDate>
  <CharactersWithSpaces>17640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624</dc:title>
  <dc:subject/>
  <dc:creator>Dr Niall Johnson</dc:creator>
  <cp:keywords>On the Radar</cp:keywords>
  <dc:description/>
  <cp:lastModifiedBy>JOHNSON, Niall</cp:lastModifiedBy>
  <cp:revision>17</cp:revision>
  <cp:lastPrinted>2018-03-02T02:34:00Z</cp:lastPrinted>
  <dcterms:created xsi:type="dcterms:W3CDTF">2023-10-11T23:25:00Z</dcterms:created>
  <dcterms:modified xsi:type="dcterms:W3CDTF">2023-10-12T23:15:00Z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