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5CEECCAE"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557F8C34" w:rsidR="009932E9" w:rsidRDefault="009932E9" w:rsidP="00F738B5">
      <w:pPr>
        <w:rPr>
          <w:rFonts w:ascii="Garamond" w:hAnsi="Garamond"/>
          <w:lang w:val="en-AU"/>
        </w:rPr>
      </w:pPr>
      <w:r>
        <w:rPr>
          <w:rFonts w:ascii="Garamond" w:hAnsi="Garamond"/>
          <w:lang w:val="en-AU"/>
        </w:rPr>
        <w:t>Issue 6</w:t>
      </w:r>
      <w:r w:rsidR="00A90FB9">
        <w:rPr>
          <w:rFonts w:ascii="Garamond" w:hAnsi="Garamond"/>
          <w:lang w:val="en-AU"/>
        </w:rPr>
        <w:t>30</w:t>
      </w:r>
    </w:p>
    <w:p w14:paraId="5081D681" w14:textId="432224DA" w:rsidR="001A4346" w:rsidRDefault="002C14CC" w:rsidP="00F738B5">
      <w:pPr>
        <w:rPr>
          <w:rFonts w:ascii="Garamond" w:hAnsi="Garamond"/>
          <w:lang w:val="en-AU"/>
        </w:rPr>
      </w:pPr>
      <w:r>
        <w:rPr>
          <w:rFonts w:ascii="Garamond" w:hAnsi="Garamond"/>
          <w:lang w:val="en-AU"/>
        </w:rPr>
        <w:t>2</w:t>
      </w:r>
      <w:r w:rsidR="00A90FB9">
        <w:rPr>
          <w:rFonts w:ascii="Garamond" w:hAnsi="Garamond"/>
          <w:lang w:val="en-AU"/>
        </w:rPr>
        <w:t>7</w:t>
      </w:r>
      <w:r w:rsidR="0086754C">
        <w:rPr>
          <w:rFonts w:ascii="Garamond" w:hAnsi="Garamond"/>
          <w:lang w:val="en-AU"/>
        </w:rPr>
        <w:t xml:space="preserve"> Novem</w:t>
      </w:r>
      <w:r w:rsidR="00210EC6">
        <w:rPr>
          <w:rFonts w:ascii="Garamond" w:hAnsi="Garamond"/>
          <w:lang w:val="en-AU"/>
        </w:rPr>
        <w:t>b</w:t>
      </w:r>
      <w:r w:rsidR="00472B6B">
        <w:rPr>
          <w:rFonts w:ascii="Garamond" w:hAnsi="Garamond"/>
          <w:lang w:val="en-AU"/>
        </w:rPr>
        <w:t xml:space="preserve">er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34548E3"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47421D79" w14:textId="1D0EEE78" w:rsidR="00361F74"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7A2B86AB" w14:textId="5A49F95D" w:rsidR="000D1313" w:rsidRDefault="000D1313" w:rsidP="009525CC">
      <w:pPr>
        <w:rPr>
          <w:rFonts w:ascii="Garamond" w:hAnsi="Garamond"/>
          <w:bCs/>
          <w:lang w:val="en-AU"/>
        </w:rPr>
      </w:pPr>
    </w:p>
    <w:p w14:paraId="2E0E3FF9" w14:textId="7D070BC6" w:rsidR="00D0490E" w:rsidRDefault="00D0490E" w:rsidP="00D0490E">
      <w:pPr>
        <w:keepLines/>
        <w:autoSpaceDE w:val="0"/>
        <w:autoSpaceDN w:val="0"/>
        <w:adjustRightInd w:val="0"/>
        <w:rPr>
          <w:rFonts w:ascii="Garamond" w:hAnsi="Garamond"/>
          <w:lang w:val="en-AU"/>
        </w:rPr>
      </w:pPr>
    </w:p>
    <w:p w14:paraId="738B1966" w14:textId="77777777" w:rsidR="00D0490E" w:rsidRDefault="00D0490E" w:rsidP="00E02472">
      <w:pPr>
        <w:keepNext/>
        <w:keepLines/>
        <w:autoSpaceDE w:val="0"/>
        <w:autoSpaceDN w:val="0"/>
        <w:adjustRightInd w:val="0"/>
        <w:rPr>
          <w:rFonts w:ascii="Garamond" w:hAnsi="Garamond"/>
          <w:b/>
          <w:lang w:val="en-AU"/>
        </w:rPr>
      </w:pPr>
      <w:r>
        <w:rPr>
          <w:rFonts w:ascii="Garamond" w:hAnsi="Garamond"/>
          <w:b/>
          <w:lang w:val="en-AU"/>
        </w:rPr>
        <w:t>Reports</w:t>
      </w:r>
    </w:p>
    <w:p w14:paraId="78062848" w14:textId="12A97BD3" w:rsidR="00DD64D5" w:rsidRDefault="00DD64D5" w:rsidP="00DD64D5">
      <w:pPr>
        <w:keepNext/>
        <w:rPr>
          <w:rFonts w:ascii="Garamond" w:hAnsi="Garamond"/>
          <w:lang w:val="en-AU"/>
        </w:rPr>
      </w:pPr>
      <w:bookmarkStart w:id="1" w:name="_Hlk146099193"/>
    </w:p>
    <w:p w14:paraId="3C88D8A0" w14:textId="77777777" w:rsidR="00B42D83" w:rsidRPr="00B42D83" w:rsidRDefault="00B42D83" w:rsidP="00B42D83">
      <w:pPr>
        <w:keepNext/>
        <w:rPr>
          <w:rFonts w:ascii="Garamond" w:hAnsi="Garamond"/>
          <w:i/>
          <w:iCs/>
          <w:lang w:val="en-AU"/>
        </w:rPr>
      </w:pPr>
      <w:r w:rsidRPr="00B42D83">
        <w:rPr>
          <w:rFonts w:ascii="Garamond" w:hAnsi="Garamond"/>
          <w:i/>
          <w:iCs/>
          <w:lang w:val="en-AU"/>
        </w:rPr>
        <w:t>A National Policy Roadmap for Artificial Intelligence in Healthcare</w:t>
      </w:r>
    </w:p>
    <w:p w14:paraId="42E935A9" w14:textId="77777777" w:rsidR="00B42D83" w:rsidRDefault="00B42D83" w:rsidP="00B42D83">
      <w:pPr>
        <w:keepNext/>
        <w:rPr>
          <w:rFonts w:ascii="Garamond" w:hAnsi="Garamond"/>
          <w:lang w:val="en-AU"/>
        </w:rPr>
      </w:pPr>
      <w:r w:rsidRPr="00B42D83">
        <w:rPr>
          <w:rFonts w:ascii="Garamond" w:hAnsi="Garamond"/>
          <w:lang w:val="en-AU"/>
        </w:rPr>
        <w:t>Australian Alliance for Artificial Intelligence in Healthcare</w:t>
      </w:r>
    </w:p>
    <w:p w14:paraId="05C6EA85" w14:textId="7E0A6C19" w:rsidR="00B42D83" w:rsidRDefault="00B42D83" w:rsidP="00B42D83">
      <w:pPr>
        <w:keepNext/>
        <w:rPr>
          <w:rFonts w:ascii="Garamond" w:hAnsi="Garamond"/>
          <w:lang w:val="en-AU"/>
        </w:rPr>
      </w:pPr>
      <w:r w:rsidRPr="00B42D83">
        <w:rPr>
          <w:rFonts w:ascii="Garamond" w:hAnsi="Garamond"/>
          <w:lang w:val="en-AU"/>
        </w:rPr>
        <w:t>North Ryde: Australian Alliance for Artificial Intelligence in Healthcare</w:t>
      </w:r>
      <w:proofErr w:type="gramStart"/>
      <w:r w:rsidRPr="00B42D83">
        <w:rPr>
          <w:rFonts w:ascii="Garamond" w:hAnsi="Garamond"/>
          <w:lang w:val="en-AU"/>
        </w:rPr>
        <w:t>,</w:t>
      </w:r>
      <w:r>
        <w:rPr>
          <w:rFonts w:ascii="Garamond" w:hAnsi="Garamond"/>
          <w:lang w:val="en-AU"/>
        </w:rPr>
        <w:t xml:space="preserve"> </w:t>
      </w:r>
      <w:r w:rsidRPr="00B42D83">
        <w:rPr>
          <w:rFonts w:ascii="Garamond" w:hAnsi="Garamond"/>
          <w:lang w:val="en-AU"/>
        </w:rPr>
        <w:t>;</w:t>
      </w:r>
      <w:proofErr w:type="gramEnd"/>
      <w:r w:rsidRPr="00B42D83">
        <w:rPr>
          <w:rFonts w:ascii="Garamond" w:hAnsi="Garamond"/>
          <w:lang w:val="en-AU"/>
        </w:rPr>
        <w:t xml:space="preserve"> 2021. p. 24.</w:t>
      </w:r>
    </w:p>
    <w:tbl>
      <w:tblPr>
        <w:tblStyle w:val="TableGrid"/>
        <w:tblW w:w="9360" w:type="dxa"/>
        <w:tblInd w:w="288" w:type="dxa"/>
        <w:tblLayout w:type="fixed"/>
        <w:tblLook w:val="01E0" w:firstRow="1" w:lastRow="1" w:firstColumn="1" w:lastColumn="1" w:noHBand="0" w:noVBand="0"/>
      </w:tblPr>
      <w:tblGrid>
        <w:gridCol w:w="1080"/>
        <w:gridCol w:w="8280"/>
      </w:tblGrid>
      <w:tr w:rsidR="00B42D83" w:rsidRPr="000170DA" w14:paraId="47E05122" w14:textId="77777777" w:rsidTr="002E5116">
        <w:tc>
          <w:tcPr>
            <w:tcW w:w="1080" w:type="dxa"/>
            <w:tcBorders>
              <w:top w:val="single" w:sz="4" w:space="0" w:color="auto"/>
              <w:left w:val="single" w:sz="4" w:space="0" w:color="auto"/>
              <w:bottom w:val="single" w:sz="4" w:space="0" w:color="auto"/>
              <w:right w:val="single" w:sz="4" w:space="0" w:color="auto"/>
            </w:tcBorders>
            <w:vAlign w:val="center"/>
          </w:tcPr>
          <w:p w14:paraId="240517D4" w14:textId="7C70BA21" w:rsidR="00B42D83" w:rsidRPr="000170DA" w:rsidRDefault="00B42D83" w:rsidP="002E511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26FD8E2" w14:textId="798063C7" w:rsidR="00B42D83" w:rsidRPr="000170DA" w:rsidRDefault="00000000" w:rsidP="002E5116">
            <w:pPr>
              <w:keepNext/>
              <w:rPr>
                <w:rStyle w:val="Hyperlink"/>
                <w:rFonts w:ascii="Garamond" w:hAnsi="Garamond"/>
                <w:color w:val="auto"/>
                <w:u w:val="none"/>
                <w:lang w:val="en-AU"/>
              </w:rPr>
            </w:pPr>
            <w:hyperlink r:id="rId15" w:history="1">
              <w:r w:rsidR="008465BB" w:rsidRPr="00491B7C">
                <w:rPr>
                  <w:rStyle w:val="Hyperlink"/>
                  <w:rFonts w:ascii="Garamond" w:hAnsi="Garamond"/>
                  <w:lang w:val="en-AU"/>
                </w:rPr>
                <w:t>https://aihealthalliance.org/2023/11/16/ai-can-revolutionise-healthcare-but-only-with-a-national-plan/</w:t>
              </w:r>
            </w:hyperlink>
            <w:r w:rsidR="008465BB">
              <w:rPr>
                <w:rStyle w:val="Hyperlink"/>
                <w:rFonts w:ascii="Garamond" w:hAnsi="Garamond"/>
                <w:color w:val="auto"/>
                <w:u w:val="none"/>
                <w:lang w:val="en-AU"/>
              </w:rPr>
              <w:t xml:space="preserve"> </w:t>
            </w:r>
          </w:p>
        </w:tc>
      </w:tr>
      <w:tr w:rsidR="00B42D83" w:rsidRPr="000170DA" w14:paraId="444110EA" w14:textId="77777777" w:rsidTr="002E5116">
        <w:tc>
          <w:tcPr>
            <w:tcW w:w="1080" w:type="dxa"/>
            <w:tcBorders>
              <w:top w:val="single" w:sz="4" w:space="0" w:color="auto"/>
              <w:left w:val="single" w:sz="4" w:space="0" w:color="auto"/>
              <w:bottom w:val="single" w:sz="4" w:space="0" w:color="auto"/>
              <w:right w:val="single" w:sz="4" w:space="0" w:color="auto"/>
            </w:tcBorders>
            <w:vAlign w:val="center"/>
          </w:tcPr>
          <w:p w14:paraId="03956916" w14:textId="77777777" w:rsidR="00B42D83" w:rsidRPr="000170DA" w:rsidRDefault="00B42D83" w:rsidP="002E511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D047F17" w14:textId="13966532" w:rsidR="00B42D83" w:rsidRDefault="008465BB" w:rsidP="00DC5A25">
            <w:pPr>
              <w:rPr>
                <w:rFonts w:ascii="Garamond" w:hAnsi="Garamond"/>
                <w:lang w:val="en-AU"/>
              </w:rPr>
            </w:pPr>
            <w:r>
              <w:rPr>
                <w:rFonts w:ascii="Garamond" w:hAnsi="Garamond"/>
                <w:lang w:val="en-AU"/>
              </w:rPr>
              <w:t xml:space="preserve">The </w:t>
            </w:r>
            <w:r w:rsidRPr="008465BB">
              <w:rPr>
                <w:rFonts w:ascii="Garamond" w:hAnsi="Garamond"/>
                <w:lang w:val="en-AU"/>
              </w:rPr>
              <w:t>Australian Alliance for Artificial Intelligence in Healthcare</w:t>
            </w:r>
            <w:r>
              <w:rPr>
                <w:rFonts w:ascii="Garamond" w:hAnsi="Garamond"/>
                <w:lang w:val="en-AU"/>
              </w:rPr>
              <w:t xml:space="preserve"> </w:t>
            </w:r>
            <w:r w:rsidR="004C282B">
              <w:rPr>
                <w:rFonts w:ascii="Garamond" w:hAnsi="Garamond"/>
                <w:lang w:val="en-AU"/>
              </w:rPr>
              <w:t xml:space="preserve">has developed </w:t>
            </w:r>
            <w:r w:rsidR="007758B8">
              <w:rPr>
                <w:rFonts w:ascii="Garamond" w:hAnsi="Garamond"/>
                <w:lang w:val="en-AU"/>
              </w:rPr>
              <w:t xml:space="preserve">this </w:t>
            </w:r>
            <w:r w:rsidR="00F0341B">
              <w:rPr>
                <w:rFonts w:ascii="Garamond" w:hAnsi="Garamond"/>
                <w:lang w:val="en-AU"/>
              </w:rPr>
              <w:t xml:space="preserve">updated </w:t>
            </w:r>
            <w:r w:rsidR="00EA69F1">
              <w:rPr>
                <w:rFonts w:ascii="Garamond" w:hAnsi="Garamond"/>
                <w:lang w:val="en-AU"/>
              </w:rPr>
              <w:t>‘</w:t>
            </w:r>
            <w:r w:rsidR="007758B8">
              <w:rPr>
                <w:rFonts w:ascii="Garamond" w:hAnsi="Garamond"/>
                <w:lang w:val="en-AU"/>
              </w:rPr>
              <w:t>roadmap</w:t>
            </w:r>
            <w:r w:rsidR="00EA69F1">
              <w:rPr>
                <w:rFonts w:ascii="Garamond" w:hAnsi="Garamond"/>
                <w:lang w:val="en-AU"/>
              </w:rPr>
              <w:t>’</w:t>
            </w:r>
            <w:r w:rsidR="007758B8">
              <w:rPr>
                <w:rFonts w:ascii="Garamond" w:hAnsi="Garamond"/>
                <w:lang w:val="en-AU"/>
              </w:rPr>
              <w:t xml:space="preserve"> </w:t>
            </w:r>
            <w:r w:rsidR="00DC5A25">
              <w:rPr>
                <w:rFonts w:ascii="Garamond" w:hAnsi="Garamond"/>
                <w:lang w:val="en-AU"/>
              </w:rPr>
              <w:t>to provide ‘</w:t>
            </w:r>
            <w:r w:rsidR="00DC5A25" w:rsidRPr="00DC5A25">
              <w:rPr>
                <w:rFonts w:ascii="Garamond" w:hAnsi="Garamond"/>
                <w:lang w:val="en-AU"/>
              </w:rPr>
              <w:t>a policy agenda for AI in</w:t>
            </w:r>
            <w:r w:rsidR="00DC5A25">
              <w:rPr>
                <w:rFonts w:ascii="Garamond" w:hAnsi="Garamond"/>
                <w:lang w:val="en-AU"/>
              </w:rPr>
              <w:t xml:space="preserve"> </w:t>
            </w:r>
            <w:r w:rsidR="00DC5A25" w:rsidRPr="00DC5A25">
              <w:rPr>
                <w:rFonts w:ascii="Garamond" w:hAnsi="Garamond"/>
                <w:lang w:val="en-AU"/>
              </w:rPr>
              <w:t>Healthcare</w:t>
            </w:r>
            <w:r w:rsidR="00DC5A25">
              <w:rPr>
                <w:rFonts w:ascii="Garamond" w:hAnsi="Garamond"/>
                <w:lang w:val="en-AU"/>
              </w:rPr>
              <w:t xml:space="preserve">’ </w:t>
            </w:r>
            <w:r w:rsidR="00D021D5">
              <w:rPr>
                <w:rFonts w:ascii="Garamond" w:hAnsi="Garamond"/>
                <w:lang w:val="en-AU"/>
              </w:rPr>
              <w:t>that is ‘</w:t>
            </w:r>
            <w:r w:rsidR="00D021D5" w:rsidRPr="00D021D5">
              <w:rPr>
                <w:rFonts w:ascii="Garamond" w:hAnsi="Garamond"/>
                <w:lang w:val="en-AU"/>
              </w:rPr>
              <w:t>designed to assist all levels of government, industry and civil society</w:t>
            </w:r>
            <w:r w:rsidR="00D021D5">
              <w:rPr>
                <w:rFonts w:ascii="Garamond" w:hAnsi="Garamond"/>
                <w:lang w:val="en-AU"/>
              </w:rPr>
              <w:t xml:space="preserve">’ in </w:t>
            </w:r>
            <w:r w:rsidR="00C91FDE">
              <w:rPr>
                <w:rFonts w:ascii="Garamond" w:hAnsi="Garamond"/>
                <w:lang w:val="en-AU"/>
              </w:rPr>
              <w:t xml:space="preserve">developing the policy and regulatory environment </w:t>
            </w:r>
            <w:r w:rsidR="00BF1A4C">
              <w:rPr>
                <w:rFonts w:ascii="Garamond" w:hAnsi="Garamond"/>
                <w:lang w:val="en-AU"/>
              </w:rPr>
              <w:t xml:space="preserve">to </w:t>
            </w:r>
            <w:r w:rsidR="001E278D">
              <w:rPr>
                <w:rFonts w:ascii="Garamond" w:hAnsi="Garamond"/>
                <w:lang w:val="en-AU"/>
              </w:rPr>
              <w:t>‘</w:t>
            </w:r>
            <w:r w:rsidR="001E278D" w:rsidRPr="001E278D">
              <w:rPr>
                <w:rFonts w:ascii="Garamond" w:hAnsi="Garamond"/>
                <w:lang w:val="en-AU"/>
              </w:rPr>
              <w:t>help industry exploit AI, and support healthcare services to be effective adopters of AI</w:t>
            </w:r>
            <w:r w:rsidR="001E278D">
              <w:rPr>
                <w:rFonts w:ascii="Garamond" w:hAnsi="Garamond"/>
                <w:lang w:val="en-AU"/>
              </w:rPr>
              <w:t xml:space="preserve">.’ </w:t>
            </w:r>
          </w:p>
          <w:p w14:paraId="7478DB81" w14:textId="52A4012A" w:rsidR="00201AFC" w:rsidRDefault="00201AFC" w:rsidP="002E5116">
            <w:pPr>
              <w:rPr>
                <w:rFonts w:ascii="Garamond" w:hAnsi="Garamond"/>
                <w:lang w:val="en-AU"/>
              </w:rPr>
            </w:pPr>
            <w:r>
              <w:rPr>
                <w:rFonts w:ascii="Garamond" w:hAnsi="Garamond"/>
                <w:lang w:val="en-AU"/>
              </w:rPr>
              <w:t>The report’s</w:t>
            </w:r>
            <w:r w:rsidR="007A2949">
              <w:rPr>
                <w:rFonts w:ascii="Garamond" w:hAnsi="Garamond"/>
                <w:lang w:val="en-AU"/>
              </w:rPr>
              <w:t xml:space="preserve"> 16</w:t>
            </w:r>
            <w:r>
              <w:rPr>
                <w:rFonts w:ascii="Garamond" w:hAnsi="Garamond"/>
                <w:lang w:val="en-AU"/>
              </w:rPr>
              <w:t xml:space="preserve"> recom</w:t>
            </w:r>
            <w:r w:rsidR="00193D71">
              <w:rPr>
                <w:rFonts w:ascii="Garamond" w:hAnsi="Garamond"/>
                <w:lang w:val="en-AU"/>
              </w:rPr>
              <w:t>mendations fall into five areas:</w:t>
            </w:r>
          </w:p>
          <w:p w14:paraId="60C0B8F5" w14:textId="5FB0A285" w:rsidR="00193D71" w:rsidRPr="00193D71" w:rsidRDefault="00193D71" w:rsidP="00193D71">
            <w:pPr>
              <w:pStyle w:val="ListParagraph"/>
              <w:numPr>
                <w:ilvl w:val="0"/>
                <w:numId w:val="25"/>
              </w:numPr>
              <w:rPr>
                <w:rFonts w:ascii="Garamond" w:hAnsi="Garamond"/>
                <w:lang w:val="en-AU"/>
              </w:rPr>
            </w:pPr>
            <w:r w:rsidRPr="000C42F4">
              <w:rPr>
                <w:rFonts w:ascii="Garamond" w:hAnsi="Garamond"/>
                <w:b/>
                <w:bCs/>
                <w:lang w:val="en-AU"/>
              </w:rPr>
              <w:t>AI safety, quality, ethics and security</w:t>
            </w:r>
            <w:r w:rsidRPr="00193D71">
              <w:rPr>
                <w:rFonts w:ascii="Garamond" w:hAnsi="Garamond"/>
                <w:lang w:val="en-AU"/>
              </w:rPr>
              <w:t xml:space="preserve"> – ensuring the safe use of AI in healthcare.</w:t>
            </w:r>
          </w:p>
          <w:p w14:paraId="5FBC8C5F" w14:textId="667934C5" w:rsidR="00193D71" w:rsidRPr="00193D71" w:rsidRDefault="00193D71" w:rsidP="00193D71">
            <w:pPr>
              <w:pStyle w:val="ListParagraph"/>
              <w:numPr>
                <w:ilvl w:val="0"/>
                <w:numId w:val="25"/>
              </w:numPr>
              <w:rPr>
                <w:rFonts w:ascii="Garamond" w:hAnsi="Garamond"/>
                <w:lang w:val="en-AU"/>
              </w:rPr>
            </w:pPr>
            <w:r w:rsidRPr="000C42F4">
              <w:rPr>
                <w:rFonts w:ascii="Garamond" w:hAnsi="Garamond"/>
                <w:b/>
                <w:bCs/>
                <w:lang w:val="en-AU"/>
              </w:rPr>
              <w:t>Workforce</w:t>
            </w:r>
            <w:r w:rsidRPr="00193D71">
              <w:rPr>
                <w:rFonts w:ascii="Garamond" w:hAnsi="Garamond"/>
                <w:lang w:val="en-AU"/>
              </w:rPr>
              <w:t xml:space="preserve"> – enabling essential training and development of the healthcare and AI workforce.</w:t>
            </w:r>
          </w:p>
          <w:p w14:paraId="4CD48A45" w14:textId="492193B2" w:rsidR="00193D71" w:rsidRPr="00193D71" w:rsidRDefault="00193D71" w:rsidP="00193D71">
            <w:pPr>
              <w:pStyle w:val="ListParagraph"/>
              <w:numPr>
                <w:ilvl w:val="0"/>
                <w:numId w:val="25"/>
              </w:numPr>
              <w:rPr>
                <w:rFonts w:ascii="Garamond" w:hAnsi="Garamond"/>
                <w:lang w:val="en-AU"/>
              </w:rPr>
            </w:pPr>
            <w:r w:rsidRPr="000C42F4">
              <w:rPr>
                <w:rFonts w:ascii="Garamond" w:hAnsi="Garamond"/>
                <w:b/>
                <w:bCs/>
                <w:lang w:val="en-AU"/>
              </w:rPr>
              <w:lastRenderedPageBreak/>
              <w:t>Consumers</w:t>
            </w:r>
            <w:r w:rsidRPr="00193D71">
              <w:rPr>
                <w:rFonts w:ascii="Garamond" w:hAnsi="Garamond"/>
                <w:lang w:val="en-AU"/>
              </w:rPr>
              <w:t xml:space="preserve"> – ensuring health AI literacy.</w:t>
            </w:r>
          </w:p>
          <w:p w14:paraId="18196D76" w14:textId="53E60793" w:rsidR="00193D71" w:rsidRPr="00193D71" w:rsidRDefault="00193D71" w:rsidP="00193D71">
            <w:pPr>
              <w:pStyle w:val="ListParagraph"/>
              <w:numPr>
                <w:ilvl w:val="0"/>
                <w:numId w:val="25"/>
              </w:numPr>
              <w:rPr>
                <w:rFonts w:ascii="Garamond" w:hAnsi="Garamond"/>
                <w:lang w:val="en-AU"/>
              </w:rPr>
            </w:pPr>
            <w:r w:rsidRPr="000C42F4">
              <w:rPr>
                <w:rFonts w:ascii="Garamond" w:hAnsi="Garamond"/>
                <w:b/>
                <w:bCs/>
                <w:lang w:val="en-AU"/>
              </w:rPr>
              <w:t>Industry</w:t>
            </w:r>
            <w:r w:rsidRPr="00193D71">
              <w:rPr>
                <w:rFonts w:ascii="Garamond" w:hAnsi="Garamond"/>
                <w:lang w:val="en-AU"/>
              </w:rPr>
              <w:t xml:space="preserve"> – supporting industry to thrive and be competitive.</w:t>
            </w:r>
          </w:p>
          <w:p w14:paraId="15ED1B68" w14:textId="4B98A3E4" w:rsidR="00193D71" w:rsidRPr="00D0490E" w:rsidRDefault="00193D71" w:rsidP="000C42F4">
            <w:pPr>
              <w:pStyle w:val="ListParagraph"/>
              <w:numPr>
                <w:ilvl w:val="0"/>
                <w:numId w:val="25"/>
              </w:numPr>
              <w:rPr>
                <w:rFonts w:ascii="Garamond" w:hAnsi="Garamond"/>
                <w:lang w:val="en-AU"/>
              </w:rPr>
            </w:pPr>
            <w:r w:rsidRPr="000C42F4">
              <w:rPr>
                <w:rFonts w:ascii="Garamond" w:hAnsi="Garamond"/>
                <w:b/>
                <w:bCs/>
                <w:lang w:val="en-AU"/>
              </w:rPr>
              <w:t>Research</w:t>
            </w:r>
            <w:r w:rsidRPr="00193D71">
              <w:rPr>
                <w:rFonts w:ascii="Garamond" w:hAnsi="Garamond"/>
                <w:lang w:val="en-AU"/>
              </w:rPr>
              <w:t xml:space="preserve"> – guiding the research that will protect Australia’s national interest.</w:t>
            </w:r>
          </w:p>
        </w:tc>
      </w:tr>
    </w:tbl>
    <w:p w14:paraId="0C419ED4" w14:textId="77777777" w:rsidR="00B42D83" w:rsidRDefault="00B42D83" w:rsidP="00DD64D5">
      <w:pPr>
        <w:keepNext/>
        <w:rPr>
          <w:rFonts w:ascii="Garamond" w:hAnsi="Garamond"/>
          <w:lang w:val="en-AU"/>
        </w:rPr>
      </w:pPr>
    </w:p>
    <w:p w14:paraId="0F281267" w14:textId="77777777" w:rsidR="00852D0F" w:rsidRPr="00296983" w:rsidRDefault="00852D0F" w:rsidP="00852D0F">
      <w:pPr>
        <w:keepNext/>
        <w:rPr>
          <w:rFonts w:ascii="Garamond" w:hAnsi="Garamond"/>
          <w:i/>
          <w:iCs/>
          <w:lang w:val="en-AU"/>
        </w:rPr>
      </w:pPr>
      <w:r w:rsidRPr="00296983">
        <w:rPr>
          <w:rFonts w:ascii="Garamond" w:hAnsi="Garamond"/>
          <w:i/>
          <w:iCs/>
          <w:lang w:val="en-AU"/>
        </w:rPr>
        <w:t>The health of people in Australia's prisons 2022</w:t>
      </w:r>
    </w:p>
    <w:p w14:paraId="0F56A315" w14:textId="77777777" w:rsidR="00852D0F" w:rsidRDefault="00852D0F" w:rsidP="00852D0F">
      <w:pPr>
        <w:keepNext/>
        <w:rPr>
          <w:rFonts w:ascii="Garamond" w:hAnsi="Garamond"/>
          <w:lang w:val="en-AU"/>
        </w:rPr>
      </w:pPr>
      <w:r w:rsidRPr="00815306">
        <w:rPr>
          <w:rFonts w:ascii="Garamond" w:hAnsi="Garamond"/>
          <w:lang w:val="en-AU"/>
        </w:rPr>
        <w:t>Australian Institute for Health and Welfare</w:t>
      </w:r>
    </w:p>
    <w:p w14:paraId="09BB0FCF" w14:textId="77777777" w:rsidR="00852D0F" w:rsidRPr="00D65371" w:rsidRDefault="00852D0F" w:rsidP="00852D0F">
      <w:pPr>
        <w:keepNext/>
        <w:rPr>
          <w:rFonts w:ascii="Garamond" w:hAnsi="Garamond"/>
          <w:lang w:val="en-AU"/>
        </w:rPr>
      </w:pPr>
      <w:r w:rsidRPr="00815306">
        <w:rPr>
          <w:rFonts w:ascii="Garamond" w:hAnsi="Garamond"/>
          <w:lang w:val="en-AU"/>
        </w:rPr>
        <w:t>Canberra: AIHW; 2023.</w:t>
      </w:r>
    </w:p>
    <w:tbl>
      <w:tblPr>
        <w:tblStyle w:val="TableGrid"/>
        <w:tblW w:w="9360" w:type="dxa"/>
        <w:tblInd w:w="288" w:type="dxa"/>
        <w:tblLayout w:type="fixed"/>
        <w:tblLook w:val="01E0" w:firstRow="1" w:lastRow="1" w:firstColumn="1" w:lastColumn="1" w:noHBand="0" w:noVBand="0"/>
      </w:tblPr>
      <w:tblGrid>
        <w:gridCol w:w="1080"/>
        <w:gridCol w:w="8280"/>
      </w:tblGrid>
      <w:tr w:rsidR="00852D0F" w:rsidRPr="000170DA" w14:paraId="28796351" w14:textId="77777777" w:rsidTr="00C34202">
        <w:tc>
          <w:tcPr>
            <w:tcW w:w="1080" w:type="dxa"/>
            <w:tcBorders>
              <w:top w:val="single" w:sz="4" w:space="0" w:color="auto"/>
              <w:left w:val="single" w:sz="4" w:space="0" w:color="auto"/>
              <w:bottom w:val="single" w:sz="4" w:space="0" w:color="auto"/>
              <w:right w:val="single" w:sz="4" w:space="0" w:color="auto"/>
            </w:tcBorders>
            <w:vAlign w:val="center"/>
          </w:tcPr>
          <w:p w14:paraId="685A2DFF" w14:textId="77777777" w:rsidR="00852D0F" w:rsidRPr="000170DA" w:rsidRDefault="00852D0F" w:rsidP="00C34202">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6A37982" w14:textId="77777777" w:rsidR="00852D0F" w:rsidRPr="000170DA" w:rsidRDefault="00000000" w:rsidP="00C34202">
            <w:pPr>
              <w:keepNext/>
              <w:rPr>
                <w:rStyle w:val="Hyperlink"/>
                <w:rFonts w:ascii="Garamond" w:hAnsi="Garamond"/>
                <w:color w:val="auto"/>
                <w:u w:val="none"/>
                <w:lang w:val="en-AU"/>
              </w:rPr>
            </w:pPr>
            <w:hyperlink r:id="rId16" w:history="1">
              <w:r w:rsidR="00852D0F" w:rsidRPr="002C2E1D">
                <w:rPr>
                  <w:rStyle w:val="Hyperlink"/>
                  <w:rFonts w:ascii="Garamond" w:hAnsi="Garamond"/>
                  <w:lang w:val="en-AU"/>
                </w:rPr>
                <w:t>https://www.aihw.gov.au/reports/prisoners/the-health-of-people-in-australias-prisons-2022/contents/about</w:t>
              </w:r>
            </w:hyperlink>
          </w:p>
        </w:tc>
      </w:tr>
      <w:tr w:rsidR="00852D0F" w:rsidRPr="000170DA" w14:paraId="11E18A45" w14:textId="77777777" w:rsidTr="00C34202">
        <w:tc>
          <w:tcPr>
            <w:tcW w:w="1080" w:type="dxa"/>
            <w:tcBorders>
              <w:top w:val="single" w:sz="4" w:space="0" w:color="auto"/>
              <w:left w:val="single" w:sz="4" w:space="0" w:color="auto"/>
              <w:bottom w:val="single" w:sz="4" w:space="0" w:color="auto"/>
              <w:right w:val="single" w:sz="4" w:space="0" w:color="auto"/>
            </w:tcBorders>
            <w:vAlign w:val="center"/>
          </w:tcPr>
          <w:p w14:paraId="53E3F444" w14:textId="77777777" w:rsidR="00852D0F" w:rsidRPr="000170DA" w:rsidRDefault="00852D0F" w:rsidP="00C3420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B1EA65F" w14:textId="77777777" w:rsidR="00852D0F" w:rsidRPr="00D0490E" w:rsidRDefault="00852D0F" w:rsidP="00C34202">
            <w:pPr>
              <w:rPr>
                <w:rFonts w:ascii="Garamond" w:hAnsi="Garamond"/>
                <w:lang w:val="en-AU"/>
              </w:rPr>
            </w:pPr>
            <w:r>
              <w:rPr>
                <w:rFonts w:ascii="Garamond" w:hAnsi="Garamond"/>
                <w:lang w:val="en-AU"/>
              </w:rPr>
              <w:t>The Australian Institute of Health and Welfare (AIHW) has released this report on the health of people in prisons in Australia. As the report notes, ‘</w:t>
            </w:r>
            <w:r w:rsidRPr="00502E1C">
              <w:rPr>
                <w:rFonts w:ascii="Garamond" w:hAnsi="Garamond"/>
                <w:lang w:val="en-AU"/>
              </w:rPr>
              <w:t>People in prison are among the most vulnerable groups in society. They are more likely to</w:t>
            </w:r>
            <w:r>
              <w:rPr>
                <w:rFonts w:ascii="Garamond" w:hAnsi="Garamond"/>
                <w:lang w:val="en-AU"/>
              </w:rPr>
              <w:t xml:space="preserve"> </w:t>
            </w:r>
            <w:r w:rsidRPr="00502E1C">
              <w:rPr>
                <w:rFonts w:ascii="Garamond" w:hAnsi="Garamond"/>
                <w:lang w:val="en-AU"/>
              </w:rPr>
              <w:t>have been homeless and unemployed than people in the general community and often come</w:t>
            </w:r>
            <w:r>
              <w:rPr>
                <w:rFonts w:ascii="Garamond" w:hAnsi="Garamond"/>
                <w:lang w:val="en-AU"/>
              </w:rPr>
              <w:t xml:space="preserve"> </w:t>
            </w:r>
            <w:r w:rsidRPr="00502E1C">
              <w:rPr>
                <w:rFonts w:ascii="Garamond" w:hAnsi="Garamond"/>
                <w:lang w:val="en-AU"/>
              </w:rPr>
              <w:t>from socioeconomically disadvantaged backgrounds</w:t>
            </w:r>
            <w:proofErr w:type="gramStart"/>
            <w:r>
              <w:rPr>
                <w:rFonts w:ascii="Garamond" w:hAnsi="Garamond"/>
                <w:lang w:val="en-AU"/>
              </w:rPr>
              <w:t>’  They</w:t>
            </w:r>
            <w:proofErr w:type="gramEnd"/>
            <w:r>
              <w:rPr>
                <w:rFonts w:ascii="Garamond" w:hAnsi="Garamond"/>
                <w:lang w:val="en-AU"/>
              </w:rPr>
              <w:t xml:space="preserve"> tend to have, as the web page state, they also tend to ‘</w:t>
            </w:r>
            <w:r w:rsidRPr="00502E1C">
              <w:rPr>
                <w:rFonts w:ascii="Garamond" w:hAnsi="Garamond"/>
                <w:lang w:val="en-AU"/>
              </w:rPr>
              <w:t>poorer physical and mental health outcomes than the general population. They are less likely to have accessed health-care services, and more likely to have a history of risk behaviours that can affect health and wellbeing. Most people in prison are there for short periods, and many enter and exit the system multiple times. The health of people in prison is public health.</w:t>
            </w:r>
            <w:r>
              <w:rPr>
                <w:rFonts w:ascii="Garamond" w:hAnsi="Garamond"/>
                <w:lang w:val="en-AU"/>
              </w:rPr>
              <w:t xml:space="preserve"> The safety and quality issues of delivering care in these settings may differ from other settings.</w:t>
            </w:r>
          </w:p>
        </w:tc>
      </w:tr>
    </w:tbl>
    <w:p w14:paraId="14822102" w14:textId="77777777" w:rsidR="00852D0F" w:rsidRDefault="00852D0F" w:rsidP="00852D0F">
      <w:pPr>
        <w:keepLines/>
        <w:autoSpaceDE w:val="0"/>
        <w:autoSpaceDN w:val="0"/>
        <w:adjustRightInd w:val="0"/>
        <w:rPr>
          <w:rFonts w:ascii="Garamond" w:hAnsi="Garamond"/>
          <w:lang w:val="en-AU"/>
        </w:rPr>
      </w:pPr>
    </w:p>
    <w:p w14:paraId="3A9A2DE0" w14:textId="77777777" w:rsidR="00DD2672" w:rsidRPr="009741F0" w:rsidRDefault="00DD2672" w:rsidP="00DD2672">
      <w:pPr>
        <w:keepLines/>
        <w:autoSpaceDE w:val="0"/>
        <w:autoSpaceDN w:val="0"/>
        <w:adjustRightInd w:val="0"/>
        <w:jc w:val="both"/>
        <w:rPr>
          <w:rFonts w:ascii="Garamond" w:hAnsi="Garamond"/>
          <w:i/>
          <w:iCs/>
          <w:lang w:val="en-AU"/>
        </w:rPr>
      </w:pPr>
      <w:r w:rsidRPr="009741F0">
        <w:rPr>
          <w:rFonts w:ascii="Garamond" w:hAnsi="Garamond"/>
          <w:i/>
          <w:iCs/>
          <w:lang w:val="en-AU"/>
        </w:rPr>
        <w:t>Medicine safety: mental health care</w:t>
      </w:r>
    </w:p>
    <w:p w14:paraId="47DED081" w14:textId="77777777" w:rsidR="00DD2672" w:rsidRDefault="00DD2672" w:rsidP="00DD2672">
      <w:pPr>
        <w:keepLines/>
        <w:autoSpaceDE w:val="0"/>
        <w:autoSpaceDN w:val="0"/>
        <w:adjustRightInd w:val="0"/>
        <w:jc w:val="both"/>
        <w:rPr>
          <w:rFonts w:ascii="Garamond" w:hAnsi="Garamond"/>
          <w:lang w:val="en-AU"/>
        </w:rPr>
      </w:pPr>
      <w:r w:rsidRPr="009741F0">
        <w:rPr>
          <w:rFonts w:ascii="Garamond" w:hAnsi="Garamond"/>
          <w:lang w:val="en-AU"/>
        </w:rPr>
        <w:t>Pharmaceutical Society of Australia</w:t>
      </w:r>
    </w:p>
    <w:p w14:paraId="49F1AE71" w14:textId="77777777" w:rsidR="00DD2672" w:rsidRPr="00B662C9" w:rsidRDefault="00DD2672" w:rsidP="00DD2672">
      <w:pPr>
        <w:keepLines/>
        <w:autoSpaceDE w:val="0"/>
        <w:autoSpaceDN w:val="0"/>
        <w:adjustRightInd w:val="0"/>
        <w:jc w:val="both"/>
        <w:rPr>
          <w:rFonts w:ascii="Garamond" w:hAnsi="Garamond"/>
          <w:lang w:val="en-AU"/>
        </w:rPr>
      </w:pPr>
      <w:r w:rsidRPr="009741F0">
        <w:rPr>
          <w:rFonts w:ascii="Garamond" w:hAnsi="Garamond"/>
          <w:lang w:val="en-AU"/>
        </w:rPr>
        <w:t>Canberra: PSA; 2023. p. 48.</w:t>
      </w:r>
    </w:p>
    <w:tbl>
      <w:tblPr>
        <w:tblStyle w:val="TableGrid"/>
        <w:tblW w:w="9360" w:type="dxa"/>
        <w:tblInd w:w="288" w:type="dxa"/>
        <w:tblLayout w:type="fixed"/>
        <w:tblLook w:val="01E0" w:firstRow="1" w:lastRow="1" w:firstColumn="1" w:lastColumn="1" w:noHBand="0" w:noVBand="0"/>
      </w:tblPr>
      <w:tblGrid>
        <w:gridCol w:w="1080"/>
        <w:gridCol w:w="8280"/>
      </w:tblGrid>
      <w:tr w:rsidR="00DD2672" w:rsidRPr="000170DA" w14:paraId="778E991D" w14:textId="77777777" w:rsidTr="002E5116">
        <w:tc>
          <w:tcPr>
            <w:tcW w:w="1080" w:type="dxa"/>
            <w:tcBorders>
              <w:top w:val="single" w:sz="4" w:space="0" w:color="auto"/>
              <w:left w:val="single" w:sz="4" w:space="0" w:color="auto"/>
              <w:bottom w:val="single" w:sz="4" w:space="0" w:color="auto"/>
              <w:right w:val="single" w:sz="4" w:space="0" w:color="auto"/>
            </w:tcBorders>
            <w:vAlign w:val="center"/>
          </w:tcPr>
          <w:p w14:paraId="57BE0D20" w14:textId="77777777" w:rsidR="00DD2672" w:rsidRPr="000170DA" w:rsidRDefault="00DD2672" w:rsidP="002E511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10A69EE" w14:textId="77777777" w:rsidR="00DD2672" w:rsidRPr="000170DA" w:rsidRDefault="00000000" w:rsidP="002E5116">
            <w:pPr>
              <w:keepNext/>
              <w:rPr>
                <w:rStyle w:val="Hyperlink"/>
                <w:rFonts w:ascii="Garamond" w:hAnsi="Garamond"/>
                <w:color w:val="auto"/>
                <w:u w:val="none"/>
                <w:lang w:val="en-AU"/>
              </w:rPr>
            </w:pPr>
            <w:hyperlink r:id="rId17" w:history="1">
              <w:r w:rsidR="00DD2672" w:rsidRPr="00491B7C">
                <w:rPr>
                  <w:rStyle w:val="Hyperlink"/>
                  <w:rFonts w:ascii="Garamond" w:hAnsi="Garamond"/>
                  <w:lang w:val="en-AU"/>
                </w:rPr>
                <w:t>https://www.psa.org.au/advocacy/working-for-our-profession/medicine-safety/mental_health/</w:t>
              </w:r>
            </w:hyperlink>
          </w:p>
        </w:tc>
      </w:tr>
      <w:tr w:rsidR="00DD2672" w:rsidRPr="000170DA" w14:paraId="7E53C60B" w14:textId="77777777" w:rsidTr="002E5116">
        <w:tc>
          <w:tcPr>
            <w:tcW w:w="1080" w:type="dxa"/>
            <w:tcBorders>
              <w:top w:val="single" w:sz="4" w:space="0" w:color="auto"/>
              <w:left w:val="single" w:sz="4" w:space="0" w:color="auto"/>
              <w:bottom w:val="single" w:sz="4" w:space="0" w:color="auto"/>
              <w:right w:val="single" w:sz="4" w:space="0" w:color="auto"/>
            </w:tcBorders>
            <w:vAlign w:val="center"/>
          </w:tcPr>
          <w:p w14:paraId="3494DC94" w14:textId="77777777" w:rsidR="00DD2672" w:rsidRPr="000170DA" w:rsidRDefault="00DD2672" w:rsidP="002E511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0D5B7BF" w14:textId="54363F11" w:rsidR="00731E67" w:rsidRPr="00731E67" w:rsidRDefault="00DD2672" w:rsidP="00731E67">
            <w:pPr>
              <w:rPr>
                <w:rFonts w:ascii="Garamond" w:hAnsi="Garamond"/>
                <w:lang w:val="en-AU"/>
              </w:rPr>
            </w:pPr>
            <w:r>
              <w:rPr>
                <w:rFonts w:ascii="Garamond" w:hAnsi="Garamond"/>
                <w:lang w:val="en-AU"/>
              </w:rPr>
              <w:t xml:space="preserve">The </w:t>
            </w:r>
            <w:r w:rsidR="003B044B" w:rsidRPr="009741F0">
              <w:rPr>
                <w:rFonts w:ascii="Garamond" w:hAnsi="Garamond"/>
                <w:lang w:val="en-AU"/>
              </w:rPr>
              <w:t>Pharmaceutical Society of Australia</w:t>
            </w:r>
            <w:r w:rsidR="003B044B">
              <w:rPr>
                <w:rFonts w:ascii="Garamond" w:hAnsi="Garamond"/>
                <w:lang w:val="en-AU"/>
              </w:rPr>
              <w:t xml:space="preserve"> has released this report </w:t>
            </w:r>
            <w:r w:rsidR="00A430AC" w:rsidRPr="00A430AC">
              <w:rPr>
                <w:rFonts w:ascii="Garamond" w:hAnsi="Garamond"/>
                <w:lang w:val="en-AU"/>
              </w:rPr>
              <w:t>highlight</w:t>
            </w:r>
            <w:r w:rsidR="006D14DA">
              <w:rPr>
                <w:rFonts w:ascii="Garamond" w:hAnsi="Garamond"/>
                <w:lang w:val="en-AU"/>
              </w:rPr>
              <w:t>ing</w:t>
            </w:r>
            <w:r w:rsidR="00A430AC" w:rsidRPr="00A430AC">
              <w:rPr>
                <w:rFonts w:ascii="Garamond" w:hAnsi="Garamond"/>
                <w:lang w:val="en-AU"/>
              </w:rPr>
              <w:t xml:space="preserve"> opportunities for pharmacists to better support Australians using medicines to treat mental health conditions, including improving access to care and investing in quality use of medicines services at critical points of care.</w:t>
            </w:r>
            <w:r w:rsidR="006D14DA">
              <w:rPr>
                <w:rFonts w:ascii="Garamond" w:hAnsi="Garamond"/>
                <w:lang w:val="en-AU"/>
              </w:rPr>
              <w:t xml:space="preserve"> </w:t>
            </w:r>
            <w:r w:rsidR="001426E2">
              <w:rPr>
                <w:rFonts w:ascii="Garamond" w:hAnsi="Garamond"/>
                <w:lang w:val="en-AU"/>
              </w:rPr>
              <w:t xml:space="preserve">Written by academics at </w:t>
            </w:r>
            <w:r w:rsidR="008E4DB1">
              <w:rPr>
                <w:rFonts w:ascii="Garamond" w:hAnsi="Garamond"/>
                <w:lang w:val="en-AU"/>
              </w:rPr>
              <w:t xml:space="preserve">the </w:t>
            </w:r>
            <w:r w:rsidR="008E4DB1" w:rsidRPr="008E4DB1">
              <w:rPr>
                <w:rFonts w:ascii="Garamond" w:hAnsi="Garamond"/>
                <w:lang w:val="en-AU"/>
              </w:rPr>
              <w:t>Quality Use of Medicines and Pharmacy Research Centre</w:t>
            </w:r>
            <w:r w:rsidR="008E4DB1">
              <w:rPr>
                <w:rFonts w:ascii="Garamond" w:hAnsi="Garamond"/>
                <w:lang w:val="en-AU"/>
              </w:rPr>
              <w:t xml:space="preserve">, </w:t>
            </w:r>
            <w:r w:rsidR="008E4DB1" w:rsidRPr="008E4DB1">
              <w:rPr>
                <w:rFonts w:ascii="Garamond" w:hAnsi="Garamond"/>
                <w:lang w:val="en-AU"/>
              </w:rPr>
              <w:t>University of South Australia</w:t>
            </w:r>
            <w:r w:rsidR="008E4DB1">
              <w:rPr>
                <w:rFonts w:ascii="Garamond" w:hAnsi="Garamond"/>
                <w:lang w:val="en-AU"/>
              </w:rPr>
              <w:t xml:space="preserve"> </w:t>
            </w:r>
            <w:r w:rsidR="006F34E8">
              <w:rPr>
                <w:rFonts w:ascii="Garamond" w:hAnsi="Garamond"/>
                <w:lang w:val="en-AU"/>
              </w:rPr>
              <w:t xml:space="preserve">the report includes sections on </w:t>
            </w:r>
            <w:r w:rsidR="007A4FB1">
              <w:rPr>
                <w:rFonts w:ascii="Garamond" w:hAnsi="Garamond"/>
                <w:lang w:val="en-AU"/>
              </w:rPr>
              <w:t xml:space="preserve">the extent of mental health issues, medicine use for mental health and the role of pharmacists. </w:t>
            </w:r>
            <w:r w:rsidR="007739CE">
              <w:rPr>
                <w:rFonts w:ascii="Garamond" w:hAnsi="Garamond"/>
                <w:lang w:val="en-AU"/>
              </w:rPr>
              <w:t xml:space="preserve">The authors </w:t>
            </w:r>
            <w:r w:rsidR="00731E67">
              <w:rPr>
                <w:rFonts w:ascii="Garamond" w:hAnsi="Garamond"/>
                <w:lang w:val="en-AU"/>
              </w:rPr>
              <w:t>write</w:t>
            </w:r>
            <w:r w:rsidR="009F603D">
              <w:rPr>
                <w:rFonts w:ascii="Garamond" w:hAnsi="Garamond"/>
                <w:lang w:val="en-AU"/>
              </w:rPr>
              <w:t xml:space="preserve">: </w:t>
            </w:r>
            <w:r w:rsidR="00731E67">
              <w:rPr>
                <w:rFonts w:ascii="Garamond" w:hAnsi="Garamond"/>
                <w:lang w:val="en-AU"/>
              </w:rPr>
              <w:t>‘</w:t>
            </w:r>
            <w:r w:rsidR="00731E67" w:rsidRPr="00731E67">
              <w:rPr>
                <w:rFonts w:ascii="Garamond" w:hAnsi="Garamond"/>
                <w:lang w:val="en-AU"/>
              </w:rPr>
              <w:t>The evidence from the literature shows a myriad of difficulties</w:t>
            </w:r>
            <w:r w:rsidR="00731E67">
              <w:rPr>
                <w:rFonts w:ascii="Garamond" w:hAnsi="Garamond"/>
                <w:lang w:val="en-AU"/>
              </w:rPr>
              <w:t xml:space="preserve"> </w:t>
            </w:r>
            <w:r w:rsidR="00731E67" w:rsidRPr="00731E67">
              <w:rPr>
                <w:rFonts w:ascii="Garamond" w:hAnsi="Garamond"/>
                <w:lang w:val="en-AU"/>
              </w:rPr>
              <w:t>that people with mental health conditions may face in using</w:t>
            </w:r>
            <w:r w:rsidR="00731E67">
              <w:rPr>
                <w:rFonts w:ascii="Garamond" w:hAnsi="Garamond"/>
                <w:lang w:val="en-AU"/>
              </w:rPr>
              <w:t xml:space="preserve"> </w:t>
            </w:r>
            <w:r w:rsidR="00731E67" w:rsidRPr="00731E67">
              <w:rPr>
                <w:rFonts w:ascii="Garamond" w:hAnsi="Garamond"/>
                <w:lang w:val="en-AU"/>
              </w:rPr>
              <w:t>medicines, including:</w:t>
            </w:r>
          </w:p>
          <w:p w14:paraId="31F6EF22" w14:textId="0ABF9892" w:rsidR="00731E67" w:rsidRPr="00B9570F" w:rsidRDefault="00731E67" w:rsidP="00B9570F">
            <w:pPr>
              <w:pStyle w:val="ListParagraph"/>
              <w:numPr>
                <w:ilvl w:val="0"/>
                <w:numId w:val="26"/>
              </w:numPr>
              <w:rPr>
                <w:rFonts w:ascii="Garamond" w:hAnsi="Garamond"/>
                <w:lang w:val="en-AU"/>
              </w:rPr>
            </w:pPr>
            <w:r w:rsidRPr="00B9570F">
              <w:rPr>
                <w:rFonts w:ascii="Garamond" w:hAnsi="Garamond"/>
                <w:lang w:val="en-AU"/>
              </w:rPr>
              <w:t>inappropriate therapeutic selection</w:t>
            </w:r>
          </w:p>
          <w:p w14:paraId="6940AF89" w14:textId="63EA1A26" w:rsidR="00731E67" w:rsidRPr="00B9570F" w:rsidRDefault="00731E67" w:rsidP="00B9570F">
            <w:pPr>
              <w:pStyle w:val="ListParagraph"/>
              <w:numPr>
                <w:ilvl w:val="0"/>
                <w:numId w:val="26"/>
              </w:numPr>
              <w:rPr>
                <w:rFonts w:ascii="Garamond" w:hAnsi="Garamond"/>
                <w:lang w:val="en-AU"/>
              </w:rPr>
            </w:pPr>
            <w:r w:rsidRPr="00B9570F">
              <w:rPr>
                <w:rFonts w:ascii="Garamond" w:hAnsi="Garamond"/>
                <w:lang w:val="en-AU"/>
              </w:rPr>
              <w:t>lack of recognition of side effects of the medicines</w:t>
            </w:r>
          </w:p>
          <w:p w14:paraId="625602F1" w14:textId="6D9B4ED4" w:rsidR="00731E67" w:rsidRPr="00B9570F" w:rsidRDefault="00731E67" w:rsidP="00B9570F">
            <w:pPr>
              <w:pStyle w:val="ListParagraph"/>
              <w:numPr>
                <w:ilvl w:val="0"/>
                <w:numId w:val="26"/>
              </w:numPr>
              <w:rPr>
                <w:rFonts w:ascii="Garamond" w:hAnsi="Garamond"/>
                <w:lang w:val="en-AU"/>
              </w:rPr>
            </w:pPr>
            <w:r w:rsidRPr="00B9570F">
              <w:rPr>
                <w:rFonts w:ascii="Garamond" w:hAnsi="Garamond"/>
                <w:lang w:val="en-AU"/>
              </w:rPr>
              <w:t>lack of understanding and appreciation of the impact of side effects on daily life</w:t>
            </w:r>
          </w:p>
          <w:p w14:paraId="18BBD2F6" w14:textId="7D2F2B56" w:rsidR="00731E67" w:rsidRPr="00B9570F" w:rsidRDefault="00B9570F" w:rsidP="00B9570F">
            <w:pPr>
              <w:pStyle w:val="ListParagraph"/>
              <w:numPr>
                <w:ilvl w:val="0"/>
                <w:numId w:val="26"/>
              </w:numPr>
              <w:rPr>
                <w:rFonts w:ascii="Garamond" w:hAnsi="Garamond"/>
                <w:lang w:val="en-AU"/>
              </w:rPr>
            </w:pPr>
            <w:r w:rsidRPr="00B9570F">
              <w:rPr>
                <w:rFonts w:ascii="Garamond" w:hAnsi="Garamond"/>
                <w:lang w:val="en-AU"/>
              </w:rPr>
              <w:t>f</w:t>
            </w:r>
            <w:r w:rsidR="00731E67" w:rsidRPr="00B9570F">
              <w:rPr>
                <w:rFonts w:ascii="Garamond" w:hAnsi="Garamond"/>
                <w:lang w:val="en-AU"/>
              </w:rPr>
              <w:t>requent changes in therapy</w:t>
            </w:r>
          </w:p>
          <w:p w14:paraId="1BFEF769" w14:textId="5FA516ED" w:rsidR="00731E67" w:rsidRPr="00B9570F" w:rsidRDefault="00C535B4" w:rsidP="00B9570F">
            <w:pPr>
              <w:pStyle w:val="ListParagraph"/>
              <w:numPr>
                <w:ilvl w:val="0"/>
                <w:numId w:val="26"/>
              </w:numPr>
              <w:rPr>
                <w:rFonts w:ascii="Garamond" w:hAnsi="Garamond"/>
                <w:lang w:val="en-AU"/>
              </w:rPr>
            </w:pPr>
            <w:r>
              <w:rPr>
                <w:rFonts w:ascii="Garamond" w:hAnsi="Garamond"/>
                <w:lang w:val="en-AU"/>
              </w:rPr>
              <w:t>l</w:t>
            </w:r>
            <w:r w:rsidR="00731E67" w:rsidRPr="00B9570F">
              <w:rPr>
                <w:rFonts w:ascii="Garamond" w:hAnsi="Garamond"/>
                <w:lang w:val="en-AU"/>
              </w:rPr>
              <w:t>ack of documentation of past therapeutic failures and</w:t>
            </w:r>
            <w:r w:rsidR="00B9570F" w:rsidRPr="00B9570F">
              <w:rPr>
                <w:rFonts w:ascii="Garamond" w:hAnsi="Garamond"/>
                <w:lang w:val="en-AU"/>
              </w:rPr>
              <w:t xml:space="preserve"> </w:t>
            </w:r>
            <w:r w:rsidR="00731E67" w:rsidRPr="00B9570F">
              <w:rPr>
                <w:rFonts w:ascii="Garamond" w:hAnsi="Garamond"/>
                <w:lang w:val="en-AU"/>
              </w:rPr>
              <w:t>outcomes</w:t>
            </w:r>
          </w:p>
          <w:p w14:paraId="1F662D78" w14:textId="093F5ADD" w:rsidR="00731E67" w:rsidRPr="00B9570F" w:rsidRDefault="00731E67" w:rsidP="00B9570F">
            <w:pPr>
              <w:pStyle w:val="ListParagraph"/>
              <w:numPr>
                <w:ilvl w:val="0"/>
                <w:numId w:val="26"/>
              </w:numPr>
              <w:rPr>
                <w:rFonts w:ascii="Garamond" w:hAnsi="Garamond"/>
                <w:lang w:val="en-AU"/>
              </w:rPr>
            </w:pPr>
            <w:r w:rsidRPr="00B9570F">
              <w:rPr>
                <w:rFonts w:ascii="Garamond" w:hAnsi="Garamond"/>
                <w:lang w:val="en-AU"/>
              </w:rPr>
              <w:t xml:space="preserve">lack of information to use medicines </w:t>
            </w:r>
            <w:proofErr w:type="gramStart"/>
            <w:r w:rsidRPr="00B9570F">
              <w:rPr>
                <w:rFonts w:ascii="Garamond" w:hAnsi="Garamond"/>
                <w:lang w:val="en-AU"/>
              </w:rPr>
              <w:t>safely</w:t>
            </w:r>
            <w:proofErr w:type="gramEnd"/>
          </w:p>
          <w:p w14:paraId="2DEB2285" w14:textId="462A316B" w:rsidR="00731E67" w:rsidRPr="00B9570F" w:rsidRDefault="00B9570F" w:rsidP="00B9570F">
            <w:pPr>
              <w:pStyle w:val="ListParagraph"/>
              <w:numPr>
                <w:ilvl w:val="0"/>
                <w:numId w:val="26"/>
              </w:numPr>
              <w:rPr>
                <w:rFonts w:ascii="Garamond" w:hAnsi="Garamond"/>
                <w:lang w:val="en-AU"/>
              </w:rPr>
            </w:pPr>
            <w:r w:rsidRPr="00B9570F">
              <w:rPr>
                <w:rFonts w:ascii="Garamond" w:hAnsi="Garamond"/>
                <w:lang w:val="en-AU"/>
              </w:rPr>
              <w:t>d</w:t>
            </w:r>
            <w:r w:rsidR="00731E67" w:rsidRPr="00B9570F">
              <w:rPr>
                <w:rFonts w:ascii="Garamond" w:hAnsi="Garamond"/>
                <w:lang w:val="en-AU"/>
              </w:rPr>
              <w:t xml:space="preserve">ifficulty in complying with medicine </w:t>
            </w:r>
            <w:proofErr w:type="gramStart"/>
            <w:r w:rsidR="00731E67" w:rsidRPr="00B9570F">
              <w:rPr>
                <w:rFonts w:ascii="Garamond" w:hAnsi="Garamond"/>
                <w:lang w:val="en-AU"/>
              </w:rPr>
              <w:t>regimens</w:t>
            </w:r>
            <w:proofErr w:type="gramEnd"/>
          </w:p>
          <w:p w14:paraId="56D93069" w14:textId="1EBDC30D" w:rsidR="00731E67" w:rsidRPr="00B9570F" w:rsidRDefault="00731E67" w:rsidP="00B9570F">
            <w:pPr>
              <w:pStyle w:val="ListParagraph"/>
              <w:numPr>
                <w:ilvl w:val="0"/>
                <w:numId w:val="26"/>
              </w:numPr>
              <w:rPr>
                <w:rFonts w:ascii="Garamond" w:hAnsi="Garamond"/>
                <w:lang w:val="en-AU"/>
              </w:rPr>
            </w:pPr>
            <w:r w:rsidRPr="00B9570F">
              <w:rPr>
                <w:rFonts w:ascii="Garamond" w:hAnsi="Garamond"/>
                <w:lang w:val="en-AU"/>
              </w:rPr>
              <w:t>lack of access to mental health services and pharmacists'</w:t>
            </w:r>
            <w:r w:rsidR="00B9570F" w:rsidRPr="00B9570F">
              <w:rPr>
                <w:rFonts w:ascii="Garamond" w:hAnsi="Garamond"/>
                <w:lang w:val="en-AU"/>
              </w:rPr>
              <w:t xml:space="preserve"> </w:t>
            </w:r>
            <w:r w:rsidRPr="00B9570F">
              <w:rPr>
                <w:rFonts w:ascii="Garamond" w:hAnsi="Garamond"/>
                <w:lang w:val="en-AU"/>
              </w:rPr>
              <w:t>expertise.</w:t>
            </w:r>
          </w:p>
          <w:p w14:paraId="416CB4D0" w14:textId="0EB768FD" w:rsidR="007739CE" w:rsidRDefault="00731E67" w:rsidP="00731E67">
            <w:pPr>
              <w:rPr>
                <w:rFonts w:ascii="Garamond" w:hAnsi="Garamond"/>
                <w:lang w:val="en-AU"/>
              </w:rPr>
            </w:pPr>
            <w:r w:rsidRPr="00731E67">
              <w:rPr>
                <w:rFonts w:ascii="Garamond" w:hAnsi="Garamond"/>
                <w:lang w:val="en-AU"/>
              </w:rPr>
              <w:t>Pharmacists, as active members of the multidisciplinary</w:t>
            </w:r>
            <w:r w:rsidR="00C535B4">
              <w:rPr>
                <w:rFonts w:ascii="Garamond" w:hAnsi="Garamond"/>
                <w:lang w:val="en-AU"/>
              </w:rPr>
              <w:t xml:space="preserve"> </w:t>
            </w:r>
            <w:r w:rsidRPr="00731E67">
              <w:rPr>
                <w:rFonts w:ascii="Garamond" w:hAnsi="Garamond"/>
                <w:lang w:val="en-AU"/>
              </w:rPr>
              <w:t>healthcare team, have an important role to support patients and</w:t>
            </w:r>
            <w:r w:rsidR="00B9570F">
              <w:rPr>
                <w:rFonts w:ascii="Garamond" w:hAnsi="Garamond"/>
                <w:lang w:val="en-AU"/>
              </w:rPr>
              <w:t xml:space="preserve"> </w:t>
            </w:r>
            <w:r w:rsidRPr="00731E67">
              <w:rPr>
                <w:rFonts w:ascii="Garamond" w:hAnsi="Garamond"/>
                <w:lang w:val="en-AU"/>
              </w:rPr>
              <w:t>health professionals to understand and resolve many of these</w:t>
            </w:r>
            <w:r w:rsidR="00B9570F">
              <w:rPr>
                <w:rFonts w:ascii="Garamond" w:hAnsi="Garamond"/>
                <w:lang w:val="en-AU"/>
              </w:rPr>
              <w:t xml:space="preserve"> </w:t>
            </w:r>
            <w:r w:rsidRPr="00731E67">
              <w:rPr>
                <w:rFonts w:ascii="Garamond" w:hAnsi="Garamond"/>
                <w:lang w:val="en-AU"/>
              </w:rPr>
              <w:t>medicine-related challenges.</w:t>
            </w:r>
            <w:r>
              <w:rPr>
                <w:rFonts w:ascii="Garamond" w:hAnsi="Garamond"/>
                <w:lang w:val="en-AU"/>
              </w:rPr>
              <w:t>’</w:t>
            </w:r>
          </w:p>
          <w:p w14:paraId="4DDEFB19" w14:textId="1D5D8A85" w:rsidR="001426E2" w:rsidRPr="00D0490E" w:rsidRDefault="007126D2" w:rsidP="007A4FB1">
            <w:pPr>
              <w:rPr>
                <w:rFonts w:ascii="Garamond" w:hAnsi="Garamond"/>
                <w:lang w:val="en-AU"/>
              </w:rPr>
            </w:pPr>
            <w:r>
              <w:rPr>
                <w:rFonts w:ascii="Garamond" w:hAnsi="Garamond"/>
                <w:lang w:val="en-AU"/>
              </w:rPr>
              <w:t xml:space="preserve">The report </w:t>
            </w:r>
            <w:r w:rsidR="00B9570F">
              <w:rPr>
                <w:rFonts w:ascii="Garamond" w:hAnsi="Garamond"/>
                <w:lang w:val="en-AU"/>
              </w:rPr>
              <w:t xml:space="preserve">also </w:t>
            </w:r>
            <w:r>
              <w:rPr>
                <w:rFonts w:ascii="Garamond" w:hAnsi="Garamond"/>
                <w:lang w:val="en-AU"/>
              </w:rPr>
              <w:t xml:space="preserve">includes </w:t>
            </w:r>
            <w:proofErr w:type="gramStart"/>
            <w:r>
              <w:rPr>
                <w:rFonts w:ascii="Garamond" w:hAnsi="Garamond"/>
                <w:lang w:val="en-AU"/>
              </w:rPr>
              <w:t>a number of</w:t>
            </w:r>
            <w:proofErr w:type="gramEnd"/>
            <w:r>
              <w:rPr>
                <w:rFonts w:ascii="Garamond" w:hAnsi="Garamond"/>
                <w:lang w:val="en-AU"/>
              </w:rPr>
              <w:t xml:space="preserve"> recommendations from the </w:t>
            </w:r>
            <w:r w:rsidRPr="009741F0">
              <w:rPr>
                <w:rFonts w:ascii="Garamond" w:hAnsi="Garamond"/>
                <w:lang w:val="en-AU"/>
              </w:rPr>
              <w:t>Pharmaceutical Society of Australia</w:t>
            </w:r>
            <w:r w:rsidR="006F34E8">
              <w:rPr>
                <w:rFonts w:ascii="Garamond" w:hAnsi="Garamond"/>
                <w:lang w:val="en-AU"/>
              </w:rPr>
              <w:t>.</w:t>
            </w:r>
          </w:p>
        </w:tc>
      </w:tr>
    </w:tbl>
    <w:p w14:paraId="6EE19DA3" w14:textId="77777777" w:rsidR="00DD2672" w:rsidRDefault="00DD2672" w:rsidP="00DD2672">
      <w:pPr>
        <w:keepLines/>
        <w:autoSpaceDE w:val="0"/>
        <w:autoSpaceDN w:val="0"/>
        <w:adjustRightInd w:val="0"/>
        <w:jc w:val="both"/>
        <w:rPr>
          <w:rFonts w:ascii="Garamond" w:hAnsi="Garamond"/>
          <w:lang w:val="en-AU"/>
        </w:rPr>
      </w:pPr>
    </w:p>
    <w:p w14:paraId="43C9B408" w14:textId="113B8E9C" w:rsidR="00B158C4" w:rsidRDefault="00B158C4" w:rsidP="00B158C4">
      <w:pPr>
        <w:keepLines/>
        <w:autoSpaceDE w:val="0"/>
        <w:autoSpaceDN w:val="0"/>
        <w:adjustRightInd w:val="0"/>
        <w:rPr>
          <w:rFonts w:ascii="Garamond" w:hAnsi="Garamond"/>
          <w:lang w:val="en-AU"/>
        </w:rPr>
      </w:pPr>
      <w:r>
        <w:rPr>
          <w:rFonts w:ascii="Garamond" w:hAnsi="Garamond"/>
          <w:lang w:val="en-AU"/>
        </w:rPr>
        <w:lastRenderedPageBreak/>
        <w:t xml:space="preserve">For information on the Commission’s work on medication safety, see </w:t>
      </w:r>
      <w:hyperlink r:id="rId18" w:history="1">
        <w:r w:rsidRPr="007E0679">
          <w:rPr>
            <w:rStyle w:val="Hyperlink"/>
            <w:rFonts w:ascii="Garamond" w:hAnsi="Garamond"/>
            <w:lang w:val="en-AU"/>
          </w:rPr>
          <w:t>https://www.safetyandquality.gov.au/our-work/medication-safety</w:t>
        </w:r>
      </w:hyperlink>
    </w:p>
    <w:p w14:paraId="7B9FFD6A" w14:textId="5F38F615" w:rsidR="00B158C4" w:rsidRPr="00B662C9" w:rsidRDefault="00852D0F" w:rsidP="00852D0F">
      <w:pPr>
        <w:keepLines/>
        <w:tabs>
          <w:tab w:val="left" w:pos="3452"/>
        </w:tabs>
        <w:autoSpaceDE w:val="0"/>
        <w:autoSpaceDN w:val="0"/>
        <w:adjustRightInd w:val="0"/>
        <w:jc w:val="both"/>
        <w:rPr>
          <w:rFonts w:ascii="Garamond" w:hAnsi="Garamond"/>
          <w:lang w:val="en-AU"/>
        </w:rPr>
      </w:pPr>
      <w:r>
        <w:rPr>
          <w:rFonts w:ascii="Garamond" w:hAnsi="Garamond"/>
          <w:lang w:val="en-AU"/>
        </w:rPr>
        <w:tab/>
      </w:r>
    </w:p>
    <w:p w14:paraId="19E5DCF5" w14:textId="77777777" w:rsidR="001553B1" w:rsidRPr="001553B1" w:rsidRDefault="001553B1" w:rsidP="002C14CC">
      <w:pPr>
        <w:keepNext/>
        <w:rPr>
          <w:rFonts w:ascii="Garamond" w:hAnsi="Garamond"/>
          <w:i/>
          <w:iCs/>
          <w:lang w:val="en-AU"/>
        </w:rPr>
      </w:pPr>
      <w:r w:rsidRPr="001553B1">
        <w:rPr>
          <w:rFonts w:ascii="Garamond" w:hAnsi="Garamond"/>
          <w:i/>
          <w:iCs/>
          <w:lang w:val="en-AU"/>
        </w:rPr>
        <w:t>The Cost of Not Getting Care: Income Disparities in the Affordability of Health Services Across High-Income Countries. Findings from the Commonwealth Fund 2023 International Health Policy Survey</w:t>
      </w:r>
    </w:p>
    <w:p w14:paraId="0F6DC9C2" w14:textId="77777777" w:rsidR="001553B1" w:rsidRDefault="001553B1" w:rsidP="001553B1">
      <w:pPr>
        <w:keepNext/>
        <w:rPr>
          <w:rFonts w:ascii="Garamond" w:hAnsi="Garamond"/>
          <w:lang w:val="en-AU"/>
        </w:rPr>
      </w:pPr>
      <w:r w:rsidRPr="001553B1">
        <w:rPr>
          <w:rFonts w:ascii="Garamond" w:hAnsi="Garamond"/>
          <w:lang w:val="en-AU"/>
        </w:rPr>
        <w:t>Gunja MZ, Gumas ED, Williams RDI, Doty MM, Shah A, Fields K</w:t>
      </w:r>
    </w:p>
    <w:p w14:paraId="509E0147" w14:textId="029151DF" w:rsidR="002C14CC" w:rsidRPr="00D65371" w:rsidRDefault="001553B1" w:rsidP="002C14CC">
      <w:pPr>
        <w:keepNext/>
        <w:rPr>
          <w:rFonts w:ascii="Garamond" w:hAnsi="Garamond"/>
          <w:lang w:val="en-AU"/>
        </w:rPr>
      </w:pPr>
      <w:r w:rsidRPr="001553B1">
        <w:rPr>
          <w:rFonts w:ascii="Garamond" w:hAnsi="Garamond"/>
          <w:lang w:val="en-AU"/>
        </w:rPr>
        <w:t>New York: Commonwealth Fund; 2023.</w:t>
      </w:r>
    </w:p>
    <w:tbl>
      <w:tblPr>
        <w:tblStyle w:val="TableGrid"/>
        <w:tblW w:w="9360" w:type="dxa"/>
        <w:tblInd w:w="288" w:type="dxa"/>
        <w:tblLayout w:type="fixed"/>
        <w:tblLook w:val="01E0" w:firstRow="1" w:lastRow="1" w:firstColumn="1" w:lastColumn="1" w:noHBand="0" w:noVBand="0"/>
      </w:tblPr>
      <w:tblGrid>
        <w:gridCol w:w="1080"/>
        <w:gridCol w:w="8280"/>
      </w:tblGrid>
      <w:tr w:rsidR="002C14CC" w:rsidRPr="000170DA" w14:paraId="04379F2C" w14:textId="77777777" w:rsidTr="004B43CF">
        <w:tc>
          <w:tcPr>
            <w:tcW w:w="1080" w:type="dxa"/>
            <w:tcBorders>
              <w:top w:val="single" w:sz="4" w:space="0" w:color="auto"/>
              <w:left w:val="single" w:sz="4" w:space="0" w:color="auto"/>
              <w:bottom w:val="single" w:sz="4" w:space="0" w:color="auto"/>
              <w:right w:val="single" w:sz="4" w:space="0" w:color="auto"/>
            </w:tcBorders>
            <w:vAlign w:val="center"/>
          </w:tcPr>
          <w:p w14:paraId="58A3E379" w14:textId="1F7F099A" w:rsidR="002C14CC" w:rsidRPr="000170DA" w:rsidRDefault="002C14CC" w:rsidP="004B43C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25A7B44" w14:textId="7E0BA327" w:rsidR="002C14CC" w:rsidRPr="000170DA" w:rsidRDefault="00000000" w:rsidP="004B43CF">
            <w:pPr>
              <w:keepNext/>
              <w:rPr>
                <w:rStyle w:val="Hyperlink"/>
                <w:rFonts w:ascii="Garamond" w:hAnsi="Garamond"/>
                <w:color w:val="auto"/>
                <w:u w:val="none"/>
                <w:lang w:val="en-AU"/>
              </w:rPr>
            </w:pPr>
            <w:hyperlink r:id="rId19" w:history="1">
              <w:r w:rsidR="001553B1" w:rsidRPr="002C2E1D">
                <w:rPr>
                  <w:rStyle w:val="Hyperlink"/>
                  <w:rFonts w:ascii="Garamond" w:hAnsi="Garamond"/>
                  <w:lang w:val="en-AU"/>
                </w:rPr>
                <w:t>https://doi.org/10.26099/jbe9-c870</w:t>
              </w:r>
            </w:hyperlink>
          </w:p>
        </w:tc>
      </w:tr>
      <w:tr w:rsidR="002C14CC" w:rsidRPr="000170DA" w14:paraId="5CDB2BF1" w14:textId="77777777" w:rsidTr="004B43CF">
        <w:tc>
          <w:tcPr>
            <w:tcW w:w="1080" w:type="dxa"/>
            <w:tcBorders>
              <w:top w:val="single" w:sz="4" w:space="0" w:color="auto"/>
              <w:left w:val="single" w:sz="4" w:space="0" w:color="auto"/>
              <w:bottom w:val="single" w:sz="4" w:space="0" w:color="auto"/>
              <w:right w:val="single" w:sz="4" w:space="0" w:color="auto"/>
            </w:tcBorders>
            <w:vAlign w:val="center"/>
          </w:tcPr>
          <w:p w14:paraId="64E208B0" w14:textId="77777777" w:rsidR="002C14CC" w:rsidRPr="000170DA" w:rsidRDefault="002C14CC" w:rsidP="004B43C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BC17CD2" w14:textId="17547040" w:rsidR="002C14CC" w:rsidRDefault="001553B1" w:rsidP="004B43CF">
            <w:pPr>
              <w:rPr>
                <w:rFonts w:ascii="Garamond" w:hAnsi="Garamond"/>
                <w:lang w:val="en-AU"/>
              </w:rPr>
            </w:pPr>
            <w:r>
              <w:rPr>
                <w:rFonts w:ascii="Garamond" w:hAnsi="Garamond"/>
                <w:lang w:val="en-AU"/>
              </w:rPr>
              <w:t>The Commonwealth Fund in the USA conducts regular surveys of the health systems in a group of high-income nations, including Australia. This Issue Brief provides the ‘</w:t>
            </w:r>
            <w:r w:rsidRPr="001553B1">
              <w:rPr>
                <w:rFonts w:ascii="Garamond" w:hAnsi="Garamond"/>
                <w:lang w:val="en-AU"/>
              </w:rPr>
              <w:t xml:space="preserve">the first findings from the Commonwealth Fund 2023 International Health Policy Survey, which engaged adults </w:t>
            </w:r>
            <w:proofErr w:type="gramStart"/>
            <w:r w:rsidRPr="001553B1">
              <w:rPr>
                <w:rFonts w:ascii="Garamond" w:hAnsi="Garamond"/>
                <w:lang w:val="en-AU"/>
              </w:rPr>
              <w:t>age</w:t>
            </w:r>
            <w:proofErr w:type="gramEnd"/>
            <w:r w:rsidRPr="001553B1">
              <w:rPr>
                <w:rFonts w:ascii="Garamond" w:hAnsi="Garamond"/>
                <w:lang w:val="en-AU"/>
              </w:rPr>
              <w:t xml:space="preserve"> 18 and older in 10 countries to explore how financial barriers affect their health care decisions.</w:t>
            </w:r>
            <w:r>
              <w:rPr>
                <w:rFonts w:ascii="Garamond" w:hAnsi="Garamond"/>
                <w:lang w:val="en-AU"/>
              </w:rPr>
              <w:t>’ Australia tends to compare quite well in these surveys, particularly on outcomes. However, one area where Australia tends to do less well is that of cost barriers. Most of the nations in the comparison have universal healthcare, excluding the USA, but ‘</w:t>
            </w:r>
            <w:r w:rsidRPr="001553B1">
              <w:rPr>
                <w:rFonts w:ascii="Garamond" w:hAnsi="Garamond"/>
                <w:lang w:val="en-AU"/>
              </w:rPr>
              <w:t>the out-of-pocket expenses patients pay for health services can greatly vary based on health needs, geographic location, and income.</w:t>
            </w:r>
            <w:r>
              <w:rPr>
                <w:rFonts w:ascii="Garamond" w:hAnsi="Garamond"/>
                <w:lang w:val="en-AU"/>
              </w:rPr>
              <w:t>’</w:t>
            </w:r>
          </w:p>
          <w:p w14:paraId="7796F518" w14:textId="77777777" w:rsidR="001553B1" w:rsidRDefault="001553B1" w:rsidP="004B43CF">
            <w:pPr>
              <w:rPr>
                <w:rFonts w:ascii="Garamond" w:hAnsi="Garamond"/>
                <w:lang w:val="en-AU"/>
              </w:rPr>
            </w:pPr>
          </w:p>
          <w:p w14:paraId="4E74407F" w14:textId="7AFE686E" w:rsidR="001553B1" w:rsidRPr="00D0490E" w:rsidRDefault="001553B1" w:rsidP="004B43CF">
            <w:pPr>
              <w:rPr>
                <w:rFonts w:ascii="Garamond" w:hAnsi="Garamond"/>
                <w:lang w:val="en-AU"/>
              </w:rPr>
            </w:pPr>
            <w:r>
              <w:rPr>
                <w:rFonts w:ascii="Garamond" w:hAnsi="Garamond"/>
                <w:noProof/>
                <w:lang w:val="en-AU"/>
              </w:rPr>
              <w:drawing>
                <wp:inline distT="0" distB="0" distL="0" distR="0" wp14:anchorId="09A7AA7D" wp14:editId="00DB9F73">
                  <wp:extent cx="5114925" cy="3790950"/>
                  <wp:effectExtent l="0" t="0" r="9525" b="0"/>
                  <wp:docPr id="5" name="Picture 5" descr="Graph showing the Percentage of adults who had a cost-related access problem in the past 12 months in 9 high income 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 showing the Percentage of adults who had a cost-related access problem in the past 12 months in 9 high income natio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14925" cy="3790950"/>
                          </a:xfrm>
                          <a:prstGeom prst="rect">
                            <a:avLst/>
                          </a:prstGeom>
                          <a:noFill/>
                          <a:ln>
                            <a:noFill/>
                          </a:ln>
                        </pic:spPr>
                      </pic:pic>
                    </a:graphicData>
                  </a:graphic>
                </wp:inline>
              </w:drawing>
            </w:r>
          </w:p>
        </w:tc>
      </w:tr>
    </w:tbl>
    <w:p w14:paraId="5F31944A" w14:textId="77777777" w:rsidR="002C14CC" w:rsidRDefault="002C14CC" w:rsidP="002C14CC">
      <w:pPr>
        <w:keepLines/>
        <w:autoSpaceDE w:val="0"/>
        <w:autoSpaceDN w:val="0"/>
        <w:adjustRightInd w:val="0"/>
        <w:rPr>
          <w:rFonts w:ascii="Garamond" w:hAnsi="Garamond"/>
          <w:lang w:val="en-AU"/>
        </w:rPr>
      </w:pPr>
    </w:p>
    <w:bookmarkEnd w:id="1"/>
    <w:p w14:paraId="62F4A6CA" w14:textId="77777777" w:rsidR="00D02271" w:rsidRDefault="00D02271">
      <w:pPr>
        <w:rPr>
          <w:rFonts w:ascii="Garamond" w:hAnsi="Garamond"/>
          <w:i/>
          <w:iCs/>
          <w:lang w:val="en-AU"/>
        </w:rPr>
      </w:pPr>
      <w:r>
        <w:rPr>
          <w:rFonts w:ascii="Garamond" w:hAnsi="Garamond"/>
          <w:i/>
          <w:iCs/>
          <w:lang w:val="en-AU"/>
        </w:rPr>
        <w:br w:type="page"/>
      </w:r>
    </w:p>
    <w:p w14:paraId="170C699E" w14:textId="62188D61" w:rsidR="00DF5BF1" w:rsidRPr="00DF5BF1" w:rsidRDefault="00DF5BF1" w:rsidP="006C5707">
      <w:pPr>
        <w:keepNext/>
        <w:keepLines/>
        <w:autoSpaceDE w:val="0"/>
        <w:autoSpaceDN w:val="0"/>
        <w:adjustRightInd w:val="0"/>
        <w:rPr>
          <w:rFonts w:ascii="Garamond" w:hAnsi="Garamond"/>
          <w:i/>
          <w:iCs/>
          <w:lang w:val="en-AU"/>
        </w:rPr>
      </w:pPr>
      <w:r w:rsidRPr="00DF5BF1">
        <w:rPr>
          <w:rFonts w:ascii="Garamond" w:hAnsi="Garamond"/>
          <w:i/>
          <w:iCs/>
          <w:lang w:val="en-AU"/>
        </w:rPr>
        <w:lastRenderedPageBreak/>
        <w:t>Therapeutic patient education: an introductory guide</w:t>
      </w:r>
    </w:p>
    <w:p w14:paraId="2884FB89" w14:textId="77777777" w:rsidR="00893CFF" w:rsidRDefault="00893CFF" w:rsidP="006C5707">
      <w:pPr>
        <w:keepNext/>
        <w:keepLines/>
        <w:autoSpaceDE w:val="0"/>
        <w:autoSpaceDN w:val="0"/>
        <w:adjustRightInd w:val="0"/>
        <w:rPr>
          <w:rFonts w:ascii="Garamond" w:hAnsi="Garamond"/>
          <w:lang w:val="en-AU"/>
        </w:rPr>
      </w:pPr>
      <w:r w:rsidRPr="00893CFF">
        <w:rPr>
          <w:rFonts w:ascii="Garamond" w:hAnsi="Garamond"/>
          <w:lang w:val="en-AU"/>
        </w:rPr>
        <w:t>World Health Organization</w:t>
      </w:r>
    </w:p>
    <w:p w14:paraId="4284F99B" w14:textId="1C58F530" w:rsidR="00340929" w:rsidRDefault="00893CFF" w:rsidP="006C5707">
      <w:pPr>
        <w:keepNext/>
        <w:keepLines/>
        <w:autoSpaceDE w:val="0"/>
        <w:autoSpaceDN w:val="0"/>
        <w:adjustRightInd w:val="0"/>
        <w:rPr>
          <w:rFonts w:ascii="Garamond" w:hAnsi="Garamond"/>
          <w:lang w:val="en-AU"/>
        </w:rPr>
      </w:pPr>
      <w:r w:rsidRPr="00893CFF">
        <w:rPr>
          <w:rFonts w:ascii="Garamond" w:hAnsi="Garamond"/>
          <w:lang w:val="en-AU"/>
        </w:rPr>
        <w:t>Copenhagen: WHO Regional Office for Europe; 2023. p. 92.</w:t>
      </w:r>
    </w:p>
    <w:tbl>
      <w:tblPr>
        <w:tblStyle w:val="TableGrid"/>
        <w:tblW w:w="9360" w:type="dxa"/>
        <w:tblInd w:w="288" w:type="dxa"/>
        <w:tblLayout w:type="fixed"/>
        <w:tblLook w:val="01E0" w:firstRow="1" w:lastRow="1" w:firstColumn="1" w:lastColumn="1" w:noHBand="0" w:noVBand="0"/>
      </w:tblPr>
      <w:tblGrid>
        <w:gridCol w:w="1080"/>
        <w:gridCol w:w="8280"/>
      </w:tblGrid>
      <w:tr w:rsidR="00DC2965" w:rsidRPr="000170DA" w14:paraId="0DBA0CD2" w14:textId="77777777" w:rsidTr="002E5116">
        <w:tc>
          <w:tcPr>
            <w:tcW w:w="1080" w:type="dxa"/>
            <w:tcBorders>
              <w:top w:val="single" w:sz="4" w:space="0" w:color="auto"/>
              <w:left w:val="single" w:sz="4" w:space="0" w:color="auto"/>
              <w:bottom w:val="single" w:sz="4" w:space="0" w:color="auto"/>
              <w:right w:val="single" w:sz="4" w:space="0" w:color="auto"/>
            </w:tcBorders>
            <w:vAlign w:val="center"/>
          </w:tcPr>
          <w:p w14:paraId="1602109B" w14:textId="5844CA24" w:rsidR="00DC2965" w:rsidRPr="000170DA" w:rsidRDefault="00DC2965" w:rsidP="002E511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843D7C8" w14:textId="37B9BEF1" w:rsidR="00DC2965" w:rsidRPr="000170DA" w:rsidRDefault="00000000" w:rsidP="002E5116">
            <w:pPr>
              <w:keepNext/>
              <w:rPr>
                <w:rStyle w:val="Hyperlink"/>
                <w:rFonts w:ascii="Garamond" w:hAnsi="Garamond"/>
                <w:color w:val="auto"/>
                <w:u w:val="none"/>
                <w:lang w:val="en-AU"/>
              </w:rPr>
            </w:pPr>
            <w:hyperlink r:id="rId21" w:history="1">
              <w:r w:rsidR="0036643E" w:rsidRPr="00491B7C">
                <w:rPr>
                  <w:rStyle w:val="Hyperlink"/>
                  <w:rFonts w:ascii="Garamond" w:hAnsi="Garamond"/>
                  <w:lang w:val="en-AU"/>
                </w:rPr>
                <w:t>https://www.who.int/europe/news/item/14-11-2023-improving-patient-education--a-new-guide-for-policy-makers-and-health-professionals-to-support-self-management-of-chronic-conditions</w:t>
              </w:r>
            </w:hyperlink>
          </w:p>
        </w:tc>
      </w:tr>
      <w:tr w:rsidR="00DC2965" w:rsidRPr="000170DA" w14:paraId="72A20BD6" w14:textId="77777777" w:rsidTr="002E5116">
        <w:tc>
          <w:tcPr>
            <w:tcW w:w="1080" w:type="dxa"/>
            <w:tcBorders>
              <w:top w:val="single" w:sz="4" w:space="0" w:color="auto"/>
              <w:left w:val="single" w:sz="4" w:space="0" w:color="auto"/>
              <w:bottom w:val="single" w:sz="4" w:space="0" w:color="auto"/>
              <w:right w:val="single" w:sz="4" w:space="0" w:color="auto"/>
            </w:tcBorders>
            <w:vAlign w:val="center"/>
          </w:tcPr>
          <w:p w14:paraId="358A7CC0" w14:textId="77777777" w:rsidR="00DC2965" w:rsidRPr="000170DA" w:rsidRDefault="00DC2965" w:rsidP="002E511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CE0AEE3" w14:textId="2F512360" w:rsidR="00DC2965" w:rsidRPr="00D0490E" w:rsidRDefault="0036643E" w:rsidP="0084774E">
            <w:pPr>
              <w:rPr>
                <w:rFonts w:ascii="Garamond" w:hAnsi="Garamond"/>
                <w:lang w:val="en-AU"/>
              </w:rPr>
            </w:pPr>
            <w:r>
              <w:rPr>
                <w:rFonts w:ascii="Garamond" w:hAnsi="Garamond"/>
                <w:lang w:val="en-AU"/>
              </w:rPr>
              <w:t xml:space="preserve">The World health Organization’s </w:t>
            </w:r>
            <w:r w:rsidRPr="00893CFF">
              <w:rPr>
                <w:rFonts w:ascii="Garamond" w:hAnsi="Garamond"/>
                <w:lang w:val="en-AU"/>
              </w:rPr>
              <w:t>Regional Office for Europe</w:t>
            </w:r>
            <w:r>
              <w:rPr>
                <w:rFonts w:ascii="Garamond" w:hAnsi="Garamond"/>
                <w:lang w:val="en-AU"/>
              </w:rPr>
              <w:t xml:space="preserve"> has produced</w:t>
            </w:r>
            <w:r w:rsidR="00DF5BF1" w:rsidRPr="00DF5BF1">
              <w:rPr>
                <w:rFonts w:ascii="Garamond" w:hAnsi="Garamond"/>
                <w:lang w:val="en-AU"/>
              </w:rPr>
              <w:t xml:space="preserve"> guide for </w:t>
            </w:r>
            <w:proofErr w:type="gramStart"/>
            <w:r w:rsidR="00DF5BF1" w:rsidRPr="00DF5BF1">
              <w:rPr>
                <w:rFonts w:ascii="Garamond" w:hAnsi="Garamond"/>
                <w:lang w:val="en-AU"/>
              </w:rPr>
              <w:t>policy-makers</w:t>
            </w:r>
            <w:proofErr w:type="gramEnd"/>
            <w:r w:rsidR="00DF5BF1" w:rsidRPr="00DF5BF1">
              <w:rPr>
                <w:rFonts w:ascii="Garamond" w:hAnsi="Garamond"/>
                <w:lang w:val="en-AU"/>
              </w:rPr>
              <w:t>, health professionals, and education and training bodies on therapeutic patient education (TPE).</w:t>
            </w:r>
            <w:r w:rsidR="0084774E">
              <w:rPr>
                <w:rFonts w:ascii="Garamond" w:hAnsi="Garamond"/>
                <w:lang w:val="en-AU"/>
              </w:rPr>
              <w:t xml:space="preserve"> </w:t>
            </w:r>
            <w:r w:rsidR="0084774E" w:rsidRPr="0084774E">
              <w:rPr>
                <w:rFonts w:ascii="Garamond" w:hAnsi="Garamond"/>
                <w:lang w:val="en-AU"/>
              </w:rPr>
              <w:t xml:space="preserve">Therapeutic patient education is </w:t>
            </w:r>
            <w:r w:rsidR="0084774E">
              <w:rPr>
                <w:rFonts w:ascii="Garamond" w:hAnsi="Garamond"/>
                <w:lang w:val="en-AU"/>
              </w:rPr>
              <w:t>‘</w:t>
            </w:r>
            <w:r w:rsidR="0084774E" w:rsidRPr="0084774E">
              <w:rPr>
                <w:rFonts w:ascii="Garamond" w:hAnsi="Garamond"/>
                <w:lang w:val="en-AU"/>
              </w:rPr>
              <w:t xml:space="preserve">a structured person-centred learning process that supports individuals living with chronic conditions to self-manage their own health by drawing on their own resources, supported by their </w:t>
            </w:r>
            <w:proofErr w:type="spellStart"/>
            <w:r w:rsidR="0084774E" w:rsidRPr="0084774E">
              <w:rPr>
                <w:rFonts w:ascii="Garamond" w:hAnsi="Garamond"/>
                <w:lang w:val="en-AU"/>
              </w:rPr>
              <w:t>carers</w:t>
            </w:r>
            <w:proofErr w:type="spellEnd"/>
            <w:r w:rsidR="0084774E" w:rsidRPr="0084774E">
              <w:rPr>
                <w:rFonts w:ascii="Garamond" w:hAnsi="Garamond"/>
                <w:lang w:val="en-AU"/>
              </w:rPr>
              <w:t xml:space="preserve"> and families</w:t>
            </w:r>
            <w:r w:rsidR="0084774E">
              <w:rPr>
                <w:rFonts w:ascii="Garamond" w:hAnsi="Garamond"/>
                <w:lang w:val="en-AU"/>
              </w:rPr>
              <w:t xml:space="preserve">’. </w:t>
            </w:r>
            <w:r w:rsidR="00DF5BF1" w:rsidRPr="00DF5BF1">
              <w:rPr>
                <w:rFonts w:ascii="Garamond" w:hAnsi="Garamond"/>
                <w:lang w:val="en-AU"/>
              </w:rPr>
              <w:t xml:space="preserve"> The guide covers </w:t>
            </w:r>
            <w:r w:rsidR="00B662C9">
              <w:rPr>
                <w:rFonts w:ascii="Garamond" w:hAnsi="Garamond"/>
                <w:lang w:val="en-AU"/>
              </w:rPr>
              <w:t>‘</w:t>
            </w:r>
            <w:r w:rsidR="00DF5BF1" w:rsidRPr="00DF5BF1">
              <w:rPr>
                <w:rFonts w:ascii="Garamond" w:hAnsi="Garamond"/>
                <w:lang w:val="en-AU"/>
              </w:rPr>
              <w:t>commissioning, designing and delivering TPE services and training programmes for health professionals. It also looks at the evidence and theory underpinning patient education, outlines key components for delivering a high-quality service and identifies implementation opportunities and barriers.</w:t>
            </w:r>
            <w:r w:rsidR="006D3D54">
              <w:rPr>
                <w:rFonts w:ascii="Garamond" w:hAnsi="Garamond"/>
                <w:lang w:val="en-AU"/>
              </w:rPr>
              <w:t>’</w:t>
            </w:r>
          </w:p>
        </w:tc>
      </w:tr>
    </w:tbl>
    <w:p w14:paraId="4DACF49F" w14:textId="77777777" w:rsidR="00DC2965" w:rsidRDefault="00DC2965" w:rsidP="00542ABF">
      <w:pPr>
        <w:keepLines/>
        <w:autoSpaceDE w:val="0"/>
        <w:autoSpaceDN w:val="0"/>
        <w:adjustRightInd w:val="0"/>
        <w:jc w:val="both"/>
        <w:rPr>
          <w:rFonts w:ascii="Garamond" w:hAnsi="Garamond"/>
          <w:lang w:val="en-AU"/>
        </w:rPr>
      </w:pPr>
    </w:p>
    <w:p w14:paraId="0F5F02F2" w14:textId="77777777" w:rsidR="00D02271" w:rsidRDefault="00D02271" w:rsidP="000A3862">
      <w:pPr>
        <w:keepNext/>
        <w:keepLines/>
        <w:autoSpaceDE w:val="0"/>
        <w:autoSpaceDN w:val="0"/>
        <w:adjustRightInd w:val="0"/>
        <w:rPr>
          <w:rFonts w:ascii="Garamond" w:hAnsi="Garamond"/>
          <w:b/>
          <w:lang w:val="en-AU"/>
        </w:rPr>
      </w:pPr>
    </w:p>
    <w:p w14:paraId="752C14CA" w14:textId="77777777" w:rsidR="00D02271" w:rsidRDefault="00D02271" w:rsidP="000A3862">
      <w:pPr>
        <w:keepNext/>
        <w:keepLines/>
        <w:autoSpaceDE w:val="0"/>
        <w:autoSpaceDN w:val="0"/>
        <w:adjustRightInd w:val="0"/>
        <w:rPr>
          <w:rFonts w:ascii="Garamond" w:hAnsi="Garamond"/>
          <w:b/>
          <w:lang w:val="en-AU"/>
        </w:rPr>
      </w:pPr>
    </w:p>
    <w:p w14:paraId="604EB9F1" w14:textId="4B00B4FC" w:rsidR="00E02472" w:rsidRDefault="00E02472" w:rsidP="000A3862">
      <w:pPr>
        <w:keepNext/>
        <w:keepLines/>
        <w:autoSpaceDE w:val="0"/>
        <w:autoSpaceDN w:val="0"/>
        <w:adjustRightInd w:val="0"/>
        <w:rPr>
          <w:rFonts w:ascii="Garamond" w:hAnsi="Garamond"/>
          <w:b/>
          <w:lang w:val="en-AU"/>
        </w:rPr>
      </w:pPr>
      <w:r>
        <w:rPr>
          <w:rFonts w:ascii="Garamond" w:hAnsi="Garamond"/>
          <w:b/>
          <w:lang w:val="en-AU"/>
        </w:rPr>
        <w:t>Journal articles</w:t>
      </w:r>
    </w:p>
    <w:p w14:paraId="13DE6A40" w14:textId="35376342" w:rsidR="0008384D" w:rsidRDefault="0008384D" w:rsidP="000A3862">
      <w:pPr>
        <w:keepNext/>
        <w:keepLines/>
        <w:autoSpaceDE w:val="0"/>
        <w:autoSpaceDN w:val="0"/>
        <w:adjustRightInd w:val="0"/>
        <w:rPr>
          <w:rFonts w:ascii="Garamond" w:hAnsi="Garamond"/>
          <w:lang w:val="en-AU"/>
        </w:rPr>
      </w:pPr>
    </w:p>
    <w:p w14:paraId="47F57D43" w14:textId="77777777" w:rsidR="000D5DB0" w:rsidRPr="000D5DB0" w:rsidRDefault="000D5DB0" w:rsidP="000D5DB0">
      <w:pPr>
        <w:keepLines/>
        <w:autoSpaceDE w:val="0"/>
        <w:autoSpaceDN w:val="0"/>
        <w:adjustRightInd w:val="0"/>
        <w:rPr>
          <w:rFonts w:ascii="Garamond" w:hAnsi="Garamond"/>
          <w:i/>
          <w:iCs/>
          <w:lang w:val="en-AU"/>
        </w:rPr>
      </w:pPr>
      <w:r w:rsidRPr="000D5DB0">
        <w:rPr>
          <w:rFonts w:ascii="Garamond" w:hAnsi="Garamond"/>
          <w:i/>
          <w:iCs/>
          <w:lang w:val="en-AU"/>
        </w:rPr>
        <w:t>Managing unwarranted variation in hospital care – findings from a regional audit in Norway</w:t>
      </w:r>
    </w:p>
    <w:p w14:paraId="2A4748EC" w14:textId="77777777" w:rsidR="000D5DB0" w:rsidRDefault="000D5DB0" w:rsidP="002C14CC">
      <w:pPr>
        <w:keepLines/>
        <w:autoSpaceDE w:val="0"/>
        <w:autoSpaceDN w:val="0"/>
        <w:adjustRightInd w:val="0"/>
        <w:rPr>
          <w:rFonts w:ascii="Garamond" w:hAnsi="Garamond"/>
          <w:lang w:val="en-AU"/>
        </w:rPr>
      </w:pPr>
      <w:r w:rsidRPr="000D5DB0">
        <w:rPr>
          <w:rFonts w:ascii="Garamond" w:hAnsi="Garamond"/>
          <w:lang w:val="en-AU"/>
        </w:rPr>
        <w:t>Eide HP, Barach P, Søreide E, Thoresen C, Tjomsland O</w:t>
      </w:r>
    </w:p>
    <w:p w14:paraId="37E971C3" w14:textId="3BE58D5E" w:rsidR="002C14CC" w:rsidRDefault="000D5DB0" w:rsidP="002C14CC">
      <w:pPr>
        <w:keepLines/>
        <w:autoSpaceDE w:val="0"/>
        <w:autoSpaceDN w:val="0"/>
        <w:adjustRightInd w:val="0"/>
        <w:rPr>
          <w:rFonts w:ascii="Garamond" w:hAnsi="Garamond"/>
          <w:lang w:val="en-AU"/>
        </w:rPr>
      </w:pPr>
      <w:r w:rsidRPr="000D5DB0">
        <w:rPr>
          <w:rFonts w:ascii="Garamond" w:hAnsi="Garamond"/>
          <w:lang w:val="en-AU"/>
        </w:rPr>
        <w:t>Research in Health Services &amp; Regions 2023 2023/11/15;2(1):16.</w:t>
      </w:r>
    </w:p>
    <w:tbl>
      <w:tblPr>
        <w:tblStyle w:val="TableGrid"/>
        <w:tblW w:w="9360" w:type="dxa"/>
        <w:tblInd w:w="288" w:type="dxa"/>
        <w:tblLayout w:type="fixed"/>
        <w:tblLook w:val="01E0" w:firstRow="1" w:lastRow="1" w:firstColumn="1" w:lastColumn="1" w:noHBand="0" w:noVBand="0"/>
      </w:tblPr>
      <w:tblGrid>
        <w:gridCol w:w="1080"/>
        <w:gridCol w:w="8280"/>
      </w:tblGrid>
      <w:tr w:rsidR="002C14CC" w:rsidRPr="000170DA" w14:paraId="1D1FC327" w14:textId="77777777" w:rsidTr="004B43CF">
        <w:tc>
          <w:tcPr>
            <w:tcW w:w="1080" w:type="dxa"/>
            <w:tcBorders>
              <w:top w:val="single" w:sz="4" w:space="0" w:color="auto"/>
              <w:left w:val="single" w:sz="4" w:space="0" w:color="auto"/>
              <w:bottom w:val="single" w:sz="4" w:space="0" w:color="auto"/>
              <w:right w:val="single" w:sz="4" w:space="0" w:color="auto"/>
            </w:tcBorders>
            <w:vAlign w:val="center"/>
          </w:tcPr>
          <w:p w14:paraId="11BE07EE" w14:textId="77777777" w:rsidR="002C14CC" w:rsidRPr="000170DA" w:rsidRDefault="002C14CC" w:rsidP="004B43C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242F0E1" w14:textId="47973ECF" w:rsidR="002C14CC" w:rsidRPr="000170DA" w:rsidRDefault="00000000" w:rsidP="004B43CF">
            <w:pPr>
              <w:keepNext/>
              <w:rPr>
                <w:rStyle w:val="Hyperlink"/>
                <w:rFonts w:ascii="Garamond" w:hAnsi="Garamond"/>
                <w:color w:val="auto"/>
                <w:u w:val="none"/>
                <w:lang w:val="en-AU"/>
              </w:rPr>
            </w:pPr>
            <w:hyperlink r:id="rId22" w:history="1">
              <w:r w:rsidR="001B593D" w:rsidRPr="00491B7C">
                <w:rPr>
                  <w:rStyle w:val="Hyperlink"/>
                  <w:rFonts w:ascii="Garamond" w:hAnsi="Garamond"/>
                  <w:lang w:val="en-AU"/>
                </w:rPr>
                <w:t>https://doi.org/10.1007/s43999-023-00033-7</w:t>
              </w:r>
            </w:hyperlink>
          </w:p>
        </w:tc>
      </w:tr>
      <w:tr w:rsidR="002C14CC" w:rsidRPr="000170DA" w14:paraId="794637BF" w14:textId="77777777" w:rsidTr="004B43CF">
        <w:tc>
          <w:tcPr>
            <w:tcW w:w="1080" w:type="dxa"/>
            <w:tcBorders>
              <w:top w:val="single" w:sz="4" w:space="0" w:color="auto"/>
              <w:left w:val="single" w:sz="4" w:space="0" w:color="auto"/>
              <w:bottom w:val="single" w:sz="4" w:space="0" w:color="auto"/>
              <w:right w:val="single" w:sz="4" w:space="0" w:color="auto"/>
            </w:tcBorders>
            <w:vAlign w:val="center"/>
          </w:tcPr>
          <w:p w14:paraId="668E79B8" w14:textId="77777777" w:rsidR="002C14CC" w:rsidRPr="000170DA" w:rsidRDefault="002C14CC" w:rsidP="004B43C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2E07DC9" w14:textId="6CC6ED57" w:rsidR="002C14CC" w:rsidRPr="00D0490E" w:rsidRDefault="000D5DB0" w:rsidP="00EF0860">
            <w:pPr>
              <w:rPr>
                <w:rFonts w:ascii="Garamond" w:hAnsi="Garamond"/>
                <w:lang w:val="en-AU"/>
              </w:rPr>
            </w:pPr>
            <w:r>
              <w:rPr>
                <w:rFonts w:ascii="Garamond" w:hAnsi="Garamond"/>
                <w:lang w:val="en-AU"/>
              </w:rPr>
              <w:t xml:space="preserve">Recent years has seen interest in </w:t>
            </w:r>
            <w:r w:rsidR="0068540E">
              <w:rPr>
                <w:rFonts w:ascii="Garamond" w:hAnsi="Garamond"/>
                <w:lang w:val="en-AU"/>
              </w:rPr>
              <w:t xml:space="preserve">the issue of unwarranted variation in care and various efforts to address it. This paper reports on a study that examined </w:t>
            </w:r>
            <w:r w:rsidR="008A24CF">
              <w:rPr>
                <w:rFonts w:ascii="Garamond" w:hAnsi="Garamond"/>
                <w:lang w:val="en-AU"/>
              </w:rPr>
              <w:t xml:space="preserve">the response to a regional </w:t>
            </w:r>
            <w:r w:rsidR="00ED5205">
              <w:rPr>
                <w:rFonts w:ascii="Garamond" w:hAnsi="Garamond"/>
                <w:lang w:val="en-AU"/>
              </w:rPr>
              <w:t xml:space="preserve">strategy aimed at </w:t>
            </w:r>
            <w:r w:rsidR="00C34D74">
              <w:rPr>
                <w:rFonts w:ascii="Garamond" w:hAnsi="Garamond"/>
                <w:lang w:val="en-AU"/>
              </w:rPr>
              <w:t xml:space="preserve">reducing </w:t>
            </w:r>
            <w:r w:rsidR="00C34D74" w:rsidRPr="00C34D74">
              <w:rPr>
                <w:rFonts w:ascii="Garamond" w:hAnsi="Garamond"/>
                <w:lang w:val="en-AU"/>
              </w:rPr>
              <w:t>unwarranted variation in outcomes and utilization rates.</w:t>
            </w:r>
            <w:r w:rsidR="0046493A">
              <w:rPr>
                <w:rFonts w:ascii="Garamond" w:hAnsi="Garamond"/>
                <w:lang w:val="en-AU"/>
              </w:rPr>
              <w:t xml:space="preserve"> The study </w:t>
            </w:r>
            <w:r w:rsidR="0067181F">
              <w:rPr>
                <w:rFonts w:ascii="Garamond" w:hAnsi="Garamond"/>
                <w:lang w:val="en-AU"/>
              </w:rPr>
              <w:t xml:space="preserve">involved 75 hospital leaders </w:t>
            </w:r>
            <w:r w:rsidR="00C24439" w:rsidRPr="00C24439">
              <w:rPr>
                <w:rFonts w:ascii="Garamond" w:hAnsi="Garamond"/>
                <w:lang w:val="en-AU"/>
              </w:rPr>
              <w:t>from eight hospital trusts in South-Eastern Norway Regional Trust</w:t>
            </w:r>
            <w:r w:rsidR="00597C73">
              <w:rPr>
                <w:rFonts w:ascii="Garamond" w:hAnsi="Garamond"/>
                <w:lang w:val="en-AU"/>
              </w:rPr>
              <w:t xml:space="preserve"> (HSO)</w:t>
            </w:r>
            <w:r w:rsidR="00DE5D57">
              <w:rPr>
                <w:rFonts w:ascii="Garamond" w:hAnsi="Garamond"/>
                <w:lang w:val="en-AU"/>
              </w:rPr>
              <w:t xml:space="preserve">. The authors report that their </w:t>
            </w:r>
            <w:r w:rsidR="00597C73">
              <w:rPr>
                <w:rFonts w:ascii="Garamond" w:hAnsi="Garamond"/>
                <w:lang w:val="en-AU"/>
              </w:rPr>
              <w:t>‘</w:t>
            </w:r>
            <w:r w:rsidR="00597C73" w:rsidRPr="00597C73">
              <w:rPr>
                <w:rFonts w:ascii="Garamond" w:hAnsi="Garamond"/>
                <w:lang w:val="en-AU"/>
              </w:rPr>
              <w:t>audit revealed that the aim of reducing unwanted variation was not clearly communicated by senior HSO management. There was varying use of data from the national quality registers and health atlases for quality improvement. One third of the clinical leaders reported a lack of scrutiny of their work and were insufficiently aware of the HSO’s top-management and the hospital’s Boards strategic expectations about the importance of reducing unwarranted variation in their hospital utilization.</w:t>
            </w:r>
            <w:r w:rsidR="00597C73">
              <w:rPr>
                <w:rFonts w:ascii="Garamond" w:hAnsi="Garamond"/>
                <w:lang w:val="en-AU"/>
              </w:rPr>
              <w:t xml:space="preserve">’ </w:t>
            </w:r>
            <w:r w:rsidR="000312A9">
              <w:rPr>
                <w:rFonts w:ascii="Garamond" w:hAnsi="Garamond"/>
                <w:lang w:val="en-AU"/>
              </w:rPr>
              <w:t>The authors</w:t>
            </w:r>
            <w:r w:rsidR="00302689">
              <w:rPr>
                <w:rFonts w:ascii="Garamond" w:hAnsi="Garamond"/>
                <w:lang w:val="en-AU"/>
              </w:rPr>
              <w:t xml:space="preserve"> observe ‘</w:t>
            </w:r>
            <w:r w:rsidR="00302689" w:rsidRPr="00302689">
              <w:rPr>
                <w:rFonts w:ascii="Garamond" w:hAnsi="Garamond"/>
                <w:lang w:val="en-AU"/>
              </w:rPr>
              <w:t>that the strategic aim of reducing unwanted clinical variation was not clearly communicated by senior HSO management to hospital boards and senior management</w:t>
            </w:r>
            <w:r w:rsidR="00EF0860">
              <w:rPr>
                <w:rFonts w:ascii="Garamond" w:hAnsi="Garamond"/>
                <w:lang w:val="en-AU"/>
              </w:rPr>
              <w:t>’ and that ‘</w:t>
            </w:r>
            <w:r w:rsidR="00302689" w:rsidRPr="00302689">
              <w:rPr>
                <w:rFonts w:ascii="Garamond" w:hAnsi="Garamond"/>
                <w:lang w:val="en-AU"/>
              </w:rPr>
              <w:t>hospitals could benefit from a better understanding of causes of variation by strengthening their efforts to reduce unwarranted variation in utilization rates as a key element in improving health care quality and patient safety.</w:t>
            </w:r>
            <w:r w:rsidR="00302689">
              <w:rPr>
                <w:rFonts w:ascii="Garamond" w:hAnsi="Garamond"/>
                <w:lang w:val="en-AU"/>
              </w:rPr>
              <w:t>’</w:t>
            </w:r>
          </w:p>
        </w:tc>
      </w:tr>
    </w:tbl>
    <w:p w14:paraId="15D58F48" w14:textId="77777777" w:rsidR="002C14CC" w:rsidRDefault="002C14CC" w:rsidP="002C14CC">
      <w:pPr>
        <w:keepLines/>
        <w:autoSpaceDE w:val="0"/>
        <w:autoSpaceDN w:val="0"/>
        <w:adjustRightInd w:val="0"/>
        <w:rPr>
          <w:rFonts w:ascii="Garamond" w:hAnsi="Garamond"/>
          <w:lang w:val="en-AU"/>
        </w:rPr>
      </w:pPr>
    </w:p>
    <w:p w14:paraId="3CA6E11C" w14:textId="4468BDFC" w:rsidR="00EF0860" w:rsidRDefault="00EF0860" w:rsidP="002C14CC">
      <w:pPr>
        <w:keepLines/>
        <w:autoSpaceDE w:val="0"/>
        <w:autoSpaceDN w:val="0"/>
        <w:adjustRightInd w:val="0"/>
        <w:rPr>
          <w:rFonts w:ascii="Garamond" w:hAnsi="Garamond"/>
          <w:lang w:val="en-AU"/>
        </w:rPr>
      </w:pPr>
      <w:r>
        <w:rPr>
          <w:rFonts w:ascii="Garamond" w:hAnsi="Garamond"/>
          <w:lang w:val="en-AU"/>
        </w:rPr>
        <w:t xml:space="preserve">For information on the Commission’s work on healthcare variation, </w:t>
      </w:r>
      <w:r w:rsidR="00A75223">
        <w:rPr>
          <w:rFonts w:ascii="Garamond" w:hAnsi="Garamond"/>
          <w:lang w:val="en-AU"/>
        </w:rPr>
        <w:t xml:space="preserve">including the </w:t>
      </w:r>
      <w:r w:rsidR="00A75223" w:rsidRPr="00A75223">
        <w:rPr>
          <w:rFonts w:ascii="Garamond" w:hAnsi="Garamond"/>
          <w:i/>
          <w:iCs/>
          <w:lang w:val="en-AU"/>
        </w:rPr>
        <w:t>Australian Atlas of Healthcare Variation</w:t>
      </w:r>
      <w:r w:rsidR="00A75223" w:rsidRPr="00A75223">
        <w:rPr>
          <w:rFonts w:ascii="Garamond" w:hAnsi="Garamond"/>
          <w:lang w:val="en-AU"/>
        </w:rPr>
        <w:t xml:space="preserve"> series</w:t>
      </w:r>
      <w:r w:rsidR="00A75223">
        <w:rPr>
          <w:rFonts w:ascii="Garamond" w:hAnsi="Garamond"/>
          <w:lang w:val="en-AU"/>
        </w:rPr>
        <w:t>,</w:t>
      </w:r>
      <w:r w:rsidR="00A75223" w:rsidRPr="00A75223">
        <w:rPr>
          <w:rFonts w:ascii="Garamond" w:hAnsi="Garamond"/>
          <w:lang w:val="en-AU"/>
        </w:rPr>
        <w:t xml:space="preserve"> </w:t>
      </w:r>
      <w:r>
        <w:rPr>
          <w:rFonts w:ascii="Garamond" w:hAnsi="Garamond"/>
          <w:lang w:val="en-AU"/>
        </w:rPr>
        <w:t>see</w:t>
      </w:r>
      <w:r w:rsidR="00A75223">
        <w:rPr>
          <w:rFonts w:ascii="Garamond" w:hAnsi="Garamond"/>
          <w:lang w:val="en-AU"/>
        </w:rPr>
        <w:t xml:space="preserve"> </w:t>
      </w:r>
      <w:hyperlink r:id="rId23" w:history="1">
        <w:r w:rsidR="00A75223" w:rsidRPr="00491B7C">
          <w:rPr>
            <w:rStyle w:val="Hyperlink"/>
            <w:rFonts w:ascii="Garamond" w:hAnsi="Garamond"/>
            <w:lang w:val="en-AU"/>
          </w:rPr>
          <w:t>https://www.safetyandquality.gov.au/our-work/healthcare-variation</w:t>
        </w:r>
      </w:hyperlink>
    </w:p>
    <w:p w14:paraId="3CE66F22" w14:textId="77777777" w:rsidR="002C14CC" w:rsidRDefault="002C14CC" w:rsidP="002C14CC">
      <w:pPr>
        <w:keepLines/>
        <w:autoSpaceDE w:val="0"/>
        <w:autoSpaceDN w:val="0"/>
        <w:adjustRightInd w:val="0"/>
        <w:rPr>
          <w:rFonts w:ascii="Garamond" w:hAnsi="Garamond"/>
          <w:lang w:val="en-AU"/>
        </w:rPr>
      </w:pPr>
    </w:p>
    <w:p w14:paraId="08C5E83E" w14:textId="77777777" w:rsidR="00D02271" w:rsidRDefault="00D02271">
      <w:pPr>
        <w:rPr>
          <w:rFonts w:ascii="Garamond" w:hAnsi="Garamond"/>
          <w:i/>
          <w:iCs/>
          <w:lang w:val="en-AU"/>
        </w:rPr>
      </w:pPr>
      <w:r>
        <w:rPr>
          <w:rFonts w:ascii="Garamond" w:hAnsi="Garamond"/>
          <w:i/>
          <w:iCs/>
          <w:lang w:val="en-AU"/>
        </w:rPr>
        <w:br w:type="page"/>
      </w:r>
    </w:p>
    <w:p w14:paraId="7A57D8AC" w14:textId="7029A5AE" w:rsidR="00D02271" w:rsidRPr="006A4710" w:rsidRDefault="00D02271" w:rsidP="00D02271">
      <w:pPr>
        <w:keepNext/>
        <w:keepLines/>
        <w:autoSpaceDE w:val="0"/>
        <w:autoSpaceDN w:val="0"/>
        <w:adjustRightInd w:val="0"/>
        <w:rPr>
          <w:rFonts w:ascii="Garamond" w:hAnsi="Garamond"/>
          <w:i/>
          <w:iCs/>
          <w:lang w:val="en-AU"/>
        </w:rPr>
      </w:pPr>
      <w:r w:rsidRPr="006A4710">
        <w:rPr>
          <w:rFonts w:ascii="Garamond" w:hAnsi="Garamond"/>
          <w:i/>
          <w:iCs/>
          <w:lang w:val="en-AU"/>
        </w:rPr>
        <w:lastRenderedPageBreak/>
        <w:t>Overnight Stay in the Emergency Department and Mortality in Older Patients</w:t>
      </w:r>
    </w:p>
    <w:p w14:paraId="172042A9" w14:textId="77777777" w:rsidR="00D02271" w:rsidRDefault="00D02271" w:rsidP="00D02271">
      <w:pPr>
        <w:keepNext/>
        <w:keepLines/>
        <w:autoSpaceDE w:val="0"/>
        <w:autoSpaceDN w:val="0"/>
        <w:adjustRightInd w:val="0"/>
        <w:rPr>
          <w:rFonts w:ascii="Garamond" w:hAnsi="Garamond"/>
          <w:lang w:val="en-AU"/>
        </w:rPr>
      </w:pPr>
      <w:r w:rsidRPr="006A4710">
        <w:rPr>
          <w:rFonts w:ascii="Garamond" w:hAnsi="Garamond"/>
          <w:lang w:val="en-AU"/>
        </w:rPr>
        <w:t>Roussel M, Teissandier D, Yordanov Y, Balen F, Noizet M, Tazarourte K, et al</w:t>
      </w:r>
    </w:p>
    <w:p w14:paraId="4BAA10C1" w14:textId="77777777" w:rsidR="00D02271" w:rsidRDefault="00D02271" w:rsidP="00D02271">
      <w:pPr>
        <w:keepNext/>
        <w:keepLines/>
        <w:autoSpaceDE w:val="0"/>
        <w:autoSpaceDN w:val="0"/>
        <w:adjustRightInd w:val="0"/>
        <w:rPr>
          <w:rFonts w:ascii="Garamond" w:hAnsi="Garamond"/>
          <w:lang w:val="en-AU"/>
        </w:rPr>
      </w:pPr>
      <w:r w:rsidRPr="006A4710">
        <w:rPr>
          <w:rFonts w:ascii="Garamond" w:hAnsi="Garamond"/>
          <w:lang w:val="en-AU"/>
        </w:rPr>
        <w:t>JAMA Internal Medicine 2023.</w:t>
      </w:r>
    </w:p>
    <w:tbl>
      <w:tblPr>
        <w:tblStyle w:val="TableGrid"/>
        <w:tblW w:w="9360" w:type="dxa"/>
        <w:tblInd w:w="288" w:type="dxa"/>
        <w:tblLayout w:type="fixed"/>
        <w:tblLook w:val="01E0" w:firstRow="1" w:lastRow="1" w:firstColumn="1" w:lastColumn="1" w:noHBand="0" w:noVBand="0"/>
      </w:tblPr>
      <w:tblGrid>
        <w:gridCol w:w="1080"/>
        <w:gridCol w:w="8280"/>
      </w:tblGrid>
      <w:tr w:rsidR="00D02271" w:rsidRPr="000170DA" w14:paraId="082CE2F2" w14:textId="77777777" w:rsidTr="00C34202">
        <w:tc>
          <w:tcPr>
            <w:tcW w:w="1080" w:type="dxa"/>
            <w:tcBorders>
              <w:top w:val="single" w:sz="4" w:space="0" w:color="auto"/>
              <w:left w:val="single" w:sz="4" w:space="0" w:color="auto"/>
              <w:bottom w:val="single" w:sz="4" w:space="0" w:color="auto"/>
              <w:right w:val="single" w:sz="4" w:space="0" w:color="auto"/>
            </w:tcBorders>
            <w:vAlign w:val="center"/>
          </w:tcPr>
          <w:p w14:paraId="5651A144" w14:textId="77777777" w:rsidR="00D02271" w:rsidRPr="000170DA" w:rsidRDefault="00D02271" w:rsidP="00C3420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4A48FCA" w14:textId="77777777" w:rsidR="00D02271" w:rsidRPr="000170DA" w:rsidRDefault="00000000" w:rsidP="00C34202">
            <w:pPr>
              <w:keepNext/>
              <w:rPr>
                <w:rStyle w:val="Hyperlink"/>
                <w:rFonts w:ascii="Garamond" w:hAnsi="Garamond"/>
                <w:color w:val="auto"/>
                <w:u w:val="none"/>
                <w:lang w:val="en-AU"/>
              </w:rPr>
            </w:pPr>
            <w:hyperlink r:id="rId24" w:history="1">
              <w:r w:rsidR="00D02271" w:rsidRPr="00491B7C">
                <w:rPr>
                  <w:rStyle w:val="Hyperlink"/>
                  <w:rFonts w:ascii="Garamond" w:hAnsi="Garamond"/>
                  <w:lang w:val="en-AU"/>
                </w:rPr>
                <w:t>https://doi.org/10.1001/jamainternmed.2023.5961</w:t>
              </w:r>
            </w:hyperlink>
          </w:p>
        </w:tc>
      </w:tr>
      <w:tr w:rsidR="00D02271" w:rsidRPr="000170DA" w14:paraId="452C6EC5" w14:textId="77777777" w:rsidTr="00C34202">
        <w:tc>
          <w:tcPr>
            <w:tcW w:w="1080" w:type="dxa"/>
            <w:tcBorders>
              <w:top w:val="single" w:sz="4" w:space="0" w:color="auto"/>
              <w:left w:val="single" w:sz="4" w:space="0" w:color="auto"/>
              <w:bottom w:val="single" w:sz="4" w:space="0" w:color="auto"/>
              <w:right w:val="single" w:sz="4" w:space="0" w:color="auto"/>
            </w:tcBorders>
            <w:vAlign w:val="center"/>
          </w:tcPr>
          <w:p w14:paraId="3D0B17FC" w14:textId="77777777" w:rsidR="00D02271" w:rsidRPr="000170DA" w:rsidRDefault="00D02271" w:rsidP="00C3420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DA3EF9E" w14:textId="77777777" w:rsidR="00D02271" w:rsidRPr="00D0490E" w:rsidRDefault="00D02271" w:rsidP="00C34202">
            <w:pPr>
              <w:rPr>
                <w:rFonts w:ascii="Garamond" w:hAnsi="Garamond"/>
                <w:lang w:val="en-AU"/>
              </w:rPr>
            </w:pPr>
            <w:r>
              <w:rPr>
                <w:rFonts w:ascii="Garamond" w:hAnsi="Garamond"/>
                <w:lang w:val="en-AU"/>
              </w:rPr>
              <w:t>French study that sought to examine the impact of staying overnight in the emergency department (ED) had an impact on older patients. T</w:t>
            </w:r>
            <w:r w:rsidRPr="004C0E1E">
              <w:rPr>
                <w:rFonts w:ascii="Garamond" w:hAnsi="Garamond"/>
                <w:lang w:val="en-AU"/>
              </w:rPr>
              <w:t xml:space="preserve">his prospective cohort study </w:t>
            </w:r>
            <w:r>
              <w:rPr>
                <w:rFonts w:ascii="Garamond" w:hAnsi="Garamond"/>
                <w:lang w:val="en-AU"/>
              </w:rPr>
              <w:t xml:space="preserve">included 1598 </w:t>
            </w:r>
            <w:r w:rsidRPr="004C0E1E">
              <w:rPr>
                <w:rFonts w:ascii="Garamond" w:hAnsi="Garamond"/>
                <w:lang w:val="en-AU"/>
              </w:rPr>
              <w:t xml:space="preserve">older patients (≥75 years) </w:t>
            </w:r>
            <w:r>
              <w:rPr>
                <w:rFonts w:ascii="Garamond" w:hAnsi="Garamond"/>
                <w:lang w:val="en-AU"/>
              </w:rPr>
              <w:t>‘</w:t>
            </w:r>
            <w:r w:rsidRPr="004C0E1E">
              <w:rPr>
                <w:rFonts w:ascii="Garamond" w:hAnsi="Garamond"/>
                <w:lang w:val="en-AU"/>
              </w:rPr>
              <w:t>who visited the ED and were admitted to the hospital on December 12 to 14, 2022, at 97 EDs across France</w:t>
            </w:r>
            <w:r>
              <w:rPr>
                <w:rFonts w:ascii="Garamond" w:hAnsi="Garamond"/>
                <w:lang w:val="en-AU"/>
              </w:rPr>
              <w:t>’</w:t>
            </w:r>
            <w:r w:rsidRPr="004C0E1E">
              <w:rPr>
                <w:rFonts w:ascii="Garamond" w:hAnsi="Garamond"/>
                <w:lang w:val="en-AU"/>
              </w:rPr>
              <w:t>. T</w:t>
            </w:r>
            <w:r>
              <w:rPr>
                <w:rFonts w:ascii="Garamond" w:hAnsi="Garamond"/>
                <w:lang w:val="en-AU"/>
              </w:rPr>
              <w:t xml:space="preserve">he study </w:t>
            </w:r>
            <w:r w:rsidRPr="004C0E1E">
              <w:rPr>
                <w:rFonts w:ascii="Garamond" w:hAnsi="Garamond"/>
                <w:lang w:val="en-AU"/>
              </w:rPr>
              <w:t xml:space="preserve">compared: </w:t>
            </w:r>
            <w:r>
              <w:rPr>
                <w:rFonts w:ascii="Garamond" w:hAnsi="Garamond"/>
                <w:lang w:val="en-AU"/>
              </w:rPr>
              <w:t>‘</w:t>
            </w:r>
            <w:r w:rsidRPr="004C0E1E">
              <w:rPr>
                <w:rFonts w:ascii="Garamond" w:hAnsi="Garamond"/>
                <w:lang w:val="en-AU"/>
              </w:rPr>
              <w:t>those who stayed in the ED from midnight until 8:00 am (ED group) and those who were admitted to a ward before midnight (ward group)</w:t>
            </w:r>
            <w:r>
              <w:rPr>
                <w:rFonts w:ascii="Garamond" w:hAnsi="Garamond"/>
                <w:lang w:val="en-AU"/>
              </w:rPr>
              <w:t>’</w:t>
            </w:r>
            <w:r w:rsidRPr="004C0E1E">
              <w:rPr>
                <w:rFonts w:ascii="Garamond" w:hAnsi="Garamond"/>
                <w:lang w:val="en-AU"/>
              </w:rPr>
              <w:t>.</w:t>
            </w:r>
            <w:r>
              <w:rPr>
                <w:rFonts w:ascii="Garamond" w:hAnsi="Garamond"/>
                <w:lang w:val="en-AU"/>
              </w:rPr>
              <w:t xml:space="preserve"> Those who spent the night in the ED ‘h</w:t>
            </w:r>
            <w:r w:rsidRPr="00741346">
              <w:rPr>
                <w:rFonts w:ascii="Garamond" w:hAnsi="Garamond"/>
                <w:lang w:val="en-AU"/>
              </w:rPr>
              <w:t>ad a higher in-hospital mortality rate of 15.7% vs 11.1% (adjusted risk ratio [aRR], 1.39; 95% CI, 1.07-1.81). They also had a higher risk of adverse events compared with the ward group (aRR, 1.24; 95% CI, 1.04-1.49) and increased median length of stay (9 vs 8 days; rate ratio, 1.20; 95% CI, 1.11-1.31).</w:t>
            </w:r>
            <w:r>
              <w:rPr>
                <w:rFonts w:ascii="Garamond" w:hAnsi="Garamond"/>
                <w:lang w:val="en-AU"/>
              </w:rPr>
              <w:t>’</w:t>
            </w:r>
            <w:r w:rsidRPr="00741346">
              <w:rPr>
                <w:rFonts w:ascii="Garamond" w:hAnsi="Garamond"/>
                <w:lang w:val="en-AU"/>
              </w:rPr>
              <w:t xml:space="preserve"> </w:t>
            </w:r>
            <w:r>
              <w:rPr>
                <w:rFonts w:ascii="Garamond" w:hAnsi="Garamond"/>
                <w:lang w:val="en-AU"/>
              </w:rPr>
              <w:t>The authors suggest that ‘</w:t>
            </w:r>
            <w:r w:rsidRPr="00EC6F37">
              <w:rPr>
                <w:rFonts w:ascii="Garamond" w:hAnsi="Garamond"/>
                <w:lang w:val="en-AU"/>
              </w:rPr>
              <w:t>Older adults should be prioritized for admission to a ward.</w:t>
            </w:r>
            <w:r>
              <w:rPr>
                <w:rFonts w:ascii="Garamond" w:hAnsi="Garamond"/>
                <w:lang w:val="en-AU"/>
              </w:rPr>
              <w:t>’</w:t>
            </w:r>
          </w:p>
        </w:tc>
      </w:tr>
    </w:tbl>
    <w:p w14:paraId="54A24478" w14:textId="77777777" w:rsidR="00D02271" w:rsidRDefault="00D02271" w:rsidP="00D02271">
      <w:pPr>
        <w:keepLines/>
        <w:autoSpaceDE w:val="0"/>
        <w:autoSpaceDN w:val="0"/>
        <w:adjustRightInd w:val="0"/>
        <w:rPr>
          <w:rFonts w:ascii="Garamond" w:hAnsi="Garamond"/>
          <w:lang w:val="en-AU"/>
        </w:rPr>
      </w:pPr>
    </w:p>
    <w:p w14:paraId="4F830727" w14:textId="77777777" w:rsidR="00FB39FB" w:rsidRDefault="00FB39FB" w:rsidP="00FB39FB">
      <w:pPr>
        <w:keepNext/>
        <w:rPr>
          <w:rFonts w:ascii="Garamond" w:hAnsi="Garamond"/>
          <w:i/>
          <w:lang w:val="en-AU"/>
        </w:rPr>
      </w:pPr>
      <w:r>
        <w:rPr>
          <w:rFonts w:ascii="Garamond" w:hAnsi="Garamond"/>
          <w:i/>
          <w:lang w:val="en-AU"/>
        </w:rPr>
        <w:t>BMJ Quality &amp; Safety</w:t>
      </w:r>
    </w:p>
    <w:p w14:paraId="70B65548" w14:textId="703DB63D" w:rsidR="00FB39FB" w:rsidRDefault="00FB39FB" w:rsidP="00FB39FB">
      <w:pPr>
        <w:keepNext/>
        <w:rPr>
          <w:rFonts w:ascii="Garamond" w:hAnsi="Garamond"/>
          <w:iCs/>
          <w:lang w:val="en-AU"/>
        </w:rPr>
      </w:pPr>
      <w:r>
        <w:rPr>
          <w:rFonts w:ascii="Garamond" w:hAnsi="Garamond"/>
          <w:iCs/>
          <w:lang w:val="en-AU"/>
        </w:rPr>
        <w:t>Volume 32, Issue 12, December 2023</w:t>
      </w:r>
    </w:p>
    <w:tbl>
      <w:tblPr>
        <w:tblStyle w:val="TableGrid"/>
        <w:tblW w:w="9360" w:type="dxa"/>
        <w:tblInd w:w="288" w:type="dxa"/>
        <w:tblLayout w:type="fixed"/>
        <w:tblLook w:val="01E0" w:firstRow="1" w:lastRow="1" w:firstColumn="1" w:lastColumn="1" w:noHBand="0" w:noVBand="0"/>
      </w:tblPr>
      <w:tblGrid>
        <w:gridCol w:w="1080"/>
        <w:gridCol w:w="8280"/>
      </w:tblGrid>
      <w:tr w:rsidR="00FB39FB" w14:paraId="76A73E13" w14:textId="77777777" w:rsidTr="002E5116">
        <w:tc>
          <w:tcPr>
            <w:tcW w:w="1080" w:type="dxa"/>
            <w:tcBorders>
              <w:top w:val="single" w:sz="4" w:space="0" w:color="auto"/>
              <w:left w:val="single" w:sz="4" w:space="0" w:color="auto"/>
              <w:bottom w:val="single" w:sz="4" w:space="0" w:color="auto"/>
              <w:right w:val="single" w:sz="4" w:space="0" w:color="auto"/>
            </w:tcBorders>
            <w:vAlign w:val="center"/>
            <w:hideMark/>
          </w:tcPr>
          <w:p w14:paraId="1DF29D80" w14:textId="77777777" w:rsidR="00FB39FB" w:rsidRDefault="00FB39FB" w:rsidP="002E5116">
            <w:pPr>
              <w:keepNext/>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F90F22A" w14:textId="5DE24B0E" w:rsidR="00FB39FB" w:rsidRDefault="00000000" w:rsidP="002E5116">
            <w:pPr>
              <w:rPr>
                <w:rStyle w:val="Hyperlink"/>
                <w:rFonts w:ascii="Garamond" w:hAnsi="Garamond"/>
                <w:color w:val="auto"/>
                <w:u w:val="none"/>
                <w:lang w:val="en-AU"/>
              </w:rPr>
            </w:pPr>
            <w:hyperlink r:id="rId25" w:history="1">
              <w:r w:rsidR="00FB39FB" w:rsidRPr="00491B7C">
                <w:rPr>
                  <w:rStyle w:val="Hyperlink"/>
                  <w:rFonts w:ascii="Garamond" w:hAnsi="Garamond"/>
                  <w:lang w:val="en-AU"/>
                </w:rPr>
                <w:t>https://qualitysafety.bmj.com/content/32/12</w:t>
              </w:r>
            </w:hyperlink>
          </w:p>
        </w:tc>
      </w:tr>
      <w:tr w:rsidR="00FB39FB" w14:paraId="751CB560" w14:textId="77777777" w:rsidTr="002E5116">
        <w:tc>
          <w:tcPr>
            <w:tcW w:w="1080" w:type="dxa"/>
            <w:tcBorders>
              <w:top w:val="single" w:sz="4" w:space="0" w:color="auto"/>
              <w:left w:val="single" w:sz="4" w:space="0" w:color="auto"/>
              <w:bottom w:val="single" w:sz="4" w:space="0" w:color="auto"/>
              <w:right w:val="single" w:sz="4" w:space="0" w:color="auto"/>
            </w:tcBorders>
            <w:vAlign w:val="center"/>
            <w:hideMark/>
          </w:tcPr>
          <w:p w14:paraId="090552D2" w14:textId="77777777" w:rsidR="00FB39FB" w:rsidRDefault="00FB39FB" w:rsidP="002E5116">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C46F5C4" w14:textId="77777777" w:rsidR="00FB39FB" w:rsidRDefault="00FB39FB" w:rsidP="002E5116">
            <w:pPr>
              <w:keepLines/>
              <w:autoSpaceDE w:val="0"/>
              <w:autoSpaceDN w:val="0"/>
              <w:adjustRightInd w:val="0"/>
              <w:rPr>
                <w:rFonts w:ascii="Garamond" w:hAnsi="Garamond"/>
                <w:lang w:val="en-AU"/>
              </w:rPr>
            </w:pPr>
            <w:r>
              <w:rPr>
                <w:rFonts w:ascii="Garamond" w:hAnsi="Garamond"/>
                <w:lang w:val="en-AU"/>
              </w:rPr>
              <w:t xml:space="preserve">A new issue of </w:t>
            </w:r>
            <w:r>
              <w:rPr>
                <w:rFonts w:ascii="Garamond" w:hAnsi="Garamond"/>
                <w:i/>
                <w:iCs/>
                <w:lang w:val="en-AU"/>
              </w:rPr>
              <w:t>BMJ Quality &amp; Safety</w:t>
            </w:r>
            <w:r>
              <w:rPr>
                <w:rFonts w:ascii="Garamond" w:hAnsi="Garamond"/>
                <w:lang w:val="en-AU"/>
              </w:rPr>
              <w:t xml:space="preserve"> has been published. Many of the papers in this issue have been referred to in previous editions of </w:t>
            </w:r>
            <w:r>
              <w:rPr>
                <w:rFonts w:ascii="Garamond" w:hAnsi="Garamond"/>
                <w:i/>
                <w:iCs/>
                <w:lang w:val="en-AU"/>
              </w:rPr>
              <w:t>On the Radar</w:t>
            </w:r>
            <w:r>
              <w:rPr>
                <w:rFonts w:ascii="Garamond" w:hAnsi="Garamond"/>
                <w:lang w:val="en-AU"/>
              </w:rPr>
              <w:t xml:space="preserve"> (when they were released online). Articles in this issue of </w:t>
            </w:r>
            <w:r>
              <w:rPr>
                <w:rFonts w:ascii="Garamond" w:hAnsi="Garamond"/>
                <w:i/>
                <w:iCs/>
                <w:lang w:val="en-AU"/>
              </w:rPr>
              <w:t>BMJ Quality &amp; Safety</w:t>
            </w:r>
            <w:r>
              <w:rPr>
                <w:rFonts w:ascii="Garamond" w:hAnsi="Garamond"/>
                <w:lang w:val="en-AU"/>
              </w:rPr>
              <w:t xml:space="preserve"> include:</w:t>
            </w:r>
          </w:p>
          <w:p w14:paraId="7E9AB60E" w14:textId="67E2FA4B" w:rsidR="00870900" w:rsidRPr="00870900" w:rsidRDefault="00FB39FB" w:rsidP="002B3BF2">
            <w:pPr>
              <w:pStyle w:val="ListParagraph"/>
              <w:keepLines/>
              <w:numPr>
                <w:ilvl w:val="0"/>
                <w:numId w:val="24"/>
              </w:numPr>
              <w:autoSpaceDE w:val="0"/>
              <w:autoSpaceDN w:val="0"/>
              <w:adjustRightInd w:val="0"/>
              <w:rPr>
                <w:rFonts w:ascii="Garamond" w:hAnsi="Garamond"/>
                <w:lang w:val="en-AU"/>
              </w:rPr>
            </w:pPr>
            <w:r w:rsidRPr="00870900">
              <w:rPr>
                <w:rFonts w:ascii="Garamond" w:hAnsi="Garamond"/>
                <w:lang w:val="en-AU"/>
              </w:rPr>
              <w:t>Editorial:</w:t>
            </w:r>
            <w:r w:rsidR="00C535B4">
              <w:rPr>
                <w:rFonts w:ascii="Garamond" w:hAnsi="Garamond"/>
                <w:lang w:val="en-AU"/>
              </w:rPr>
              <w:t xml:space="preserve"> </w:t>
            </w:r>
            <w:r w:rsidR="00870900" w:rsidRPr="00870900">
              <w:rPr>
                <w:rFonts w:ascii="Garamond" w:hAnsi="Garamond"/>
                <w:lang w:val="en-AU"/>
              </w:rPr>
              <w:t xml:space="preserve">The Ethical Complexity of </w:t>
            </w:r>
            <w:r w:rsidR="00870900" w:rsidRPr="00D02271">
              <w:rPr>
                <w:rFonts w:ascii="Garamond" w:hAnsi="Garamond"/>
                <w:b/>
                <w:bCs/>
                <w:lang w:val="en-AU"/>
              </w:rPr>
              <w:t>Restricting Visitors during the COVID-19 Pandemic</w:t>
            </w:r>
            <w:r w:rsidR="00870900" w:rsidRPr="00870900">
              <w:rPr>
                <w:rFonts w:ascii="Garamond" w:hAnsi="Garamond"/>
                <w:lang w:val="en-AU"/>
              </w:rPr>
              <w:t xml:space="preserve"> (Louise Campbell, Georgina Morley</w:t>
            </w:r>
            <w:r w:rsidR="00870900">
              <w:rPr>
                <w:rFonts w:ascii="Garamond" w:hAnsi="Garamond"/>
                <w:lang w:val="en-AU"/>
              </w:rPr>
              <w:t>)</w:t>
            </w:r>
          </w:p>
          <w:p w14:paraId="1668EBE9" w14:textId="6C7D7124" w:rsidR="00870900" w:rsidRPr="00540B3A" w:rsidRDefault="00870900" w:rsidP="00FB553C">
            <w:pPr>
              <w:pStyle w:val="ListParagraph"/>
              <w:keepLines/>
              <w:numPr>
                <w:ilvl w:val="0"/>
                <w:numId w:val="24"/>
              </w:numPr>
              <w:autoSpaceDE w:val="0"/>
              <w:autoSpaceDN w:val="0"/>
              <w:adjustRightInd w:val="0"/>
              <w:rPr>
                <w:rFonts w:ascii="Garamond" w:hAnsi="Garamond"/>
                <w:lang w:val="en-AU"/>
              </w:rPr>
            </w:pPr>
            <w:r w:rsidRPr="00540B3A">
              <w:rPr>
                <w:rFonts w:ascii="Garamond" w:hAnsi="Garamond"/>
                <w:lang w:val="en-AU"/>
              </w:rPr>
              <w:t>Editorial</w:t>
            </w:r>
            <w:r w:rsidR="00C535B4">
              <w:rPr>
                <w:rFonts w:ascii="Garamond" w:hAnsi="Garamond"/>
                <w:lang w:val="en-AU"/>
              </w:rPr>
              <w:t xml:space="preserve">: </w:t>
            </w:r>
            <w:r w:rsidRPr="00540B3A">
              <w:rPr>
                <w:rFonts w:ascii="Garamond" w:hAnsi="Garamond"/>
                <w:lang w:val="en-AU"/>
              </w:rPr>
              <w:t xml:space="preserve">Meeting </w:t>
            </w:r>
            <w:r w:rsidRPr="00540B3A">
              <w:rPr>
                <w:rFonts w:ascii="Garamond" w:hAnsi="Garamond"/>
                <w:b/>
                <w:bCs/>
                <w:lang w:val="en-AU"/>
              </w:rPr>
              <w:t>external demands to improve quality and safety of care</w:t>
            </w:r>
            <w:r w:rsidRPr="00540B3A">
              <w:rPr>
                <w:rFonts w:ascii="Garamond" w:hAnsi="Garamond"/>
                <w:lang w:val="en-AU"/>
              </w:rPr>
              <w:t>: learning systematically from the literature (Jack Needleman</w:t>
            </w:r>
            <w:r w:rsidR="00540B3A">
              <w:rPr>
                <w:rFonts w:ascii="Garamond" w:hAnsi="Garamond"/>
                <w:lang w:val="en-AU"/>
              </w:rPr>
              <w:t>)</w:t>
            </w:r>
          </w:p>
          <w:p w14:paraId="6FF37CF5" w14:textId="236A6818" w:rsidR="00870900" w:rsidRPr="00540B3A" w:rsidRDefault="00870900" w:rsidP="0066725F">
            <w:pPr>
              <w:pStyle w:val="ListParagraph"/>
              <w:keepLines/>
              <w:numPr>
                <w:ilvl w:val="0"/>
                <w:numId w:val="24"/>
              </w:numPr>
              <w:autoSpaceDE w:val="0"/>
              <w:autoSpaceDN w:val="0"/>
              <w:adjustRightInd w:val="0"/>
              <w:rPr>
                <w:rFonts w:ascii="Garamond" w:hAnsi="Garamond"/>
                <w:lang w:val="en-AU"/>
              </w:rPr>
            </w:pPr>
            <w:r w:rsidRPr="00540B3A">
              <w:rPr>
                <w:rFonts w:ascii="Garamond" w:hAnsi="Garamond"/>
                <w:lang w:val="en-AU"/>
              </w:rPr>
              <w:t>Editorial:</w:t>
            </w:r>
            <w:r w:rsidR="00C535B4">
              <w:rPr>
                <w:rFonts w:ascii="Garamond" w:hAnsi="Garamond"/>
                <w:lang w:val="en-AU"/>
              </w:rPr>
              <w:t xml:space="preserve"> </w:t>
            </w:r>
            <w:r w:rsidRPr="00540B3A">
              <w:rPr>
                <w:rFonts w:ascii="Garamond" w:hAnsi="Garamond"/>
                <w:b/>
                <w:bCs/>
                <w:lang w:val="en-AU"/>
              </w:rPr>
              <w:t>Targets: unintended and unanticipated effects</w:t>
            </w:r>
            <w:r w:rsidRPr="00540B3A">
              <w:rPr>
                <w:rFonts w:ascii="Garamond" w:hAnsi="Garamond"/>
                <w:lang w:val="en-AU"/>
              </w:rPr>
              <w:t xml:space="preserve"> (Nigel Edwards, Steve Black</w:t>
            </w:r>
            <w:r w:rsidR="00540B3A">
              <w:rPr>
                <w:rFonts w:ascii="Garamond" w:hAnsi="Garamond"/>
                <w:lang w:val="en-AU"/>
              </w:rPr>
              <w:t>)</w:t>
            </w:r>
          </w:p>
          <w:p w14:paraId="074099DF" w14:textId="6F9D8551" w:rsidR="00870900" w:rsidRPr="00540B3A" w:rsidRDefault="00870900" w:rsidP="00C159F4">
            <w:pPr>
              <w:pStyle w:val="ListParagraph"/>
              <w:keepLines/>
              <w:numPr>
                <w:ilvl w:val="0"/>
                <w:numId w:val="24"/>
              </w:numPr>
              <w:autoSpaceDE w:val="0"/>
              <w:autoSpaceDN w:val="0"/>
              <w:adjustRightInd w:val="0"/>
              <w:rPr>
                <w:rFonts w:ascii="Garamond" w:hAnsi="Garamond"/>
                <w:lang w:val="en-AU"/>
              </w:rPr>
            </w:pPr>
            <w:r w:rsidRPr="00540B3A">
              <w:rPr>
                <w:rFonts w:ascii="Garamond" w:hAnsi="Garamond"/>
                <w:lang w:val="en-AU"/>
              </w:rPr>
              <w:t>Editorial</w:t>
            </w:r>
            <w:r w:rsidR="00C535B4">
              <w:rPr>
                <w:rFonts w:ascii="Garamond" w:hAnsi="Garamond"/>
                <w:lang w:val="en-AU"/>
              </w:rPr>
              <w:t xml:space="preserve">: </w:t>
            </w:r>
            <w:r w:rsidRPr="00540B3A">
              <w:rPr>
                <w:rFonts w:ascii="Garamond" w:hAnsi="Garamond"/>
                <w:lang w:val="en-AU"/>
              </w:rPr>
              <w:t xml:space="preserve">It’s time for the field of </w:t>
            </w:r>
            <w:r w:rsidRPr="00540B3A">
              <w:rPr>
                <w:rFonts w:ascii="Garamond" w:hAnsi="Garamond"/>
                <w:b/>
                <w:bCs/>
                <w:lang w:val="en-AU"/>
              </w:rPr>
              <w:t>geriatrics to invest in implementation science</w:t>
            </w:r>
            <w:r w:rsidRPr="00540B3A">
              <w:rPr>
                <w:rFonts w:ascii="Garamond" w:hAnsi="Garamond"/>
                <w:lang w:val="en-AU"/>
              </w:rPr>
              <w:t xml:space="preserve"> (Beth Prusaczyk, Robert E Burke</w:t>
            </w:r>
            <w:r w:rsidR="00540B3A">
              <w:rPr>
                <w:rFonts w:ascii="Garamond" w:hAnsi="Garamond"/>
                <w:lang w:val="en-AU"/>
              </w:rPr>
              <w:t>)</w:t>
            </w:r>
          </w:p>
          <w:p w14:paraId="12519DB8" w14:textId="6DD4239F" w:rsidR="00870900" w:rsidRPr="00540B3A" w:rsidRDefault="00870900" w:rsidP="005A088B">
            <w:pPr>
              <w:pStyle w:val="ListParagraph"/>
              <w:keepLines/>
              <w:numPr>
                <w:ilvl w:val="0"/>
                <w:numId w:val="24"/>
              </w:numPr>
              <w:autoSpaceDE w:val="0"/>
              <w:autoSpaceDN w:val="0"/>
              <w:adjustRightInd w:val="0"/>
              <w:rPr>
                <w:rFonts w:ascii="Garamond" w:hAnsi="Garamond"/>
                <w:lang w:val="en-AU"/>
              </w:rPr>
            </w:pPr>
            <w:r w:rsidRPr="00540B3A">
              <w:rPr>
                <w:rFonts w:ascii="Garamond" w:hAnsi="Garamond"/>
                <w:b/>
                <w:bCs/>
                <w:lang w:val="en-AU"/>
              </w:rPr>
              <w:t>Patient safety and hospital visiting at the end of life during COVID-19</w:t>
            </w:r>
            <w:r w:rsidRPr="00540B3A">
              <w:rPr>
                <w:rFonts w:ascii="Garamond" w:hAnsi="Garamond"/>
                <w:lang w:val="en-AU"/>
              </w:rPr>
              <w:t xml:space="preserve"> restrictions in Aotearoa New Zealand: a qualitative study</w:t>
            </w:r>
            <w:r w:rsidR="00540B3A" w:rsidRPr="00540B3A">
              <w:rPr>
                <w:rFonts w:ascii="Garamond" w:hAnsi="Garamond"/>
                <w:lang w:val="en-AU"/>
              </w:rPr>
              <w:t xml:space="preserve"> (</w:t>
            </w:r>
            <w:r w:rsidRPr="00540B3A">
              <w:rPr>
                <w:rFonts w:ascii="Garamond" w:hAnsi="Garamond"/>
                <w:lang w:val="en-AU"/>
              </w:rPr>
              <w:t>Aileen Collier, Deborah Balmer, Eileen Gilder, Rachael Parke</w:t>
            </w:r>
            <w:r w:rsidR="00540B3A">
              <w:rPr>
                <w:rFonts w:ascii="Garamond" w:hAnsi="Garamond"/>
                <w:lang w:val="en-AU"/>
              </w:rPr>
              <w:t>)</w:t>
            </w:r>
          </w:p>
          <w:p w14:paraId="3AEA99A4" w14:textId="780E2237" w:rsidR="00870900" w:rsidRPr="00540B3A" w:rsidRDefault="00870900" w:rsidP="00BE13B1">
            <w:pPr>
              <w:pStyle w:val="ListParagraph"/>
              <w:keepLines/>
              <w:numPr>
                <w:ilvl w:val="0"/>
                <w:numId w:val="24"/>
              </w:numPr>
              <w:autoSpaceDE w:val="0"/>
              <w:autoSpaceDN w:val="0"/>
              <w:adjustRightInd w:val="0"/>
              <w:rPr>
                <w:rFonts w:ascii="Garamond" w:hAnsi="Garamond"/>
                <w:lang w:val="en-AU"/>
              </w:rPr>
            </w:pPr>
            <w:r w:rsidRPr="00540B3A">
              <w:rPr>
                <w:rFonts w:ascii="Garamond" w:hAnsi="Garamond"/>
                <w:lang w:val="en-AU"/>
              </w:rPr>
              <w:t xml:space="preserve">Unintended consequences of the </w:t>
            </w:r>
            <w:r w:rsidRPr="00540B3A">
              <w:rPr>
                <w:rFonts w:ascii="Garamond" w:hAnsi="Garamond"/>
                <w:b/>
                <w:bCs/>
                <w:lang w:val="en-AU"/>
              </w:rPr>
              <w:t>18-week referral to treatment standard</w:t>
            </w:r>
            <w:r w:rsidRPr="00540B3A">
              <w:rPr>
                <w:rFonts w:ascii="Garamond" w:hAnsi="Garamond"/>
                <w:lang w:val="en-AU"/>
              </w:rPr>
              <w:t xml:space="preserve"> in NHS England: a threshold analysis (Laura Quinn, Paul Bird, Sandra Remsing, Katharine Reeves, Richard Lilford</w:t>
            </w:r>
            <w:r w:rsidR="00540B3A">
              <w:rPr>
                <w:rFonts w:ascii="Garamond" w:hAnsi="Garamond"/>
                <w:lang w:val="en-AU"/>
              </w:rPr>
              <w:t>)</w:t>
            </w:r>
          </w:p>
          <w:p w14:paraId="204748D9" w14:textId="5D487195" w:rsidR="00870900" w:rsidRPr="00540B3A" w:rsidRDefault="00870900" w:rsidP="00F97DAA">
            <w:pPr>
              <w:pStyle w:val="ListParagraph"/>
              <w:keepLines/>
              <w:numPr>
                <w:ilvl w:val="0"/>
                <w:numId w:val="24"/>
              </w:numPr>
              <w:autoSpaceDE w:val="0"/>
              <w:autoSpaceDN w:val="0"/>
              <w:adjustRightInd w:val="0"/>
              <w:rPr>
                <w:rFonts w:ascii="Garamond" w:hAnsi="Garamond"/>
                <w:lang w:val="en-AU"/>
              </w:rPr>
            </w:pPr>
            <w:r w:rsidRPr="00540B3A">
              <w:rPr>
                <w:rFonts w:ascii="Garamond" w:hAnsi="Garamond"/>
                <w:lang w:val="en-AU"/>
              </w:rPr>
              <w:t xml:space="preserve">Did the </w:t>
            </w:r>
            <w:r w:rsidRPr="00540B3A">
              <w:rPr>
                <w:rFonts w:ascii="Garamond" w:hAnsi="Garamond"/>
                <w:b/>
                <w:bCs/>
                <w:lang w:val="en-AU"/>
              </w:rPr>
              <w:t>Acute Frailty Network</w:t>
            </w:r>
            <w:r w:rsidRPr="00540B3A">
              <w:rPr>
                <w:rFonts w:ascii="Garamond" w:hAnsi="Garamond"/>
                <w:lang w:val="en-AU"/>
              </w:rPr>
              <w:t xml:space="preserve"> improve outcomes for older people living with frailty? A staggered difference-in-difference panel event study (Andrew Street, Laia Maynou, Simon Conroy</w:t>
            </w:r>
            <w:r w:rsidR="00540B3A">
              <w:rPr>
                <w:rFonts w:ascii="Garamond" w:hAnsi="Garamond"/>
                <w:lang w:val="en-AU"/>
              </w:rPr>
              <w:t>)</w:t>
            </w:r>
          </w:p>
          <w:p w14:paraId="65DDAFDB" w14:textId="332828A4" w:rsidR="00870900" w:rsidRPr="00540B3A" w:rsidRDefault="00870900" w:rsidP="00D0574E">
            <w:pPr>
              <w:pStyle w:val="ListParagraph"/>
              <w:keepLines/>
              <w:numPr>
                <w:ilvl w:val="0"/>
                <w:numId w:val="24"/>
              </w:numPr>
              <w:autoSpaceDE w:val="0"/>
              <w:autoSpaceDN w:val="0"/>
              <w:adjustRightInd w:val="0"/>
              <w:rPr>
                <w:rFonts w:ascii="Garamond" w:hAnsi="Garamond"/>
                <w:lang w:val="en-AU"/>
              </w:rPr>
            </w:pPr>
            <w:r w:rsidRPr="00540B3A">
              <w:rPr>
                <w:rFonts w:ascii="Garamond" w:hAnsi="Garamond"/>
                <w:lang w:val="en-AU"/>
              </w:rPr>
              <w:t xml:space="preserve">Safety implications of </w:t>
            </w:r>
            <w:r w:rsidRPr="00540B3A">
              <w:rPr>
                <w:rFonts w:ascii="Garamond" w:hAnsi="Garamond"/>
                <w:b/>
                <w:bCs/>
                <w:lang w:val="en-AU"/>
              </w:rPr>
              <w:t>remote assessments for suspected COVID-19</w:t>
            </w:r>
            <w:r w:rsidRPr="00540B3A">
              <w:rPr>
                <w:rFonts w:ascii="Garamond" w:hAnsi="Garamond"/>
                <w:lang w:val="en-AU"/>
              </w:rPr>
              <w:t>: qualitative study in UK primary care (Sietse Wieringa, Ana Luisa Neves, Alexander Rushforth, Emma Ladds, Laiba Husain, Teresa Finlay, Catherine Pope, Trisha Greenhalgh</w:t>
            </w:r>
            <w:r w:rsidR="00540B3A">
              <w:rPr>
                <w:rFonts w:ascii="Garamond" w:hAnsi="Garamond"/>
                <w:lang w:val="en-AU"/>
              </w:rPr>
              <w:t>)</w:t>
            </w:r>
          </w:p>
          <w:p w14:paraId="16B45C73" w14:textId="473FFDCD" w:rsidR="00870900" w:rsidRPr="00540B3A" w:rsidRDefault="00870900" w:rsidP="00C72A54">
            <w:pPr>
              <w:pStyle w:val="ListParagraph"/>
              <w:keepLines/>
              <w:numPr>
                <w:ilvl w:val="0"/>
                <w:numId w:val="24"/>
              </w:numPr>
              <w:autoSpaceDE w:val="0"/>
              <w:autoSpaceDN w:val="0"/>
              <w:adjustRightInd w:val="0"/>
              <w:rPr>
                <w:rFonts w:ascii="Garamond" w:hAnsi="Garamond"/>
                <w:lang w:val="en-AU"/>
              </w:rPr>
            </w:pPr>
            <w:r w:rsidRPr="00540B3A">
              <w:rPr>
                <w:rFonts w:ascii="Garamond" w:hAnsi="Garamond"/>
                <w:lang w:val="en-AU"/>
              </w:rPr>
              <w:t xml:space="preserve">Handling missing values in the </w:t>
            </w:r>
            <w:r w:rsidRPr="00540B3A">
              <w:rPr>
                <w:rFonts w:ascii="Garamond" w:hAnsi="Garamond"/>
                <w:b/>
                <w:bCs/>
                <w:lang w:val="en-AU"/>
              </w:rPr>
              <w:t>analysis of between-hospital differences in ordinal and dichotomous outcomes</w:t>
            </w:r>
            <w:r w:rsidRPr="00540B3A">
              <w:rPr>
                <w:rFonts w:ascii="Garamond" w:hAnsi="Garamond"/>
                <w:lang w:val="en-AU"/>
              </w:rPr>
              <w:t>: a simulation study (Reinier C A van Linschoten, Marzyeh Amini, Nikki van Leeuwen, Frank Eijkenaar, Sanne J den Hartog, Paul J Nederkoorn, Jeannette Hofmeijer, Bart J Emmer, Alida A Postma, Wim van Zwam, Bob Roozenbeek, Diederik Dippel, Hester F Lingsma</w:t>
            </w:r>
            <w:r w:rsidR="00540B3A">
              <w:rPr>
                <w:rFonts w:ascii="Garamond" w:hAnsi="Garamond"/>
                <w:lang w:val="en-AU"/>
              </w:rPr>
              <w:t>)</w:t>
            </w:r>
          </w:p>
          <w:p w14:paraId="532CB4B0" w14:textId="026675B0" w:rsidR="00FB39FB" w:rsidRDefault="00870900" w:rsidP="00540B3A">
            <w:pPr>
              <w:pStyle w:val="ListParagraph"/>
              <w:keepLines/>
              <w:numPr>
                <w:ilvl w:val="0"/>
                <w:numId w:val="24"/>
              </w:numPr>
              <w:autoSpaceDE w:val="0"/>
              <w:autoSpaceDN w:val="0"/>
              <w:adjustRightInd w:val="0"/>
              <w:rPr>
                <w:rFonts w:ascii="Garamond" w:hAnsi="Garamond"/>
                <w:lang w:val="en-AU"/>
              </w:rPr>
            </w:pPr>
            <w:r w:rsidRPr="00870900">
              <w:rPr>
                <w:rFonts w:ascii="Garamond" w:hAnsi="Garamond"/>
                <w:lang w:val="en-AU"/>
              </w:rPr>
              <w:lastRenderedPageBreak/>
              <w:t xml:space="preserve">Factors that influence the </w:t>
            </w:r>
            <w:r w:rsidRPr="00540B3A">
              <w:rPr>
                <w:rFonts w:ascii="Garamond" w:hAnsi="Garamond"/>
                <w:b/>
                <w:bCs/>
                <w:lang w:val="en-AU"/>
              </w:rPr>
              <w:t>implementation of (inter)nationally endorsed health and social care standards</w:t>
            </w:r>
            <w:r w:rsidRPr="00870900">
              <w:rPr>
                <w:rFonts w:ascii="Garamond" w:hAnsi="Garamond"/>
                <w:lang w:val="en-AU"/>
              </w:rPr>
              <w:t>: a systematic review and meta-summary (Yvonne Kelly, Niamh O'Rourke, Rachel Flynn, Laura O’Connor, J Hegarty</w:t>
            </w:r>
            <w:r w:rsidR="00540B3A">
              <w:rPr>
                <w:rFonts w:ascii="Garamond" w:hAnsi="Garamond"/>
                <w:lang w:val="en-AU"/>
              </w:rPr>
              <w:t>)</w:t>
            </w:r>
          </w:p>
        </w:tc>
      </w:tr>
    </w:tbl>
    <w:p w14:paraId="7777F1C5" w14:textId="77777777" w:rsidR="00FB39FB" w:rsidRDefault="00FB39FB" w:rsidP="000A3862">
      <w:pPr>
        <w:keepNext/>
        <w:keepLines/>
        <w:autoSpaceDE w:val="0"/>
        <w:autoSpaceDN w:val="0"/>
        <w:adjustRightInd w:val="0"/>
        <w:rPr>
          <w:rFonts w:ascii="Garamond" w:hAnsi="Garamond"/>
          <w:lang w:val="en-AU"/>
        </w:rPr>
      </w:pPr>
    </w:p>
    <w:p w14:paraId="793CEEA6" w14:textId="515D8A78" w:rsidR="00354470" w:rsidRPr="00640D35" w:rsidRDefault="00354470" w:rsidP="00354470">
      <w:pPr>
        <w:keepNext/>
        <w:keepLines/>
        <w:autoSpaceDE w:val="0"/>
        <w:autoSpaceDN w:val="0"/>
        <w:adjustRightInd w:val="0"/>
        <w:rPr>
          <w:rFonts w:ascii="Garamond" w:hAnsi="Garamond"/>
          <w:i/>
          <w:iCs/>
          <w:lang w:val="en-AU"/>
        </w:rPr>
      </w:pPr>
      <w:r>
        <w:rPr>
          <w:rFonts w:ascii="Garamond" w:hAnsi="Garamond"/>
          <w:i/>
          <w:iCs/>
          <w:lang w:val="en-AU"/>
        </w:rPr>
        <w:t>Journal of Patient Safety</w:t>
      </w:r>
    </w:p>
    <w:p w14:paraId="319C4D5E" w14:textId="0F63A455" w:rsidR="00354470" w:rsidRPr="006E6650" w:rsidRDefault="00354470" w:rsidP="00354470">
      <w:pPr>
        <w:keepNext/>
        <w:keepLines/>
        <w:autoSpaceDE w:val="0"/>
        <w:autoSpaceDN w:val="0"/>
        <w:adjustRightInd w:val="0"/>
        <w:rPr>
          <w:rFonts w:ascii="Garamond" w:hAnsi="Garamond"/>
          <w:lang w:val="en-AU"/>
        </w:rPr>
      </w:pPr>
      <w:r w:rsidRPr="00640D35">
        <w:rPr>
          <w:rFonts w:ascii="Garamond" w:hAnsi="Garamond"/>
          <w:lang w:val="en-AU"/>
        </w:rPr>
        <w:t xml:space="preserve">Volume </w:t>
      </w:r>
      <w:r>
        <w:rPr>
          <w:rFonts w:ascii="Garamond" w:hAnsi="Garamond"/>
          <w:lang w:val="en-AU"/>
        </w:rPr>
        <w:t>19</w:t>
      </w:r>
      <w:r w:rsidRPr="00640D35">
        <w:rPr>
          <w:rFonts w:ascii="Garamond" w:hAnsi="Garamond"/>
          <w:lang w:val="en-AU"/>
        </w:rPr>
        <w:t xml:space="preserve">, Issue </w:t>
      </w:r>
      <w:r>
        <w:rPr>
          <w:rFonts w:ascii="Garamond" w:hAnsi="Garamond"/>
          <w:lang w:val="en-AU"/>
        </w:rPr>
        <w:t>8</w:t>
      </w:r>
      <w:r w:rsidRPr="00640D35">
        <w:rPr>
          <w:rFonts w:ascii="Garamond" w:hAnsi="Garamond"/>
          <w:lang w:val="en-AU"/>
        </w:rPr>
        <w:t xml:space="preserve">, </w:t>
      </w:r>
      <w:r>
        <w:rPr>
          <w:rFonts w:ascii="Garamond" w:hAnsi="Garamond"/>
          <w:lang w:val="en-AU"/>
        </w:rPr>
        <w:t>December</w:t>
      </w:r>
      <w:r w:rsidRPr="00640D35">
        <w:rPr>
          <w:rFonts w:ascii="Garamond" w:hAnsi="Garamond"/>
          <w:lang w:val="en-AU"/>
        </w:rPr>
        <w:t xml:space="preserve"> 2023</w:t>
      </w:r>
    </w:p>
    <w:tbl>
      <w:tblPr>
        <w:tblStyle w:val="TableGrid"/>
        <w:tblW w:w="9360" w:type="dxa"/>
        <w:tblInd w:w="288" w:type="dxa"/>
        <w:tblLayout w:type="fixed"/>
        <w:tblLook w:val="01E0" w:firstRow="1" w:lastRow="1" w:firstColumn="1" w:lastColumn="1" w:noHBand="0" w:noVBand="0"/>
      </w:tblPr>
      <w:tblGrid>
        <w:gridCol w:w="1080"/>
        <w:gridCol w:w="8280"/>
      </w:tblGrid>
      <w:tr w:rsidR="00354470" w:rsidRPr="00E37911" w14:paraId="32DEAD4B" w14:textId="77777777" w:rsidTr="001D65B8">
        <w:tc>
          <w:tcPr>
            <w:tcW w:w="1080" w:type="dxa"/>
            <w:tcBorders>
              <w:top w:val="single" w:sz="4" w:space="0" w:color="auto"/>
              <w:left w:val="single" w:sz="4" w:space="0" w:color="auto"/>
              <w:bottom w:val="single" w:sz="4" w:space="0" w:color="auto"/>
              <w:right w:val="single" w:sz="4" w:space="0" w:color="auto"/>
            </w:tcBorders>
            <w:vAlign w:val="center"/>
          </w:tcPr>
          <w:p w14:paraId="5450DAC0" w14:textId="77777777" w:rsidR="00354470" w:rsidRPr="00E37911" w:rsidRDefault="00354470" w:rsidP="001D65B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CE4DC28" w14:textId="7B6F06B3" w:rsidR="00354470" w:rsidRPr="00E37911" w:rsidRDefault="00000000" w:rsidP="001D65B8">
            <w:pPr>
              <w:rPr>
                <w:rStyle w:val="Hyperlink"/>
                <w:rFonts w:ascii="Garamond" w:hAnsi="Garamond"/>
                <w:color w:val="auto"/>
                <w:u w:val="none"/>
                <w:lang w:val="en-AU"/>
              </w:rPr>
            </w:pPr>
            <w:hyperlink r:id="rId26" w:history="1">
              <w:r w:rsidR="00354470" w:rsidRPr="002C2E1D">
                <w:rPr>
                  <w:rStyle w:val="Hyperlink"/>
                  <w:rFonts w:ascii="Garamond" w:hAnsi="Garamond"/>
                  <w:lang w:val="en-AU"/>
                </w:rPr>
                <w:t>https://journals.lww.com/journalpatientsafety/toc/2023/12000</w:t>
              </w:r>
            </w:hyperlink>
          </w:p>
        </w:tc>
      </w:tr>
      <w:tr w:rsidR="00354470" w:rsidRPr="00E37911" w14:paraId="7311BB9A" w14:textId="77777777" w:rsidTr="001D65B8">
        <w:tc>
          <w:tcPr>
            <w:tcW w:w="1080" w:type="dxa"/>
            <w:tcBorders>
              <w:top w:val="single" w:sz="4" w:space="0" w:color="auto"/>
              <w:left w:val="single" w:sz="4" w:space="0" w:color="auto"/>
              <w:bottom w:val="single" w:sz="4" w:space="0" w:color="auto"/>
              <w:right w:val="single" w:sz="4" w:space="0" w:color="auto"/>
            </w:tcBorders>
            <w:vAlign w:val="center"/>
          </w:tcPr>
          <w:p w14:paraId="23AAEA05" w14:textId="77777777" w:rsidR="00354470" w:rsidRPr="00E37911" w:rsidRDefault="00354470" w:rsidP="001D65B8">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EE07823" w14:textId="2E055C91" w:rsidR="00354470" w:rsidRPr="007C3778" w:rsidRDefault="00354470" w:rsidP="001D65B8">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Pr>
                <w:rFonts w:ascii="Garamond" w:hAnsi="Garamond"/>
                <w:i/>
                <w:iCs/>
                <w:lang w:val="en-AU"/>
              </w:rPr>
              <w:t xml:space="preserve">Journal of Patient Safety </w:t>
            </w:r>
            <w:r w:rsidRPr="00B440ED">
              <w:rPr>
                <w:rFonts w:ascii="Garamond" w:hAnsi="Garamond"/>
                <w:lang w:val="en-AU"/>
              </w:rPr>
              <w:t>has been published. Articles in this issue of</w:t>
            </w:r>
            <w:r>
              <w:rPr>
                <w:rFonts w:ascii="Garamond" w:hAnsi="Garamond"/>
                <w:lang w:val="en-AU"/>
              </w:rPr>
              <w:t xml:space="preserve"> </w:t>
            </w:r>
            <w:r>
              <w:rPr>
                <w:rFonts w:ascii="Garamond" w:hAnsi="Garamond"/>
                <w:i/>
                <w:iCs/>
                <w:lang w:val="en-AU"/>
              </w:rPr>
              <w:t xml:space="preserve">Journal of Patient Safety </w:t>
            </w:r>
            <w:r w:rsidRPr="00B440ED">
              <w:rPr>
                <w:rFonts w:ascii="Garamond" w:hAnsi="Garamond"/>
                <w:lang w:val="en-AU"/>
              </w:rPr>
              <w:t>include:</w:t>
            </w:r>
          </w:p>
          <w:p w14:paraId="67371D95" w14:textId="17C2C7FB" w:rsidR="00354470" w:rsidRPr="00AF7376" w:rsidRDefault="00354470" w:rsidP="009C5E68">
            <w:pPr>
              <w:pStyle w:val="ListParagraph"/>
              <w:numPr>
                <w:ilvl w:val="0"/>
                <w:numId w:val="18"/>
              </w:numPr>
              <w:rPr>
                <w:rFonts w:ascii="Garamond" w:hAnsi="Garamond"/>
                <w:lang w:val="en-AU"/>
              </w:rPr>
            </w:pPr>
            <w:r w:rsidRPr="00AF7376">
              <w:rPr>
                <w:rFonts w:ascii="Garamond" w:hAnsi="Garamond"/>
                <w:lang w:val="en-AU"/>
              </w:rPr>
              <w:t xml:space="preserve">A Clinical Data Warehouse Analysis of </w:t>
            </w:r>
            <w:r w:rsidRPr="00AF7376">
              <w:rPr>
                <w:rFonts w:ascii="Garamond" w:hAnsi="Garamond"/>
                <w:b/>
                <w:bCs/>
                <w:lang w:val="en-AU"/>
              </w:rPr>
              <w:t>Risk Factors for Inpatient Falls in a Tertiary Hospital</w:t>
            </w:r>
            <w:r w:rsidRPr="00AF7376">
              <w:rPr>
                <w:rFonts w:ascii="Garamond" w:hAnsi="Garamond"/>
                <w:lang w:val="en-AU"/>
              </w:rPr>
              <w:t>: A Case-Control Study</w:t>
            </w:r>
            <w:r w:rsidR="00AF7376" w:rsidRPr="00AF7376">
              <w:rPr>
                <w:rFonts w:ascii="Garamond" w:hAnsi="Garamond"/>
                <w:lang w:val="en-AU"/>
              </w:rPr>
              <w:t xml:space="preserve"> (</w:t>
            </w:r>
            <w:r w:rsidRPr="00AF7376">
              <w:rPr>
                <w:rFonts w:ascii="Garamond" w:hAnsi="Garamond"/>
                <w:lang w:val="en-AU"/>
              </w:rPr>
              <w:t>E Kwon, S J Chang, M Kwo</w:t>
            </w:r>
            <w:r w:rsidR="00AF7376">
              <w:rPr>
                <w:rFonts w:ascii="Garamond" w:hAnsi="Garamond"/>
                <w:lang w:val="en-AU"/>
              </w:rPr>
              <w:t>n)</w:t>
            </w:r>
          </w:p>
          <w:p w14:paraId="10FF2F9C" w14:textId="71E2BC88" w:rsidR="00354470" w:rsidRPr="00AF7376" w:rsidRDefault="00354470" w:rsidP="005E7707">
            <w:pPr>
              <w:pStyle w:val="ListParagraph"/>
              <w:numPr>
                <w:ilvl w:val="0"/>
                <w:numId w:val="18"/>
              </w:numPr>
              <w:rPr>
                <w:rFonts w:ascii="Garamond" w:hAnsi="Garamond"/>
                <w:lang w:val="en-AU"/>
              </w:rPr>
            </w:pPr>
            <w:r w:rsidRPr="00AF7376">
              <w:rPr>
                <w:rFonts w:ascii="Garamond" w:hAnsi="Garamond"/>
                <w:lang w:val="en-AU"/>
              </w:rPr>
              <w:t xml:space="preserve">Validation of a Reduced Set of High-Performance Triggers for Identifying </w:t>
            </w:r>
            <w:r w:rsidRPr="00AF7376">
              <w:rPr>
                <w:rFonts w:ascii="Garamond" w:hAnsi="Garamond"/>
                <w:b/>
                <w:bCs/>
                <w:lang w:val="en-AU"/>
              </w:rPr>
              <w:t>Patient Safety Incidents with Harm in Primary Care</w:t>
            </w:r>
            <w:r w:rsidRPr="00AF7376">
              <w:rPr>
                <w:rFonts w:ascii="Garamond" w:hAnsi="Garamond"/>
                <w:lang w:val="en-AU"/>
              </w:rPr>
              <w:t>: TriggerPrim Project</w:t>
            </w:r>
            <w:r w:rsidR="00AF7376" w:rsidRPr="00AF7376">
              <w:rPr>
                <w:rFonts w:ascii="Garamond" w:hAnsi="Garamond"/>
                <w:lang w:val="en-AU"/>
              </w:rPr>
              <w:t xml:space="preserve"> (</w:t>
            </w:r>
            <w:r w:rsidRPr="00AF7376">
              <w:rPr>
                <w:rFonts w:ascii="Garamond" w:hAnsi="Garamond"/>
                <w:lang w:val="en-AU"/>
              </w:rPr>
              <w:t>Gerardo Garzón González, Tamara Alonso Safont, Dolores Conejos Míquel, Marta Castelo Jurado, Oscar Aguado Arroyo, Juan José Jurado Balbuena, Cristina Villanueva Sanz, Ester Zamarrón Fraile, Arancha Luaces Gayán, Asunción Cañada Dorado, Dolores Martínez Patiño, Purificación Magán Tapia, Aurora Barberá Martín, María José Toribio Vicente, Mercedes Drake Canela, Inmaculada Mediavilla Herrera</w:t>
            </w:r>
            <w:r w:rsidR="00AF7376">
              <w:rPr>
                <w:rFonts w:ascii="Garamond" w:hAnsi="Garamond"/>
                <w:lang w:val="en-AU"/>
              </w:rPr>
              <w:t>)</w:t>
            </w:r>
          </w:p>
          <w:p w14:paraId="2106B08C" w14:textId="53C1AE0C" w:rsidR="00354470" w:rsidRPr="00AF7376" w:rsidRDefault="00354470" w:rsidP="00CF1219">
            <w:pPr>
              <w:pStyle w:val="ListParagraph"/>
              <w:numPr>
                <w:ilvl w:val="0"/>
                <w:numId w:val="18"/>
              </w:numPr>
              <w:rPr>
                <w:rFonts w:ascii="Garamond" w:hAnsi="Garamond"/>
                <w:lang w:val="en-AU"/>
              </w:rPr>
            </w:pPr>
            <w:r w:rsidRPr="00AF7376">
              <w:rPr>
                <w:rFonts w:ascii="Garamond" w:hAnsi="Garamond"/>
                <w:lang w:val="en-AU"/>
              </w:rPr>
              <w:t xml:space="preserve">What Do We Know About </w:t>
            </w:r>
            <w:r w:rsidRPr="00AF7376">
              <w:rPr>
                <w:rFonts w:ascii="Garamond" w:hAnsi="Garamond"/>
                <w:b/>
                <w:bCs/>
                <w:lang w:val="en-AU"/>
              </w:rPr>
              <w:t>Patient Safety Culture</w:t>
            </w:r>
            <w:r w:rsidRPr="00AF7376">
              <w:rPr>
                <w:rFonts w:ascii="Garamond" w:hAnsi="Garamond"/>
                <w:lang w:val="en-AU"/>
              </w:rPr>
              <w:t xml:space="preserve"> in Saudi Arabia? A Descriptive Study</w:t>
            </w:r>
            <w:r w:rsidR="00AF7376" w:rsidRPr="00AF7376">
              <w:rPr>
                <w:rFonts w:ascii="Garamond" w:hAnsi="Garamond"/>
                <w:lang w:val="en-AU"/>
              </w:rPr>
              <w:t xml:space="preserve"> (</w:t>
            </w:r>
            <w:r w:rsidRPr="00AF7376">
              <w:rPr>
                <w:rFonts w:ascii="Garamond" w:hAnsi="Garamond"/>
                <w:lang w:val="en-AU"/>
              </w:rPr>
              <w:t>Yasser A Alaska, Rabab B Alkutbe</w:t>
            </w:r>
            <w:r w:rsidR="00AF7376">
              <w:rPr>
                <w:rFonts w:ascii="Garamond" w:hAnsi="Garamond"/>
                <w:lang w:val="en-AU"/>
              </w:rPr>
              <w:t>)</w:t>
            </w:r>
          </w:p>
          <w:p w14:paraId="286AAC1A" w14:textId="21DC9945" w:rsidR="00354470" w:rsidRPr="00AF7376" w:rsidRDefault="00354470" w:rsidP="00F10CBA">
            <w:pPr>
              <w:pStyle w:val="ListParagraph"/>
              <w:numPr>
                <w:ilvl w:val="0"/>
                <w:numId w:val="18"/>
              </w:numPr>
              <w:rPr>
                <w:rFonts w:ascii="Garamond" w:hAnsi="Garamond"/>
                <w:lang w:val="en-AU"/>
              </w:rPr>
            </w:pPr>
            <w:r w:rsidRPr="00AF7376">
              <w:rPr>
                <w:rFonts w:ascii="Garamond" w:hAnsi="Garamond"/>
                <w:lang w:val="en-AU"/>
              </w:rPr>
              <w:t xml:space="preserve">Impact of a Decision Support System on </w:t>
            </w:r>
            <w:r w:rsidRPr="00AF7376">
              <w:rPr>
                <w:rFonts w:ascii="Garamond" w:hAnsi="Garamond"/>
                <w:b/>
                <w:bCs/>
                <w:lang w:val="en-AU"/>
              </w:rPr>
              <w:t>Fall-Prevention Nursing Practices</w:t>
            </w:r>
            <w:r w:rsidR="00AF7376" w:rsidRPr="00AF7376">
              <w:rPr>
                <w:rFonts w:ascii="Garamond" w:hAnsi="Garamond"/>
                <w:lang w:val="en-AU"/>
              </w:rPr>
              <w:t xml:space="preserve"> </w:t>
            </w:r>
            <w:r w:rsidR="00AF7376">
              <w:rPr>
                <w:rFonts w:ascii="Garamond" w:hAnsi="Garamond"/>
                <w:lang w:val="en-AU"/>
              </w:rPr>
              <w:t>(</w:t>
            </w:r>
            <w:r w:rsidRPr="00AF7376">
              <w:rPr>
                <w:rFonts w:ascii="Garamond" w:hAnsi="Garamond"/>
                <w:lang w:val="en-AU"/>
              </w:rPr>
              <w:t>Hyesil Jung, Hyeoun-Ae Park, Ho-Young Lee</w:t>
            </w:r>
            <w:r w:rsidR="00AF7376">
              <w:rPr>
                <w:rFonts w:ascii="Garamond" w:hAnsi="Garamond"/>
                <w:lang w:val="en-AU"/>
              </w:rPr>
              <w:t>)</w:t>
            </w:r>
          </w:p>
          <w:p w14:paraId="3819ECAF" w14:textId="4F74315A" w:rsidR="00354470" w:rsidRPr="00AF7376" w:rsidRDefault="00354470" w:rsidP="005E2589">
            <w:pPr>
              <w:pStyle w:val="ListParagraph"/>
              <w:numPr>
                <w:ilvl w:val="0"/>
                <w:numId w:val="18"/>
              </w:numPr>
              <w:rPr>
                <w:rFonts w:ascii="Garamond" w:hAnsi="Garamond"/>
                <w:lang w:val="en-AU"/>
              </w:rPr>
            </w:pPr>
            <w:r w:rsidRPr="00AF7376">
              <w:rPr>
                <w:rFonts w:ascii="Garamond" w:hAnsi="Garamond"/>
                <w:lang w:val="en-AU"/>
              </w:rPr>
              <w:t xml:space="preserve">Diagnostic Yield, Radiation Exposure, and the Role of Clinical Decision Rules to Limit </w:t>
            </w:r>
            <w:r w:rsidRPr="00AF7376">
              <w:rPr>
                <w:rFonts w:ascii="Garamond" w:hAnsi="Garamond"/>
                <w:b/>
                <w:bCs/>
                <w:lang w:val="en-AU"/>
              </w:rPr>
              <w:t>Computed Tomographic Pulmonary Angiography–Associated Complications</w:t>
            </w:r>
            <w:r w:rsidR="00AF7376" w:rsidRPr="00AF7376">
              <w:rPr>
                <w:rFonts w:ascii="Garamond" w:hAnsi="Garamond"/>
                <w:lang w:val="en-AU"/>
              </w:rPr>
              <w:t xml:space="preserve"> (</w:t>
            </w:r>
            <w:r w:rsidRPr="00AF7376">
              <w:rPr>
                <w:rFonts w:ascii="Garamond" w:hAnsi="Garamond"/>
                <w:lang w:val="en-AU"/>
              </w:rPr>
              <w:t>Apostolos Perelas, Jason Kirincich, Ruchi Yadav, Sravanti Ennala, Xiaofeng Wang, Divyajot Sadana, Abhijit Duggal, Sudhir Krishnan</w:t>
            </w:r>
            <w:r w:rsidR="00AF7376">
              <w:rPr>
                <w:rFonts w:ascii="Garamond" w:hAnsi="Garamond"/>
                <w:lang w:val="en-AU"/>
              </w:rPr>
              <w:t>)</w:t>
            </w:r>
          </w:p>
          <w:p w14:paraId="05474EC2" w14:textId="2BFC4500" w:rsidR="00354470" w:rsidRPr="00AF7376" w:rsidRDefault="00354470" w:rsidP="00F13B86">
            <w:pPr>
              <w:pStyle w:val="ListParagraph"/>
              <w:numPr>
                <w:ilvl w:val="0"/>
                <w:numId w:val="18"/>
              </w:numPr>
              <w:rPr>
                <w:rFonts w:ascii="Garamond" w:hAnsi="Garamond"/>
                <w:lang w:val="en-AU"/>
              </w:rPr>
            </w:pPr>
            <w:r w:rsidRPr="00AF7376">
              <w:rPr>
                <w:rFonts w:ascii="Garamond" w:hAnsi="Garamond"/>
                <w:lang w:val="en-AU"/>
              </w:rPr>
              <w:t xml:space="preserve">Cost Savings Associated With Implementing 4 </w:t>
            </w:r>
            <w:r w:rsidRPr="00AF7376">
              <w:rPr>
                <w:rFonts w:ascii="Garamond" w:hAnsi="Garamond"/>
                <w:b/>
                <w:bCs/>
                <w:lang w:val="en-AU"/>
              </w:rPr>
              <w:t>Total Joint Replacement Electronic Clinical Quality Measures</w:t>
            </w:r>
            <w:r w:rsidRPr="00AF7376">
              <w:rPr>
                <w:rFonts w:ascii="Garamond" w:hAnsi="Garamond"/>
                <w:lang w:val="en-AU"/>
              </w:rPr>
              <w:t xml:space="preserve"> Nationally: 2020–2040</w:t>
            </w:r>
            <w:r w:rsidR="00AF7376" w:rsidRPr="00AF7376">
              <w:rPr>
                <w:rFonts w:ascii="Garamond" w:hAnsi="Garamond"/>
                <w:lang w:val="en-AU"/>
              </w:rPr>
              <w:t xml:space="preserve"> (</w:t>
            </w:r>
            <w:r w:rsidRPr="00AF7376">
              <w:rPr>
                <w:rFonts w:ascii="Garamond" w:hAnsi="Garamond"/>
                <w:lang w:val="en-AU"/>
              </w:rPr>
              <w:t xml:space="preserve">Patricia C Dykes, Mica Curtin-Bowen, Calvin Franz, Ania Syrowatka, Stuart Lipsitz, Michael Sainlaire, Alexandra Businger, Tien Thai, Antonia F Chen, Andrew J Schoenfeld, Jay R Lieberman, Richard Iorio, Todd O’Brien, Bonnie Blanchfield, Jeffrey N Katz, William A Jiranek, </w:t>
            </w:r>
            <w:r w:rsidR="00D02271">
              <w:rPr>
                <w:rFonts w:ascii="Garamond" w:hAnsi="Garamond"/>
                <w:lang w:val="en-AU"/>
              </w:rPr>
              <w:t xml:space="preserve">C </w:t>
            </w:r>
            <w:r w:rsidRPr="00AF7376">
              <w:rPr>
                <w:rFonts w:ascii="Garamond" w:hAnsi="Garamond"/>
                <w:lang w:val="en-AU"/>
              </w:rPr>
              <w:t>Melnic, D W Bates</w:t>
            </w:r>
            <w:r w:rsidR="00AF7376">
              <w:rPr>
                <w:rFonts w:ascii="Garamond" w:hAnsi="Garamond"/>
                <w:lang w:val="en-AU"/>
              </w:rPr>
              <w:t>)</w:t>
            </w:r>
          </w:p>
          <w:p w14:paraId="275F3AA0" w14:textId="0FCCF7FE" w:rsidR="00354470" w:rsidRPr="00AF7376" w:rsidRDefault="00354470" w:rsidP="003266C5">
            <w:pPr>
              <w:pStyle w:val="ListParagraph"/>
              <w:numPr>
                <w:ilvl w:val="0"/>
                <w:numId w:val="18"/>
              </w:numPr>
              <w:rPr>
                <w:rFonts w:ascii="Garamond" w:hAnsi="Garamond"/>
                <w:lang w:val="en-AU"/>
              </w:rPr>
            </w:pPr>
            <w:r w:rsidRPr="00AF7376">
              <w:rPr>
                <w:rFonts w:ascii="Garamond" w:hAnsi="Garamond"/>
                <w:lang w:val="en-AU"/>
              </w:rPr>
              <w:t xml:space="preserve">Experiences and Perceptions of Healthcare Stakeholders in </w:t>
            </w:r>
            <w:r w:rsidRPr="00AF7376">
              <w:rPr>
                <w:rFonts w:ascii="Garamond" w:hAnsi="Garamond"/>
                <w:b/>
                <w:bCs/>
                <w:lang w:val="en-AU"/>
              </w:rPr>
              <w:t>Disclosing Errors and Adverse Events to Historically Marginalized Patients</w:t>
            </w:r>
            <w:r w:rsidR="00AF7376" w:rsidRPr="00AF7376">
              <w:rPr>
                <w:rFonts w:ascii="Garamond" w:hAnsi="Garamond"/>
                <w:lang w:val="en-AU"/>
              </w:rPr>
              <w:t xml:space="preserve"> (</w:t>
            </w:r>
            <w:r w:rsidRPr="00AF7376">
              <w:rPr>
                <w:rFonts w:ascii="Garamond" w:hAnsi="Garamond"/>
                <w:lang w:val="en-AU"/>
              </w:rPr>
              <w:t>Kristan Olazo, Thomas H Gallagher, Urmimala Sarkar</w:t>
            </w:r>
            <w:r w:rsidR="00AF7376">
              <w:rPr>
                <w:rFonts w:ascii="Garamond" w:hAnsi="Garamond"/>
                <w:lang w:val="en-AU"/>
              </w:rPr>
              <w:t>)</w:t>
            </w:r>
          </w:p>
          <w:p w14:paraId="21FF3008" w14:textId="0D42EE08" w:rsidR="00354470" w:rsidRPr="00AF7376" w:rsidRDefault="00354470" w:rsidP="00345561">
            <w:pPr>
              <w:pStyle w:val="ListParagraph"/>
              <w:numPr>
                <w:ilvl w:val="0"/>
                <w:numId w:val="18"/>
              </w:numPr>
              <w:rPr>
                <w:rFonts w:ascii="Garamond" w:hAnsi="Garamond"/>
                <w:lang w:val="en-AU"/>
              </w:rPr>
            </w:pPr>
            <w:r w:rsidRPr="00AF7376">
              <w:rPr>
                <w:rFonts w:ascii="Garamond" w:hAnsi="Garamond"/>
                <w:lang w:val="en-AU"/>
              </w:rPr>
              <w:t xml:space="preserve">Exploring the “Black Box” of Recommendation Generation in </w:t>
            </w:r>
            <w:r w:rsidRPr="00AF7376">
              <w:rPr>
                <w:rFonts w:ascii="Garamond" w:hAnsi="Garamond"/>
                <w:b/>
                <w:bCs/>
                <w:lang w:val="en-AU"/>
              </w:rPr>
              <w:t>Local Health Care Incident Investigations</w:t>
            </w:r>
            <w:r w:rsidRPr="00AF7376">
              <w:rPr>
                <w:rFonts w:ascii="Garamond" w:hAnsi="Garamond"/>
                <w:lang w:val="en-AU"/>
              </w:rPr>
              <w:t>: A Scoping Review</w:t>
            </w:r>
            <w:r w:rsidR="00AF7376" w:rsidRPr="00AF7376">
              <w:rPr>
                <w:rFonts w:ascii="Garamond" w:hAnsi="Garamond"/>
                <w:lang w:val="en-AU"/>
              </w:rPr>
              <w:t xml:space="preserve"> (</w:t>
            </w:r>
            <w:r w:rsidRPr="00AF7376">
              <w:rPr>
                <w:rFonts w:ascii="Garamond" w:hAnsi="Garamond"/>
                <w:lang w:val="en-AU"/>
              </w:rPr>
              <w:t>William Lea, Rebecca Lawton, Charles Vincent, Jane O’Hara</w:t>
            </w:r>
            <w:r w:rsidR="00AF7376">
              <w:rPr>
                <w:rFonts w:ascii="Garamond" w:hAnsi="Garamond"/>
                <w:lang w:val="en-AU"/>
              </w:rPr>
              <w:t>)</w:t>
            </w:r>
          </w:p>
          <w:p w14:paraId="67215EE2" w14:textId="54821935" w:rsidR="00354470" w:rsidRPr="00AF7376" w:rsidRDefault="00354470" w:rsidP="00A5423C">
            <w:pPr>
              <w:pStyle w:val="ListParagraph"/>
              <w:numPr>
                <w:ilvl w:val="0"/>
                <w:numId w:val="18"/>
              </w:numPr>
              <w:rPr>
                <w:rFonts w:ascii="Garamond" w:hAnsi="Garamond"/>
                <w:lang w:val="en-AU"/>
              </w:rPr>
            </w:pPr>
            <w:r w:rsidRPr="00AF7376">
              <w:rPr>
                <w:rFonts w:ascii="Garamond" w:hAnsi="Garamond"/>
                <w:lang w:val="en-AU"/>
              </w:rPr>
              <w:t xml:space="preserve">Development of a Psychological Scale for Measuring </w:t>
            </w:r>
            <w:r w:rsidRPr="00AF7376">
              <w:rPr>
                <w:rFonts w:ascii="Garamond" w:hAnsi="Garamond"/>
                <w:b/>
                <w:bCs/>
                <w:lang w:val="en-AU"/>
              </w:rPr>
              <w:t>Disruptive Clinician Behavior</w:t>
            </w:r>
            <w:r w:rsidR="00AF7376" w:rsidRPr="00AF7376">
              <w:rPr>
                <w:rFonts w:ascii="Garamond" w:hAnsi="Garamond"/>
                <w:lang w:val="en-AU"/>
              </w:rPr>
              <w:t xml:space="preserve"> (</w:t>
            </w:r>
            <w:r w:rsidRPr="00AF7376">
              <w:rPr>
                <w:rFonts w:ascii="Garamond" w:hAnsi="Garamond"/>
                <w:lang w:val="en-AU"/>
              </w:rPr>
              <w:t>Manabu Fujimoto, Mika Shimamura, Hiroaki Miyazaki, Kazuto Inaba</w:t>
            </w:r>
            <w:r w:rsidR="00AF7376">
              <w:rPr>
                <w:rFonts w:ascii="Garamond" w:hAnsi="Garamond"/>
                <w:lang w:val="en-AU"/>
              </w:rPr>
              <w:t>)</w:t>
            </w:r>
          </w:p>
          <w:p w14:paraId="2BC06C20" w14:textId="0A9DF02C" w:rsidR="00354470" w:rsidRPr="00AF7376" w:rsidRDefault="00354470" w:rsidP="009465C1">
            <w:pPr>
              <w:pStyle w:val="ListParagraph"/>
              <w:numPr>
                <w:ilvl w:val="0"/>
                <w:numId w:val="18"/>
              </w:numPr>
              <w:rPr>
                <w:rFonts w:ascii="Garamond" w:hAnsi="Garamond"/>
                <w:lang w:val="en-AU"/>
              </w:rPr>
            </w:pPr>
            <w:r w:rsidRPr="00AF7376">
              <w:rPr>
                <w:rFonts w:ascii="Garamond" w:hAnsi="Garamond"/>
                <w:lang w:val="en-AU"/>
              </w:rPr>
              <w:t xml:space="preserve">The Nature, Causes, and Clinical Impact of </w:t>
            </w:r>
            <w:r w:rsidRPr="00AF7376">
              <w:rPr>
                <w:rFonts w:ascii="Garamond" w:hAnsi="Garamond"/>
                <w:b/>
                <w:bCs/>
                <w:lang w:val="en-AU"/>
              </w:rPr>
              <w:t>Errors in the Clinical Laboratory Testing Process</w:t>
            </w:r>
            <w:r w:rsidRPr="00AF7376">
              <w:rPr>
                <w:rFonts w:ascii="Garamond" w:hAnsi="Garamond"/>
                <w:lang w:val="en-AU"/>
              </w:rPr>
              <w:t xml:space="preserve"> Leading to Diagnostic Error: A Voluntary Incident Report Analysis</w:t>
            </w:r>
            <w:r w:rsidR="00AF7376" w:rsidRPr="00AF7376">
              <w:rPr>
                <w:rFonts w:ascii="Garamond" w:hAnsi="Garamond"/>
                <w:lang w:val="en-AU"/>
              </w:rPr>
              <w:t xml:space="preserve"> (</w:t>
            </w:r>
            <w:r w:rsidRPr="00AF7376">
              <w:rPr>
                <w:rFonts w:ascii="Garamond" w:hAnsi="Garamond"/>
                <w:lang w:val="en-AU"/>
              </w:rPr>
              <w:t>Christel van Moll, Toine Egberts, Cordula Wagner, Laura Zwaan, Maarten ten Berg</w:t>
            </w:r>
            <w:r w:rsidR="00AF7376">
              <w:rPr>
                <w:rFonts w:ascii="Garamond" w:hAnsi="Garamond"/>
                <w:lang w:val="en-AU"/>
              </w:rPr>
              <w:t>)</w:t>
            </w:r>
          </w:p>
          <w:p w14:paraId="346DCB01" w14:textId="2E7463EE" w:rsidR="00354470" w:rsidRPr="00546F5E" w:rsidRDefault="00354470" w:rsidP="00AF7376">
            <w:pPr>
              <w:pStyle w:val="ListParagraph"/>
              <w:numPr>
                <w:ilvl w:val="0"/>
                <w:numId w:val="18"/>
              </w:numPr>
              <w:rPr>
                <w:rFonts w:ascii="Garamond" w:hAnsi="Garamond"/>
                <w:lang w:val="en-AU"/>
              </w:rPr>
            </w:pPr>
            <w:r w:rsidRPr="00354470">
              <w:rPr>
                <w:rFonts w:ascii="Garamond" w:hAnsi="Garamond"/>
                <w:lang w:val="en-AU"/>
              </w:rPr>
              <w:t xml:space="preserve">Uncovering the Risks of Anticancer Therapy Through Incident Report Analysis Using a Newly Developed </w:t>
            </w:r>
            <w:r w:rsidRPr="00AF7376">
              <w:rPr>
                <w:rFonts w:ascii="Garamond" w:hAnsi="Garamond"/>
                <w:b/>
                <w:bCs/>
                <w:lang w:val="en-AU"/>
              </w:rPr>
              <w:t>Medical Oncology Incident Taxonomy</w:t>
            </w:r>
            <w:r w:rsidR="00AF7376" w:rsidRPr="00AF7376">
              <w:rPr>
                <w:rFonts w:ascii="Garamond" w:hAnsi="Garamond"/>
                <w:b/>
                <w:bCs/>
                <w:lang w:val="en-AU"/>
              </w:rPr>
              <w:t xml:space="preserve"> </w:t>
            </w:r>
            <w:r w:rsidR="00AF7376">
              <w:rPr>
                <w:rFonts w:ascii="Garamond" w:hAnsi="Garamond"/>
                <w:lang w:val="en-AU"/>
              </w:rPr>
              <w:t>(</w:t>
            </w:r>
            <w:r w:rsidRPr="00354470">
              <w:rPr>
                <w:rFonts w:ascii="Garamond" w:hAnsi="Garamond"/>
                <w:lang w:val="en-AU"/>
              </w:rPr>
              <w:t>Joseph O Jacobson, Jessica A Zerillo, James Doolin, Sherri O Stuver, Anna Revette, Therese Mulvey</w:t>
            </w:r>
            <w:r w:rsidR="00AF7376">
              <w:rPr>
                <w:rFonts w:ascii="Garamond" w:hAnsi="Garamond"/>
                <w:lang w:val="en-AU"/>
              </w:rPr>
              <w:t>)</w:t>
            </w:r>
          </w:p>
        </w:tc>
      </w:tr>
    </w:tbl>
    <w:p w14:paraId="3D3627E5" w14:textId="2CABB9CC" w:rsidR="004B47ED" w:rsidRPr="00E37911" w:rsidRDefault="004B47ED" w:rsidP="004B47ED">
      <w:pPr>
        <w:keepNext/>
        <w:rPr>
          <w:rFonts w:ascii="Garamond" w:hAnsi="Garamond"/>
          <w:lang w:val="en-AU"/>
        </w:rPr>
      </w:pPr>
      <w:r w:rsidRPr="00E37911">
        <w:rPr>
          <w:rFonts w:ascii="Garamond" w:hAnsi="Garamond"/>
          <w:i/>
          <w:lang w:val="en-AU"/>
        </w:rPr>
        <w:lastRenderedPageBreak/>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B47ED" w:rsidRPr="00E37911" w14:paraId="7D5D0CDC" w14:textId="77777777" w:rsidTr="00B13BC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1A5404D"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BA0A816" w14:textId="77777777" w:rsidR="004B47ED" w:rsidRPr="00E37911" w:rsidRDefault="00000000" w:rsidP="00B13BCF">
            <w:pPr>
              <w:keepNext/>
              <w:rPr>
                <w:rFonts w:ascii="Garamond" w:hAnsi="Garamond"/>
                <w:lang w:val="en-AU"/>
              </w:rPr>
            </w:pPr>
            <w:hyperlink r:id="rId27" w:history="1">
              <w:r w:rsidR="004B47ED" w:rsidRPr="00E37911">
                <w:rPr>
                  <w:rStyle w:val="Hyperlink"/>
                  <w:rFonts w:ascii="Garamond" w:hAnsi="Garamond"/>
                  <w:lang w:val="en-AU"/>
                </w:rPr>
                <w:t>https://qualitysafety.bmj.com/content/early/recent</w:t>
              </w:r>
            </w:hyperlink>
          </w:p>
        </w:tc>
      </w:tr>
      <w:tr w:rsidR="004B47ED" w:rsidRPr="00E37911" w14:paraId="0C14F5E4"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5C34EF4"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60B8CA5E" w14:textId="77777777" w:rsidR="004B47ED" w:rsidRPr="00E37911" w:rsidRDefault="004B47ED" w:rsidP="00B13BC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2C386F5C" w14:textId="11041C76" w:rsidR="009E4E9D" w:rsidRPr="00E37911" w:rsidRDefault="006F719D" w:rsidP="006F719D">
            <w:pPr>
              <w:pStyle w:val="ListParagraph"/>
              <w:numPr>
                <w:ilvl w:val="0"/>
                <w:numId w:val="16"/>
              </w:numPr>
              <w:rPr>
                <w:rFonts w:ascii="Garamond" w:hAnsi="Garamond"/>
                <w:lang w:val="en-AU"/>
              </w:rPr>
            </w:pPr>
            <w:r w:rsidRPr="006F719D">
              <w:rPr>
                <w:rFonts w:ascii="Garamond" w:hAnsi="Garamond"/>
                <w:lang w:val="en-AU"/>
              </w:rPr>
              <w:t xml:space="preserve">Grand rounds in methodology: key considerations for implementing </w:t>
            </w:r>
            <w:r w:rsidRPr="006F719D">
              <w:rPr>
                <w:rFonts w:ascii="Garamond" w:hAnsi="Garamond"/>
                <w:b/>
                <w:bCs/>
                <w:lang w:val="en-AU"/>
              </w:rPr>
              <w:t>machine learning solutions in quality improvement initiatives</w:t>
            </w:r>
            <w:r>
              <w:rPr>
                <w:rFonts w:ascii="Garamond" w:hAnsi="Garamond"/>
                <w:lang w:val="en-AU"/>
              </w:rPr>
              <w:t xml:space="preserve"> (</w:t>
            </w:r>
            <w:r w:rsidRPr="006F719D">
              <w:rPr>
                <w:rFonts w:ascii="Garamond" w:hAnsi="Garamond"/>
                <w:lang w:val="en-AU"/>
              </w:rPr>
              <w:t>Amol A Verma, Patricia Trbovich, Muhammad Mamdani, Kaveh G Shojania</w:t>
            </w:r>
            <w:r>
              <w:rPr>
                <w:rFonts w:ascii="Garamond" w:hAnsi="Garamond"/>
                <w:lang w:val="en-AU"/>
              </w:rPr>
              <w:t>)</w:t>
            </w:r>
          </w:p>
        </w:tc>
      </w:tr>
    </w:tbl>
    <w:p w14:paraId="6E44DEBD" w14:textId="77777777" w:rsidR="00D1061B" w:rsidRDefault="00D1061B" w:rsidP="00D1061B">
      <w:pPr>
        <w:keepLines/>
        <w:autoSpaceDE w:val="0"/>
        <w:autoSpaceDN w:val="0"/>
        <w:adjustRightInd w:val="0"/>
        <w:rPr>
          <w:rFonts w:ascii="Garamond" w:hAnsi="Garamond"/>
          <w:i/>
          <w:lang w:val="en-AU"/>
        </w:rPr>
      </w:pPr>
    </w:p>
    <w:p w14:paraId="6321FC62" w14:textId="77777777" w:rsidR="00D1061B" w:rsidRPr="00E37911" w:rsidRDefault="00D1061B" w:rsidP="00D1061B">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1061B" w:rsidRPr="00E37911" w14:paraId="41FA4D3A"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29DC2208" w14:textId="77777777" w:rsidR="00D1061B" w:rsidRPr="00E37911" w:rsidRDefault="00D1061B" w:rsidP="00A6355B">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D124BFE" w14:textId="77777777" w:rsidR="00D1061B" w:rsidRPr="00E37911" w:rsidRDefault="00000000" w:rsidP="00A6355B">
            <w:pPr>
              <w:keepNext/>
              <w:rPr>
                <w:rFonts w:ascii="Garamond" w:hAnsi="Garamond"/>
                <w:lang w:val="en-AU"/>
              </w:rPr>
            </w:pPr>
            <w:hyperlink r:id="rId28" w:history="1">
              <w:r w:rsidR="00D1061B" w:rsidRPr="00E37911">
                <w:rPr>
                  <w:rStyle w:val="Hyperlink"/>
                  <w:rFonts w:ascii="Garamond" w:hAnsi="Garamond"/>
                  <w:lang w:val="en-AU"/>
                </w:rPr>
                <w:t>https://academic.oup.com/intqhc/advance-articles</w:t>
              </w:r>
            </w:hyperlink>
          </w:p>
        </w:tc>
      </w:tr>
      <w:tr w:rsidR="00D1061B" w:rsidRPr="00E37911" w14:paraId="0C5C5A70"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3A7190F3" w14:textId="77777777" w:rsidR="00D1061B" w:rsidRPr="00E37911" w:rsidRDefault="00D1061B" w:rsidP="00A6355B">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CEECCD1" w14:textId="77777777" w:rsidR="00AD0820" w:rsidRDefault="00D1061B" w:rsidP="00210EC6">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 xml:space="preserve">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730B1CCA" w14:textId="741581CB" w:rsidR="00D43C2B" w:rsidRPr="00D43C2B" w:rsidRDefault="009D2CAB" w:rsidP="009D2CAB">
            <w:pPr>
              <w:pStyle w:val="ListParagraph"/>
              <w:numPr>
                <w:ilvl w:val="0"/>
                <w:numId w:val="16"/>
              </w:numPr>
              <w:rPr>
                <w:rFonts w:ascii="Garamond" w:hAnsi="Garamond"/>
                <w:lang w:val="en-AU"/>
              </w:rPr>
            </w:pPr>
            <w:r w:rsidRPr="009D2CAB">
              <w:rPr>
                <w:rFonts w:ascii="Garamond" w:hAnsi="Garamond"/>
                <w:lang w:val="en-AU"/>
              </w:rPr>
              <w:t xml:space="preserve">Monitoring for </w:t>
            </w:r>
            <w:r w:rsidRPr="009D2CAB">
              <w:rPr>
                <w:rFonts w:ascii="Garamond" w:hAnsi="Garamond"/>
                <w:b/>
                <w:bCs/>
                <w:lang w:val="en-AU"/>
              </w:rPr>
              <w:t>adverse drug events of high-risk medications</w:t>
            </w:r>
            <w:r w:rsidRPr="009D2CAB">
              <w:rPr>
                <w:rFonts w:ascii="Garamond" w:hAnsi="Garamond"/>
                <w:lang w:val="en-AU"/>
              </w:rPr>
              <w:t xml:space="preserve"> with a computerized clinical decision support system: A prospective cohort study</w:t>
            </w:r>
            <w:r>
              <w:rPr>
                <w:rFonts w:ascii="Garamond" w:hAnsi="Garamond"/>
                <w:lang w:val="en-AU"/>
              </w:rPr>
              <w:t xml:space="preserve"> (</w:t>
            </w:r>
            <w:r w:rsidRPr="009D2CAB">
              <w:rPr>
                <w:rFonts w:ascii="Garamond" w:hAnsi="Garamond"/>
                <w:lang w:val="en-AU"/>
              </w:rPr>
              <w:t>Mari Nezu, Mio Sakuma, Tsukasa Nakamura, Tomohiro Sonoyama, Chisa Matsumoto, Jiro Takeuchi, Yoshinori Ohta, Shinji Kosaka, Takeshi Morimoto</w:t>
            </w:r>
            <w:r>
              <w:rPr>
                <w:rFonts w:ascii="Garamond" w:hAnsi="Garamond"/>
                <w:lang w:val="en-AU"/>
              </w:rPr>
              <w:t>)</w:t>
            </w:r>
          </w:p>
        </w:tc>
      </w:tr>
    </w:tbl>
    <w:p w14:paraId="4E062146" w14:textId="77777777" w:rsidR="00D1061B" w:rsidRDefault="00D1061B" w:rsidP="00D1061B">
      <w:pPr>
        <w:keepLines/>
        <w:autoSpaceDE w:val="0"/>
        <w:autoSpaceDN w:val="0"/>
        <w:adjustRightInd w:val="0"/>
        <w:rPr>
          <w:rFonts w:ascii="Garamond" w:hAnsi="Garamond"/>
          <w:i/>
          <w:lang w:val="en-AU"/>
        </w:rPr>
      </w:pPr>
    </w:p>
    <w:p w14:paraId="300ADBE9" w14:textId="6CDCB6FD" w:rsidR="006C3151" w:rsidRDefault="006C3151">
      <w:pPr>
        <w:rPr>
          <w:rFonts w:ascii="Garamond" w:hAnsi="Garamond"/>
          <w:b/>
          <w:lang w:val="en-AU"/>
        </w:rPr>
      </w:pPr>
    </w:p>
    <w:p w14:paraId="6A6500D8" w14:textId="3FDE3EE7" w:rsidR="006C3151" w:rsidRDefault="006C3151">
      <w:pPr>
        <w:rPr>
          <w:rFonts w:ascii="Garamond" w:hAnsi="Garamond"/>
          <w:b/>
          <w:lang w:val="en-AU"/>
        </w:rPr>
      </w:pPr>
    </w:p>
    <w:p w14:paraId="4C1FF4FD" w14:textId="77777777" w:rsidR="006C3151" w:rsidRDefault="006C3151">
      <w:pPr>
        <w:rPr>
          <w:rFonts w:ascii="Garamond" w:hAnsi="Garamond"/>
          <w:b/>
          <w:lang w:val="en-AU"/>
        </w:rPr>
      </w:pPr>
    </w:p>
    <w:p w14:paraId="332C5B51" w14:textId="4200B41F" w:rsidR="008A334C" w:rsidRPr="00E37911" w:rsidRDefault="008A334C" w:rsidP="00CD4B2D">
      <w:pPr>
        <w:keepNext/>
        <w:keepLines/>
        <w:rPr>
          <w:rFonts w:ascii="Garamond" w:hAnsi="Garamond"/>
          <w:b/>
          <w:lang w:val="en-AU"/>
        </w:rPr>
      </w:pPr>
      <w:r w:rsidRPr="00E37911">
        <w:rPr>
          <w:rFonts w:ascii="Garamond" w:hAnsi="Garamond"/>
          <w:b/>
          <w:lang w:val="en-AU"/>
        </w:rPr>
        <w:t>Online resources</w:t>
      </w:r>
    </w:p>
    <w:p w14:paraId="080F6B7C" w14:textId="4442E623" w:rsidR="002A4F78" w:rsidRDefault="002A4F78" w:rsidP="00CD4B2D">
      <w:pPr>
        <w:keepNext/>
        <w:keepLines/>
        <w:rPr>
          <w:rFonts w:ascii="Garamond" w:hAnsi="Garamond"/>
          <w:b/>
          <w:lang w:val="en-AU"/>
        </w:rPr>
      </w:pPr>
    </w:p>
    <w:p w14:paraId="3E701F0D" w14:textId="77777777" w:rsidR="002C14CC" w:rsidRPr="00913086" w:rsidRDefault="002C14CC" w:rsidP="002C14CC">
      <w:pPr>
        <w:keepNext/>
        <w:rPr>
          <w:rFonts w:ascii="Garamond" w:hAnsi="Garamond"/>
          <w:b/>
          <w:bCs/>
          <w:i/>
          <w:lang w:val="en-AU"/>
        </w:rPr>
      </w:pPr>
      <w:r>
        <w:rPr>
          <w:rFonts w:ascii="Garamond" w:hAnsi="Garamond"/>
          <w:b/>
          <w:bCs/>
          <w:i/>
          <w:lang w:val="en-AU"/>
        </w:rPr>
        <w:t>[</w:t>
      </w:r>
      <w:r w:rsidRPr="00913086">
        <w:rPr>
          <w:rFonts w:ascii="Garamond" w:hAnsi="Garamond"/>
          <w:b/>
          <w:bCs/>
          <w:i/>
          <w:lang w:val="en-AU"/>
        </w:rPr>
        <w:t>UK] NICE Guidelines and Quality Standards</w:t>
      </w:r>
    </w:p>
    <w:p w14:paraId="6E641999" w14:textId="77777777" w:rsidR="002C14CC" w:rsidRPr="008F3909" w:rsidRDefault="00000000" w:rsidP="002C14CC">
      <w:pPr>
        <w:keepNext/>
        <w:rPr>
          <w:rFonts w:ascii="Garamond" w:hAnsi="Garamond"/>
          <w:lang w:val="en-AU"/>
        </w:rPr>
      </w:pPr>
      <w:hyperlink r:id="rId29" w:history="1">
        <w:r w:rsidR="002C14CC" w:rsidRPr="00DD08AC">
          <w:rPr>
            <w:rStyle w:val="Hyperlink"/>
            <w:rFonts w:ascii="Garamond" w:hAnsi="Garamond"/>
            <w:lang w:val="en-AU"/>
          </w:rPr>
          <w:t>https://www.nice.org.uk/guidance</w:t>
        </w:r>
      </w:hyperlink>
    </w:p>
    <w:p w14:paraId="113707A8" w14:textId="77777777" w:rsidR="002C14CC" w:rsidRDefault="002C14CC" w:rsidP="002C14CC">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14D322DC" w14:textId="3E58A7FF" w:rsidR="002C14CC" w:rsidRPr="00A90FB9" w:rsidRDefault="002C14CC" w:rsidP="00CE48F5">
      <w:pPr>
        <w:pStyle w:val="ListParagraph"/>
        <w:numPr>
          <w:ilvl w:val="0"/>
          <w:numId w:val="14"/>
        </w:numPr>
        <w:rPr>
          <w:rFonts w:ascii="Garamond" w:hAnsi="Garamond"/>
          <w:b/>
          <w:lang w:val="en-AU"/>
        </w:rPr>
      </w:pPr>
      <w:r w:rsidRPr="00A90FB9">
        <w:rPr>
          <w:rFonts w:ascii="Garamond" w:hAnsi="Garamond"/>
          <w:iCs/>
          <w:lang w:val="en-AU"/>
        </w:rPr>
        <w:t>Clinical Guideline CG</w:t>
      </w:r>
      <w:r w:rsidR="004D69A0">
        <w:rPr>
          <w:rFonts w:ascii="Garamond" w:hAnsi="Garamond"/>
          <w:iCs/>
          <w:lang w:val="en-AU"/>
        </w:rPr>
        <w:t xml:space="preserve">109 </w:t>
      </w:r>
      <w:r w:rsidR="004D69A0" w:rsidRPr="004D69A0">
        <w:rPr>
          <w:rFonts w:ascii="Garamond" w:hAnsi="Garamond"/>
          <w:b/>
          <w:bCs/>
          <w:i/>
          <w:lang w:val="en-AU"/>
        </w:rPr>
        <w:t>Transient loss of consciousness ('blackouts')</w:t>
      </w:r>
      <w:r w:rsidR="004D69A0" w:rsidRPr="004D69A0">
        <w:rPr>
          <w:rFonts w:ascii="Garamond" w:hAnsi="Garamond"/>
          <w:i/>
          <w:lang w:val="en-AU"/>
        </w:rPr>
        <w:t xml:space="preserve"> in over 16s</w:t>
      </w:r>
      <w:r w:rsidR="004D69A0">
        <w:rPr>
          <w:rFonts w:ascii="Garamond" w:hAnsi="Garamond"/>
          <w:iCs/>
          <w:lang w:val="en-AU"/>
        </w:rPr>
        <w:t xml:space="preserve"> </w:t>
      </w:r>
      <w:hyperlink r:id="rId30" w:history="1">
        <w:r w:rsidR="004D69A0" w:rsidRPr="00491B7C">
          <w:rPr>
            <w:rStyle w:val="Hyperlink"/>
            <w:rFonts w:ascii="Garamond" w:hAnsi="Garamond"/>
            <w:iCs/>
            <w:lang w:val="en-AU"/>
          </w:rPr>
          <w:t>https://www.nice.org.uk/guidance/cg109</w:t>
        </w:r>
      </w:hyperlink>
    </w:p>
    <w:p w14:paraId="58678796" w14:textId="77777777" w:rsidR="00CE2A01" w:rsidRPr="00CE2A01" w:rsidRDefault="00CE2A01" w:rsidP="002C14CC">
      <w:pPr>
        <w:keepNext/>
        <w:keepLines/>
        <w:rPr>
          <w:rFonts w:ascii="Garamond" w:hAnsi="Garamond"/>
          <w:iCs/>
          <w:lang w:val="en-AU"/>
        </w:rPr>
      </w:pPr>
    </w:p>
    <w:p w14:paraId="6F6A9A5D" w14:textId="77777777" w:rsidR="002C14CC" w:rsidRDefault="002C14CC" w:rsidP="002C14CC">
      <w:pPr>
        <w:rPr>
          <w:rFonts w:ascii="Garamond" w:hAnsi="Garamond"/>
          <w:b/>
          <w:lang w:val="en-AU"/>
        </w:rPr>
      </w:pPr>
    </w:p>
    <w:p w14:paraId="608AD6F3" w14:textId="77777777" w:rsidR="003C6563" w:rsidRPr="00835007" w:rsidRDefault="003C6563" w:rsidP="003C6563">
      <w:pPr>
        <w:keepNext/>
        <w:rPr>
          <w:rFonts w:ascii="Garamond" w:hAnsi="Garamond"/>
          <w:i/>
          <w:lang w:val="en-AU"/>
        </w:rPr>
      </w:pPr>
    </w:p>
    <w:p w14:paraId="497499CC" w14:textId="77777777" w:rsidR="003C6563" w:rsidRDefault="003C6563" w:rsidP="003C6563">
      <w:pPr>
        <w:rPr>
          <w:rFonts w:ascii="Garamond" w:hAnsi="Garamond"/>
          <w:b/>
          <w:lang w:val="en-AU"/>
        </w:rPr>
      </w:pPr>
    </w:p>
    <w:p w14:paraId="2E352F15" w14:textId="77777777" w:rsidR="00E83262" w:rsidRDefault="00E83262" w:rsidP="00D1061B">
      <w:pPr>
        <w:rPr>
          <w:rFonts w:ascii="Garamond" w:hAnsi="Garamond"/>
          <w:b/>
          <w:lang w:val="en-AU"/>
        </w:rPr>
      </w:pPr>
    </w:p>
    <w:p w14:paraId="16BB5231" w14:textId="77777777" w:rsidR="00D02271" w:rsidRDefault="00D02271">
      <w:pPr>
        <w:rPr>
          <w:rFonts w:ascii="Garamond" w:hAnsi="Garamond"/>
          <w:b/>
          <w:lang w:val="en-AU"/>
        </w:rPr>
      </w:pPr>
      <w:r>
        <w:rPr>
          <w:rFonts w:ascii="Garamond" w:hAnsi="Garamond"/>
          <w:b/>
          <w:lang w:val="en-AU"/>
        </w:rPr>
        <w:br w:type="page"/>
      </w:r>
    </w:p>
    <w:p w14:paraId="12E7A6B9" w14:textId="07EFD497"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31"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2"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3"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7D18AB00">
            <wp:extent cx="4303059" cy="6071689"/>
            <wp:effectExtent l="0" t="0" r="2540" b="5715"/>
            <wp:docPr id="8" name="Picture 8" descr="COVID-19 poster - combined contact and droplet precaution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4312883" cy="6085551"/>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5"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7"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8"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9"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42"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0ED05E05" w:rsidR="00D574D3" w:rsidRPr="008E375B" w:rsidRDefault="00D574D3" w:rsidP="00D574D3">
      <w:pPr>
        <w:keepNext/>
        <w:keepLines/>
        <w:rPr>
          <w:rFonts w:ascii="Garamond" w:hAnsi="Garamond"/>
          <w:i/>
          <w:lang w:val="en-AU"/>
        </w:rPr>
      </w:pPr>
      <w:r w:rsidRPr="008E375B">
        <w:rPr>
          <w:rFonts w:ascii="Garamond" w:hAnsi="Garamond"/>
          <w:i/>
          <w:lang w:val="en-AU"/>
        </w:rPr>
        <w:lastRenderedPageBreak/>
        <w:t>National Clinical Evidence Taskforce</w:t>
      </w:r>
    </w:p>
    <w:p w14:paraId="066BAB2A" w14:textId="1753A1A5" w:rsidR="009C6AF9" w:rsidRPr="008E375B" w:rsidRDefault="00000000" w:rsidP="00D574D3">
      <w:pPr>
        <w:keepNext/>
        <w:keepLines/>
        <w:rPr>
          <w:rFonts w:ascii="Garamond" w:hAnsi="Garamond"/>
        </w:rPr>
      </w:pPr>
      <w:hyperlink r:id="rId45" w:history="1">
        <w:r w:rsidR="009C6AF9" w:rsidRPr="008E375B">
          <w:rPr>
            <w:rStyle w:val="Hyperlink"/>
            <w:rFonts w:ascii="Garamond" w:hAnsi="Garamond"/>
          </w:rPr>
          <w:t>https://clinicalevidence.net.au/</w:t>
        </w:r>
      </w:hyperlink>
    </w:p>
    <w:p w14:paraId="7C588070" w14:textId="77777777" w:rsidR="009C6AF9" w:rsidRPr="008E375B" w:rsidRDefault="009C6AF9" w:rsidP="009C6AF9">
      <w:pPr>
        <w:keepLines/>
        <w:rPr>
          <w:rFonts w:ascii="Garamond" w:hAnsi="Garamond"/>
          <w:lang w:val="en-AU"/>
        </w:rPr>
      </w:pPr>
      <w:r w:rsidRPr="008E375B">
        <w:rPr>
          <w:rFonts w:ascii="Garamond" w:hAnsi="Garamond"/>
          <w:lang w:val="en-AU"/>
        </w:rPr>
        <w:t>The National Clinical Evidence Taskforce is a multi-disciplinary collaboration of 35 member organisations – Australia’s medical colleges and peak health organisations – who share a commitment to provide national evidence-based treatment guidelines for urgent and emerging diseases.</w:t>
      </w:r>
    </w:p>
    <w:p w14:paraId="587F26A5" w14:textId="2D45A6F3" w:rsidR="009C6AF9" w:rsidRPr="008E375B" w:rsidRDefault="009C6AF9" w:rsidP="009C6AF9">
      <w:pPr>
        <w:keepLines/>
        <w:rPr>
          <w:rFonts w:ascii="Garamond" w:hAnsi="Garamond"/>
          <w:lang w:val="en-AU"/>
        </w:rPr>
      </w:pPr>
      <w:r w:rsidRPr="008E375B">
        <w:rPr>
          <w:rFonts w:ascii="Garamond" w:hAnsi="Garamond"/>
          <w:lang w:val="en-AU"/>
        </w:rPr>
        <w:t>This alliance established the world’s first ‘living guidelines’ for the care of people with COVID-19 and MPX.</w:t>
      </w:r>
    </w:p>
    <w:p w14:paraId="3FE22EB3" w14:textId="77777777" w:rsidR="009C6AF9" w:rsidRPr="008E375B" w:rsidRDefault="009C6AF9" w:rsidP="009C6AF9">
      <w:pPr>
        <w:keepLines/>
        <w:rPr>
          <w:rFonts w:ascii="Garamond" w:hAnsi="Garamond"/>
          <w:lang w:val="en-AU"/>
        </w:rPr>
      </w:pPr>
      <w:r w:rsidRPr="008E375B">
        <w:rPr>
          <w:rFonts w:ascii="Garamond" w:hAnsi="Garamond"/>
          <w:lang w:val="en-AU"/>
        </w:rPr>
        <w:t>Funding has now been discontinued for the National Clinical Evidence Taskforce and the COVID-19 guidelines as of 30 June 2023.</w:t>
      </w:r>
    </w:p>
    <w:p w14:paraId="0851C8FF" w14:textId="4E8D45D1" w:rsidR="009C6AF9" w:rsidRDefault="009C6AF9" w:rsidP="009C6AF9">
      <w:pPr>
        <w:keepLines/>
        <w:rPr>
          <w:rFonts w:ascii="Garamond" w:hAnsi="Garamond"/>
          <w:lang w:val="en-AU"/>
        </w:rPr>
      </w:pPr>
      <w:r w:rsidRPr="008E375B">
        <w:rPr>
          <w:rFonts w:ascii="Garamond" w:hAnsi="Garamond"/>
          <w:lang w:val="en-AU"/>
        </w:rPr>
        <w:t>These guidelines are no longer continually updated but will remain online until the guidance becomes inaccurate and/or no longer reflects the evidence or recommended practice.</w:t>
      </w:r>
    </w:p>
    <w:p w14:paraId="1CBC3401" w14:textId="7B23C301" w:rsidR="00DD64D5" w:rsidRDefault="00DD64D5" w:rsidP="009C6AF9">
      <w:pPr>
        <w:keepLines/>
        <w:rPr>
          <w:rFonts w:ascii="Garamond" w:hAnsi="Garamond"/>
          <w:lang w:val="en-AU"/>
        </w:rPr>
      </w:pPr>
    </w:p>
    <w:p w14:paraId="003ED1BD" w14:textId="77777777" w:rsidR="004C2887" w:rsidRDefault="004C2887" w:rsidP="009C6AF9">
      <w:pPr>
        <w:keepLines/>
        <w:rPr>
          <w:rFonts w:ascii="Garamond" w:hAnsi="Garamond"/>
          <w:lang w:val="en-AU"/>
        </w:rPr>
      </w:pPr>
    </w:p>
    <w:p w14:paraId="19F966AA" w14:textId="77777777" w:rsidR="00DD64D5" w:rsidRDefault="00DD64D5" w:rsidP="009C6AF9">
      <w:pPr>
        <w:keepLines/>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77AE90A2"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6"/>
      <w:footerReference w:type="default" r:id="rId4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854F" w14:textId="77777777" w:rsidR="00124484" w:rsidRDefault="00124484">
      <w:r>
        <w:separator/>
      </w:r>
    </w:p>
  </w:endnote>
  <w:endnote w:type="continuationSeparator" w:id="0">
    <w:p w14:paraId="6E277A3C" w14:textId="77777777" w:rsidR="00124484" w:rsidRDefault="0012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2423ECEB"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A90FB9">
      <w:rPr>
        <w:rFonts w:ascii="Garamond" w:hAnsi="Garamond"/>
      </w:rPr>
      <w:t>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61739178"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A90FB9">
      <w:rPr>
        <w:rFonts w:ascii="Garamond" w:hAnsi="Garamond"/>
      </w:rPr>
      <w:t>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8EEDF" w14:textId="77777777" w:rsidR="00124484" w:rsidRDefault="00124484">
      <w:r>
        <w:separator/>
      </w:r>
    </w:p>
  </w:footnote>
  <w:footnote w:type="continuationSeparator" w:id="0">
    <w:p w14:paraId="222DECAC" w14:textId="77777777" w:rsidR="00124484" w:rsidRDefault="00124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0315A8"/>
    <w:multiLevelType w:val="hybridMultilevel"/>
    <w:tmpl w:val="120CB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B21DA6"/>
    <w:multiLevelType w:val="hybridMultilevel"/>
    <w:tmpl w:val="1F2AD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0E36B1"/>
    <w:multiLevelType w:val="hybridMultilevel"/>
    <w:tmpl w:val="757C8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B67BDC"/>
    <w:multiLevelType w:val="hybridMultilevel"/>
    <w:tmpl w:val="FDDED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A06708"/>
    <w:multiLevelType w:val="hybridMultilevel"/>
    <w:tmpl w:val="CD9C5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EB2EB8"/>
    <w:multiLevelType w:val="hybridMultilevel"/>
    <w:tmpl w:val="12DA9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541861"/>
    <w:multiLevelType w:val="hybridMultilevel"/>
    <w:tmpl w:val="D11E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15"/>
  </w:num>
  <w:num w:numId="2" w16cid:durableId="1683386478">
    <w:abstractNumId w:val="23"/>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0"/>
  </w:num>
  <w:num w:numId="14" w16cid:durableId="28579523">
    <w:abstractNumId w:val="16"/>
  </w:num>
  <w:num w:numId="15" w16cid:durableId="1756245841">
    <w:abstractNumId w:val="19"/>
  </w:num>
  <w:num w:numId="16" w16cid:durableId="1878159678">
    <w:abstractNumId w:val="12"/>
  </w:num>
  <w:num w:numId="17" w16cid:durableId="1406414453">
    <w:abstractNumId w:val="14"/>
  </w:num>
  <w:num w:numId="18" w16cid:durableId="737750215">
    <w:abstractNumId w:val="21"/>
  </w:num>
  <w:num w:numId="19" w16cid:durableId="1685746231">
    <w:abstractNumId w:val="22"/>
  </w:num>
  <w:num w:numId="20" w16cid:durableId="64836618">
    <w:abstractNumId w:val="17"/>
  </w:num>
  <w:num w:numId="21" w16cid:durableId="412553615">
    <w:abstractNumId w:val="18"/>
  </w:num>
  <w:num w:numId="22" w16cid:durableId="1376396157">
    <w:abstractNumId w:val="13"/>
  </w:num>
  <w:num w:numId="23" w16cid:durableId="980311576">
    <w:abstractNumId w:val="10"/>
  </w:num>
  <w:num w:numId="24" w16cid:durableId="1322276046">
    <w:abstractNumId w:val="25"/>
  </w:num>
  <w:num w:numId="25" w16cid:durableId="250630762">
    <w:abstractNumId w:val="24"/>
  </w:num>
  <w:num w:numId="26" w16cid:durableId="1226453529">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2A9"/>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77F"/>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C3"/>
    <w:rsid w:val="000528EF"/>
    <w:rsid w:val="00052CC4"/>
    <w:rsid w:val="00053393"/>
    <w:rsid w:val="000535B1"/>
    <w:rsid w:val="000539E6"/>
    <w:rsid w:val="00053A16"/>
    <w:rsid w:val="00053C4F"/>
    <w:rsid w:val="00053D98"/>
    <w:rsid w:val="00053DA5"/>
    <w:rsid w:val="00053E77"/>
    <w:rsid w:val="00053FBC"/>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73D"/>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E65"/>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BE"/>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70"/>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862"/>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DAE"/>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300"/>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33D"/>
    <w:rsid w:val="000E34DE"/>
    <w:rsid w:val="000E3511"/>
    <w:rsid w:val="000E3648"/>
    <w:rsid w:val="000E3D74"/>
    <w:rsid w:val="000E3F2F"/>
    <w:rsid w:val="000E42FD"/>
    <w:rsid w:val="000E45E8"/>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4F6A"/>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447"/>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DEB"/>
    <w:rsid w:val="00114FAF"/>
    <w:rsid w:val="001153A4"/>
    <w:rsid w:val="00115478"/>
    <w:rsid w:val="001154A8"/>
    <w:rsid w:val="001154E9"/>
    <w:rsid w:val="0011590C"/>
    <w:rsid w:val="00115990"/>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B0"/>
    <w:rsid w:val="001213B3"/>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484"/>
    <w:rsid w:val="00124575"/>
    <w:rsid w:val="0012477A"/>
    <w:rsid w:val="001247E3"/>
    <w:rsid w:val="00124ABB"/>
    <w:rsid w:val="00124B04"/>
    <w:rsid w:val="00124C10"/>
    <w:rsid w:val="0012532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2C"/>
    <w:rsid w:val="00127E8B"/>
    <w:rsid w:val="00127FE0"/>
    <w:rsid w:val="00127FE5"/>
    <w:rsid w:val="00130CBE"/>
    <w:rsid w:val="00130E64"/>
    <w:rsid w:val="0013119C"/>
    <w:rsid w:val="00131221"/>
    <w:rsid w:val="0013129A"/>
    <w:rsid w:val="001319C3"/>
    <w:rsid w:val="00131A1A"/>
    <w:rsid w:val="00131BB6"/>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68E"/>
    <w:rsid w:val="001417CF"/>
    <w:rsid w:val="00141BA3"/>
    <w:rsid w:val="00141BDF"/>
    <w:rsid w:val="00141F63"/>
    <w:rsid w:val="00141F8A"/>
    <w:rsid w:val="001420B4"/>
    <w:rsid w:val="001421C3"/>
    <w:rsid w:val="0014225E"/>
    <w:rsid w:val="001426E2"/>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16A"/>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04A"/>
    <w:rsid w:val="001511BC"/>
    <w:rsid w:val="001513C8"/>
    <w:rsid w:val="001513F5"/>
    <w:rsid w:val="0015177D"/>
    <w:rsid w:val="001518A0"/>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D81"/>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A3C"/>
    <w:rsid w:val="00187BCA"/>
    <w:rsid w:val="00187C15"/>
    <w:rsid w:val="00187CCE"/>
    <w:rsid w:val="00187F57"/>
    <w:rsid w:val="00187FFE"/>
    <w:rsid w:val="0019048F"/>
    <w:rsid w:val="001905FE"/>
    <w:rsid w:val="001909DA"/>
    <w:rsid w:val="00190B31"/>
    <w:rsid w:val="00190C75"/>
    <w:rsid w:val="00190CEF"/>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029"/>
    <w:rsid w:val="001B5138"/>
    <w:rsid w:val="001B5298"/>
    <w:rsid w:val="001B53F8"/>
    <w:rsid w:val="001B5733"/>
    <w:rsid w:val="001B593D"/>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5F5"/>
    <w:rsid w:val="00212844"/>
    <w:rsid w:val="00212917"/>
    <w:rsid w:val="00212BEA"/>
    <w:rsid w:val="00212C61"/>
    <w:rsid w:val="00212DBF"/>
    <w:rsid w:val="00212E4C"/>
    <w:rsid w:val="002132E9"/>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19"/>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A5E"/>
    <w:rsid w:val="00237EAA"/>
    <w:rsid w:val="00237ED2"/>
    <w:rsid w:val="00240076"/>
    <w:rsid w:val="002402AE"/>
    <w:rsid w:val="0024064A"/>
    <w:rsid w:val="00240CFC"/>
    <w:rsid w:val="002410E4"/>
    <w:rsid w:val="002411AE"/>
    <w:rsid w:val="002412A1"/>
    <w:rsid w:val="002412F2"/>
    <w:rsid w:val="0024161A"/>
    <w:rsid w:val="00241649"/>
    <w:rsid w:val="00241A9E"/>
    <w:rsid w:val="00241AA9"/>
    <w:rsid w:val="00241BB6"/>
    <w:rsid w:val="00241C1D"/>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B90"/>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53D"/>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983"/>
    <w:rsid w:val="00296A55"/>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B1"/>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4F78"/>
    <w:rsid w:val="002A514B"/>
    <w:rsid w:val="002A52F3"/>
    <w:rsid w:val="002A54F1"/>
    <w:rsid w:val="002A57F4"/>
    <w:rsid w:val="002A58F5"/>
    <w:rsid w:val="002A596A"/>
    <w:rsid w:val="002A59F6"/>
    <w:rsid w:val="002A5BE0"/>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05E"/>
    <w:rsid w:val="002D44B7"/>
    <w:rsid w:val="002D4714"/>
    <w:rsid w:val="002D4744"/>
    <w:rsid w:val="002D4811"/>
    <w:rsid w:val="002D48A3"/>
    <w:rsid w:val="002D4B7D"/>
    <w:rsid w:val="002D4C6B"/>
    <w:rsid w:val="002D4CA7"/>
    <w:rsid w:val="002D4F76"/>
    <w:rsid w:val="002D50C1"/>
    <w:rsid w:val="002D5163"/>
    <w:rsid w:val="002D51B6"/>
    <w:rsid w:val="002D5315"/>
    <w:rsid w:val="002D57FA"/>
    <w:rsid w:val="002D5A2C"/>
    <w:rsid w:val="002D5C89"/>
    <w:rsid w:val="002D611E"/>
    <w:rsid w:val="002D6249"/>
    <w:rsid w:val="002D6324"/>
    <w:rsid w:val="002D65C3"/>
    <w:rsid w:val="002D65DB"/>
    <w:rsid w:val="002D6729"/>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70B"/>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3B"/>
    <w:rsid w:val="00304E40"/>
    <w:rsid w:val="00304E7A"/>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949"/>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8E8"/>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38"/>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12F"/>
    <w:rsid w:val="0039277D"/>
    <w:rsid w:val="003928AE"/>
    <w:rsid w:val="003929BA"/>
    <w:rsid w:val="00392B08"/>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C0"/>
    <w:rsid w:val="00394D69"/>
    <w:rsid w:val="00394DBA"/>
    <w:rsid w:val="0039501F"/>
    <w:rsid w:val="0039510E"/>
    <w:rsid w:val="003955C0"/>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44B"/>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5E20"/>
    <w:rsid w:val="003C6107"/>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429"/>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61"/>
    <w:rsid w:val="003F46F5"/>
    <w:rsid w:val="003F489A"/>
    <w:rsid w:val="003F4920"/>
    <w:rsid w:val="003F4A3F"/>
    <w:rsid w:val="003F5077"/>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8C9"/>
    <w:rsid w:val="00414957"/>
    <w:rsid w:val="004149CB"/>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27C51"/>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279"/>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31"/>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BBD"/>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3DD1"/>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8"/>
    <w:rsid w:val="0045779A"/>
    <w:rsid w:val="004577B3"/>
    <w:rsid w:val="00457855"/>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719"/>
    <w:rsid w:val="00460777"/>
    <w:rsid w:val="004607C5"/>
    <w:rsid w:val="00460979"/>
    <w:rsid w:val="00460BE6"/>
    <w:rsid w:val="00460E59"/>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93A"/>
    <w:rsid w:val="00464A8C"/>
    <w:rsid w:val="004651B1"/>
    <w:rsid w:val="004652CE"/>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7019E"/>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953"/>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9FE"/>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96A"/>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51"/>
    <w:rsid w:val="00496D7D"/>
    <w:rsid w:val="00496DF0"/>
    <w:rsid w:val="00497034"/>
    <w:rsid w:val="00497042"/>
    <w:rsid w:val="00497094"/>
    <w:rsid w:val="00497338"/>
    <w:rsid w:val="00497385"/>
    <w:rsid w:val="0049742E"/>
    <w:rsid w:val="00497A9B"/>
    <w:rsid w:val="00497C82"/>
    <w:rsid w:val="00497EC5"/>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08"/>
    <w:rsid w:val="004C07C1"/>
    <w:rsid w:val="004C08A1"/>
    <w:rsid w:val="004C08B2"/>
    <w:rsid w:val="004C09F4"/>
    <w:rsid w:val="004C0C90"/>
    <w:rsid w:val="004C0E1E"/>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34"/>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5E1"/>
    <w:rsid w:val="004D36C7"/>
    <w:rsid w:val="004D36E0"/>
    <w:rsid w:val="004D39CC"/>
    <w:rsid w:val="004D3B02"/>
    <w:rsid w:val="004D4005"/>
    <w:rsid w:val="004D4096"/>
    <w:rsid w:val="004D414D"/>
    <w:rsid w:val="004D4184"/>
    <w:rsid w:val="004D424B"/>
    <w:rsid w:val="004D45E3"/>
    <w:rsid w:val="004D481F"/>
    <w:rsid w:val="004D4AAB"/>
    <w:rsid w:val="004D4AB7"/>
    <w:rsid w:val="004D4CBF"/>
    <w:rsid w:val="004D508A"/>
    <w:rsid w:val="004D52F4"/>
    <w:rsid w:val="004D5676"/>
    <w:rsid w:val="004D56E5"/>
    <w:rsid w:val="004D5D11"/>
    <w:rsid w:val="004D63C7"/>
    <w:rsid w:val="004D69A0"/>
    <w:rsid w:val="004D6A08"/>
    <w:rsid w:val="004D6B8C"/>
    <w:rsid w:val="004D6C26"/>
    <w:rsid w:val="004D6E39"/>
    <w:rsid w:val="004D6FA5"/>
    <w:rsid w:val="004D7363"/>
    <w:rsid w:val="004D73CF"/>
    <w:rsid w:val="004D73E3"/>
    <w:rsid w:val="004D75C5"/>
    <w:rsid w:val="004D774D"/>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71"/>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C67"/>
    <w:rsid w:val="004F7010"/>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163"/>
    <w:rsid w:val="005232A7"/>
    <w:rsid w:val="0052333A"/>
    <w:rsid w:val="005234C3"/>
    <w:rsid w:val="005234F2"/>
    <w:rsid w:val="005237CD"/>
    <w:rsid w:val="0052382E"/>
    <w:rsid w:val="00523AE4"/>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D5"/>
    <w:rsid w:val="00542937"/>
    <w:rsid w:val="00542A90"/>
    <w:rsid w:val="00542ABF"/>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407"/>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6C2"/>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C73"/>
    <w:rsid w:val="00597ED7"/>
    <w:rsid w:val="005A00FB"/>
    <w:rsid w:val="005A0212"/>
    <w:rsid w:val="005A046B"/>
    <w:rsid w:val="005A057E"/>
    <w:rsid w:val="005A05D8"/>
    <w:rsid w:val="005A07D3"/>
    <w:rsid w:val="005A089E"/>
    <w:rsid w:val="005A0AFD"/>
    <w:rsid w:val="005A0B66"/>
    <w:rsid w:val="005A0C47"/>
    <w:rsid w:val="005A0CE0"/>
    <w:rsid w:val="005A0D24"/>
    <w:rsid w:val="005A0FA0"/>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38B"/>
    <w:rsid w:val="005A45DB"/>
    <w:rsid w:val="005A486E"/>
    <w:rsid w:val="005A4D0F"/>
    <w:rsid w:val="005A4DB4"/>
    <w:rsid w:val="005A4E1C"/>
    <w:rsid w:val="005A4E45"/>
    <w:rsid w:val="005A4E48"/>
    <w:rsid w:val="005A4FDD"/>
    <w:rsid w:val="005A5026"/>
    <w:rsid w:val="005A51A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00"/>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391"/>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651"/>
    <w:rsid w:val="00606BCF"/>
    <w:rsid w:val="00606C83"/>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F89"/>
    <w:rsid w:val="00612111"/>
    <w:rsid w:val="006121B0"/>
    <w:rsid w:val="00612207"/>
    <w:rsid w:val="00612330"/>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9ED"/>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9BE"/>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5D8"/>
    <w:rsid w:val="006349ED"/>
    <w:rsid w:val="00634A58"/>
    <w:rsid w:val="00634B1B"/>
    <w:rsid w:val="00634C3D"/>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4F"/>
    <w:rsid w:val="0064077D"/>
    <w:rsid w:val="00640801"/>
    <w:rsid w:val="00640914"/>
    <w:rsid w:val="00640A0E"/>
    <w:rsid w:val="00640B20"/>
    <w:rsid w:val="00640B2E"/>
    <w:rsid w:val="00640D35"/>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2E6"/>
    <w:rsid w:val="006523E0"/>
    <w:rsid w:val="006525F8"/>
    <w:rsid w:val="006529F3"/>
    <w:rsid w:val="00652A67"/>
    <w:rsid w:val="00652B13"/>
    <w:rsid w:val="00652D5F"/>
    <w:rsid w:val="00652DFB"/>
    <w:rsid w:val="0065313E"/>
    <w:rsid w:val="00653191"/>
    <w:rsid w:val="0065335C"/>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3A9"/>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1EEE"/>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E"/>
    <w:rsid w:val="006662D8"/>
    <w:rsid w:val="0066672C"/>
    <w:rsid w:val="0066678E"/>
    <w:rsid w:val="00666878"/>
    <w:rsid w:val="006668DB"/>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07"/>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899"/>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0A4"/>
    <w:rsid w:val="006E73D7"/>
    <w:rsid w:val="006E75B8"/>
    <w:rsid w:val="006E76CB"/>
    <w:rsid w:val="006E77B9"/>
    <w:rsid w:val="006E77C7"/>
    <w:rsid w:val="006E787A"/>
    <w:rsid w:val="006E7A6D"/>
    <w:rsid w:val="006E7AF8"/>
    <w:rsid w:val="006E7C45"/>
    <w:rsid w:val="006E7D3D"/>
    <w:rsid w:val="006E7E2B"/>
    <w:rsid w:val="006F016A"/>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C2"/>
    <w:rsid w:val="006F4381"/>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19D"/>
    <w:rsid w:val="006F76AD"/>
    <w:rsid w:val="006F7799"/>
    <w:rsid w:val="006F7B46"/>
    <w:rsid w:val="006F7D21"/>
    <w:rsid w:val="006F7DF7"/>
    <w:rsid w:val="00700060"/>
    <w:rsid w:val="007001BB"/>
    <w:rsid w:val="0070051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6E70"/>
    <w:rsid w:val="007072B4"/>
    <w:rsid w:val="007074E3"/>
    <w:rsid w:val="00707597"/>
    <w:rsid w:val="007077F8"/>
    <w:rsid w:val="00707AD3"/>
    <w:rsid w:val="00707AEF"/>
    <w:rsid w:val="00707F4F"/>
    <w:rsid w:val="0071004F"/>
    <w:rsid w:val="007103C7"/>
    <w:rsid w:val="00710409"/>
    <w:rsid w:val="00710D8E"/>
    <w:rsid w:val="00710DE5"/>
    <w:rsid w:val="00711025"/>
    <w:rsid w:val="00711346"/>
    <w:rsid w:val="0071135A"/>
    <w:rsid w:val="0071141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962"/>
    <w:rsid w:val="00717CAE"/>
    <w:rsid w:val="00717D09"/>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7C3"/>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90"/>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3D4"/>
    <w:rsid w:val="00731427"/>
    <w:rsid w:val="0073173C"/>
    <w:rsid w:val="0073184C"/>
    <w:rsid w:val="00731B6E"/>
    <w:rsid w:val="00731E67"/>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47E"/>
    <w:rsid w:val="00737574"/>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346"/>
    <w:rsid w:val="0074148B"/>
    <w:rsid w:val="0074154D"/>
    <w:rsid w:val="007415DA"/>
    <w:rsid w:val="00741A5F"/>
    <w:rsid w:val="00741C23"/>
    <w:rsid w:val="00741F4D"/>
    <w:rsid w:val="00742055"/>
    <w:rsid w:val="00742126"/>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BB0"/>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024"/>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0F47"/>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091"/>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906"/>
    <w:rsid w:val="007A2949"/>
    <w:rsid w:val="007A2A68"/>
    <w:rsid w:val="007A2DA1"/>
    <w:rsid w:val="007A2E56"/>
    <w:rsid w:val="007A2EE1"/>
    <w:rsid w:val="007A3048"/>
    <w:rsid w:val="007A31E4"/>
    <w:rsid w:val="007A3574"/>
    <w:rsid w:val="007A3B55"/>
    <w:rsid w:val="007A3B62"/>
    <w:rsid w:val="007A3BF0"/>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4FB1"/>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35"/>
    <w:rsid w:val="007A7CD9"/>
    <w:rsid w:val="007B00E7"/>
    <w:rsid w:val="007B0270"/>
    <w:rsid w:val="007B05B7"/>
    <w:rsid w:val="007B06DA"/>
    <w:rsid w:val="007B0734"/>
    <w:rsid w:val="007B0810"/>
    <w:rsid w:val="007B09B9"/>
    <w:rsid w:val="007B09C8"/>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BD"/>
    <w:rsid w:val="007C28E6"/>
    <w:rsid w:val="007C2962"/>
    <w:rsid w:val="007C2A0A"/>
    <w:rsid w:val="007C2BE5"/>
    <w:rsid w:val="007C2CA8"/>
    <w:rsid w:val="007C2F64"/>
    <w:rsid w:val="007C2F6F"/>
    <w:rsid w:val="007C31D7"/>
    <w:rsid w:val="007C355A"/>
    <w:rsid w:val="007C3778"/>
    <w:rsid w:val="007C37D0"/>
    <w:rsid w:val="007C3920"/>
    <w:rsid w:val="007C3B4B"/>
    <w:rsid w:val="007C3D03"/>
    <w:rsid w:val="007C3DE4"/>
    <w:rsid w:val="007C4028"/>
    <w:rsid w:val="007C4033"/>
    <w:rsid w:val="007C4098"/>
    <w:rsid w:val="007C4252"/>
    <w:rsid w:val="007C42BB"/>
    <w:rsid w:val="007C45E3"/>
    <w:rsid w:val="007C46DE"/>
    <w:rsid w:val="007C4C9B"/>
    <w:rsid w:val="007C4EA4"/>
    <w:rsid w:val="007C4EFF"/>
    <w:rsid w:val="007C5058"/>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3F5"/>
    <w:rsid w:val="007D1446"/>
    <w:rsid w:val="007D1509"/>
    <w:rsid w:val="007D16A6"/>
    <w:rsid w:val="007D1841"/>
    <w:rsid w:val="007D1873"/>
    <w:rsid w:val="007D18FA"/>
    <w:rsid w:val="007D1926"/>
    <w:rsid w:val="007D1A04"/>
    <w:rsid w:val="007D1A8C"/>
    <w:rsid w:val="007D1AF2"/>
    <w:rsid w:val="007D1BAE"/>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B8B"/>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0C16"/>
    <w:rsid w:val="007E10D9"/>
    <w:rsid w:val="007E141A"/>
    <w:rsid w:val="007E14AD"/>
    <w:rsid w:val="007E154C"/>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C32"/>
    <w:rsid w:val="00802CA2"/>
    <w:rsid w:val="00802EF9"/>
    <w:rsid w:val="008033B9"/>
    <w:rsid w:val="00803809"/>
    <w:rsid w:val="00803A1B"/>
    <w:rsid w:val="00803BF6"/>
    <w:rsid w:val="00804160"/>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B3"/>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6F5"/>
    <w:rsid w:val="00843CC6"/>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7104"/>
    <w:rsid w:val="00847477"/>
    <w:rsid w:val="00847656"/>
    <w:rsid w:val="00847689"/>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60"/>
    <w:rsid w:val="00851F82"/>
    <w:rsid w:val="00852164"/>
    <w:rsid w:val="00852232"/>
    <w:rsid w:val="00852241"/>
    <w:rsid w:val="008522A1"/>
    <w:rsid w:val="00852350"/>
    <w:rsid w:val="008523CC"/>
    <w:rsid w:val="0085252F"/>
    <w:rsid w:val="008528CD"/>
    <w:rsid w:val="00852BB3"/>
    <w:rsid w:val="00852CA0"/>
    <w:rsid w:val="00852D0F"/>
    <w:rsid w:val="00852E66"/>
    <w:rsid w:val="00852F37"/>
    <w:rsid w:val="00853204"/>
    <w:rsid w:val="00853259"/>
    <w:rsid w:val="00853266"/>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75D"/>
    <w:rsid w:val="0085775E"/>
    <w:rsid w:val="008578A9"/>
    <w:rsid w:val="00857A17"/>
    <w:rsid w:val="00857C8D"/>
    <w:rsid w:val="00857DD5"/>
    <w:rsid w:val="008600F3"/>
    <w:rsid w:val="008604E0"/>
    <w:rsid w:val="00860577"/>
    <w:rsid w:val="008605BA"/>
    <w:rsid w:val="00860ADC"/>
    <w:rsid w:val="00860B49"/>
    <w:rsid w:val="00860D87"/>
    <w:rsid w:val="00860DFB"/>
    <w:rsid w:val="00860E36"/>
    <w:rsid w:val="00860E65"/>
    <w:rsid w:val="00860EA2"/>
    <w:rsid w:val="008611C4"/>
    <w:rsid w:val="008612B1"/>
    <w:rsid w:val="008612B9"/>
    <w:rsid w:val="008612E8"/>
    <w:rsid w:val="0086176B"/>
    <w:rsid w:val="0086177D"/>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279"/>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0DE8"/>
    <w:rsid w:val="008810CF"/>
    <w:rsid w:val="00881300"/>
    <w:rsid w:val="0088142F"/>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3CFF"/>
    <w:rsid w:val="008940A9"/>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4CF"/>
    <w:rsid w:val="008A25FD"/>
    <w:rsid w:val="008A26B0"/>
    <w:rsid w:val="008A2A33"/>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50AD"/>
    <w:rsid w:val="008A5104"/>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D08"/>
    <w:rsid w:val="008B1DAF"/>
    <w:rsid w:val="008B2750"/>
    <w:rsid w:val="008B28DE"/>
    <w:rsid w:val="008B2926"/>
    <w:rsid w:val="008B2A13"/>
    <w:rsid w:val="008B2B07"/>
    <w:rsid w:val="008B2C32"/>
    <w:rsid w:val="008B3169"/>
    <w:rsid w:val="008B3226"/>
    <w:rsid w:val="008B32F5"/>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E30"/>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75B"/>
    <w:rsid w:val="008E3866"/>
    <w:rsid w:val="008E3876"/>
    <w:rsid w:val="008E3AC8"/>
    <w:rsid w:val="008E3D86"/>
    <w:rsid w:val="008E3EF6"/>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167"/>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107"/>
    <w:rsid w:val="00904247"/>
    <w:rsid w:val="009042B1"/>
    <w:rsid w:val="00904418"/>
    <w:rsid w:val="00904807"/>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C9C"/>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20D"/>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5"/>
    <w:rsid w:val="00924ADB"/>
    <w:rsid w:val="00924C12"/>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D83"/>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37FED"/>
    <w:rsid w:val="009402F0"/>
    <w:rsid w:val="009404B3"/>
    <w:rsid w:val="009404EE"/>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A8"/>
    <w:rsid w:val="00944E82"/>
    <w:rsid w:val="00945130"/>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EEB"/>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7C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87F41"/>
    <w:rsid w:val="009901B5"/>
    <w:rsid w:val="009902D4"/>
    <w:rsid w:val="0099078F"/>
    <w:rsid w:val="009909A7"/>
    <w:rsid w:val="00990C04"/>
    <w:rsid w:val="00990F04"/>
    <w:rsid w:val="009910F6"/>
    <w:rsid w:val="009913C0"/>
    <w:rsid w:val="00991509"/>
    <w:rsid w:val="0099164C"/>
    <w:rsid w:val="00991758"/>
    <w:rsid w:val="009917F0"/>
    <w:rsid w:val="00991869"/>
    <w:rsid w:val="00991B03"/>
    <w:rsid w:val="00991BB8"/>
    <w:rsid w:val="00991C42"/>
    <w:rsid w:val="00991C79"/>
    <w:rsid w:val="00991CE7"/>
    <w:rsid w:val="00991E73"/>
    <w:rsid w:val="00991EEC"/>
    <w:rsid w:val="009924A6"/>
    <w:rsid w:val="009924D2"/>
    <w:rsid w:val="009926F9"/>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8EE"/>
    <w:rsid w:val="009B6C69"/>
    <w:rsid w:val="009B6E7B"/>
    <w:rsid w:val="009B710F"/>
    <w:rsid w:val="009B734C"/>
    <w:rsid w:val="009B734F"/>
    <w:rsid w:val="009B7813"/>
    <w:rsid w:val="009B790E"/>
    <w:rsid w:val="009B7CE0"/>
    <w:rsid w:val="009B7CF3"/>
    <w:rsid w:val="009C009F"/>
    <w:rsid w:val="009C0297"/>
    <w:rsid w:val="009C0553"/>
    <w:rsid w:val="009C055C"/>
    <w:rsid w:val="009C0598"/>
    <w:rsid w:val="009C0683"/>
    <w:rsid w:val="009C0727"/>
    <w:rsid w:val="009C0873"/>
    <w:rsid w:val="009C08FD"/>
    <w:rsid w:val="009C0C6E"/>
    <w:rsid w:val="009C0CD2"/>
    <w:rsid w:val="009C0D2C"/>
    <w:rsid w:val="009C0E63"/>
    <w:rsid w:val="009C106C"/>
    <w:rsid w:val="009C107E"/>
    <w:rsid w:val="009C1292"/>
    <w:rsid w:val="009C12A8"/>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AF9"/>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1CDD"/>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5E0"/>
    <w:rsid w:val="009D46E0"/>
    <w:rsid w:val="009D4DC3"/>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4E9D"/>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3D"/>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551"/>
    <w:rsid w:val="00A04581"/>
    <w:rsid w:val="00A0463B"/>
    <w:rsid w:val="00A04674"/>
    <w:rsid w:val="00A048B6"/>
    <w:rsid w:val="00A04967"/>
    <w:rsid w:val="00A04AC3"/>
    <w:rsid w:val="00A04B95"/>
    <w:rsid w:val="00A04CAD"/>
    <w:rsid w:val="00A04E6C"/>
    <w:rsid w:val="00A054A0"/>
    <w:rsid w:val="00A054CA"/>
    <w:rsid w:val="00A056EF"/>
    <w:rsid w:val="00A058D1"/>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1F6"/>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7A"/>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94"/>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0FB9"/>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C18"/>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544"/>
    <w:rsid w:val="00AC4A3A"/>
    <w:rsid w:val="00AC4A94"/>
    <w:rsid w:val="00AC4F6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2B3"/>
    <w:rsid w:val="00AD6312"/>
    <w:rsid w:val="00AD66BA"/>
    <w:rsid w:val="00AD6A22"/>
    <w:rsid w:val="00AD6B41"/>
    <w:rsid w:val="00AD6F8B"/>
    <w:rsid w:val="00AD6F9E"/>
    <w:rsid w:val="00AD70A6"/>
    <w:rsid w:val="00AD71BE"/>
    <w:rsid w:val="00AD7522"/>
    <w:rsid w:val="00AD7CD4"/>
    <w:rsid w:val="00AE015E"/>
    <w:rsid w:val="00AE02C6"/>
    <w:rsid w:val="00AE098D"/>
    <w:rsid w:val="00AE09B0"/>
    <w:rsid w:val="00AE0A49"/>
    <w:rsid w:val="00AE0B0E"/>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4E2"/>
    <w:rsid w:val="00B1468B"/>
    <w:rsid w:val="00B146EA"/>
    <w:rsid w:val="00B14CBA"/>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AE1"/>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C8B"/>
    <w:rsid w:val="00B31F93"/>
    <w:rsid w:val="00B32020"/>
    <w:rsid w:val="00B3208C"/>
    <w:rsid w:val="00B32098"/>
    <w:rsid w:val="00B320A5"/>
    <w:rsid w:val="00B3225D"/>
    <w:rsid w:val="00B325CB"/>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540"/>
    <w:rsid w:val="00B4284B"/>
    <w:rsid w:val="00B42C7B"/>
    <w:rsid w:val="00B42CED"/>
    <w:rsid w:val="00B42D00"/>
    <w:rsid w:val="00B42D83"/>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5D"/>
    <w:rsid w:val="00B502E2"/>
    <w:rsid w:val="00B502FE"/>
    <w:rsid w:val="00B5072E"/>
    <w:rsid w:val="00B5075C"/>
    <w:rsid w:val="00B5095C"/>
    <w:rsid w:val="00B50A3E"/>
    <w:rsid w:val="00B510C4"/>
    <w:rsid w:val="00B5113A"/>
    <w:rsid w:val="00B511C3"/>
    <w:rsid w:val="00B514FF"/>
    <w:rsid w:val="00B516E3"/>
    <w:rsid w:val="00B51BC2"/>
    <w:rsid w:val="00B51D51"/>
    <w:rsid w:val="00B51D5C"/>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8"/>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17A"/>
    <w:rsid w:val="00B66276"/>
    <w:rsid w:val="00B662C9"/>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7E"/>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7E4"/>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994"/>
    <w:rsid w:val="00BE3ACC"/>
    <w:rsid w:val="00BE3C51"/>
    <w:rsid w:val="00BE3E38"/>
    <w:rsid w:val="00BE4092"/>
    <w:rsid w:val="00BE4213"/>
    <w:rsid w:val="00BE442A"/>
    <w:rsid w:val="00BE45D8"/>
    <w:rsid w:val="00BE45D9"/>
    <w:rsid w:val="00BE45DD"/>
    <w:rsid w:val="00BE4709"/>
    <w:rsid w:val="00BE494F"/>
    <w:rsid w:val="00BE4F5B"/>
    <w:rsid w:val="00BE505A"/>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7EB"/>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2DFE"/>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9C"/>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6"/>
    <w:rsid w:val="00C227CC"/>
    <w:rsid w:val="00C22AD0"/>
    <w:rsid w:val="00C22DEF"/>
    <w:rsid w:val="00C23361"/>
    <w:rsid w:val="00C236B4"/>
    <w:rsid w:val="00C237B7"/>
    <w:rsid w:val="00C23A26"/>
    <w:rsid w:val="00C23CED"/>
    <w:rsid w:val="00C23E98"/>
    <w:rsid w:val="00C24271"/>
    <w:rsid w:val="00C242CF"/>
    <w:rsid w:val="00C24439"/>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0E"/>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A80"/>
    <w:rsid w:val="00C31BF3"/>
    <w:rsid w:val="00C31E22"/>
    <w:rsid w:val="00C31F06"/>
    <w:rsid w:val="00C31FC8"/>
    <w:rsid w:val="00C320B8"/>
    <w:rsid w:val="00C322AC"/>
    <w:rsid w:val="00C3233D"/>
    <w:rsid w:val="00C32539"/>
    <w:rsid w:val="00C326DD"/>
    <w:rsid w:val="00C32984"/>
    <w:rsid w:val="00C32BEB"/>
    <w:rsid w:val="00C32CF1"/>
    <w:rsid w:val="00C3307E"/>
    <w:rsid w:val="00C3312F"/>
    <w:rsid w:val="00C3316C"/>
    <w:rsid w:val="00C33447"/>
    <w:rsid w:val="00C335A6"/>
    <w:rsid w:val="00C337A8"/>
    <w:rsid w:val="00C33AAE"/>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2"/>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852"/>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5B4"/>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672"/>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0D6"/>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0A"/>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6E94"/>
    <w:rsid w:val="00CB70B1"/>
    <w:rsid w:val="00CB7476"/>
    <w:rsid w:val="00CB74BA"/>
    <w:rsid w:val="00CB7986"/>
    <w:rsid w:val="00CB7C73"/>
    <w:rsid w:val="00CB7EEA"/>
    <w:rsid w:val="00CC0090"/>
    <w:rsid w:val="00CC03B4"/>
    <w:rsid w:val="00CC0782"/>
    <w:rsid w:val="00CC091B"/>
    <w:rsid w:val="00CC0AB1"/>
    <w:rsid w:val="00CC0AD5"/>
    <w:rsid w:val="00CC0BDC"/>
    <w:rsid w:val="00CC0C40"/>
    <w:rsid w:val="00CC0CF3"/>
    <w:rsid w:val="00CC0D2C"/>
    <w:rsid w:val="00CC0D33"/>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2D"/>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6FC3"/>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7A8"/>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FF"/>
    <w:rsid w:val="00CF2C68"/>
    <w:rsid w:val="00CF2E52"/>
    <w:rsid w:val="00CF2F2A"/>
    <w:rsid w:val="00CF3221"/>
    <w:rsid w:val="00CF33B9"/>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1D5"/>
    <w:rsid w:val="00D02271"/>
    <w:rsid w:val="00D0238A"/>
    <w:rsid w:val="00D0239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03"/>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233"/>
    <w:rsid w:val="00D51639"/>
    <w:rsid w:val="00D51921"/>
    <w:rsid w:val="00D51A8C"/>
    <w:rsid w:val="00D51F05"/>
    <w:rsid w:val="00D52200"/>
    <w:rsid w:val="00D5230A"/>
    <w:rsid w:val="00D52375"/>
    <w:rsid w:val="00D528E9"/>
    <w:rsid w:val="00D52A63"/>
    <w:rsid w:val="00D53474"/>
    <w:rsid w:val="00D53610"/>
    <w:rsid w:val="00D536AD"/>
    <w:rsid w:val="00D53937"/>
    <w:rsid w:val="00D53B5C"/>
    <w:rsid w:val="00D5410F"/>
    <w:rsid w:val="00D542B7"/>
    <w:rsid w:val="00D54631"/>
    <w:rsid w:val="00D54735"/>
    <w:rsid w:val="00D5474B"/>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868"/>
    <w:rsid w:val="00D64A4A"/>
    <w:rsid w:val="00D64A8B"/>
    <w:rsid w:val="00D65371"/>
    <w:rsid w:val="00D653B9"/>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3F"/>
    <w:rsid w:val="00D66BBB"/>
    <w:rsid w:val="00D66BF2"/>
    <w:rsid w:val="00D66E10"/>
    <w:rsid w:val="00D66F4A"/>
    <w:rsid w:val="00D673F1"/>
    <w:rsid w:val="00D675C9"/>
    <w:rsid w:val="00D67CFC"/>
    <w:rsid w:val="00D67D03"/>
    <w:rsid w:val="00D67E03"/>
    <w:rsid w:val="00D70264"/>
    <w:rsid w:val="00D70AEE"/>
    <w:rsid w:val="00D70B45"/>
    <w:rsid w:val="00D70B57"/>
    <w:rsid w:val="00D70CA2"/>
    <w:rsid w:val="00D70CDA"/>
    <w:rsid w:val="00D70E93"/>
    <w:rsid w:val="00D70F23"/>
    <w:rsid w:val="00D70FD1"/>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44F"/>
    <w:rsid w:val="00D815D6"/>
    <w:rsid w:val="00D8186B"/>
    <w:rsid w:val="00D81989"/>
    <w:rsid w:val="00D81A39"/>
    <w:rsid w:val="00D81EF1"/>
    <w:rsid w:val="00D82065"/>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E1"/>
    <w:rsid w:val="00D913F3"/>
    <w:rsid w:val="00D9161E"/>
    <w:rsid w:val="00D917F0"/>
    <w:rsid w:val="00D918C9"/>
    <w:rsid w:val="00D91B21"/>
    <w:rsid w:val="00D91D01"/>
    <w:rsid w:val="00D92152"/>
    <w:rsid w:val="00D9245D"/>
    <w:rsid w:val="00D928B1"/>
    <w:rsid w:val="00D92906"/>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5E3"/>
    <w:rsid w:val="00DB25E4"/>
    <w:rsid w:val="00DB2716"/>
    <w:rsid w:val="00DB275D"/>
    <w:rsid w:val="00DB27BC"/>
    <w:rsid w:val="00DB293D"/>
    <w:rsid w:val="00DB2A05"/>
    <w:rsid w:val="00DB2A61"/>
    <w:rsid w:val="00DB2B1C"/>
    <w:rsid w:val="00DB2B46"/>
    <w:rsid w:val="00DB2B72"/>
    <w:rsid w:val="00DB2D14"/>
    <w:rsid w:val="00DB31C8"/>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25"/>
    <w:rsid w:val="00DC5AD0"/>
    <w:rsid w:val="00DC5CED"/>
    <w:rsid w:val="00DC5DEE"/>
    <w:rsid w:val="00DC5EA9"/>
    <w:rsid w:val="00DC5F00"/>
    <w:rsid w:val="00DC624E"/>
    <w:rsid w:val="00DC663A"/>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D57"/>
    <w:rsid w:val="00DE5F50"/>
    <w:rsid w:val="00DE6061"/>
    <w:rsid w:val="00DE61CB"/>
    <w:rsid w:val="00DE6337"/>
    <w:rsid w:val="00DE641E"/>
    <w:rsid w:val="00DE6449"/>
    <w:rsid w:val="00DE6455"/>
    <w:rsid w:val="00DE6535"/>
    <w:rsid w:val="00DE653A"/>
    <w:rsid w:val="00DE662F"/>
    <w:rsid w:val="00DE6799"/>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534"/>
    <w:rsid w:val="00DF1A39"/>
    <w:rsid w:val="00DF1B5D"/>
    <w:rsid w:val="00DF1C0E"/>
    <w:rsid w:val="00DF225B"/>
    <w:rsid w:val="00DF249D"/>
    <w:rsid w:val="00DF24CB"/>
    <w:rsid w:val="00DF2537"/>
    <w:rsid w:val="00DF2601"/>
    <w:rsid w:val="00DF26BE"/>
    <w:rsid w:val="00DF26D9"/>
    <w:rsid w:val="00DF2AD0"/>
    <w:rsid w:val="00DF2F3A"/>
    <w:rsid w:val="00DF300F"/>
    <w:rsid w:val="00DF326B"/>
    <w:rsid w:val="00DF33E9"/>
    <w:rsid w:val="00DF3402"/>
    <w:rsid w:val="00DF39CD"/>
    <w:rsid w:val="00DF3B53"/>
    <w:rsid w:val="00DF3DF5"/>
    <w:rsid w:val="00DF3EBD"/>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82C"/>
    <w:rsid w:val="00E00859"/>
    <w:rsid w:val="00E00AA8"/>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10"/>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346"/>
    <w:rsid w:val="00E1545E"/>
    <w:rsid w:val="00E155FD"/>
    <w:rsid w:val="00E15653"/>
    <w:rsid w:val="00E158AE"/>
    <w:rsid w:val="00E15B43"/>
    <w:rsid w:val="00E15C9D"/>
    <w:rsid w:val="00E15D5B"/>
    <w:rsid w:val="00E15DF0"/>
    <w:rsid w:val="00E15E79"/>
    <w:rsid w:val="00E16205"/>
    <w:rsid w:val="00E16364"/>
    <w:rsid w:val="00E16383"/>
    <w:rsid w:val="00E164FC"/>
    <w:rsid w:val="00E1676B"/>
    <w:rsid w:val="00E16864"/>
    <w:rsid w:val="00E16891"/>
    <w:rsid w:val="00E16946"/>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5F3"/>
    <w:rsid w:val="00E2366C"/>
    <w:rsid w:val="00E23946"/>
    <w:rsid w:val="00E239D3"/>
    <w:rsid w:val="00E23A59"/>
    <w:rsid w:val="00E240CC"/>
    <w:rsid w:val="00E244CA"/>
    <w:rsid w:val="00E244DB"/>
    <w:rsid w:val="00E2451D"/>
    <w:rsid w:val="00E245C8"/>
    <w:rsid w:val="00E24843"/>
    <w:rsid w:val="00E24AED"/>
    <w:rsid w:val="00E24B6D"/>
    <w:rsid w:val="00E24C90"/>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C8F"/>
    <w:rsid w:val="00E50E62"/>
    <w:rsid w:val="00E50EAF"/>
    <w:rsid w:val="00E50EB6"/>
    <w:rsid w:val="00E51432"/>
    <w:rsid w:val="00E518E5"/>
    <w:rsid w:val="00E51A29"/>
    <w:rsid w:val="00E51AB0"/>
    <w:rsid w:val="00E51ACA"/>
    <w:rsid w:val="00E51D23"/>
    <w:rsid w:val="00E51E0E"/>
    <w:rsid w:val="00E51E74"/>
    <w:rsid w:val="00E51F6C"/>
    <w:rsid w:val="00E521D0"/>
    <w:rsid w:val="00E5232C"/>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D90"/>
    <w:rsid w:val="00E54DD3"/>
    <w:rsid w:val="00E552D0"/>
    <w:rsid w:val="00E5535A"/>
    <w:rsid w:val="00E5554E"/>
    <w:rsid w:val="00E555F0"/>
    <w:rsid w:val="00E55B44"/>
    <w:rsid w:val="00E55C87"/>
    <w:rsid w:val="00E55CD9"/>
    <w:rsid w:val="00E55F32"/>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9B3"/>
    <w:rsid w:val="00E66B3F"/>
    <w:rsid w:val="00E66B9D"/>
    <w:rsid w:val="00E66CB7"/>
    <w:rsid w:val="00E671E7"/>
    <w:rsid w:val="00E67473"/>
    <w:rsid w:val="00E6770C"/>
    <w:rsid w:val="00E679BA"/>
    <w:rsid w:val="00E679F5"/>
    <w:rsid w:val="00E67BE7"/>
    <w:rsid w:val="00E67CBE"/>
    <w:rsid w:val="00E67CF6"/>
    <w:rsid w:val="00E67EE7"/>
    <w:rsid w:val="00E67FDF"/>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1F20"/>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DE7"/>
    <w:rsid w:val="00EB1FC1"/>
    <w:rsid w:val="00EB203C"/>
    <w:rsid w:val="00EB203D"/>
    <w:rsid w:val="00EB20CF"/>
    <w:rsid w:val="00EB2182"/>
    <w:rsid w:val="00EB2851"/>
    <w:rsid w:val="00EB2CCD"/>
    <w:rsid w:val="00EB2D7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4A2"/>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68E"/>
    <w:rsid w:val="00ED1896"/>
    <w:rsid w:val="00ED198B"/>
    <w:rsid w:val="00ED19E4"/>
    <w:rsid w:val="00ED1B6C"/>
    <w:rsid w:val="00ED1F40"/>
    <w:rsid w:val="00ED1FE9"/>
    <w:rsid w:val="00ED26B7"/>
    <w:rsid w:val="00ED288D"/>
    <w:rsid w:val="00ED29A0"/>
    <w:rsid w:val="00ED29D6"/>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86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B8F"/>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035"/>
    <w:rsid w:val="00EF6217"/>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BEF"/>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41B"/>
    <w:rsid w:val="00F035D6"/>
    <w:rsid w:val="00F03702"/>
    <w:rsid w:val="00F0370D"/>
    <w:rsid w:val="00F03B0D"/>
    <w:rsid w:val="00F03B31"/>
    <w:rsid w:val="00F03C06"/>
    <w:rsid w:val="00F03C6B"/>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693"/>
    <w:rsid w:val="00F2769B"/>
    <w:rsid w:val="00F27731"/>
    <w:rsid w:val="00F279F8"/>
    <w:rsid w:val="00F27C8B"/>
    <w:rsid w:val="00F27DF4"/>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6C5"/>
    <w:rsid w:val="00F51B77"/>
    <w:rsid w:val="00F51DB9"/>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448"/>
    <w:rsid w:val="00F53B05"/>
    <w:rsid w:val="00F53C8F"/>
    <w:rsid w:val="00F53ED8"/>
    <w:rsid w:val="00F53F96"/>
    <w:rsid w:val="00F53F9C"/>
    <w:rsid w:val="00F5402A"/>
    <w:rsid w:val="00F5481E"/>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47B"/>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658"/>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2D"/>
    <w:rsid w:val="00F9078A"/>
    <w:rsid w:val="00F9081D"/>
    <w:rsid w:val="00F90BD5"/>
    <w:rsid w:val="00F910CE"/>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4A1"/>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5A1"/>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76"/>
    <w:rsid w:val="00FD1E8F"/>
    <w:rsid w:val="00FD252D"/>
    <w:rsid w:val="00FD25C7"/>
    <w:rsid w:val="00FD283F"/>
    <w:rsid w:val="00FD29BF"/>
    <w:rsid w:val="00FD2C3C"/>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EC0"/>
    <w:rsid w:val="00FF1147"/>
    <w:rsid w:val="00FF115D"/>
    <w:rsid w:val="00FF1406"/>
    <w:rsid w:val="00FF146E"/>
    <w:rsid w:val="00FF15EA"/>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45D"/>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our-work/medication-safety" TargetMode="External"/><Relationship Id="rId26" Type="http://schemas.openxmlformats.org/officeDocument/2006/relationships/hyperlink" Target="https://journals.lww.com/journalpatientsafety/toc/2023/12000" TargetMode="External"/><Relationship Id="rId39" Type="http://schemas.openxmlformats.org/officeDocument/2006/relationships/hyperlink" Target="https://www.safetyandquality.gov.au/our-work/cognitive-impairment/cognitive-impairment-and-covid-19" TargetMode="External"/><Relationship Id="rId3" Type="http://schemas.openxmlformats.org/officeDocument/2006/relationships/styles" Target="styles.xml"/><Relationship Id="rId21" Type="http://schemas.openxmlformats.org/officeDocument/2006/relationships/hyperlink" Target="https://www.who.int/europe/news/item/14-11-2023-improving-patient-education--a-new-guide-for-policy-makers-and-health-professionals-to-support-self-management-of-chronic-conditions" TargetMode="External"/><Relationship Id="rId34" Type="http://schemas.openxmlformats.org/officeDocument/2006/relationships/image" Target="media/image3.PNG"/><Relationship Id="rId42" Type="http://schemas.openxmlformats.org/officeDocument/2006/relationships/hyperlink" Target="https://www.safetyandquality.gov.au/publications-and-resources/resource-library/covid-19-and-face-masks-information-consumers"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psa.org.au/advocacy/working-for-our-profession/medicine-safety/mental_health/" TargetMode="External"/><Relationship Id="rId25" Type="http://schemas.openxmlformats.org/officeDocument/2006/relationships/hyperlink" Target="https://qualitysafety.bmj.com/content/32/12" TargetMode="External"/><Relationship Id="rId33" Type="http://schemas.openxmlformats.org/officeDocument/2006/relationships/hyperlink" Target="https://www.safetyandquality.gov.au/publications-and-resources/resource-library/infection-prevention-and-control-poster-combined-contact-and-droplet-precautions" TargetMode="External"/><Relationship Id="rId38" Type="http://schemas.openxmlformats.org/officeDocument/2006/relationships/hyperlink" Target="https://www.safetyandquality.gov.au/publications-and-resources/resource-library/covid-19-infection-prevention-and-control-risk-management-guidance"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ihw.gov.au/reports/prisoners/the-health-of-people-in-australias-prisons-2022/contents/about" TargetMode="External"/><Relationship Id="rId20" Type="http://schemas.openxmlformats.org/officeDocument/2006/relationships/image" Target="media/image2.png"/><Relationship Id="rId29" Type="http://schemas.openxmlformats.org/officeDocument/2006/relationships/hyperlink" Target="https://www.nice.org.uk/guidance"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001/jamainternmed.2023.5961" TargetMode="External"/><Relationship Id="rId32" Type="http://schemas.openxmlformats.org/officeDocument/2006/relationships/hyperlink" Target="https://www.safetyandquality.gov.au/publications-and-resources/resource-library/covid-19-infection-prevention-and-control-risk-management-guidance" TargetMode="External"/><Relationship Id="rId37" Type="http://schemas.openxmlformats.org/officeDocument/2006/relationships/hyperlink" Target="http://www.safetyandquality.gov.au/environmental-cleaning" TargetMode="External"/><Relationship Id="rId40"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5" Type="http://schemas.openxmlformats.org/officeDocument/2006/relationships/hyperlink" Target="https://clinicalevidence.net.au/" TargetMode="External"/><Relationship Id="rId5" Type="http://schemas.openxmlformats.org/officeDocument/2006/relationships/webSettings" Target="webSettings.xml"/><Relationship Id="rId15" Type="http://schemas.openxmlformats.org/officeDocument/2006/relationships/hyperlink" Target="https://aihealthalliance.org/2023/11/16/ai-can-revolutionise-healthcare-but-only-with-a-national-plan/" TargetMode="External"/><Relationship Id="rId23" Type="http://schemas.openxmlformats.org/officeDocument/2006/relationships/hyperlink" Target="https://www.safetyandquality.gov.au/our-work/healthcare-variation" TargetMode="External"/><Relationship Id="rId28" Type="http://schemas.openxmlformats.org/officeDocument/2006/relationships/hyperlink" Target="https://academic.oup.com/intqhc/advance-articles" TargetMode="External"/><Relationship Id="rId36" Type="http://schemas.openxmlformats.org/officeDocument/2006/relationships/image" Target="media/image4.PNG"/><Relationship Id="rId49" Type="http://schemas.openxmlformats.org/officeDocument/2006/relationships/theme" Target="theme/theme1.xml"/><Relationship Id="rId10" Type="http://schemas.openxmlformats.org/officeDocument/2006/relationships/hyperlink" Target="https://www.safetyandquality.gov.au/newsroom/subscribe-news" TargetMode="External"/><Relationship Id="rId19" Type="http://schemas.openxmlformats.org/officeDocument/2006/relationships/hyperlink" Target="https://doi.org/10.26099/jbe9-c870" TargetMode="External"/><Relationship Id="rId31" Type="http://schemas.openxmlformats.org/officeDocument/2006/relationships/hyperlink" Target="https://www.safetyandquality.gov.au/covid-19" TargetMode="External"/><Relationship Id="rId44"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007/s43999-023-00033-7" TargetMode="External"/><Relationship Id="rId27" Type="http://schemas.openxmlformats.org/officeDocument/2006/relationships/hyperlink" Target="https://qualitysafety.bmj.com/content/early/recent" TargetMode="External"/><Relationship Id="rId30" Type="http://schemas.openxmlformats.org/officeDocument/2006/relationships/hyperlink" Target="https://www.nice.org.uk/guidance/cg109" TargetMode="External"/><Relationship Id="rId35" Type="http://schemas.openxmlformats.org/officeDocument/2006/relationships/hyperlink" Target="https://www.safetyandquality.gov.au/publications-and-resources/resource-library/poster-combined-airborne-and-contact-precautions" TargetMode="External"/><Relationship Id="rId43" Type="http://schemas.openxmlformats.org/officeDocument/2006/relationships/hyperlink" Target="https://www.safetyandquality.gov.au/sites/default/files/2020-07/covid-19_and_face_masks_-_information_for_consumers.pdf" TargetMode="External"/><Relationship Id="rId48"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12</Pages>
  <Words>3008</Words>
  <Characters>19883</Characters>
  <Application>Microsoft Office Word</Application>
  <DocSecurity>0</DocSecurity>
  <Lines>432</Lines>
  <Paragraphs>195</Paragraphs>
  <ScaleCrop>false</ScaleCrop>
  <HeadingPairs>
    <vt:vector size="2" baseType="variant">
      <vt:variant>
        <vt:lpstr>Title</vt:lpstr>
      </vt:variant>
      <vt:variant>
        <vt:i4>1</vt:i4>
      </vt:variant>
    </vt:vector>
  </HeadingPairs>
  <TitlesOfParts>
    <vt:vector size="1" baseType="lpstr">
      <vt:lpstr>Draft On the Radar Issue 630</vt:lpstr>
    </vt:vector>
  </TitlesOfParts>
  <Company>ACSQHC</Company>
  <LinksUpToDate>false</LinksUpToDate>
  <CharactersWithSpaces>22696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630</dc:title>
  <dc:subject/>
  <dc:creator>Dr Niall Johnson</dc:creator>
  <cp:keywords>On the Radar</cp:keywords>
  <dc:description/>
  <cp:lastModifiedBy>JOHNSON, Niall</cp:lastModifiedBy>
  <cp:revision>87</cp:revision>
  <cp:lastPrinted>2018-03-02T02:34:00Z</cp:lastPrinted>
  <dcterms:created xsi:type="dcterms:W3CDTF">2023-11-19T21:27:00Z</dcterms:created>
  <dcterms:modified xsi:type="dcterms:W3CDTF">2023-11-23T23:19:00Z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