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729784D9"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295D99D4" w:rsidR="009932E9" w:rsidRDefault="009932E9" w:rsidP="00F738B5">
      <w:pPr>
        <w:rPr>
          <w:rFonts w:ascii="Garamond" w:hAnsi="Garamond"/>
          <w:lang w:val="en-AU"/>
        </w:rPr>
      </w:pPr>
      <w:r>
        <w:rPr>
          <w:rFonts w:ascii="Garamond" w:hAnsi="Garamond"/>
          <w:lang w:val="en-AU"/>
        </w:rPr>
        <w:t>Issue 6</w:t>
      </w:r>
      <w:r w:rsidR="00A90FB9">
        <w:rPr>
          <w:rFonts w:ascii="Garamond" w:hAnsi="Garamond"/>
          <w:lang w:val="en-AU"/>
        </w:rPr>
        <w:t>3</w:t>
      </w:r>
      <w:r w:rsidR="00620C1E">
        <w:rPr>
          <w:rFonts w:ascii="Garamond" w:hAnsi="Garamond"/>
          <w:lang w:val="en-AU"/>
        </w:rPr>
        <w:t>7</w:t>
      </w:r>
    </w:p>
    <w:p w14:paraId="53429E1A" w14:textId="205807CA" w:rsidR="005C6930" w:rsidRDefault="00620C1E" w:rsidP="00F738B5">
      <w:pPr>
        <w:rPr>
          <w:rFonts w:ascii="Garamond" w:hAnsi="Garamond"/>
          <w:lang w:val="en-AU"/>
        </w:rPr>
      </w:pPr>
      <w:r>
        <w:rPr>
          <w:rFonts w:ascii="Garamond" w:hAnsi="Garamond"/>
          <w:lang w:val="en-AU"/>
        </w:rPr>
        <w:t>12</w:t>
      </w:r>
      <w:r w:rsidR="004D25AB">
        <w:rPr>
          <w:rFonts w:ascii="Garamond" w:hAnsi="Garamond"/>
          <w:lang w:val="en-AU"/>
        </w:rPr>
        <w:t xml:space="preserve"> February</w:t>
      </w:r>
      <w:r w:rsidR="005C6930">
        <w:rPr>
          <w:rFonts w:ascii="Garamond" w:hAnsi="Garamond"/>
          <w:lang w:val="en-AU"/>
        </w:rPr>
        <w:t xml:space="preserve"> 2024</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34548E3"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61C9C3A4" w14:textId="67941B69" w:rsidR="000F5002" w:rsidRPr="00467B47" w:rsidRDefault="001F39E6" w:rsidP="004554DB">
      <w:pPr>
        <w:autoSpaceDE w:val="0"/>
        <w:rPr>
          <w:rFonts w:ascii="Garamond" w:hAnsi="Garamond"/>
          <w:lang w:val="en-AU"/>
        </w:rPr>
      </w:pPr>
      <w:r>
        <w:rPr>
          <w:rFonts w:ascii="Garamond" w:hAnsi="Garamond"/>
          <w:lang w:val="en-AU"/>
        </w:rPr>
        <w:t>w</w:t>
      </w: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655C108C"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A21E03">
        <w:rPr>
          <w:rFonts w:ascii="Garamond" w:hAnsi="Garamond"/>
          <w:bCs/>
          <w:lang w:val="en-AU"/>
        </w:rPr>
        <w:t xml:space="preserve">, </w:t>
      </w:r>
      <w:r w:rsidR="00A21E03" w:rsidRPr="00A21E03">
        <w:rPr>
          <w:rFonts w:ascii="Garamond" w:hAnsi="Garamond"/>
          <w:bCs/>
          <w:lang w:val="en-AU"/>
        </w:rPr>
        <w:t>Rozanna Alameddine</w:t>
      </w:r>
    </w:p>
    <w:p w14:paraId="4ABE03C9" w14:textId="77777777" w:rsidR="00235675" w:rsidRDefault="00235675" w:rsidP="009525CC">
      <w:pPr>
        <w:rPr>
          <w:rFonts w:ascii="Garamond" w:hAnsi="Garamond"/>
          <w:bCs/>
          <w:lang w:val="en-AU"/>
        </w:rPr>
      </w:pPr>
    </w:p>
    <w:p w14:paraId="11E11B7D" w14:textId="77777777" w:rsidR="00235675" w:rsidRDefault="00235675" w:rsidP="009525CC">
      <w:pPr>
        <w:rPr>
          <w:rFonts w:ascii="Garamond" w:hAnsi="Garamond"/>
          <w:bCs/>
          <w:lang w:val="en-AU"/>
        </w:rPr>
      </w:pPr>
    </w:p>
    <w:p w14:paraId="026F5E8D" w14:textId="088E59B1" w:rsidR="00235675" w:rsidRPr="00785395" w:rsidRDefault="007D0AC4" w:rsidP="009525CC">
      <w:pPr>
        <w:rPr>
          <w:rFonts w:ascii="Garamond" w:hAnsi="Garamond"/>
          <w:b/>
          <w:lang w:val="en-AU"/>
        </w:rPr>
      </w:pPr>
      <w:r w:rsidRPr="00785395">
        <w:rPr>
          <w:rFonts w:ascii="Garamond" w:hAnsi="Garamond"/>
          <w:b/>
          <w:lang w:val="en-AU"/>
        </w:rPr>
        <w:t xml:space="preserve">Consultation on </w:t>
      </w:r>
      <w:r w:rsidR="00785395" w:rsidRPr="00785395">
        <w:rPr>
          <w:rFonts w:ascii="Garamond" w:hAnsi="Garamond"/>
          <w:b/>
          <w:lang w:val="en-AU"/>
        </w:rPr>
        <w:t>u</w:t>
      </w:r>
      <w:r w:rsidRPr="00785395">
        <w:rPr>
          <w:rFonts w:ascii="Garamond" w:hAnsi="Garamond"/>
          <w:b/>
          <w:lang w:val="en-AU"/>
        </w:rPr>
        <w:t>pdating the National Guidelines for On-Screen Presentation of Discharge Summaries</w:t>
      </w:r>
    </w:p>
    <w:p w14:paraId="5B3A6A83" w14:textId="4BCE45C4" w:rsidR="00B233CF" w:rsidRDefault="00000000" w:rsidP="00B233CF">
      <w:pPr>
        <w:rPr>
          <w:rFonts w:ascii="Garamond" w:hAnsi="Garamond"/>
          <w:bCs/>
          <w:lang w:val="en-AU"/>
        </w:rPr>
      </w:pPr>
      <w:hyperlink r:id="rId15" w:history="1">
        <w:r w:rsidR="00B233CF" w:rsidRPr="001423C8">
          <w:rPr>
            <w:rStyle w:val="Hyperlink"/>
            <w:rFonts w:ascii="Garamond" w:hAnsi="Garamond"/>
            <w:bCs/>
            <w:lang w:val="en-AU"/>
          </w:rPr>
          <w:t>https://www.safetyandquality.gov.au/newsroom/consultations/updating-national-guidelines-screen-presentation-discharge-summaries</w:t>
        </w:r>
      </w:hyperlink>
    </w:p>
    <w:p w14:paraId="6976D632" w14:textId="77777777" w:rsidR="00B233CF" w:rsidRPr="00B233CF" w:rsidRDefault="00B233CF" w:rsidP="00B233CF">
      <w:pPr>
        <w:rPr>
          <w:rFonts w:ascii="Garamond" w:hAnsi="Garamond"/>
          <w:bCs/>
          <w:lang w:val="en-AU"/>
        </w:rPr>
      </w:pPr>
    </w:p>
    <w:p w14:paraId="0F042272" w14:textId="042D804C" w:rsidR="00B233CF" w:rsidRPr="00B233CF" w:rsidRDefault="00B233CF" w:rsidP="00B233CF">
      <w:pPr>
        <w:rPr>
          <w:rFonts w:ascii="Garamond" w:hAnsi="Garamond"/>
          <w:bCs/>
          <w:lang w:val="en-AU"/>
        </w:rPr>
      </w:pPr>
      <w:r w:rsidRPr="00B233CF">
        <w:rPr>
          <w:rFonts w:ascii="Garamond" w:hAnsi="Garamond"/>
          <w:bCs/>
          <w:lang w:val="en-AU"/>
        </w:rPr>
        <w:t xml:space="preserve">The Australian Commission on Safety and Quality in Health Care has </w:t>
      </w:r>
      <w:r>
        <w:rPr>
          <w:rFonts w:ascii="Garamond" w:hAnsi="Garamond"/>
          <w:bCs/>
          <w:lang w:val="en-AU"/>
        </w:rPr>
        <w:t xml:space="preserve">developed </w:t>
      </w:r>
      <w:r w:rsidR="004B0786">
        <w:rPr>
          <w:rFonts w:ascii="Garamond" w:hAnsi="Garamond"/>
          <w:bCs/>
          <w:lang w:val="en-AU"/>
        </w:rPr>
        <w:t xml:space="preserve">a couple of </w:t>
      </w:r>
      <w:r w:rsidRPr="00B233CF">
        <w:rPr>
          <w:rFonts w:ascii="Garamond" w:hAnsi="Garamond"/>
          <w:bCs/>
          <w:lang w:val="en-AU"/>
        </w:rPr>
        <w:t xml:space="preserve">short surveys as part of consultation for the revised </w:t>
      </w:r>
      <w:r w:rsidRPr="004B0786">
        <w:rPr>
          <w:rFonts w:ascii="Garamond" w:hAnsi="Garamond"/>
          <w:bCs/>
          <w:i/>
          <w:iCs/>
          <w:lang w:val="en-AU"/>
        </w:rPr>
        <w:t>National Guidelines for On-Screen Presentation of Discharge Summaries</w:t>
      </w:r>
      <w:r w:rsidRPr="00B233CF">
        <w:rPr>
          <w:rFonts w:ascii="Garamond" w:hAnsi="Garamond"/>
          <w:bCs/>
          <w:lang w:val="en-AU"/>
        </w:rPr>
        <w:t xml:space="preserve"> (the Guidelines).</w:t>
      </w:r>
    </w:p>
    <w:p w14:paraId="2CAA2092" w14:textId="77777777" w:rsidR="00B233CF" w:rsidRPr="00B233CF" w:rsidRDefault="00B233CF" w:rsidP="00B233CF">
      <w:pPr>
        <w:rPr>
          <w:rFonts w:ascii="Garamond" w:hAnsi="Garamond"/>
          <w:bCs/>
          <w:lang w:val="en-AU"/>
        </w:rPr>
      </w:pPr>
    </w:p>
    <w:p w14:paraId="15B03A83" w14:textId="165B7457" w:rsidR="00B233CF" w:rsidRPr="00B233CF" w:rsidRDefault="00B233CF" w:rsidP="00B233CF">
      <w:pPr>
        <w:rPr>
          <w:rFonts w:ascii="Garamond" w:hAnsi="Garamond"/>
          <w:bCs/>
          <w:lang w:val="en-AU"/>
        </w:rPr>
      </w:pPr>
      <w:r w:rsidRPr="00B233CF">
        <w:rPr>
          <w:rFonts w:ascii="Garamond" w:hAnsi="Garamond"/>
          <w:bCs/>
          <w:lang w:val="en-AU"/>
        </w:rPr>
        <w:t xml:space="preserve">The Guidelines aim to improve the presentation of discharge summaries that are prepared and communicated electronically. They provide recommendations on the clinical content and layout of discharge summary information to improve overall safety and quality of patients' continuity of care. The revised Guidelines have been informed by findings from a literature review and environmental scan as well as consultation with states and territories. Two surveys have been developed for this consultation round </w:t>
      </w:r>
      <w:r w:rsidR="00113AF9">
        <w:rPr>
          <w:rFonts w:ascii="Garamond" w:hAnsi="Garamond"/>
          <w:bCs/>
          <w:lang w:val="en-AU"/>
        </w:rPr>
        <w:t xml:space="preserve">to gather </w:t>
      </w:r>
      <w:r w:rsidRPr="00B233CF">
        <w:rPr>
          <w:rFonts w:ascii="Garamond" w:hAnsi="Garamond"/>
          <w:bCs/>
          <w:lang w:val="en-AU"/>
        </w:rPr>
        <w:t>feedback from:</w:t>
      </w:r>
    </w:p>
    <w:p w14:paraId="2C7053C5" w14:textId="7FE1DEE3" w:rsidR="00B233CF" w:rsidRPr="00113AF9" w:rsidRDefault="00B233CF" w:rsidP="00113AF9">
      <w:pPr>
        <w:pStyle w:val="ListParagraph"/>
        <w:numPr>
          <w:ilvl w:val="0"/>
          <w:numId w:val="33"/>
        </w:numPr>
        <w:rPr>
          <w:rFonts w:ascii="Garamond" w:hAnsi="Garamond"/>
          <w:bCs/>
          <w:lang w:val="en-AU"/>
        </w:rPr>
      </w:pPr>
      <w:r w:rsidRPr="00113AF9">
        <w:rPr>
          <w:rFonts w:ascii="Garamond" w:hAnsi="Garamond"/>
          <w:bCs/>
          <w:lang w:val="en-AU"/>
        </w:rPr>
        <w:t xml:space="preserve">Healthcare professionals </w:t>
      </w:r>
      <w:r w:rsidR="005216F6">
        <w:rPr>
          <w:rFonts w:ascii="Garamond" w:hAnsi="Garamond"/>
          <w:bCs/>
          <w:lang w:val="en-AU"/>
        </w:rPr>
        <w:t>that prepare</w:t>
      </w:r>
      <w:r w:rsidRPr="00113AF9">
        <w:rPr>
          <w:rFonts w:ascii="Garamond" w:hAnsi="Garamond"/>
          <w:bCs/>
          <w:lang w:val="en-AU"/>
        </w:rPr>
        <w:t xml:space="preserve"> discharge summaries in hospital settings</w:t>
      </w:r>
    </w:p>
    <w:p w14:paraId="6C4A7266" w14:textId="50F52D7E" w:rsidR="00B233CF" w:rsidRPr="00113AF9" w:rsidRDefault="00B233CF" w:rsidP="00113AF9">
      <w:pPr>
        <w:pStyle w:val="ListParagraph"/>
        <w:numPr>
          <w:ilvl w:val="0"/>
          <w:numId w:val="33"/>
        </w:numPr>
        <w:rPr>
          <w:rFonts w:ascii="Garamond" w:hAnsi="Garamond"/>
          <w:bCs/>
          <w:lang w:val="en-AU"/>
        </w:rPr>
      </w:pPr>
      <w:r w:rsidRPr="00113AF9">
        <w:rPr>
          <w:rFonts w:ascii="Garamond" w:hAnsi="Garamond"/>
          <w:bCs/>
          <w:lang w:val="en-AU"/>
        </w:rPr>
        <w:t>Healthcare professionals that receive discharge summaries in primary care (primarily in general practice settings)</w:t>
      </w:r>
    </w:p>
    <w:p w14:paraId="0B56CBEB" w14:textId="5F609624" w:rsidR="00620C1E" w:rsidRDefault="00B233CF" w:rsidP="00B233CF">
      <w:pPr>
        <w:rPr>
          <w:rFonts w:ascii="Garamond" w:hAnsi="Garamond"/>
          <w:bCs/>
          <w:lang w:val="en-AU"/>
        </w:rPr>
      </w:pPr>
      <w:r w:rsidRPr="00B233CF">
        <w:rPr>
          <w:rFonts w:ascii="Garamond" w:hAnsi="Garamond"/>
          <w:bCs/>
          <w:lang w:val="en-AU"/>
        </w:rPr>
        <w:lastRenderedPageBreak/>
        <w:t xml:space="preserve">Healthcare professionals </w:t>
      </w:r>
      <w:r w:rsidR="00113AF9">
        <w:rPr>
          <w:rFonts w:ascii="Garamond" w:hAnsi="Garamond"/>
          <w:bCs/>
          <w:lang w:val="en-AU"/>
        </w:rPr>
        <w:t xml:space="preserve">are invited </w:t>
      </w:r>
      <w:r w:rsidRPr="00B233CF">
        <w:rPr>
          <w:rFonts w:ascii="Garamond" w:hAnsi="Garamond"/>
          <w:bCs/>
          <w:lang w:val="en-AU"/>
        </w:rPr>
        <w:t xml:space="preserve">provide feedback on the revised discharge summary template by completing the </w:t>
      </w:r>
      <w:hyperlink r:id="rId16" w:history="1">
        <w:r w:rsidRPr="00120E51">
          <w:rPr>
            <w:rStyle w:val="Hyperlink"/>
            <w:rFonts w:ascii="Garamond" w:hAnsi="Garamond"/>
            <w:bCs/>
            <w:lang w:val="en-AU"/>
          </w:rPr>
          <w:t>survey</w:t>
        </w:r>
      </w:hyperlink>
      <w:r w:rsidRPr="00B233CF">
        <w:rPr>
          <w:rFonts w:ascii="Garamond" w:hAnsi="Garamond"/>
          <w:bCs/>
          <w:lang w:val="en-AU"/>
        </w:rPr>
        <w:t xml:space="preserve"> most applicable to their practice setting. Consultation is open until </w:t>
      </w:r>
      <w:r w:rsidRPr="00A21E03">
        <w:rPr>
          <w:rFonts w:ascii="Garamond" w:hAnsi="Garamond"/>
          <w:b/>
          <w:lang w:val="en-AU"/>
        </w:rPr>
        <w:t>20 February 2024</w:t>
      </w:r>
      <w:r w:rsidRPr="00B233CF">
        <w:rPr>
          <w:rFonts w:ascii="Garamond" w:hAnsi="Garamond"/>
          <w:bCs/>
          <w:lang w:val="en-AU"/>
        </w:rPr>
        <w:t xml:space="preserve"> 11:59 PM AEDT.</w:t>
      </w:r>
    </w:p>
    <w:p w14:paraId="20A45EE3" w14:textId="77777777" w:rsidR="0005754A" w:rsidRDefault="0005754A" w:rsidP="009B785E">
      <w:pPr>
        <w:rPr>
          <w:rFonts w:ascii="Garamond" w:hAnsi="Garamond"/>
          <w:bCs/>
          <w:lang w:val="en-AU"/>
        </w:rPr>
      </w:pPr>
    </w:p>
    <w:p w14:paraId="4882C9C8" w14:textId="77777777" w:rsidR="003E5574" w:rsidRDefault="003E5574" w:rsidP="009B785E">
      <w:pPr>
        <w:rPr>
          <w:rFonts w:ascii="Garamond" w:hAnsi="Garamond"/>
          <w:bCs/>
          <w:lang w:val="en-AU"/>
        </w:rPr>
      </w:pPr>
    </w:p>
    <w:p w14:paraId="03E4C67C" w14:textId="77777777" w:rsidR="003E5574" w:rsidRDefault="003E5574" w:rsidP="009B785E">
      <w:pPr>
        <w:rPr>
          <w:rFonts w:ascii="Garamond" w:hAnsi="Garamond"/>
          <w:bCs/>
          <w:lang w:val="en-AU"/>
        </w:rPr>
      </w:pPr>
    </w:p>
    <w:p w14:paraId="28529B09" w14:textId="75BD886C" w:rsidR="00981E7A" w:rsidRDefault="00981E7A" w:rsidP="00981E7A">
      <w:pPr>
        <w:keepNext/>
        <w:keepLines/>
        <w:autoSpaceDE w:val="0"/>
        <w:autoSpaceDN w:val="0"/>
        <w:adjustRightInd w:val="0"/>
        <w:rPr>
          <w:rFonts w:ascii="Garamond" w:hAnsi="Garamond"/>
          <w:b/>
          <w:lang w:val="en-AU"/>
        </w:rPr>
      </w:pPr>
      <w:r>
        <w:rPr>
          <w:rFonts w:ascii="Garamond" w:hAnsi="Garamond"/>
          <w:b/>
          <w:lang w:val="en-AU"/>
        </w:rPr>
        <w:t>Reports</w:t>
      </w:r>
    </w:p>
    <w:p w14:paraId="5416695A" w14:textId="77777777" w:rsidR="00981E7A" w:rsidRDefault="00981E7A" w:rsidP="00981E7A">
      <w:pPr>
        <w:keepNext/>
        <w:keepLines/>
        <w:autoSpaceDE w:val="0"/>
        <w:autoSpaceDN w:val="0"/>
        <w:adjustRightInd w:val="0"/>
        <w:rPr>
          <w:rFonts w:ascii="Garamond" w:hAnsi="Garamond"/>
          <w:b/>
          <w:lang w:val="en-AU"/>
        </w:rPr>
      </w:pPr>
    </w:p>
    <w:p w14:paraId="4D719A77" w14:textId="77777777" w:rsidR="008B6088" w:rsidRPr="008B6088" w:rsidRDefault="008B6088" w:rsidP="008B6088">
      <w:pPr>
        <w:keepNext/>
        <w:rPr>
          <w:rFonts w:ascii="Garamond" w:hAnsi="Garamond"/>
          <w:i/>
          <w:iCs/>
          <w:lang w:val="en-AU"/>
        </w:rPr>
      </w:pPr>
      <w:r w:rsidRPr="008B6088">
        <w:rPr>
          <w:rFonts w:ascii="Garamond" w:hAnsi="Garamond"/>
          <w:i/>
          <w:iCs/>
          <w:lang w:val="en-AU"/>
        </w:rPr>
        <w:t>Top 10 Health Technology Hazards for 2024: Executive Brief</w:t>
      </w:r>
    </w:p>
    <w:p w14:paraId="5CABD5C4" w14:textId="77777777" w:rsidR="008B6088" w:rsidRDefault="008B6088" w:rsidP="00685878">
      <w:pPr>
        <w:keepNext/>
        <w:rPr>
          <w:rFonts w:ascii="Garamond" w:hAnsi="Garamond"/>
          <w:lang w:val="en-AU"/>
        </w:rPr>
      </w:pPr>
      <w:r w:rsidRPr="008B6088">
        <w:rPr>
          <w:rFonts w:ascii="Garamond" w:hAnsi="Garamond"/>
          <w:lang w:val="en-AU"/>
        </w:rPr>
        <w:t>ECRI</w:t>
      </w:r>
    </w:p>
    <w:p w14:paraId="54980907" w14:textId="44B52098" w:rsidR="00685878" w:rsidRPr="00D65371" w:rsidRDefault="008B6088" w:rsidP="00685878">
      <w:pPr>
        <w:keepNext/>
        <w:rPr>
          <w:rFonts w:ascii="Garamond" w:hAnsi="Garamond"/>
          <w:lang w:val="en-AU"/>
        </w:rPr>
      </w:pPr>
      <w:r w:rsidRPr="008B6088">
        <w:rPr>
          <w:rFonts w:ascii="Garamond" w:hAnsi="Garamond"/>
          <w:lang w:val="en-AU"/>
        </w:rPr>
        <w:t>Plymouth Meeting, PA: ECRI; 2024.</w:t>
      </w:r>
    </w:p>
    <w:tbl>
      <w:tblPr>
        <w:tblStyle w:val="TableGrid"/>
        <w:tblW w:w="9360" w:type="dxa"/>
        <w:tblInd w:w="288" w:type="dxa"/>
        <w:tblLayout w:type="fixed"/>
        <w:tblLook w:val="01E0" w:firstRow="1" w:lastRow="1" w:firstColumn="1" w:lastColumn="1" w:noHBand="0" w:noVBand="0"/>
      </w:tblPr>
      <w:tblGrid>
        <w:gridCol w:w="1080"/>
        <w:gridCol w:w="8280"/>
      </w:tblGrid>
      <w:tr w:rsidR="00685878" w:rsidRPr="000170DA" w14:paraId="1BFCC961" w14:textId="77777777" w:rsidTr="00B90451">
        <w:tc>
          <w:tcPr>
            <w:tcW w:w="1080" w:type="dxa"/>
            <w:tcBorders>
              <w:top w:val="single" w:sz="4" w:space="0" w:color="auto"/>
              <w:left w:val="single" w:sz="4" w:space="0" w:color="auto"/>
              <w:bottom w:val="single" w:sz="4" w:space="0" w:color="auto"/>
              <w:right w:val="single" w:sz="4" w:space="0" w:color="auto"/>
            </w:tcBorders>
            <w:vAlign w:val="center"/>
          </w:tcPr>
          <w:p w14:paraId="679F3E30" w14:textId="71D18E13" w:rsidR="00685878" w:rsidRPr="000170DA" w:rsidRDefault="008B6088" w:rsidP="00B9045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3219FD0" w14:textId="4780CD0F" w:rsidR="00685878" w:rsidRPr="000170DA" w:rsidRDefault="00000000" w:rsidP="00B90451">
            <w:pPr>
              <w:keepNext/>
              <w:rPr>
                <w:rStyle w:val="Hyperlink"/>
                <w:rFonts w:ascii="Garamond" w:hAnsi="Garamond"/>
                <w:color w:val="auto"/>
                <w:u w:val="none"/>
                <w:lang w:val="en-AU"/>
              </w:rPr>
            </w:pPr>
            <w:hyperlink r:id="rId17" w:history="1">
              <w:r w:rsidR="008B6088" w:rsidRPr="0086482D">
                <w:rPr>
                  <w:rStyle w:val="Hyperlink"/>
                  <w:rFonts w:ascii="Garamond" w:hAnsi="Garamond"/>
                  <w:lang w:val="en-AU"/>
                </w:rPr>
                <w:t>https://www.ecri.org/2024hazards</w:t>
              </w:r>
            </w:hyperlink>
          </w:p>
        </w:tc>
      </w:tr>
      <w:tr w:rsidR="00685878" w:rsidRPr="000170DA" w14:paraId="0A72B040" w14:textId="77777777" w:rsidTr="00B90451">
        <w:tc>
          <w:tcPr>
            <w:tcW w:w="1080" w:type="dxa"/>
            <w:tcBorders>
              <w:top w:val="single" w:sz="4" w:space="0" w:color="auto"/>
              <w:left w:val="single" w:sz="4" w:space="0" w:color="auto"/>
              <w:bottom w:val="single" w:sz="4" w:space="0" w:color="auto"/>
              <w:right w:val="single" w:sz="4" w:space="0" w:color="auto"/>
            </w:tcBorders>
            <w:vAlign w:val="center"/>
          </w:tcPr>
          <w:p w14:paraId="4BC64768" w14:textId="77777777" w:rsidR="00685878" w:rsidRPr="000170DA" w:rsidRDefault="00685878" w:rsidP="00B9045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E837B88" w14:textId="77777777" w:rsidR="00BB5B3F" w:rsidRDefault="008B6088" w:rsidP="00BB5B3F">
            <w:pPr>
              <w:rPr>
                <w:rFonts w:ascii="Garamond" w:hAnsi="Garamond"/>
                <w:lang w:val="en-AU"/>
              </w:rPr>
            </w:pPr>
            <w:r>
              <w:rPr>
                <w:rFonts w:ascii="Garamond" w:hAnsi="Garamond"/>
                <w:lang w:val="en-AU"/>
              </w:rPr>
              <w:t>ECRI (</w:t>
            </w:r>
            <w:r w:rsidRPr="008B6088">
              <w:rPr>
                <w:rFonts w:ascii="Garamond" w:hAnsi="Garamond"/>
                <w:lang w:val="en-AU"/>
              </w:rPr>
              <w:t xml:space="preserve">(originally </w:t>
            </w:r>
            <w:r>
              <w:rPr>
                <w:rFonts w:ascii="Garamond" w:hAnsi="Garamond"/>
                <w:lang w:val="en-AU"/>
              </w:rPr>
              <w:t xml:space="preserve">the </w:t>
            </w:r>
            <w:r w:rsidRPr="008B6088">
              <w:rPr>
                <w:rFonts w:ascii="Garamond" w:hAnsi="Garamond"/>
                <w:lang w:val="en-AU"/>
              </w:rPr>
              <w:t>Emergency Care Research Institute)</w:t>
            </w:r>
            <w:r>
              <w:rPr>
                <w:rFonts w:ascii="Garamond" w:hAnsi="Garamond"/>
                <w:lang w:val="en-AU"/>
              </w:rPr>
              <w:t xml:space="preserve"> in the USA produces an annual list of hazards. Their list of the top 10 health technology hazards for 2024 is:</w:t>
            </w:r>
          </w:p>
          <w:p w14:paraId="1FB8A4C6" w14:textId="24BD3738" w:rsidR="008B6088" w:rsidRPr="008B6088" w:rsidRDefault="008B6088" w:rsidP="00400733">
            <w:pPr>
              <w:pStyle w:val="ListParagraph"/>
              <w:numPr>
                <w:ilvl w:val="0"/>
                <w:numId w:val="30"/>
              </w:numPr>
              <w:rPr>
                <w:rFonts w:ascii="Garamond" w:hAnsi="Garamond"/>
                <w:lang w:val="en-AU"/>
              </w:rPr>
            </w:pPr>
            <w:r w:rsidRPr="008B6088">
              <w:rPr>
                <w:rFonts w:ascii="Garamond" w:hAnsi="Garamond"/>
                <w:lang w:val="en-AU"/>
              </w:rPr>
              <w:t>Medical Devices May Pose Usability Challenges for Home Users, Risking Misuse</w:t>
            </w:r>
            <w:r>
              <w:rPr>
                <w:rFonts w:ascii="Garamond" w:hAnsi="Garamond"/>
                <w:lang w:val="en-AU"/>
              </w:rPr>
              <w:t xml:space="preserve"> </w:t>
            </w:r>
            <w:r w:rsidRPr="008B6088">
              <w:rPr>
                <w:rFonts w:ascii="Garamond" w:hAnsi="Garamond"/>
                <w:lang w:val="en-AU"/>
              </w:rPr>
              <w:t>and Patient Harm</w:t>
            </w:r>
          </w:p>
          <w:p w14:paraId="099607CA" w14:textId="319FC8C2" w:rsidR="008B6088" w:rsidRPr="008B6088" w:rsidRDefault="008B6088" w:rsidP="008B6088">
            <w:pPr>
              <w:pStyle w:val="ListParagraph"/>
              <w:numPr>
                <w:ilvl w:val="0"/>
                <w:numId w:val="30"/>
              </w:numPr>
              <w:rPr>
                <w:rFonts w:ascii="Garamond" w:hAnsi="Garamond"/>
                <w:lang w:val="en-AU"/>
              </w:rPr>
            </w:pPr>
            <w:r w:rsidRPr="008B6088">
              <w:rPr>
                <w:rFonts w:ascii="Garamond" w:hAnsi="Garamond"/>
                <w:lang w:val="en-AU"/>
              </w:rPr>
              <w:t>Inadequate or Onerous Device Cleaning Instructions Endanger Patients</w:t>
            </w:r>
          </w:p>
          <w:p w14:paraId="5EACF3CA" w14:textId="1C6F3EB3" w:rsidR="008B6088" w:rsidRPr="008B6088" w:rsidRDefault="008B6088" w:rsidP="003F79BF">
            <w:pPr>
              <w:pStyle w:val="ListParagraph"/>
              <w:numPr>
                <w:ilvl w:val="0"/>
                <w:numId w:val="30"/>
              </w:numPr>
              <w:rPr>
                <w:rFonts w:ascii="Garamond" w:hAnsi="Garamond"/>
                <w:lang w:val="en-AU"/>
              </w:rPr>
            </w:pPr>
            <w:r w:rsidRPr="008B6088">
              <w:rPr>
                <w:rFonts w:ascii="Garamond" w:hAnsi="Garamond"/>
                <w:lang w:val="en-AU"/>
              </w:rPr>
              <w:t>Sterile Drug Compounding without the Use of Technological Safeguards Increases the Risk of Medication Errors</w:t>
            </w:r>
          </w:p>
          <w:p w14:paraId="2C1173C9" w14:textId="0CC00E48" w:rsidR="008B6088" w:rsidRPr="008B6088" w:rsidRDefault="008B6088" w:rsidP="008B6088">
            <w:pPr>
              <w:pStyle w:val="ListParagraph"/>
              <w:numPr>
                <w:ilvl w:val="0"/>
                <w:numId w:val="30"/>
              </w:numPr>
              <w:rPr>
                <w:rFonts w:ascii="Garamond" w:hAnsi="Garamond"/>
                <w:lang w:val="en-AU"/>
              </w:rPr>
            </w:pPr>
            <w:r w:rsidRPr="008B6088">
              <w:rPr>
                <w:rFonts w:ascii="Garamond" w:hAnsi="Garamond"/>
                <w:lang w:val="en-AU"/>
              </w:rPr>
              <w:t>Overlooked Environmental Impacts of Patient Care Endanger Public Health</w:t>
            </w:r>
          </w:p>
          <w:p w14:paraId="2145C2D7" w14:textId="66D2429A" w:rsidR="008B6088" w:rsidRPr="008B6088" w:rsidRDefault="008B6088" w:rsidP="00D4595F">
            <w:pPr>
              <w:pStyle w:val="ListParagraph"/>
              <w:numPr>
                <w:ilvl w:val="0"/>
                <w:numId w:val="30"/>
              </w:numPr>
              <w:rPr>
                <w:rFonts w:ascii="Garamond" w:hAnsi="Garamond"/>
                <w:lang w:val="en-AU"/>
              </w:rPr>
            </w:pPr>
            <w:r w:rsidRPr="008B6088">
              <w:rPr>
                <w:rFonts w:ascii="Garamond" w:hAnsi="Garamond"/>
                <w:lang w:val="en-AU"/>
              </w:rPr>
              <w:t>Insufficient Governance of AI Used in Medical Technologies Risks Inappropriate</w:t>
            </w:r>
            <w:r>
              <w:rPr>
                <w:rFonts w:ascii="Garamond" w:hAnsi="Garamond"/>
                <w:lang w:val="en-AU"/>
              </w:rPr>
              <w:t xml:space="preserve"> </w:t>
            </w:r>
            <w:r w:rsidRPr="008B6088">
              <w:rPr>
                <w:rFonts w:ascii="Garamond" w:hAnsi="Garamond"/>
                <w:lang w:val="en-AU"/>
              </w:rPr>
              <w:t>Care Decisions</w:t>
            </w:r>
          </w:p>
          <w:p w14:paraId="0C50776B" w14:textId="701444C9" w:rsidR="008B6088" w:rsidRPr="008B6088" w:rsidRDefault="008B6088" w:rsidP="008B6088">
            <w:pPr>
              <w:pStyle w:val="ListParagraph"/>
              <w:numPr>
                <w:ilvl w:val="0"/>
                <w:numId w:val="30"/>
              </w:numPr>
              <w:rPr>
                <w:rFonts w:ascii="Garamond" w:hAnsi="Garamond"/>
                <w:lang w:val="en-AU"/>
              </w:rPr>
            </w:pPr>
            <w:r w:rsidRPr="008B6088">
              <w:rPr>
                <w:rFonts w:ascii="Garamond" w:hAnsi="Garamond"/>
                <w:lang w:val="en-AU"/>
              </w:rPr>
              <w:t>Ransomware Targeting the Healthcare Sector Remains a Critical Threat</w:t>
            </w:r>
          </w:p>
          <w:p w14:paraId="0601F806" w14:textId="7951EF1D" w:rsidR="008B6088" w:rsidRPr="008B6088" w:rsidRDefault="008B6088" w:rsidP="008B6088">
            <w:pPr>
              <w:pStyle w:val="ListParagraph"/>
              <w:numPr>
                <w:ilvl w:val="0"/>
                <w:numId w:val="30"/>
              </w:numPr>
              <w:rPr>
                <w:rFonts w:ascii="Garamond" w:hAnsi="Garamond"/>
                <w:lang w:val="en-AU"/>
              </w:rPr>
            </w:pPr>
            <w:r w:rsidRPr="008B6088">
              <w:rPr>
                <w:rFonts w:ascii="Garamond" w:hAnsi="Garamond"/>
                <w:lang w:val="en-AU"/>
              </w:rPr>
              <w:t>Increased Burn Risk with Single-Foil Electrosurgical Return Electrodes</w:t>
            </w:r>
          </w:p>
          <w:p w14:paraId="1494C1D8" w14:textId="545D099D" w:rsidR="008B6088" w:rsidRPr="008B6088" w:rsidRDefault="008B6088" w:rsidP="008B6088">
            <w:pPr>
              <w:pStyle w:val="ListParagraph"/>
              <w:numPr>
                <w:ilvl w:val="0"/>
                <w:numId w:val="30"/>
              </w:numPr>
              <w:rPr>
                <w:rFonts w:ascii="Garamond" w:hAnsi="Garamond"/>
                <w:lang w:val="en-AU"/>
              </w:rPr>
            </w:pPr>
            <w:r w:rsidRPr="008B6088">
              <w:rPr>
                <w:rFonts w:ascii="Garamond" w:hAnsi="Garamond"/>
                <w:lang w:val="en-AU"/>
              </w:rPr>
              <w:t>Infusion Pump Damage Remains a Medication Safety Concern</w:t>
            </w:r>
          </w:p>
          <w:p w14:paraId="2EB01C34" w14:textId="77777777" w:rsidR="008B6088" w:rsidRDefault="008B6088" w:rsidP="008B6088">
            <w:pPr>
              <w:pStyle w:val="ListParagraph"/>
              <w:numPr>
                <w:ilvl w:val="0"/>
                <w:numId w:val="30"/>
              </w:numPr>
              <w:rPr>
                <w:rFonts w:ascii="Garamond" w:hAnsi="Garamond"/>
                <w:lang w:val="en-AU"/>
              </w:rPr>
            </w:pPr>
            <w:r w:rsidRPr="008B6088">
              <w:rPr>
                <w:rFonts w:ascii="Garamond" w:hAnsi="Garamond"/>
                <w:lang w:val="en-AU"/>
              </w:rPr>
              <w:t>Poor QC of Implantable Orthopedic Products Can Lead to Surgical Delays and</w:t>
            </w:r>
            <w:r>
              <w:rPr>
                <w:rFonts w:ascii="Garamond" w:hAnsi="Garamond"/>
                <w:lang w:val="en-AU"/>
              </w:rPr>
              <w:t xml:space="preserve"> P</w:t>
            </w:r>
            <w:r w:rsidRPr="008B6088">
              <w:rPr>
                <w:rFonts w:ascii="Garamond" w:hAnsi="Garamond"/>
                <w:lang w:val="en-AU"/>
              </w:rPr>
              <w:t>atient Harm</w:t>
            </w:r>
          </w:p>
          <w:p w14:paraId="10AE5154" w14:textId="3A9CDBFC" w:rsidR="008B6088" w:rsidRPr="008B6088" w:rsidRDefault="008B6088" w:rsidP="008B6088">
            <w:pPr>
              <w:pStyle w:val="ListParagraph"/>
              <w:numPr>
                <w:ilvl w:val="0"/>
                <w:numId w:val="30"/>
              </w:numPr>
              <w:rPr>
                <w:rFonts w:ascii="Garamond" w:hAnsi="Garamond"/>
                <w:lang w:val="en-AU"/>
              </w:rPr>
            </w:pPr>
            <w:r w:rsidRPr="008B6088">
              <w:rPr>
                <w:rFonts w:ascii="Garamond" w:hAnsi="Garamond"/>
                <w:lang w:val="en-AU"/>
              </w:rPr>
              <w:t>Third-Party Web Analytics Software Can Compromise Patient Confidentiality.</w:t>
            </w:r>
          </w:p>
        </w:tc>
      </w:tr>
    </w:tbl>
    <w:p w14:paraId="6CE04B95" w14:textId="77777777" w:rsidR="00685878" w:rsidRDefault="00685878" w:rsidP="00685878">
      <w:pPr>
        <w:keepLines/>
        <w:autoSpaceDE w:val="0"/>
        <w:autoSpaceDN w:val="0"/>
        <w:adjustRightInd w:val="0"/>
        <w:rPr>
          <w:rFonts w:ascii="Garamond" w:hAnsi="Garamond"/>
          <w:lang w:val="en-AU"/>
        </w:rPr>
      </w:pPr>
    </w:p>
    <w:p w14:paraId="28D0E527" w14:textId="77777777" w:rsidR="008636CB" w:rsidRPr="008636CB" w:rsidRDefault="008636CB" w:rsidP="008636CB">
      <w:pPr>
        <w:keepNext/>
        <w:rPr>
          <w:rFonts w:ascii="Garamond" w:hAnsi="Garamond"/>
          <w:i/>
          <w:iCs/>
          <w:lang w:val="en-AU"/>
        </w:rPr>
      </w:pPr>
      <w:r w:rsidRPr="008636CB">
        <w:rPr>
          <w:rFonts w:ascii="Garamond" w:hAnsi="Garamond"/>
          <w:i/>
          <w:iCs/>
          <w:lang w:val="en-AU"/>
        </w:rPr>
        <w:t>Making Healthcare Safer IV: Deprescribing To Reduce Medication Harms in Older Adults. Rapid Response</w:t>
      </w:r>
    </w:p>
    <w:p w14:paraId="16DE293A" w14:textId="77777777" w:rsidR="008636CB" w:rsidRDefault="008636CB" w:rsidP="00620C1E">
      <w:pPr>
        <w:keepNext/>
        <w:rPr>
          <w:rFonts w:ascii="Garamond" w:hAnsi="Garamond"/>
          <w:lang w:val="en-AU"/>
        </w:rPr>
      </w:pPr>
      <w:r w:rsidRPr="008636CB">
        <w:rPr>
          <w:rFonts w:ascii="Garamond" w:hAnsi="Garamond"/>
          <w:lang w:val="en-AU"/>
        </w:rPr>
        <w:t xml:space="preserve">Linsky AM, Motala A, Lawson E, Shekelle P. </w:t>
      </w:r>
    </w:p>
    <w:p w14:paraId="48C0AE3E" w14:textId="32D3B3D1" w:rsidR="00620C1E" w:rsidRPr="00D65371" w:rsidRDefault="008636CB" w:rsidP="00620C1E">
      <w:pPr>
        <w:keepNext/>
        <w:rPr>
          <w:rFonts w:ascii="Garamond" w:hAnsi="Garamond"/>
          <w:lang w:val="en-AU"/>
        </w:rPr>
      </w:pPr>
      <w:r w:rsidRPr="008636CB">
        <w:rPr>
          <w:rFonts w:ascii="Garamond" w:hAnsi="Garamond"/>
          <w:lang w:val="en-AU"/>
        </w:rPr>
        <w:t>Rockville, MD: Agency for Healthcare Research and Quality; 2024.</w:t>
      </w:r>
    </w:p>
    <w:tbl>
      <w:tblPr>
        <w:tblStyle w:val="TableGrid"/>
        <w:tblW w:w="9360" w:type="dxa"/>
        <w:tblInd w:w="288" w:type="dxa"/>
        <w:tblLayout w:type="fixed"/>
        <w:tblLook w:val="01E0" w:firstRow="1" w:lastRow="1" w:firstColumn="1" w:lastColumn="1" w:noHBand="0" w:noVBand="0"/>
      </w:tblPr>
      <w:tblGrid>
        <w:gridCol w:w="1080"/>
        <w:gridCol w:w="8280"/>
      </w:tblGrid>
      <w:tr w:rsidR="00620C1E" w:rsidRPr="000170DA" w14:paraId="645519BA" w14:textId="77777777" w:rsidTr="00BD480D">
        <w:tc>
          <w:tcPr>
            <w:tcW w:w="1080" w:type="dxa"/>
            <w:tcBorders>
              <w:top w:val="single" w:sz="4" w:space="0" w:color="auto"/>
              <w:left w:val="single" w:sz="4" w:space="0" w:color="auto"/>
              <w:bottom w:val="single" w:sz="4" w:space="0" w:color="auto"/>
              <w:right w:val="single" w:sz="4" w:space="0" w:color="auto"/>
            </w:tcBorders>
            <w:vAlign w:val="center"/>
          </w:tcPr>
          <w:p w14:paraId="22E96621" w14:textId="77777777" w:rsidR="00620C1E" w:rsidRPr="000170DA" w:rsidRDefault="00620C1E" w:rsidP="00BD480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EFFBF26" w14:textId="20C44DB3" w:rsidR="00620C1E" w:rsidRPr="000170DA" w:rsidRDefault="00000000" w:rsidP="00BD480D">
            <w:pPr>
              <w:keepNext/>
              <w:rPr>
                <w:rStyle w:val="Hyperlink"/>
                <w:rFonts w:ascii="Garamond" w:hAnsi="Garamond"/>
                <w:color w:val="auto"/>
                <w:u w:val="none"/>
                <w:lang w:val="en-AU"/>
              </w:rPr>
            </w:pPr>
            <w:hyperlink r:id="rId18" w:history="1">
              <w:r w:rsidR="008636CB" w:rsidRPr="009C7825">
                <w:rPr>
                  <w:rStyle w:val="Hyperlink"/>
                  <w:rFonts w:ascii="Garamond" w:hAnsi="Garamond"/>
                  <w:lang w:val="en-AU"/>
                </w:rPr>
                <w:t>https://doi.org/10.23970/AHRQEPC_MHS4DEPRESCRIBING</w:t>
              </w:r>
            </w:hyperlink>
          </w:p>
        </w:tc>
      </w:tr>
      <w:tr w:rsidR="00620C1E" w:rsidRPr="000170DA" w14:paraId="593AC532" w14:textId="77777777" w:rsidTr="00BD480D">
        <w:tc>
          <w:tcPr>
            <w:tcW w:w="1080" w:type="dxa"/>
            <w:tcBorders>
              <w:top w:val="single" w:sz="4" w:space="0" w:color="auto"/>
              <w:left w:val="single" w:sz="4" w:space="0" w:color="auto"/>
              <w:bottom w:val="single" w:sz="4" w:space="0" w:color="auto"/>
              <w:right w:val="single" w:sz="4" w:space="0" w:color="auto"/>
            </w:tcBorders>
            <w:vAlign w:val="center"/>
          </w:tcPr>
          <w:p w14:paraId="2FC8D767" w14:textId="77777777" w:rsidR="00620C1E" w:rsidRPr="000170DA" w:rsidRDefault="00620C1E" w:rsidP="00BD480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6FC544C" w14:textId="56E6E6CF" w:rsidR="00FB244D" w:rsidRPr="00C4378F" w:rsidRDefault="002F38D6" w:rsidP="00FB244D">
            <w:pPr>
              <w:rPr>
                <w:rFonts w:ascii="Garamond" w:hAnsi="Garamond"/>
                <w:lang w:val="en-AU"/>
              </w:rPr>
            </w:pPr>
            <w:r>
              <w:rPr>
                <w:rFonts w:ascii="Garamond" w:hAnsi="Garamond"/>
                <w:lang w:val="en-AU"/>
              </w:rPr>
              <w:t xml:space="preserve">As part of the Making Healthcare Safer IV initiative, the US </w:t>
            </w:r>
            <w:r w:rsidRPr="007178EA">
              <w:rPr>
                <w:rFonts w:ascii="Garamond" w:hAnsi="Garamond"/>
                <w:lang w:val="en-AU"/>
              </w:rPr>
              <w:t>Agency for Healthcare Research and Quality</w:t>
            </w:r>
            <w:r>
              <w:rPr>
                <w:rFonts w:ascii="Garamond" w:hAnsi="Garamond"/>
                <w:lang w:val="en-AU"/>
              </w:rPr>
              <w:t xml:space="preserve"> (AHRQ</w:t>
            </w:r>
            <w:r w:rsidR="00BF4C37">
              <w:rPr>
                <w:rFonts w:ascii="Garamond" w:hAnsi="Garamond"/>
                <w:lang w:val="en-AU"/>
              </w:rPr>
              <w:t>)</w:t>
            </w:r>
            <w:r>
              <w:rPr>
                <w:rFonts w:ascii="Garamond" w:hAnsi="Garamond"/>
                <w:lang w:val="en-AU"/>
              </w:rPr>
              <w:t xml:space="preserve"> commissioned this rapid review examining</w:t>
            </w:r>
            <w:r w:rsidR="000313CB">
              <w:rPr>
                <w:rFonts w:ascii="Garamond" w:hAnsi="Garamond"/>
                <w:lang w:val="en-AU"/>
              </w:rPr>
              <w:t xml:space="preserve"> </w:t>
            </w:r>
            <w:r w:rsidR="000313CB" w:rsidRPr="000313CB">
              <w:rPr>
                <w:rFonts w:ascii="Garamond" w:hAnsi="Garamond"/>
                <w:lang w:val="en-AU"/>
              </w:rPr>
              <w:t>recent literature on the use of deprescribing to improve the safety of medication use among older adults (age ≥ 65 years).</w:t>
            </w:r>
            <w:r>
              <w:rPr>
                <w:rFonts w:ascii="Garamond" w:hAnsi="Garamond"/>
                <w:lang w:val="en-AU"/>
              </w:rPr>
              <w:t xml:space="preserve"> </w:t>
            </w:r>
            <w:r w:rsidR="000313CB">
              <w:rPr>
                <w:rFonts w:ascii="Garamond" w:hAnsi="Garamond"/>
                <w:lang w:val="en-AU"/>
              </w:rPr>
              <w:t xml:space="preserve">The </w:t>
            </w:r>
            <w:r w:rsidR="000313CB" w:rsidRPr="000313CB">
              <w:rPr>
                <w:rFonts w:ascii="Garamond" w:hAnsi="Garamond"/>
                <w:lang w:val="en-AU"/>
              </w:rPr>
              <w:t>literature search identified 15 systematic reviews and 7 original research studies published since 2019</w:t>
            </w:r>
            <w:r w:rsidR="00FB244D">
              <w:rPr>
                <w:rFonts w:ascii="Garamond" w:hAnsi="Garamond"/>
                <w:lang w:val="en-AU"/>
              </w:rPr>
              <w:t xml:space="preserve"> to add to the existing evidence base</w:t>
            </w:r>
            <w:r w:rsidR="000313CB">
              <w:rPr>
                <w:rFonts w:ascii="Garamond" w:hAnsi="Garamond"/>
                <w:lang w:val="en-AU"/>
              </w:rPr>
              <w:t>.</w:t>
            </w:r>
            <w:r w:rsidR="00FB244D">
              <w:rPr>
                <w:rFonts w:ascii="Garamond" w:hAnsi="Garamond"/>
                <w:lang w:val="en-AU"/>
              </w:rPr>
              <w:t xml:space="preserve"> The authors write that ‘</w:t>
            </w:r>
            <w:r w:rsidR="00FB244D" w:rsidRPr="00FB244D">
              <w:rPr>
                <w:rFonts w:ascii="Garamond" w:hAnsi="Garamond"/>
                <w:lang w:val="en-AU"/>
              </w:rPr>
              <w:t>Deprescribing as an explicit, specific intervention is a relatively newer practice with the objective of reducing harms associated with polypharmacy and inappropriate medication use. Numerous systematic reviews continue to support the effectiveness of this practice to reduce proximal outcomes related to medications: medication count and number of potentially inappropriate medications. The evidence also indicates that deprescribing reduced medication-related costs, a conclusion also reached in MHS III</w:t>
            </w:r>
            <w:r w:rsidR="00FB244D">
              <w:rPr>
                <w:rFonts w:ascii="Garamond" w:hAnsi="Garamond"/>
                <w:lang w:val="en-AU"/>
              </w:rPr>
              <w:t xml:space="preserve"> [the earlier Making Healthcare Safer III]</w:t>
            </w:r>
            <w:r w:rsidR="00FB244D" w:rsidRPr="00FB244D">
              <w:rPr>
                <w:rFonts w:ascii="Garamond" w:hAnsi="Garamond"/>
                <w:lang w:val="en-AU"/>
              </w:rPr>
              <w:t>. Importantly, deprescribing was associated with few adverse drug withdrawal events.</w:t>
            </w:r>
            <w:r w:rsidR="00FB244D">
              <w:rPr>
                <w:rFonts w:ascii="Garamond" w:hAnsi="Garamond"/>
                <w:lang w:val="en-AU"/>
              </w:rPr>
              <w:t>’</w:t>
            </w:r>
          </w:p>
        </w:tc>
      </w:tr>
    </w:tbl>
    <w:p w14:paraId="6380936B" w14:textId="77777777" w:rsidR="002F38D6" w:rsidRDefault="002F38D6" w:rsidP="002F38D6">
      <w:pPr>
        <w:keepLines/>
        <w:autoSpaceDE w:val="0"/>
        <w:autoSpaceDN w:val="0"/>
        <w:adjustRightInd w:val="0"/>
        <w:rPr>
          <w:rFonts w:ascii="Garamond" w:hAnsi="Garamond"/>
          <w:lang w:val="en-AU"/>
        </w:rPr>
      </w:pPr>
    </w:p>
    <w:p w14:paraId="1B4BADA1" w14:textId="62C610D4" w:rsidR="002F38D6" w:rsidRDefault="002F38D6" w:rsidP="002F38D6">
      <w:pPr>
        <w:keepLines/>
        <w:autoSpaceDE w:val="0"/>
        <w:autoSpaceDN w:val="0"/>
        <w:adjustRightInd w:val="0"/>
        <w:rPr>
          <w:rFonts w:ascii="Garamond" w:hAnsi="Garamond"/>
          <w:lang w:val="en-AU"/>
        </w:rPr>
      </w:pPr>
      <w:r>
        <w:rPr>
          <w:rFonts w:ascii="Garamond" w:hAnsi="Garamond"/>
          <w:lang w:val="en-AU"/>
        </w:rPr>
        <w:t xml:space="preserve">For information on the Commission’s work on medication safety, see </w:t>
      </w:r>
      <w:hyperlink r:id="rId19" w:history="1">
        <w:r w:rsidRPr="007E0679">
          <w:rPr>
            <w:rStyle w:val="Hyperlink"/>
            <w:rFonts w:ascii="Garamond" w:hAnsi="Garamond"/>
            <w:lang w:val="en-AU"/>
          </w:rPr>
          <w:t>https://www.safetyandquality.gov.au/our-work/medication-safety</w:t>
        </w:r>
      </w:hyperlink>
      <w:r>
        <w:rPr>
          <w:rFonts w:ascii="Garamond" w:hAnsi="Garamond"/>
          <w:lang w:val="en-AU"/>
        </w:rPr>
        <w:t xml:space="preserve"> </w:t>
      </w:r>
    </w:p>
    <w:p w14:paraId="3EABE3FC" w14:textId="77777777" w:rsidR="00620C1E" w:rsidRDefault="00620C1E" w:rsidP="00620C1E">
      <w:pPr>
        <w:keepLines/>
        <w:autoSpaceDE w:val="0"/>
        <w:autoSpaceDN w:val="0"/>
        <w:adjustRightInd w:val="0"/>
        <w:rPr>
          <w:rFonts w:ascii="Garamond" w:hAnsi="Garamond"/>
          <w:lang w:val="en-AU"/>
        </w:rPr>
      </w:pPr>
    </w:p>
    <w:p w14:paraId="160080E8" w14:textId="2E77A24F" w:rsidR="00AA728C" w:rsidRDefault="00AA728C" w:rsidP="00620C1E">
      <w:pPr>
        <w:keepNext/>
        <w:rPr>
          <w:rFonts w:ascii="Garamond" w:hAnsi="Garamond"/>
          <w:i/>
          <w:iCs/>
          <w:lang w:val="en-AU"/>
        </w:rPr>
      </w:pPr>
      <w:r w:rsidRPr="00AA728C">
        <w:rPr>
          <w:rFonts w:ascii="Garamond" w:hAnsi="Garamond"/>
          <w:i/>
          <w:iCs/>
          <w:lang w:val="en-AU"/>
        </w:rPr>
        <w:lastRenderedPageBreak/>
        <w:t>Current State of Diagnostic Safety: Implications for Research, Practice, and Policy. Issues Brief 16</w:t>
      </w:r>
    </w:p>
    <w:p w14:paraId="07AE0DD0" w14:textId="49F27F9B" w:rsidR="00AA728C" w:rsidRDefault="00AA728C" w:rsidP="00620C1E">
      <w:pPr>
        <w:keepNext/>
        <w:rPr>
          <w:rFonts w:ascii="Garamond" w:hAnsi="Garamond"/>
          <w:lang w:val="en-AU"/>
        </w:rPr>
      </w:pPr>
      <w:r w:rsidRPr="00AA728C">
        <w:rPr>
          <w:rFonts w:ascii="Garamond" w:hAnsi="Garamond"/>
          <w:lang w:val="en-AU"/>
        </w:rPr>
        <w:t>Khan S, Cholankeril R, Sloane J, Offner A, Sittig DF, Bradford A, et al</w:t>
      </w:r>
    </w:p>
    <w:p w14:paraId="635605B3" w14:textId="36B5B0AD" w:rsidR="00620C1E" w:rsidRPr="00D65371" w:rsidRDefault="00AA728C" w:rsidP="00620C1E">
      <w:pPr>
        <w:keepNext/>
        <w:rPr>
          <w:rFonts w:ascii="Garamond" w:hAnsi="Garamond"/>
          <w:lang w:val="en-AU"/>
        </w:rPr>
      </w:pPr>
      <w:r w:rsidRPr="00AA728C">
        <w:rPr>
          <w:rFonts w:ascii="Garamond" w:hAnsi="Garamond"/>
          <w:lang w:val="en-AU"/>
        </w:rPr>
        <w:t>Rockville, MD: Agency for Healthcare Research and Quality; 2024. p. 53.</w:t>
      </w:r>
    </w:p>
    <w:tbl>
      <w:tblPr>
        <w:tblStyle w:val="TableGrid"/>
        <w:tblW w:w="9360" w:type="dxa"/>
        <w:tblInd w:w="288" w:type="dxa"/>
        <w:tblLayout w:type="fixed"/>
        <w:tblLook w:val="01E0" w:firstRow="1" w:lastRow="1" w:firstColumn="1" w:lastColumn="1" w:noHBand="0" w:noVBand="0"/>
      </w:tblPr>
      <w:tblGrid>
        <w:gridCol w:w="1080"/>
        <w:gridCol w:w="8280"/>
      </w:tblGrid>
      <w:tr w:rsidR="00620C1E" w:rsidRPr="000170DA" w14:paraId="71F491DD" w14:textId="77777777" w:rsidTr="00BD480D">
        <w:tc>
          <w:tcPr>
            <w:tcW w:w="1080" w:type="dxa"/>
            <w:tcBorders>
              <w:top w:val="single" w:sz="4" w:space="0" w:color="auto"/>
              <w:left w:val="single" w:sz="4" w:space="0" w:color="auto"/>
              <w:bottom w:val="single" w:sz="4" w:space="0" w:color="auto"/>
              <w:right w:val="single" w:sz="4" w:space="0" w:color="auto"/>
            </w:tcBorders>
            <w:vAlign w:val="center"/>
          </w:tcPr>
          <w:p w14:paraId="762584FB" w14:textId="23044E61" w:rsidR="00620C1E" w:rsidRPr="000170DA" w:rsidRDefault="00F305F1" w:rsidP="00BD480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86B9309" w14:textId="16353226" w:rsidR="00620C1E" w:rsidRPr="000170DA" w:rsidRDefault="00000000" w:rsidP="00BD480D">
            <w:pPr>
              <w:keepNext/>
              <w:rPr>
                <w:rStyle w:val="Hyperlink"/>
                <w:rFonts w:ascii="Garamond" w:hAnsi="Garamond"/>
                <w:color w:val="auto"/>
                <w:u w:val="none"/>
                <w:lang w:val="en-AU"/>
              </w:rPr>
            </w:pPr>
            <w:hyperlink r:id="rId20" w:history="1">
              <w:r w:rsidR="00F305F1" w:rsidRPr="004C7401">
                <w:rPr>
                  <w:rStyle w:val="Hyperlink"/>
                  <w:rFonts w:ascii="Garamond" w:hAnsi="Garamond"/>
                  <w:lang w:val="en-AU"/>
                </w:rPr>
                <w:t>https://www.ahrq.gov/patient-safety/reports/issue-briefs/dxsafety-current-state.html</w:t>
              </w:r>
            </w:hyperlink>
          </w:p>
        </w:tc>
      </w:tr>
      <w:tr w:rsidR="00620C1E" w:rsidRPr="000170DA" w14:paraId="12A3A7D9" w14:textId="77777777" w:rsidTr="00BD480D">
        <w:tc>
          <w:tcPr>
            <w:tcW w:w="1080" w:type="dxa"/>
            <w:tcBorders>
              <w:top w:val="single" w:sz="4" w:space="0" w:color="auto"/>
              <w:left w:val="single" w:sz="4" w:space="0" w:color="auto"/>
              <w:bottom w:val="single" w:sz="4" w:space="0" w:color="auto"/>
              <w:right w:val="single" w:sz="4" w:space="0" w:color="auto"/>
            </w:tcBorders>
            <w:vAlign w:val="center"/>
          </w:tcPr>
          <w:p w14:paraId="4E8CC412" w14:textId="77777777" w:rsidR="00620C1E" w:rsidRPr="000170DA" w:rsidRDefault="00620C1E" w:rsidP="00BD480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94AB8E4" w14:textId="13560A46" w:rsidR="00BF4C37" w:rsidRPr="00C4378F" w:rsidRDefault="00BF4C37" w:rsidP="00BF4C37">
            <w:pPr>
              <w:rPr>
                <w:rFonts w:ascii="Garamond" w:hAnsi="Garamond"/>
                <w:lang w:val="en-AU"/>
              </w:rPr>
            </w:pPr>
            <w:r>
              <w:rPr>
                <w:rFonts w:ascii="Garamond" w:hAnsi="Garamond"/>
                <w:lang w:val="en-AU"/>
              </w:rPr>
              <w:t xml:space="preserve">Issues Brief produced for the US </w:t>
            </w:r>
            <w:r w:rsidRPr="007178EA">
              <w:rPr>
                <w:rFonts w:ascii="Garamond" w:hAnsi="Garamond"/>
                <w:lang w:val="en-AU"/>
              </w:rPr>
              <w:t>Agency for Healthcare Research and Quality</w:t>
            </w:r>
            <w:r>
              <w:rPr>
                <w:rFonts w:ascii="Garamond" w:hAnsi="Garamond"/>
                <w:lang w:val="en-AU"/>
              </w:rPr>
              <w:t xml:space="preserve"> (AHRQ) the describes the results of </w:t>
            </w:r>
            <w:r w:rsidRPr="00BF4C37">
              <w:rPr>
                <w:rFonts w:ascii="Garamond" w:hAnsi="Garamond"/>
                <w:lang w:val="en-AU"/>
              </w:rPr>
              <w:t>rapid narrative review and interviews</w:t>
            </w:r>
            <w:r>
              <w:rPr>
                <w:rFonts w:ascii="Garamond" w:hAnsi="Garamond"/>
                <w:lang w:val="en-AU"/>
              </w:rPr>
              <w:t xml:space="preserve"> with subject matter experts in order ‘to </w:t>
            </w:r>
            <w:r w:rsidRPr="00BF4C37">
              <w:rPr>
                <w:rFonts w:ascii="Garamond" w:hAnsi="Garamond"/>
                <w:lang w:val="en-AU"/>
              </w:rPr>
              <w:t>identify major themes related to the current state of diagnostic safety and highlight key gaps in knowledge</w:t>
            </w:r>
            <w:r>
              <w:rPr>
                <w:rFonts w:ascii="Garamond" w:hAnsi="Garamond"/>
                <w:lang w:val="en-AU"/>
              </w:rPr>
              <w:t>’</w:t>
            </w:r>
            <w:r w:rsidRPr="00BF4C37">
              <w:rPr>
                <w:rFonts w:ascii="Garamond" w:hAnsi="Garamond"/>
                <w:lang w:val="en-AU"/>
              </w:rPr>
              <w:t>.</w:t>
            </w:r>
            <w:r>
              <w:rPr>
                <w:rFonts w:ascii="Garamond" w:hAnsi="Garamond"/>
                <w:lang w:val="en-AU"/>
              </w:rPr>
              <w:t xml:space="preserve"> The authors observe that there has been progress, however ‘</w:t>
            </w:r>
            <w:r w:rsidRPr="00BF4C37">
              <w:rPr>
                <w:rFonts w:ascii="Garamond" w:hAnsi="Garamond"/>
                <w:lang w:val="en-AU"/>
              </w:rPr>
              <w:t>Despite progress in various</w:t>
            </w:r>
            <w:r>
              <w:rPr>
                <w:rFonts w:ascii="Garamond" w:hAnsi="Garamond"/>
                <w:lang w:val="en-AU"/>
              </w:rPr>
              <w:t xml:space="preserve"> </w:t>
            </w:r>
            <w:r w:rsidRPr="00BF4C37">
              <w:rPr>
                <w:rFonts w:ascii="Garamond" w:hAnsi="Garamond"/>
                <w:lang w:val="en-AU"/>
              </w:rPr>
              <w:t>domains of diagnostic safety, several research gaps remain</w:t>
            </w:r>
            <w:r>
              <w:rPr>
                <w:rFonts w:ascii="Garamond" w:hAnsi="Garamond"/>
                <w:lang w:val="en-AU"/>
              </w:rPr>
              <w:t>’.</w:t>
            </w:r>
          </w:p>
        </w:tc>
      </w:tr>
    </w:tbl>
    <w:p w14:paraId="2B6AD8F8" w14:textId="77777777" w:rsidR="00620C1E" w:rsidRDefault="00620C1E" w:rsidP="00620C1E">
      <w:pPr>
        <w:keepLines/>
        <w:autoSpaceDE w:val="0"/>
        <w:autoSpaceDN w:val="0"/>
        <w:adjustRightInd w:val="0"/>
        <w:rPr>
          <w:rFonts w:ascii="Garamond" w:hAnsi="Garamond"/>
          <w:lang w:val="en-AU"/>
        </w:rPr>
      </w:pPr>
    </w:p>
    <w:p w14:paraId="0144471C" w14:textId="77777777" w:rsidR="0064259F" w:rsidRPr="0064259F" w:rsidRDefault="0064259F" w:rsidP="0064259F">
      <w:pPr>
        <w:keepLines/>
        <w:autoSpaceDE w:val="0"/>
        <w:autoSpaceDN w:val="0"/>
        <w:adjustRightInd w:val="0"/>
        <w:rPr>
          <w:rFonts w:ascii="Garamond" w:hAnsi="Garamond"/>
          <w:i/>
          <w:iCs/>
          <w:lang w:val="en-AU"/>
        </w:rPr>
      </w:pPr>
      <w:r w:rsidRPr="0064259F">
        <w:rPr>
          <w:rFonts w:ascii="Garamond" w:hAnsi="Garamond"/>
          <w:i/>
          <w:iCs/>
          <w:lang w:val="en-AU"/>
        </w:rPr>
        <w:t>National learning report: Positive patient identification</w:t>
      </w:r>
    </w:p>
    <w:p w14:paraId="1D129BBC" w14:textId="77777777" w:rsidR="0064259F" w:rsidRDefault="0064259F" w:rsidP="00620C1E">
      <w:pPr>
        <w:keepLines/>
        <w:autoSpaceDE w:val="0"/>
        <w:autoSpaceDN w:val="0"/>
        <w:adjustRightInd w:val="0"/>
        <w:rPr>
          <w:rFonts w:ascii="Garamond" w:hAnsi="Garamond"/>
          <w:lang w:val="en-AU"/>
        </w:rPr>
      </w:pPr>
      <w:r w:rsidRPr="0064259F">
        <w:rPr>
          <w:rFonts w:ascii="Garamond" w:hAnsi="Garamond"/>
          <w:lang w:val="en-AU"/>
        </w:rPr>
        <w:t>Health Services Safety Investigation Body</w:t>
      </w:r>
    </w:p>
    <w:p w14:paraId="5761DB34" w14:textId="090F5658" w:rsidR="001D0092" w:rsidRDefault="0064259F" w:rsidP="00620C1E">
      <w:pPr>
        <w:keepLines/>
        <w:autoSpaceDE w:val="0"/>
        <w:autoSpaceDN w:val="0"/>
        <w:adjustRightInd w:val="0"/>
        <w:rPr>
          <w:rFonts w:ascii="Garamond" w:hAnsi="Garamond"/>
          <w:lang w:val="en-AU"/>
        </w:rPr>
      </w:pPr>
      <w:r w:rsidRPr="0064259F">
        <w:rPr>
          <w:rFonts w:ascii="Garamond" w:hAnsi="Garamond"/>
          <w:lang w:val="en-AU"/>
        </w:rPr>
        <w:t>Poole: HSSIB; 2024.</w:t>
      </w:r>
    </w:p>
    <w:tbl>
      <w:tblPr>
        <w:tblStyle w:val="TableGrid"/>
        <w:tblW w:w="9360" w:type="dxa"/>
        <w:tblInd w:w="288" w:type="dxa"/>
        <w:tblLayout w:type="fixed"/>
        <w:tblLook w:val="01E0" w:firstRow="1" w:lastRow="1" w:firstColumn="1" w:lastColumn="1" w:noHBand="0" w:noVBand="0"/>
      </w:tblPr>
      <w:tblGrid>
        <w:gridCol w:w="1080"/>
        <w:gridCol w:w="8280"/>
      </w:tblGrid>
      <w:tr w:rsidR="001D0092" w:rsidRPr="000170DA" w14:paraId="3B25B250" w14:textId="77777777" w:rsidTr="00812D37">
        <w:tc>
          <w:tcPr>
            <w:tcW w:w="1080" w:type="dxa"/>
            <w:tcBorders>
              <w:top w:val="single" w:sz="4" w:space="0" w:color="auto"/>
              <w:left w:val="single" w:sz="4" w:space="0" w:color="auto"/>
              <w:bottom w:val="single" w:sz="4" w:space="0" w:color="auto"/>
              <w:right w:val="single" w:sz="4" w:space="0" w:color="auto"/>
            </w:tcBorders>
            <w:vAlign w:val="center"/>
          </w:tcPr>
          <w:p w14:paraId="2FAEFC7B" w14:textId="77777777" w:rsidR="001D0092" w:rsidRPr="000170DA" w:rsidRDefault="001D0092" w:rsidP="00812D3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718BD5E" w14:textId="6BBE73D3" w:rsidR="001D0092" w:rsidRPr="000170DA" w:rsidRDefault="00000000" w:rsidP="00812D37">
            <w:pPr>
              <w:keepNext/>
              <w:rPr>
                <w:rStyle w:val="Hyperlink"/>
                <w:rFonts w:ascii="Garamond" w:hAnsi="Garamond"/>
                <w:color w:val="auto"/>
                <w:u w:val="none"/>
                <w:lang w:val="en-AU"/>
              </w:rPr>
            </w:pPr>
            <w:hyperlink r:id="rId21" w:history="1">
              <w:r w:rsidR="004F490B" w:rsidRPr="00860AE4">
                <w:rPr>
                  <w:rStyle w:val="Hyperlink"/>
                  <w:rFonts w:ascii="Garamond" w:hAnsi="Garamond"/>
                  <w:lang w:val="en-AU"/>
                </w:rPr>
                <w:t>https://www.hssib.org.uk/patient-safety-investigations/positive-patient-identification/</w:t>
              </w:r>
            </w:hyperlink>
          </w:p>
        </w:tc>
      </w:tr>
      <w:tr w:rsidR="001D0092" w:rsidRPr="000170DA" w14:paraId="2CB7C514" w14:textId="77777777" w:rsidTr="00812D37">
        <w:tc>
          <w:tcPr>
            <w:tcW w:w="1080" w:type="dxa"/>
            <w:tcBorders>
              <w:top w:val="single" w:sz="4" w:space="0" w:color="auto"/>
              <w:left w:val="single" w:sz="4" w:space="0" w:color="auto"/>
              <w:bottom w:val="single" w:sz="4" w:space="0" w:color="auto"/>
              <w:right w:val="single" w:sz="4" w:space="0" w:color="auto"/>
            </w:tcBorders>
            <w:vAlign w:val="center"/>
          </w:tcPr>
          <w:p w14:paraId="303687DF" w14:textId="77777777" w:rsidR="001D0092" w:rsidRPr="000170DA" w:rsidRDefault="001D0092" w:rsidP="00812D3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2B2DC7F" w14:textId="251AD0D4" w:rsidR="00DA02D3" w:rsidRDefault="00D367A5" w:rsidP="00DA02D3">
            <w:pPr>
              <w:rPr>
                <w:rFonts w:ascii="Garamond" w:hAnsi="Garamond"/>
                <w:lang w:val="en-AU"/>
              </w:rPr>
            </w:pPr>
            <w:r>
              <w:rPr>
                <w:rFonts w:ascii="Garamond" w:hAnsi="Garamond"/>
                <w:lang w:val="en-AU"/>
              </w:rPr>
              <w:t xml:space="preserve">Correct identification of the patient was recognised as a key </w:t>
            </w:r>
            <w:r w:rsidR="007E54D1">
              <w:rPr>
                <w:rFonts w:ascii="Garamond" w:hAnsi="Garamond"/>
                <w:lang w:val="en-AU"/>
              </w:rPr>
              <w:t xml:space="preserve">safety issue many years ago. </w:t>
            </w:r>
            <w:r w:rsidR="003B67CB">
              <w:rPr>
                <w:rFonts w:ascii="Garamond" w:hAnsi="Garamond"/>
                <w:lang w:val="en-AU"/>
              </w:rPr>
              <w:t xml:space="preserve">This latest report from the UK’s </w:t>
            </w:r>
            <w:r w:rsidR="003B67CB" w:rsidRPr="003B67CB">
              <w:rPr>
                <w:rFonts w:ascii="Garamond" w:hAnsi="Garamond"/>
                <w:lang w:val="en-AU"/>
              </w:rPr>
              <w:t>Health Services Safety Investigation Body</w:t>
            </w:r>
            <w:r w:rsidR="004C30F9">
              <w:rPr>
                <w:rFonts w:ascii="Garamond" w:hAnsi="Garamond"/>
                <w:lang w:val="en-AU"/>
              </w:rPr>
              <w:t xml:space="preserve"> (HSSIB) </w:t>
            </w:r>
            <w:r w:rsidR="004C6086">
              <w:rPr>
                <w:rFonts w:ascii="Garamond" w:hAnsi="Garamond"/>
                <w:lang w:val="en-AU"/>
              </w:rPr>
              <w:t xml:space="preserve">draws together evidence from </w:t>
            </w:r>
            <w:r w:rsidR="00473130">
              <w:rPr>
                <w:rFonts w:ascii="Garamond" w:hAnsi="Garamond"/>
                <w:lang w:val="en-AU"/>
              </w:rPr>
              <w:t xml:space="preserve">previous investigations </w:t>
            </w:r>
            <w:r w:rsidR="00F02A6B">
              <w:rPr>
                <w:rFonts w:ascii="Garamond" w:hAnsi="Garamond"/>
                <w:lang w:val="en-AU"/>
              </w:rPr>
              <w:t>and broader sources to</w:t>
            </w:r>
            <w:r w:rsidR="0054541D">
              <w:rPr>
                <w:rFonts w:ascii="Garamond" w:hAnsi="Garamond"/>
                <w:lang w:val="en-AU"/>
              </w:rPr>
              <w:t xml:space="preserve"> examine </w:t>
            </w:r>
            <w:r w:rsidR="0054541D" w:rsidRPr="0054541D">
              <w:rPr>
                <w:rFonts w:ascii="Garamond" w:hAnsi="Garamond"/>
                <w:lang w:val="en-AU"/>
              </w:rPr>
              <w:t>factors that contribute to patients being misidentified within the healthcare system</w:t>
            </w:r>
            <w:r w:rsidR="0054541D">
              <w:rPr>
                <w:rFonts w:ascii="Garamond" w:hAnsi="Garamond"/>
                <w:lang w:val="en-AU"/>
              </w:rPr>
              <w:t>s</w:t>
            </w:r>
            <w:r w:rsidR="00F02A6B">
              <w:rPr>
                <w:rFonts w:ascii="Garamond" w:hAnsi="Garamond"/>
                <w:lang w:val="en-AU"/>
              </w:rPr>
              <w:t>.</w:t>
            </w:r>
            <w:r w:rsidR="00DA02D3">
              <w:rPr>
                <w:rFonts w:ascii="Garamond" w:hAnsi="Garamond"/>
                <w:lang w:val="en-AU"/>
              </w:rPr>
              <w:t xml:space="preserve"> The report observes </w:t>
            </w:r>
            <w:r w:rsidR="00DA02D3" w:rsidRPr="00DA02D3">
              <w:rPr>
                <w:rFonts w:ascii="Garamond" w:hAnsi="Garamond"/>
                <w:lang w:val="en-AU"/>
              </w:rPr>
              <w:t>‘Positive patient identification’ is correctly identifying a patient to ensure that the right person receives their intended care</w:t>
            </w:r>
            <w:r w:rsidR="00DA02D3">
              <w:rPr>
                <w:rFonts w:ascii="Garamond" w:hAnsi="Garamond"/>
                <w:lang w:val="en-AU"/>
              </w:rPr>
              <w:t>’ and ‘</w:t>
            </w:r>
            <w:r w:rsidR="00DA02D3" w:rsidRPr="00DA02D3">
              <w:rPr>
                <w:rFonts w:ascii="Garamond" w:hAnsi="Garamond"/>
                <w:lang w:val="en-AU"/>
              </w:rPr>
              <w:t>Patient misidentification is where a patient is identified as someone else. This may mean that a patient does not receive the care meant for them, or that they receive the care meant for someone else.</w:t>
            </w:r>
            <w:r w:rsidR="00DA02D3">
              <w:rPr>
                <w:rFonts w:ascii="Garamond" w:hAnsi="Garamond"/>
                <w:lang w:val="en-AU"/>
              </w:rPr>
              <w:t>’</w:t>
            </w:r>
            <w:r w:rsidR="00BC6FD0">
              <w:rPr>
                <w:rFonts w:ascii="Garamond" w:hAnsi="Garamond"/>
                <w:lang w:val="en-AU"/>
              </w:rPr>
              <w:t xml:space="preserve"> The report includes findings, safety observations and </w:t>
            </w:r>
            <w:r w:rsidR="00DB4BDC">
              <w:rPr>
                <w:rFonts w:ascii="Garamond" w:hAnsi="Garamond"/>
                <w:lang w:val="en-AU"/>
              </w:rPr>
              <w:t>recommendations</w:t>
            </w:r>
            <w:r w:rsidR="00BC6FD0">
              <w:rPr>
                <w:rFonts w:ascii="Garamond" w:hAnsi="Garamond"/>
                <w:lang w:val="en-AU"/>
              </w:rPr>
              <w:t>.</w:t>
            </w:r>
          </w:p>
          <w:p w14:paraId="05464473" w14:textId="270D27A9" w:rsidR="001D0092" w:rsidRDefault="000A627A" w:rsidP="00812D37">
            <w:pPr>
              <w:rPr>
                <w:rFonts w:ascii="Garamond" w:hAnsi="Garamond"/>
                <w:lang w:val="en-AU"/>
              </w:rPr>
            </w:pPr>
            <w:r>
              <w:rPr>
                <w:rFonts w:ascii="Garamond" w:hAnsi="Garamond"/>
                <w:lang w:val="en-AU"/>
              </w:rPr>
              <w:t>Among the findings are:</w:t>
            </w:r>
          </w:p>
          <w:p w14:paraId="0BB6E8C5" w14:textId="77777777" w:rsidR="00983E76" w:rsidRPr="00983E76" w:rsidRDefault="00983E76" w:rsidP="00983E76">
            <w:pPr>
              <w:pStyle w:val="ListParagraph"/>
              <w:numPr>
                <w:ilvl w:val="0"/>
                <w:numId w:val="34"/>
              </w:numPr>
              <w:rPr>
                <w:rFonts w:ascii="Garamond" w:hAnsi="Garamond"/>
                <w:lang w:val="en-AU"/>
              </w:rPr>
            </w:pPr>
            <w:r w:rsidRPr="00983E76">
              <w:rPr>
                <w:rFonts w:ascii="Garamond" w:hAnsi="Garamond"/>
                <w:lang w:val="en-AU"/>
              </w:rPr>
              <w:t>Patient misidentification is challenging to address and previous efforts to reduce the risk have not been as successful as hoped. There may be a benefit in proactively ensuring that processes for identifying patients are safe, rather than reacting to incidents of harm.</w:t>
            </w:r>
          </w:p>
          <w:p w14:paraId="030C8C96" w14:textId="77777777" w:rsidR="00983E76" w:rsidRPr="00983E76" w:rsidRDefault="00983E76" w:rsidP="00983E76">
            <w:pPr>
              <w:pStyle w:val="ListParagraph"/>
              <w:numPr>
                <w:ilvl w:val="0"/>
                <w:numId w:val="34"/>
              </w:numPr>
              <w:rPr>
                <w:rFonts w:ascii="Garamond" w:hAnsi="Garamond"/>
                <w:lang w:val="en-AU"/>
              </w:rPr>
            </w:pPr>
            <w:r w:rsidRPr="00983E76">
              <w:rPr>
                <w:rFonts w:ascii="Garamond" w:hAnsi="Garamond"/>
                <w:lang w:val="en-AU"/>
              </w:rPr>
              <w:t>Positive patient identification is seen as a routine task, but is common, complex and critical for patient safety. It relies on staff following instructions described in policies and procedures, which might not always be fully appropriate to the circumstances within which staff are identifying patients.</w:t>
            </w:r>
          </w:p>
          <w:p w14:paraId="137A00C1" w14:textId="77777777" w:rsidR="00983E76" w:rsidRPr="00983E76" w:rsidRDefault="00983E76" w:rsidP="00983E76">
            <w:pPr>
              <w:pStyle w:val="ListParagraph"/>
              <w:numPr>
                <w:ilvl w:val="0"/>
                <w:numId w:val="34"/>
              </w:numPr>
              <w:rPr>
                <w:rFonts w:ascii="Garamond" w:hAnsi="Garamond"/>
                <w:lang w:val="en-AU"/>
              </w:rPr>
            </w:pPr>
            <w:r w:rsidRPr="00983E76">
              <w:rPr>
                <w:rFonts w:ascii="Garamond" w:hAnsi="Garamond"/>
                <w:lang w:val="en-AU"/>
              </w:rPr>
              <w:t>Patients are at higher risk of being misidentified in certain situations and settings. Examples include handovers and when care is transferred between different healthcare organisations.</w:t>
            </w:r>
          </w:p>
          <w:p w14:paraId="4A7BB0AD" w14:textId="77777777" w:rsidR="00983E76" w:rsidRPr="00983E76" w:rsidRDefault="00983E76" w:rsidP="00983E76">
            <w:pPr>
              <w:pStyle w:val="ListParagraph"/>
              <w:numPr>
                <w:ilvl w:val="0"/>
                <w:numId w:val="34"/>
              </w:numPr>
              <w:rPr>
                <w:rFonts w:ascii="Garamond" w:hAnsi="Garamond"/>
                <w:lang w:val="en-AU"/>
              </w:rPr>
            </w:pPr>
            <w:r w:rsidRPr="00983E76">
              <w:rPr>
                <w:rFonts w:ascii="Garamond" w:hAnsi="Garamond"/>
                <w:lang w:val="en-AU"/>
              </w:rPr>
              <w:t>The risk of patient misidentification is underestimated and patient misidentification can result in significant harm to patients. Under-recognition of the risk is preventing allocation of already limited safety resources to further mitigate the risk.</w:t>
            </w:r>
          </w:p>
          <w:p w14:paraId="54891CCD" w14:textId="77777777" w:rsidR="00983E76" w:rsidRPr="00983E76" w:rsidRDefault="00983E76" w:rsidP="00983E76">
            <w:pPr>
              <w:pStyle w:val="ListParagraph"/>
              <w:numPr>
                <w:ilvl w:val="0"/>
                <w:numId w:val="34"/>
              </w:numPr>
              <w:rPr>
                <w:rFonts w:ascii="Garamond" w:hAnsi="Garamond"/>
                <w:lang w:val="en-AU"/>
              </w:rPr>
            </w:pPr>
            <w:r w:rsidRPr="00983E76">
              <w:rPr>
                <w:rFonts w:ascii="Garamond" w:hAnsi="Garamond"/>
                <w:lang w:val="en-AU"/>
              </w:rPr>
              <w:t>Technology alone is unlikely to reduce the risk of patient misidentification. Work systems involving people, technology and tools need to be designed to improve identification processes.</w:t>
            </w:r>
          </w:p>
          <w:p w14:paraId="6E9B585A" w14:textId="77777777" w:rsidR="00983E76" w:rsidRPr="00983E76" w:rsidRDefault="00983E76" w:rsidP="00983E76">
            <w:pPr>
              <w:pStyle w:val="ListParagraph"/>
              <w:numPr>
                <w:ilvl w:val="0"/>
                <w:numId w:val="34"/>
              </w:numPr>
              <w:rPr>
                <w:rFonts w:ascii="Garamond" w:hAnsi="Garamond"/>
                <w:lang w:val="en-AU"/>
              </w:rPr>
            </w:pPr>
            <w:r w:rsidRPr="00983E76">
              <w:rPr>
                <w:rFonts w:ascii="Garamond" w:hAnsi="Garamond"/>
                <w:lang w:val="en-AU"/>
              </w:rPr>
              <w:t>It is not yet possible to eliminate the risk of patient misidentification. However, a series of interventions – including using new technologies and optimising workplaces – may help to reduce the risk.</w:t>
            </w:r>
          </w:p>
          <w:p w14:paraId="71C3E01B" w14:textId="589974BF" w:rsidR="000A627A" w:rsidRPr="00983E76" w:rsidRDefault="00983E76" w:rsidP="00983E76">
            <w:pPr>
              <w:pStyle w:val="ListParagraph"/>
              <w:numPr>
                <w:ilvl w:val="0"/>
                <w:numId w:val="34"/>
              </w:numPr>
              <w:rPr>
                <w:rFonts w:ascii="Garamond" w:hAnsi="Garamond"/>
                <w:lang w:val="en-AU"/>
              </w:rPr>
            </w:pPr>
            <w:r w:rsidRPr="00983E76">
              <w:rPr>
                <w:rFonts w:ascii="Garamond" w:hAnsi="Garamond"/>
                <w:lang w:val="en-AU"/>
              </w:rPr>
              <w:t>When a patient is misidentified, it is difficult to correct the misidentification and ensure their records are made accurate.</w:t>
            </w:r>
          </w:p>
          <w:p w14:paraId="56ED5A43" w14:textId="77777777" w:rsidR="003D10C8" w:rsidRDefault="003D10C8" w:rsidP="00812D37">
            <w:pPr>
              <w:rPr>
                <w:rFonts w:ascii="Garamond" w:hAnsi="Garamond"/>
                <w:lang w:val="en-AU"/>
              </w:rPr>
            </w:pPr>
          </w:p>
          <w:p w14:paraId="7B7743F5" w14:textId="7851D53C" w:rsidR="003D10C8" w:rsidRDefault="003D10C8" w:rsidP="00812D37">
            <w:pPr>
              <w:rPr>
                <w:rFonts w:ascii="Garamond" w:hAnsi="Garamond"/>
                <w:lang w:val="en-AU"/>
              </w:rPr>
            </w:pPr>
            <w:r>
              <w:rPr>
                <w:rFonts w:ascii="Garamond" w:hAnsi="Garamond"/>
                <w:lang w:val="en-AU"/>
              </w:rPr>
              <w:lastRenderedPageBreak/>
              <w:t>The safety observations include:</w:t>
            </w:r>
          </w:p>
          <w:p w14:paraId="649F4AE6" w14:textId="77777777" w:rsidR="008D43A2" w:rsidRPr="000800A4" w:rsidRDefault="008D43A2" w:rsidP="000800A4">
            <w:pPr>
              <w:pStyle w:val="ListParagraph"/>
              <w:numPr>
                <w:ilvl w:val="0"/>
                <w:numId w:val="35"/>
              </w:numPr>
              <w:rPr>
                <w:rFonts w:ascii="Garamond" w:hAnsi="Garamond"/>
                <w:lang w:val="en-AU"/>
              </w:rPr>
            </w:pPr>
            <w:r w:rsidRPr="000800A4">
              <w:rPr>
                <w:rFonts w:ascii="Garamond" w:hAnsi="Garamond"/>
                <w:lang w:val="en-AU"/>
              </w:rPr>
              <w:t>Future improvement programmes considering the risk of patient misidentification can improve patient safety by prioritising high-risk situations and settings, such as handovers and transfers of patient care. Multiple controls may need to be introduced, including new technologies and standardising of processes.</w:t>
            </w:r>
          </w:p>
          <w:p w14:paraId="1E9D836A" w14:textId="77777777" w:rsidR="008D43A2" w:rsidRPr="000800A4" w:rsidRDefault="008D43A2" w:rsidP="000800A4">
            <w:pPr>
              <w:pStyle w:val="ListParagraph"/>
              <w:numPr>
                <w:ilvl w:val="0"/>
                <w:numId w:val="35"/>
              </w:numPr>
              <w:rPr>
                <w:rFonts w:ascii="Garamond" w:hAnsi="Garamond"/>
                <w:lang w:val="en-AU"/>
              </w:rPr>
            </w:pPr>
            <w:r w:rsidRPr="000800A4">
              <w:rPr>
                <w:rFonts w:ascii="Garamond" w:hAnsi="Garamond"/>
                <w:lang w:val="en-AU"/>
              </w:rPr>
              <w:t xml:space="preserve">Healthcare organisations can improve patient safety </w:t>
            </w:r>
            <w:proofErr w:type="gramStart"/>
            <w:r w:rsidRPr="000800A4">
              <w:rPr>
                <w:rFonts w:ascii="Garamond" w:hAnsi="Garamond"/>
                <w:lang w:val="en-AU"/>
              </w:rPr>
              <w:t>through the use of</w:t>
            </w:r>
            <w:proofErr w:type="gramEnd"/>
            <w:r w:rsidRPr="000800A4">
              <w:rPr>
                <w:rFonts w:ascii="Garamond" w:hAnsi="Garamond"/>
                <w:lang w:val="en-AU"/>
              </w:rPr>
              <w:t xml:space="preserve"> principles of ‘user-centred design’ to help them understand and optimise clinical work settings for positive patient identification.</w:t>
            </w:r>
          </w:p>
          <w:p w14:paraId="0068158C" w14:textId="2891903D" w:rsidR="003D10C8" w:rsidRPr="000800A4" w:rsidRDefault="008D43A2" w:rsidP="000800A4">
            <w:pPr>
              <w:pStyle w:val="ListParagraph"/>
              <w:numPr>
                <w:ilvl w:val="0"/>
                <w:numId w:val="35"/>
              </w:numPr>
              <w:rPr>
                <w:rFonts w:ascii="Garamond" w:hAnsi="Garamond"/>
                <w:lang w:val="en-AU"/>
              </w:rPr>
            </w:pPr>
            <w:r w:rsidRPr="000800A4">
              <w:rPr>
                <w:rFonts w:ascii="Garamond" w:hAnsi="Garamond"/>
                <w:lang w:val="en-AU"/>
              </w:rPr>
              <w:t>Those designing patient identification processes, including related software, can improve patient safety by undertaking effective equality impact assessments and by considering the needs of specific patient groups that are at high risk of being misidentified.</w:t>
            </w:r>
          </w:p>
          <w:p w14:paraId="05A7FBEE" w14:textId="77777777" w:rsidR="000800A4" w:rsidRDefault="000800A4" w:rsidP="00812D37">
            <w:pPr>
              <w:rPr>
                <w:rFonts w:ascii="Garamond" w:hAnsi="Garamond"/>
                <w:lang w:val="en-AU"/>
              </w:rPr>
            </w:pPr>
          </w:p>
          <w:p w14:paraId="7095AEA4" w14:textId="0FBDF68B" w:rsidR="001D0092" w:rsidRDefault="001D0092" w:rsidP="00812D37">
            <w:pPr>
              <w:rPr>
                <w:rFonts w:ascii="Garamond" w:hAnsi="Garamond"/>
                <w:lang w:val="en-AU"/>
              </w:rPr>
            </w:pPr>
            <w:r>
              <w:rPr>
                <w:rFonts w:ascii="Garamond" w:hAnsi="Garamond"/>
                <w:lang w:val="en-AU"/>
              </w:rPr>
              <w:t xml:space="preserve">Patient identification is part of the </w:t>
            </w:r>
            <w:r w:rsidRPr="001B134B">
              <w:rPr>
                <w:rFonts w:ascii="Garamond" w:hAnsi="Garamond"/>
                <w:i/>
                <w:iCs/>
                <w:lang w:val="en-AU"/>
              </w:rPr>
              <w:t>Communicating for Safety Standard</w:t>
            </w:r>
            <w:r>
              <w:rPr>
                <w:rFonts w:ascii="Garamond" w:hAnsi="Garamond"/>
                <w:lang w:val="en-AU"/>
              </w:rPr>
              <w:t xml:space="preserve"> within the </w:t>
            </w:r>
            <w:r w:rsidR="00756D4E" w:rsidRPr="0054541D">
              <w:rPr>
                <w:rFonts w:ascii="Garamond" w:hAnsi="Garamond"/>
                <w:i/>
                <w:iCs/>
                <w:lang w:val="en-AU"/>
              </w:rPr>
              <w:t>National Safety and Quality Health Service (NSQHS) Standards</w:t>
            </w:r>
            <w:r w:rsidR="00756D4E">
              <w:rPr>
                <w:rFonts w:ascii="Garamond" w:hAnsi="Garamond"/>
                <w:lang w:val="en-AU"/>
              </w:rPr>
              <w:t>.</w:t>
            </w:r>
          </w:p>
          <w:p w14:paraId="37074390" w14:textId="290AA21F" w:rsidR="00756D4E" w:rsidRPr="00C4378F" w:rsidRDefault="00000000" w:rsidP="00812D37">
            <w:pPr>
              <w:rPr>
                <w:rFonts w:ascii="Garamond" w:hAnsi="Garamond"/>
                <w:lang w:val="en-AU"/>
              </w:rPr>
            </w:pPr>
            <w:hyperlink r:id="rId22" w:history="1">
              <w:r w:rsidR="00756D4E" w:rsidRPr="00860AE4">
                <w:rPr>
                  <w:rStyle w:val="Hyperlink"/>
                  <w:rFonts w:ascii="Garamond" w:hAnsi="Garamond"/>
                  <w:lang w:val="en-AU"/>
                </w:rPr>
                <w:t>https://www.safetyandquality.gov.au/standards/nsqhs-standards/communicating-safety-standard</w:t>
              </w:r>
            </w:hyperlink>
          </w:p>
        </w:tc>
      </w:tr>
    </w:tbl>
    <w:p w14:paraId="21105AF9" w14:textId="77777777" w:rsidR="001D0092" w:rsidRDefault="001D0092" w:rsidP="001D0092">
      <w:pPr>
        <w:keepLines/>
        <w:autoSpaceDE w:val="0"/>
        <w:autoSpaceDN w:val="0"/>
        <w:adjustRightInd w:val="0"/>
        <w:rPr>
          <w:rFonts w:ascii="Garamond" w:hAnsi="Garamond"/>
          <w:lang w:val="en-AU"/>
        </w:rPr>
      </w:pPr>
    </w:p>
    <w:p w14:paraId="228D8265" w14:textId="77777777" w:rsidR="00AA728C" w:rsidRDefault="00AA728C">
      <w:pPr>
        <w:rPr>
          <w:rFonts w:ascii="Garamond" w:hAnsi="Garamond"/>
          <w:b/>
          <w:lang w:val="en-AU"/>
        </w:rPr>
      </w:pPr>
    </w:p>
    <w:p w14:paraId="4459B76B" w14:textId="77777777" w:rsidR="00BF4C37" w:rsidRDefault="00BF4C37">
      <w:pPr>
        <w:rPr>
          <w:rFonts w:ascii="Garamond" w:hAnsi="Garamond"/>
          <w:b/>
          <w:lang w:val="en-AU"/>
        </w:rPr>
      </w:pPr>
    </w:p>
    <w:p w14:paraId="604EB9F1" w14:textId="2BC75E37"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t>Journal articles</w:t>
      </w:r>
    </w:p>
    <w:p w14:paraId="5F78D3DC" w14:textId="77777777" w:rsidR="002D2EE2" w:rsidRDefault="002D2EE2" w:rsidP="002D2EE2">
      <w:pPr>
        <w:keepLines/>
        <w:autoSpaceDE w:val="0"/>
        <w:autoSpaceDN w:val="0"/>
        <w:adjustRightInd w:val="0"/>
        <w:rPr>
          <w:rFonts w:ascii="Garamond" w:hAnsi="Garamond"/>
          <w:i/>
          <w:iCs/>
          <w:lang w:val="en-AU"/>
        </w:rPr>
      </w:pPr>
    </w:p>
    <w:p w14:paraId="5EAADD2A" w14:textId="77777777" w:rsidR="005A0FDD" w:rsidRPr="003805F4" w:rsidRDefault="005A0FDD" w:rsidP="005A0FDD">
      <w:pPr>
        <w:keepLines/>
        <w:autoSpaceDE w:val="0"/>
        <w:autoSpaceDN w:val="0"/>
        <w:adjustRightInd w:val="0"/>
        <w:rPr>
          <w:rFonts w:ascii="Garamond" w:hAnsi="Garamond"/>
          <w:i/>
          <w:iCs/>
          <w:lang w:val="en-AU"/>
        </w:rPr>
      </w:pPr>
      <w:r w:rsidRPr="003805F4">
        <w:rPr>
          <w:rFonts w:ascii="Garamond" w:hAnsi="Garamond"/>
          <w:i/>
          <w:iCs/>
          <w:lang w:val="en-AU"/>
        </w:rPr>
        <w:t>A 7-year analysis of attributable costs of healthcare-associated infections in a network of community hospitals in the southeastern United States</w:t>
      </w:r>
    </w:p>
    <w:p w14:paraId="5BF380E7" w14:textId="77777777" w:rsidR="005A0FDD" w:rsidRDefault="005A0FDD" w:rsidP="005A0FDD">
      <w:pPr>
        <w:keepLines/>
        <w:autoSpaceDE w:val="0"/>
        <w:autoSpaceDN w:val="0"/>
        <w:adjustRightInd w:val="0"/>
        <w:rPr>
          <w:rFonts w:ascii="Garamond" w:hAnsi="Garamond"/>
          <w:lang w:val="en-AU"/>
        </w:rPr>
      </w:pPr>
      <w:r w:rsidRPr="003805F4">
        <w:rPr>
          <w:rFonts w:ascii="Garamond" w:hAnsi="Garamond"/>
          <w:lang w:val="en-AU"/>
        </w:rPr>
        <w:t>Zhang HL, Crane L, Cromer AL, Green A, Padgette P, Payne VC, et al</w:t>
      </w:r>
    </w:p>
    <w:p w14:paraId="27A5064B" w14:textId="77777777" w:rsidR="005A0FDD" w:rsidRDefault="005A0FDD" w:rsidP="005A0FDD">
      <w:pPr>
        <w:keepLines/>
        <w:autoSpaceDE w:val="0"/>
        <w:autoSpaceDN w:val="0"/>
        <w:adjustRightInd w:val="0"/>
        <w:rPr>
          <w:rFonts w:ascii="Garamond" w:hAnsi="Garamond"/>
          <w:lang w:val="en-AU"/>
        </w:rPr>
      </w:pPr>
      <w:r w:rsidRPr="003805F4">
        <w:rPr>
          <w:rFonts w:ascii="Garamond" w:hAnsi="Garamond"/>
          <w:lang w:val="en-AU"/>
        </w:rPr>
        <w:t>Infection Control &amp; Hospital Epidemiology 2024;45(1):103-105.</w:t>
      </w:r>
    </w:p>
    <w:tbl>
      <w:tblPr>
        <w:tblStyle w:val="TableGrid"/>
        <w:tblW w:w="9360" w:type="dxa"/>
        <w:tblInd w:w="288" w:type="dxa"/>
        <w:tblLayout w:type="fixed"/>
        <w:tblLook w:val="01E0" w:firstRow="1" w:lastRow="1" w:firstColumn="1" w:lastColumn="1" w:noHBand="0" w:noVBand="0"/>
      </w:tblPr>
      <w:tblGrid>
        <w:gridCol w:w="1080"/>
        <w:gridCol w:w="8280"/>
      </w:tblGrid>
      <w:tr w:rsidR="005A0FDD" w:rsidRPr="000170DA" w14:paraId="4AB069BA" w14:textId="77777777" w:rsidTr="0032469A">
        <w:tc>
          <w:tcPr>
            <w:tcW w:w="1080" w:type="dxa"/>
            <w:tcBorders>
              <w:top w:val="single" w:sz="4" w:space="0" w:color="auto"/>
              <w:left w:val="single" w:sz="4" w:space="0" w:color="auto"/>
              <w:bottom w:val="single" w:sz="4" w:space="0" w:color="auto"/>
              <w:right w:val="single" w:sz="4" w:space="0" w:color="auto"/>
            </w:tcBorders>
            <w:vAlign w:val="center"/>
          </w:tcPr>
          <w:p w14:paraId="00EF4610" w14:textId="77777777" w:rsidR="005A0FDD" w:rsidRPr="000170DA" w:rsidRDefault="005A0FDD" w:rsidP="0032469A">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65F8CFB" w14:textId="77777777" w:rsidR="005A0FDD" w:rsidRPr="000170DA" w:rsidRDefault="00000000" w:rsidP="0032469A">
            <w:pPr>
              <w:keepNext/>
              <w:rPr>
                <w:rStyle w:val="Hyperlink"/>
                <w:rFonts w:ascii="Garamond" w:hAnsi="Garamond"/>
                <w:color w:val="auto"/>
                <w:u w:val="none"/>
                <w:lang w:val="en-AU"/>
              </w:rPr>
            </w:pPr>
            <w:hyperlink r:id="rId23" w:history="1">
              <w:r w:rsidR="005A0FDD" w:rsidRPr="0086482D">
                <w:rPr>
                  <w:rStyle w:val="Hyperlink"/>
                  <w:rFonts w:ascii="Garamond" w:hAnsi="Garamond"/>
                  <w:lang w:val="en-AU"/>
                </w:rPr>
                <w:t>https://doi.org/10.1017/ice.2023.160</w:t>
              </w:r>
            </w:hyperlink>
          </w:p>
        </w:tc>
      </w:tr>
      <w:tr w:rsidR="005A0FDD" w:rsidRPr="000170DA" w14:paraId="001C2B79" w14:textId="77777777" w:rsidTr="0032469A">
        <w:tc>
          <w:tcPr>
            <w:tcW w:w="1080" w:type="dxa"/>
            <w:tcBorders>
              <w:top w:val="single" w:sz="4" w:space="0" w:color="auto"/>
              <w:left w:val="single" w:sz="4" w:space="0" w:color="auto"/>
              <w:bottom w:val="single" w:sz="4" w:space="0" w:color="auto"/>
              <w:right w:val="single" w:sz="4" w:space="0" w:color="auto"/>
            </w:tcBorders>
            <w:vAlign w:val="center"/>
          </w:tcPr>
          <w:p w14:paraId="6CD4E334" w14:textId="77777777" w:rsidR="005A0FDD" w:rsidRPr="000170DA" w:rsidRDefault="005A0FDD" w:rsidP="0032469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E1D2B8A" w14:textId="19FACB72" w:rsidR="005A0FDD" w:rsidRPr="00D0490E" w:rsidRDefault="005A0FDD" w:rsidP="0032469A">
            <w:pPr>
              <w:rPr>
                <w:rFonts w:ascii="Garamond" w:hAnsi="Garamond"/>
                <w:lang w:val="en-AU"/>
              </w:rPr>
            </w:pPr>
            <w:r>
              <w:rPr>
                <w:rFonts w:ascii="Garamond" w:hAnsi="Garamond"/>
                <w:lang w:val="en-AU"/>
              </w:rPr>
              <w:t>The authors of this study sought to calculate ‘</w:t>
            </w:r>
            <w:r w:rsidRPr="003805F4">
              <w:rPr>
                <w:rFonts w:ascii="Garamond" w:hAnsi="Garamond"/>
                <w:lang w:val="en-AU"/>
              </w:rPr>
              <w:t xml:space="preserve">the attributable cost of several healthcare-associated infections </w:t>
            </w:r>
            <w:r>
              <w:rPr>
                <w:rFonts w:ascii="Garamond" w:hAnsi="Garamond"/>
                <w:lang w:val="en-AU"/>
              </w:rPr>
              <w:t xml:space="preserve">[HAIs] </w:t>
            </w:r>
            <w:r w:rsidRPr="003805F4">
              <w:rPr>
                <w:rFonts w:ascii="Garamond" w:hAnsi="Garamond"/>
                <w:lang w:val="en-AU"/>
              </w:rPr>
              <w:t>in a community hospital network</w:t>
            </w:r>
            <w:r>
              <w:rPr>
                <w:rFonts w:ascii="Garamond" w:hAnsi="Garamond"/>
                <w:lang w:val="en-AU"/>
              </w:rPr>
              <w:t xml:space="preserve">’ of more than 40 US hospitals in the period 2016–2022. The HAIs included </w:t>
            </w:r>
            <w:r w:rsidRPr="003805F4">
              <w:rPr>
                <w:rFonts w:ascii="Garamond" w:hAnsi="Garamond"/>
                <w:lang w:val="en-AU"/>
              </w:rPr>
              <w:t>central line-associated bloodstream infections (CLABSI), catheter-associated urinary tract infections (CAUTI), hospital-onset Clostridioides difficile infection (CDI-HO), and surgical site infections (SSI)</w:t>
            </w:r>
            <w:r>
              <w:rPr>
                <w:rFonts w:ascii="Garamond" w:hAnsi="Garamond"/>
                <w:lang w:val="en-AU"/>
              </w:rPr>
              <w:t>. The authors report that ‘</w:t>
            </w:r>
            <w:r w:rsidRPr="006078E3">
              <w:rPr>
                <w:rFonts w:ascii="Garamond" w:hAnsi="Garamond"/>
                <w:lang w:val="en-AU"/>
              </w:rPr>
              <w:t xml:space="preserve">From 2016 to 2022, the total cost of CLABSIs, CAUTIs, CDI-HOs, and SSIs was </w:t>
            </w:r>
            <w:r w:rsidR="00FD277F">
              <w:rPr>
                <w:rFonts w:ascii="Garamond" w:hAnsi="Garamond"/>
                <w:lang w:val="en-AU"/>
              </w:rPr>
              <w:t xml:space="preserve">[USD] </w:t>
            </w:r>
            <w:r w:rsidRPr="006078E3">
              <w:rPr>
                <w:rFonts w:ascii="Garamond" w:hAnsi="Garamond"/>
                <w:lang w:val="en-AU"/>
              </w:rPr>
              <w:t>$420,012,025</w:t>
            </w:r>
            <w:r>
              <w:rPr>
                <w:rFonts w:ascii="Garamond" w:hAnsi="Garamond"/>
                <w:lang w:val="en-AU"/>
              </w:rPr>
              <w:t>’.</w:t>
            </w:r>
          </w:p>
        </w:tc>
      </w:tr>
    </w:tbl>
    <w:p w14:paraId="53BC685E" w14:textId="77777777" w:rsidR="005A0FDD" w:rsidRDefault="005A0FDD" w:rsidP="005A0FDD">
      <w:pPr>
        <w:keepLines/>
        <w:autoSpaceDE w:val="0"/>
        <w:autoSpaceDN w:val="0"/>
        <w:adjustRightInd w:val="0"/>
        <w:rPr>
          <w:rFonts w:ascii="Garamond" w:hAnsi="Garamond"/>
          <w:lang w:val="en-AU"/>
        </w:rPr>
      </w:pPr>
    </w:p>
    <w:p w14:paraId="7DFCCCD1" w14:textId="77777777" w:rsidR="005A0FDD" w:rsidRDefault="005A0FDD" w:rsidP="005A0FDD">
      <w:pPr>
        <w:keepLines/>
        <w:autoSpaceDE w:val="0"/>
        <w:autoSpaceDN w:val="0"/>
        <w:adjustRightInd w:val="0"/>
        <w:rPr>
          <w:rFonts w:ascii="Garamond" w:hAnsi="Garamond"/>
          <w:lang w:val="en-AU"/>
        </w:rPr>
      </w:pPr>
      <w:r>
        <w:rPr>
          <w:rFonts w:ascii="Garamond" w:hAnsi="Garamond"/>
          <w:lang w:val="en-AU"/>
        </w:rPr>
        <w:t xml:space="preserve">For information on the Commission’s work on healthcare-associated infections, see </w:t>
      </w:r>
      <w:hyperlink r:id="rId24" w:history="1">
        <w:r w:rsidRPr="0086482D">
          <w:rPr>
            <w:rStyle w:val="Hyperlink"/>
            <w:rFonts w:ascii="Garamond" w:hAnsi="Garamond"/>
            <w:lang w:val="en-AU"/>
          </w:rPr>
          <w:t>https://www.safetyandquality.gov.au/our-work/healthcare-associated-infection-program</w:t>
        </w:r>
      </w:hyperlink>
    </w:p>
    <w:p w14:paraId="664A6103" w14:textId="77777777" w:rsidR="005A0FDD" w:rsidRDefault="005A0FDD" w:rsidP="005A0FDD">
      <w:pPr>
        <w:keepLines/>
        <w:autoSpaceDE w:val="0"/>
        <w:autoSpaceDN w:val="0"/>
        <w:adjustRightInd w:val="0"/>
        <w:rPr>
          <w:rFonts w:ascii="Garamond" w:hAnsi="Garamond"/>
          <w:lang w:val="en-AU"/>
        </w:rPr>
      </w:pPr>
    </w:p>
    <w:p w14:paraId="7766AEEE" w14:textId="77777777" w:rsidR="001A0AFE" w:rsidRPr="00EC3FD4" w:rsidRDefault="001A0AFE" w:rsidP="001A0AFE">
      <w:pPr>
        <w:keepLines/>
        <w:autoSpaceDE w:val="0"/>
        <w:autoSpaceDN w:val="0"/>
        <w:adjustRightInd w:val="0"/>
        <w:rPr>
          <w:rFonts w:ascii="Garamond" w:hAnsi="Garamond"/>
          <w:i/>
          <w:iCs/>
          <w:lang w:val="en-AU"/>
        </w:rPr>
      </w:pPr>
      <w:r w:rsidRPr="00EC3FD4">
        <w:rPr>
          <w:rFonts w:ascii="Garamond" w:hAnsi="Garamond"/>
          <w:i/>
          <w:iCs/>
          <w:lang w:val="en-AU"/>
        </w:rPr>
        <w:t xml:space="preserve">Preventing hospital falls: feasibility of care workforce redesign to optimise patient falls </w:t>
      </w:r>
      <w:proofErr w:type="gramStart"/>
      <w:r w:rsidRPr="00EC3FD4">
        <w:rPr>
          <w:rFonts w:ascii="Garamond" w:hAnsi="Garamond"/>
          <w:i/>
          <w:iCs/>
          <w:lang w:val="en-AU"/>
        </w:rPr>
        <w:t>education</w:t>
      </w:r>
      <w:proofErr w:type="gramEnd"/>
    </w:p>
    <w:p w14:paraId="3951DE57" w14:textId="77777777" w:rsidR="001A0AFE" w:rsidRDefault="001A0AFE" w:rsidP="001A0AFE">
      <w:pPr>
        <w:keepLines/>
        <w:autoSpaceDE w:val="0"/>
        <w:autoSpaceDN w:val="0"/>
        <w:adjustRightInd w:val="0"/>
        <w:rPr>
          <w:rFonts w:ascii="Garamond" w:hAnsi="Garamond"/>
          <w:lang w:val="en-AU"/>
        </w:rPr>
      </w:pPr>
      <w:r w:rsidRPr="00EC3FD4">
        <w:rPr>
          <w:rFonts w:ascii="Garamond" w:hAnsi="Garamond"/>
          <w:lang w:val="en-AU"/>
        </w:rPr>
        <w:t xml:space="preserve">Morris ME, Thwaites C, Lui R, McPhail SM, Haines T, </w:t>
      </w:r>
      <w:proofErr w:type="spellStart"/>
      <w:r w:rsidRPr="00EC3FD4">
        <w:rPr>
          <w:rFonts w:ascii="Garamond" w:hAnsi="Garamond"/>
          <w:lang w:val="en-AU"/>
        </w:rPr>
        <w:t>Kiegaldie</w:t>
      </w:r>
      <w:proofErr w:type="spellEnd"/>
      <w:r w:rsidRPr="00EC3FD4">
        <w:rPr>
          <w:rFonts w:ascii="Garamond" w:hAnsi="Garamond"/>
          <w:lang w:val="en-AU"/>
        </w:rPr>
        <w:t xml:space="preserve"> D, et al</w:t>
      </w:r>
    </w:p>
    <w:p w14:paraId="14CB8F71" w14:textId="77777777" w:rsidR="001A0AFE" w:rsidRDefault="001A0AFE" w:rsidP="001A0AFE">
      <w:pPr>
        <w:keepLines/>
        <w:autoSpaceDE w:val="0"/>
        <w:autoSpaceDN w:val="0"/>
        <w:adjustRightInd w:val="0"/>
        <w:rPr>
          <w:rFonts w:ascii="Garamond" w:hAnsi="Garamond"/>
          <w:lang w:val="en-AU"/>
        </w:rPr>
      </w:pPr>
      <w:r w:rsidRPr="00EC3FD4">
        <w:rPr>
          <w:rFonts w:ascii="Garamond" w:hAnsi="Garamond"/>
          <w:lang w:val="en-AU"/>
        </w:rPr>
        <w:t>Age and Ageing 2024;53(1</w:t>
      </w:r>
      <w:proofErr w:type="gramStart"/>
      <w:r w:rsidRPr="00EC3FD4">
        <w:rPr>
          <w:rFonts w:ascii="Garamond" w:hAnsi="Garamond"/>
          <w:lang w:val="en-AU"/>
        </w:rPr>
        <w:t>):afad</w:t>
      </w:r>
      <w:proofErr w:type="gramEnd"/>
      <w:r w:rsidRPr="00EC3FD4">
        <w:rPr>
          <w:rFonts w:ascii="Garamond" w:hAnsi="Garamond"/>
          <w:lang w:val="en-AU"/>
        </w:rPr>
        <w:t>250.</w:t>
      </w:r>
    </w:p>
    <w:tbl>
      <w:tblPr>
        <w:tblStyle w:val="TableGrid"/>
        <w:tblW w:w="9360" w:type="dxa"/>
        <w:tblInd w:w="288" w:type="dxa"/>
        <w:tblLayout w:type="fixed"/>
        <w:tblLook w:val="01E0" w:firstRow="1" w:lastRow="1" w:firstColumn="1" w:lastColumn="1" w:noHBand="0" w:noVBand="0"/>
      </w:tblPr>
      <w:tblGrid>
        <w:gridCol w:w="1080"/>
        <w:gridCol w:w="8280"/>
      </w:tblGrid>
      <w:tr w:rsidR="001A0AFE" w:rsidRPr="000170DA" w14:paraId="6A570B0C" w14:textId="77777777" w:rsidTr="00812D37">
        <w:tc>
          <w:tcPr>
            <w:tcW w:w="1080" w:type="dxa"/>
            <w:tcBorders>
              <w:top w:val="single" w:sz="4" w:space="0" w:color="auto"/>
              <w:left w:val="single" w:sz="4" w:space="0" w:color="auto"/>
              <w:bottom w:val="single" w:sz="4" w:space="0" w:color="auto"/>
              <w:right w:val="single" w:sz="4" w:space="0" w:color="auto"/>
            </w:tcBorders>
            <w:vAlign w:val="center"/>
          </w:tcPr>
          <w:p w14:paraId="604AA1BD" w14:textId="77777777" w:rsidR="001A0AFE" w:rsidRPr="000170DA" w:rsidRDefault="001A0AFE" w:rsidP="00812D3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A2BB8A3" w14:textId="77777777" w:rsidR="001A0AFE" w:rsidRPr="000170DA" w:rsidRDefault="001A0AFE" w:rsidP="00812D37">
            <w:pPr>
              <w:keepNext/>
              <w:rPr>
                <w:rStyle w:val="Hyperlink"/>
                <w:rFonts w:ascii="Garamond" w:hAnsi="Garamond"/>
                <w:color w:val="auto"/>
                <w:u w:val="none"/>
                <w:lang w:val="en-AU"/>
              </w:rPr>
            </w:pPr>
            <w:hyperlink r:id="rId25" w:history="1">
              <w:r w:rsidRPr="0086482D">
                <w:rPr>
                  <w:rStyle w:val="Hyperlink"/>
                  <w:rFonts w:ascii="Garamond" w:hAnsi="Garamond"/>
                  <w:lang w:val="en-AU"/>
                </w:rPr>
                <w:t>https://doi.org/10.1093/ageing/afad250</w:t>
              </w:r>
            </w:hyperlink>
          </w:p>
        </w:tc>
      </w:tr>
      <w:tr w:rsidR="001A0AFE" w:rsidRPr="000170DA" w14:paraId="4A1620BC" w14:textId="77777777" w:rsidTr="00812D37">
        <w:tc>
          <w:tcPr>
            <w:tcW w:w="1080" w:type="dxa"/>
            <w:tcBorders>
              <w:top w:val="single" w:sz="4" w:space="0" w:color="auto"/>
              <w:left w:val="single" w:sz="4" w:space="0" w:color="auto"/>
              <w:bottom w:val="single" w:sz="4" w:space="0" w:color="auto"/>
              <w:right w:val="single" w:sz="4" w:space="0" w:color="auto"/>
            </w:tcBorders>
            <w:vAlign w:val="center"/>
          </w:tcPr>
          <w:p w14:paraId="284FB04A" w14:textId="77777777" w:rsidR="001A0AFE" w:rsidRPr="000170DA" w:rsidRDefault="001A0AFE" w:rsidP="00812D3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42AD410" w14:textId="77777777" w:rsidR="001A0AFE" w:rsidRPr="00D0490E" w:rsidRDefault="001A0AFE" w:rsidP="00812D37">
            <w:pPr>
              <w:rPr>
                <w:rFonts w:ascii="Garamond" w:hAnsi="Garamond"/>
                <w:lang w:val="en-AU"/>
              </w:rPr>
            </w:pPr>
            <w:r>
              <w:rPr>
                <w:rFonts w:ascii="Garamond" w:hAnsi="Garamond"/>
                <w:lang w:val="en-AU"/>
              </w:rPr>
              <w:t xml:space="preserve">Paper reporting on an Australian study that examined the potential for </w:t>
            </w:r>
            <w:r w:rsidRPr="00EC3FD4">
              <w:rPr>
                <w:rFonts w:ascii="Garamond" w:hAnsi="Garamond"/>
                <w:lang w:val="en-AU"/>
              </w:rPr>
              <w:t>allied health assistants to deliver patient falls prevention education</w:t>
            </w:r>
            <w:r>
              <w:rPr>
                <w:rFonts w:ascii="Garamond" w:hAnsi="Garamond"/>
                <w:lang w:val="en-AU"/>
              </w:rPr>
              <w:t xml:space="preserve">. The study involved </w:t>
            </w:r>
            <w:r w:rsidRPr="00EC3FD4">
              <w:rPr>
                <w:rFonts w:ascii="Garamond" w:hAnsi="Garamond"/>
                <w:lang w:val="en-AU"/>
              </w:rPr>
              <w:t>541 patients (median age 81 years)</w:t>
            </w:r>
            <w:r>
              <w:rPr>
                <w:rFonts w:ascii="Garamond" w:hAnsi="Garamond"/>
                <w:lang w:val="en-AU"/>
              </w:rPr>
              <w:t xml:space="preserve"> with </w:t>
            </w:r>
            <w:r w:rsidRPr="00EC3FD4">
              <w:rPr>
                <w:rFonts w:ascii="Garamond" w:hAnsi="Garamond"/>
                <w:lang w:val="en-AU"/>
              </w:rPr>
              <w:t xml:space="preserve">270 </w:t>
            </w:r>
            <w:r>
              <w:rPr>
                <w:rFonts w:ascii="Garamond" w:hAnsi="Garamond"/>
                <w:lang w:val="en-AU"/>
              </w:rPr>
              <w:t xml:space="preserve">in a </w:t>
            </w:r>
            <w:r w:rsidRPr="00EC3FD4">
              <w:rPr>
                <w:rFonts w:ascii="Garamond" w:hAnsi="Garamond"/>
                <w:lang w:val="en-AU"/>
              </w:rPr>
              <w:t xml:space="preserve">control group and 271 </w:t>
            </w:r>
            <w:r>
              <w:rPr>
                <w:rFonts w:ascii="Garamond" w:hAnsi="Garamond"/>
                <w:lang w:val="en-AU"/>
              </w:rPr>
              <w:t xml:space="preserve">in the </w:t>
            </w:r>
            <w:r w:rsidRPr="00EC3FD4">
              <w:rPr>
                <w:rFonts w:ascii="Garamond" w:hAnsi="Garamond"/>
                <w:lang w:val="en-AU"/>
              </w:rPr>
              <w:t>experimental group</w:t>
            </w:r>
            <w:r>
              <w:rPr>
                <w:rFonts w:ascii="Garamond" w:hAnsi="Garamond"/>
                <w:lang w:val="en-AU"/>
              </w:rPr>
              <w:t xml:space="preserve"> over a 20-week period. The authors report that ‘T</w:t>
            </w:r>
            <w:r w:rsidRPr="00EC3FD4">
              <w:rPr>
                <w:rFonts w:ascii="Garamond" w:hAnsi="Garamond"/>
                <w:lang w:val="en-AU"/>
              </w:rPr>
              <w:t>here were 32 falls in the control group and 22 in the experimental group. The falls rate was 8.07 falls per 1,000 bed days in the control group and 5.69 falls per 1,000 bed days for the experimental group</w:t>
            </w:r>
            <w:r>
              <w:rPr>
                <w:rFonts w:ascii="Garamond" w:hAnsi="Garamond"/>
                <w:lang w:val="en-AU"/>
              </w:rPr>
              <w:t>’.</w:t>
            </w:r>
          </w:p>
        </w:tc>
      </w:tr>
    </w:tbl>
    <w:p w14:paraId="4DF2AB9B" w14:textId="77777777" w:rsidR="001A0AFE" w:rsidRDefault="001A0AFE" w:rsidP="001A0AFE">
      <w:pPr>
        <w:keepLines/>
        <w:autoSpaceDE w:val="0"/>
        <w:autoSpaceDN w:val="0"/>
        <w:adjustRightInd w:val="0"/>
        <w:rPr>
          <w:rFonts w:ascii="Garamond" w:hAnsi="Garamond"/>
          <w:lang w:val="en-AU"/>
        </w:rPr>
      </w:pPr>
    </w:p>
    <w:p w14:paraId="0F6D64F7" w14:textId="77777777" w:rsidR="00680409" w:rsidRDefault="00680409" w:rsidP="00680409">
      <w:pPr>
        <w:keepLines/>
        <w:autoSpaceDE w:val="0"/>
        <w:autoSpaceDN w:val="0"/>
        <w:adjustRightInd w:val="0"/>
        <w:rPr>
          <w:rFonts w:ascii="Garamond" w:hAnsi="Garamond"/>
          <w:i/>
          <w:iCs/>
          <w:lang w:val="en-AU"/>
        </w:rPr>
      </w:pPr>
      <w:r w:rsidRPr="00680409">
        <w:rPr>
          <w:rFonts w:ascii="Garamond" w:hAnsi="Garamond"/>
          <w:i/>
          <w:iCs/>
          <w:lang w:val="en-AU"/>
        </w:rPr>
        <w:lastRenderedPageBreak/>
        <w:t xml:space="preserve">Decision aids for people facing health treatment or screening </w:t>
      </w:r>
      <w:proofErr w:type="gramStart"/>
      <w:r w:rsidRPr="00680409">
        <w:rPr>
          <w:rFonts w:ascii="Garamond" w:hAnsi="Garamond"/>
          <w:i/>
          <w:iCs/>
          <w:lang w:val="en-AU"/>
        </w:rPr>
        <w:t>decisions</w:t>
      </w:r>
      <w:proofErr w:type="gramEnd"/>
    </w:p>
    <w:p w14:paraId="2C4015D3" w14:textId="77777777" w:rsidR="00680409" w:rsidRPr="00680409" w:rsidRDefault="00680409" w:rsidP="002D2EE2">
      <w:pPr>
        <w:keepLines/>
        <w:autoSpaceDE w:val="0"/>
        <w:autoSpaceDN w:val="0"/>
        <w:adjustRightInd w:val="0"/>
        <w:rPr>
          <w:rFonts w:ascii="Garamond" w:hAnsi="Garamond"/>
          <w:lang w:val="en-AU"/>
        </w:rPr>
      </w:pPr>
      <w:r w:rsidRPr="00680409">
        <w:rPr>
          <w:rFonts w:ascii="Garamond" w:hAnsi="Garamond"/>
          <w:lang w:val="en-AU"/>
        </w:rPr>
        <w:t>Stacey D, Lewis KB, Smith M, Carley M, Volk R, Douglas EE, et al.</w:t>
      </w:r>
    </w:p>
    <w:p w14:paraId="4773CC0A" w14:textId="0858FE42" w:rsidR="00680409" w:rsidRPr="00680409" w:rsidRDefault="00680409" w:rsidP="002D2EE2">
      <w:pPr>
        <w:keepLines/>
        <w:autoSpaceDE w:val="0"/>
        <w:autoSpaceDN w:val="0"/>
        <w:adjustRightInd w:val="0"/>
        <w:rPr>
          <w:rFonts w:ascii="Garamond" w:hAnsi="Garamond"/>
          <w:lang w:val="en-AU"/>
        </w:rPr>
      </w:pPr>
      <w:r w:rsidRPr="00680409">
        <w:rPr>
          <w:rFonts w:ascii="Garamond" w:hAnsi="Garamond"/>
          <w:lang w:val="en-AU"/>
        </w:rPr>
        <w:t>Cochrane Database of Systematic Reviews 2024.</w:t>
      </w:r>
    </w:p>
    <w:p w14:paraId="2894B680" w14:textId="77777777" w:rsidR="00680409" w:rsidRDefault="00680409" w:rsidP="002D2EE2">
      <w:pPr>
        <w:keepLines/>
        <w:autoSpaceDE w:val="0"/>
        <w:autoSpaceDN w:val="0"/>
        <w:adjustRightInd w:val="0"/>
        <w:rPr>
          <w:rFonts w:ascii="Garamond" w:hAnsi="Garamond"/>
          <w:i/>
          <w:iCs/>
          <w:lang w:val="en-AU"/>
        </w:rPr>
      </w:pPr>
    </w:p>
    <w:p w14:paraId="4A43BC8B" w14:textId="77777777" w:rsidR="00680409" w:rsidRDefault="00680409" w:rsidP="00680409">
      <w:pPr>
        <w:keepLines/>
        <w:autoSpaceDE w:val="0"/>
        <w:autoSpaceDN w:val="0"/>
        <w:adjustRightInd w:val="0"/>
        <w:rPr>
          <w:rFonts w:ascii="Garamond" w:hAnsi="Garamond"/>
          <w:i/>
          <w:iCs/>
          <w:lang w:val="en-AU"/>
        </w:rPr>
      </w:pPr>
      <w:r w:rsidRPr="00680409">
        <w:rPr>
          <w:rFonts w:ascii="Garamond" w:hAnsi="Garamond"/>
          <w:i/>
          <w:iCs/>
          <w:lang w:val="en-AU"/>
        </w:rPr>
        <w:t>Decision aids: challenges for practice when we have confidence in effectiveness</w:t>
      </w:r>
    </w:p>
    <w:p w14:paraId="0821CB98" w14:textId="77777777" w:rsidR="00680409" w:rsidRPr="00680409" w:rsidRDefault="00680409" w:rsidP="002D2EE2">
      <w:pPr>
        <w:keepLines/>
        <w:autoSpaceDE w:val="0"/>
        <w:autoSpaceDN w:val="0"/>
        <w:adjustRightInd w:val="0"/>
        <w:rPr>
          <w:rFonts w:ascii="Garamond" w:hAnsi="Garamond"/>
          <w:lang w:val="en-AU"/>
        </w:rPr>
      </w:pPr>
      <w:r w:rsidRPr="00680409">
        <w:rPr>
          <w:rFonts w:ascii="Garamond" w:hAnsi="Garamond"/>
          <w:lang w:val="en-AU"/>
        </w:rPr>
        <w:t>Ryan RE, Hill S</w:t>
      </w:r>
    </w:p>
    <w:p w14:paraId="58B34EF2" w14:textId="5E48321E" w:rsidR="00C4378F" w:rsidRDefault="00680409" w:rsidP="00C4378F">
      <w:pPr>
        <w:keepLines/>
        <w:autoSpaceDE w:val="0"/>
        <w:autoSpaceDN w:val="0"/>
        <w:adjustRightInd w:val="0"/>
        <w:rPr>
          <w:rFonts w:ascii="Garamond" w:hAnsi="Garamond"/>
          <w:lang w:val="en-AU"/>
        </w:rPr>
      </w:pPr>
      <w:r w:rsidRPr="00680409">
        <w:rPr>
          <w:rFonts w:ascii="Garamond" w:hAnsi="Garamond"/>
          <w:lang w:val="en-AU"/>
        </w:rPr>
        <w:t>Cochrane Database of Systematic Reviews 2024</w:t>
      </w:r>
    </w:p>
    <w:tbl>
      <w:tblPr>
        <w:tblStyle w:val="TableGrid"/>
        <w:tblW w:w="9360" w:type="dxa"/>
        <w:tblInd w:w="288" w:type="dxa"/>
        <w:tblLayout w:type="fixed"/>
        <w:tblLook w:val="01E0" w:firstRow="1" w:lastRow="1" w:firstColumn="1" w:lastColumn="1" w:noHBand="0" w:noVBand="0"/>
      </w:tblPr>
      <w:tblGrid>
        <w:gridCol w:w="1080"/>
        <w:gridCol w:w="8280"/>
      </w:tblGrid>
      <w:tr w:rsidR="00C4378F" w:rsidRPr="000170DA" w14:paraId="4F9F2A28" w14:textId="77777777" w:rsidTr="00A77912">
        <w:tc>
          <w:tcPr>
            <w:tcW w:w="1080" w:type="dxa"/>
            <w:tcBorders>
              <w:top w:val="single" w:sz="4" w:space="0" w:color="auto"/>
              <w:left w:val="single" w:sz="4" w:space="0" w:color="auto"/>
              <w:bottom w:val="single" w:sz="4" w:space="0" w:color="auto"/>
              <w:right w:val="single" w:sz="4" w:space="0" w:color="auto"/>
            </w:tcBorders>
            <w:vAlign w:val="center"/>
          </w:tcPr>
          <w:p w14:paraId="71E873FA" w14:textId="77777777" w:rsidR="00C4378F" w:rsidRPr="000170DA" w:rsidRDefault="00C4378F" w:rsidP="00A77912">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DDE0045" w14:textId="0CDB5D12" w:rsidR="00C4378F" w:rsidRDefault="00680409" w:rsidP="00A77912">
            <w:pPr>
              <w:keepNext/>
              <w:rPr>
                <w:rStyle w:val="Hyperlink"/>
                <w:rFonts w:ascii="Garamond" w:hAnsi="Garamond"/>
                <w:color w:val="auto"/>
                <w:u w:val="none"/>
                <w:lang w:val="en-AU"/>
              </w:rPr>
            </w:pPr>
            <w:r>
              <w:rPr>
                <w:rStyle w:val="Hyperlink"/>
                <w:rFonts w:ascii="Garamond" w:hAnsi="Garamond"/>
                <w:color w:val="auto"/>
                <w:u w:val="none"/>
                <w:lang w:val="en-AU"/>
              </w:rPr>
              <w:t xml:space="preserve">Stacey et al </w:t>
            </w:r>
            <w:hyperlink r:id="rId26" w:history="1">
              <w:r w:rsidRPr="0086482D">
                <w:rPr>
                  <w:rStyle w:val="Hyperlink"/>
                  <w:rFonts w:ascii="Garamond" w:hAnsi="Garamond"/>
                  <w:lang w:val="en-AU"/>
                </w:rPr>
                <w:t>https://doi.org/10.1002/14651858.CD001431.pub6</w:t>
              </w:r>
            </w:hyperlink>
          </w:p>
          <w:p w14:paraId="7DB62465" w14:textId="56824BEF" w:rsidR="00680409" w:rsidRPr="000170DA" w:rsidRDefault="00680409" w:rsidP="00A77912">
            <w:pPr>
              <w:keepNext/>
              <w:rPr>
                <w:rStyle w:val="Hyperlink"/>
                <w:rFonts w:ascii="Garamond" w:hAnsi="Garamond"/>
                <w:color w:val="auto"/>
                <w:u w:val="none"/>
                <w:lang w:val="en-AU"/>
              </w:rPr>
            </w:pPr>
            <w:r>
              <w:rPr>
                <w:rStyle w:val="Hyperlink"/>
                <w:rFonts w:ascii="Garamond" w:hAnsi="Garamond"/>
                <w:color w:val="auto"/>
                <w:u w:val="none"/>
                <w:lang w:val="en-AU"/>
              </w:rPr>
              <w:t xml:space="preserve">Ryan and Hill </w:t>
            </w:r>
            <w:hyperlink r:id="rId27" w:history="1">
              <w:r w:rsidRPr="0086482D">
                <w:rPr>
                  <w:rStyle w:val="Hyperlink"/>
                  <w:rFonts w:ascii="Garamond" w:hAnsi="Garamond"/>
                  <w:lang w:val="en-AU"/>
                </w:rPr>
                <w:t>https://doi.org/10.1002/14651858.ED000164</w:t>
              </w:r>
            </w:hyperlink>
          </w:p>
        </w:tc>
      </w:tr>
      <w:tr w:rsidR="00C4378F" w:rsidRPr="000170DA" w14:paraId="7F845D7D" w14:textId="77777777" w:rsidTr="00A77912">
        <w:tc>
          <w:tcPr>
            <w:tcW w:w="1080" w:type="dxa"/>
            <w:tcBorders>
              <w:top w:val="single" w:sz="4" w:space="0" w:color="auto"/>
              <w:left w:val="single" w:sz="4" w:space="0" w:color="auto"/>
              <w:bottom w:val="single" w:sz="4" w:space="0" w:color="auto"/>
              <w:right w:val="single" w:sz="4" w:space="0" w:color="auto"/>
            </w:tcBorders>
            <w:vAlign w:val="center"/>
          </w:tcPr>
          <w:p w14:paraId="282116ED" w14:textId="77777777" w:rsidR="00C4378F" w:rsidRPr="000170DA" w:rsidRDefault="00C4378F" w:rsidP="00A779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8794623" w14:textId="7863FC06" w:rsidR="00680409" w:rsidRPr="00D0490E" w:rsidRDefault="009C79EF" w:rsidP="00680409">
            <w:pPr>
              <w:rPr>
                <w:rFonts w:ascii="Garamond" w:hAnsi="Garamond"/>
                <w:lang w:val="en-AU"/>
              </w:rPr>
            </w:pPr>
            <w:r>
              <w:rPr>
                <w:rFonts w:ascii="Garamond" w:hAnsi="Garamond"/>
                <w:lang w:val="en-AU"/>
              </w:rPr>
              <w:t xml:space="preserve">Stacey et al </w:t>
            </w:r>
            <w:r w:rsidR="00680409">
              <w:rPr>
                <w:rFonts w:ascii="Garamond" w:hAnsi="Garamond"/>
                <w:lang w:val="en-AU"/>
              </w:rPr>
              <w:t xml:space="preserve">is an update to </w:t>
            </w:r>
            <w:r w:rsidR="00885BED">
              <w:rPr>
                <w:rFonts w:ascii="Garamond" w:hAnsi="Garamond"/>
                <w:lang w:val="en-AU"/>
              </w:rPr>
              <w:t>a</w:t>
            </w:r>
            <w:r w:rsidR="00680409">
              <w:rPr>
                <w:rFonts w:ascii="Garamond" w:hAnsi="Garamond"/>
                <w:lang w:val="en-AU"/>
              </w:rPr>
              <w:t xml:space="preserve"> Cochrane review that examines th</w:t>
            </w:r>
            <w:r w:rsidR="00680409" w:rsidRPr="00680409">
              <w:rPr>
                <w:rFonts w:ascii="Garamond" w:hAnsi="Garamond"/>
                <w:lang w:val="en-AU"/>
              </w:rPr>
              <w:t>e effects of patient decision aids in adults considering treatment or screening decisions</w:t>
            </w:r>
            <w:r w:rsidR="00680409">
              <w:rPr>
                <w:rFonts w:ascii="Garamond" w:hAnsi="Garamond"/>
                <w:lang w:val="en-AU"/>
              </w:rPr>
              <w:t xml:space="preserve">. </w:t>
            </w:r>
            <w:r w:rsidR="00680409" w:rsidRPr="00680409">
              <w:rPr>
                <w:rFonts w:ascii="Garamond" w:hAnsi="Garamond"/>
                <w:lang w:val="en-AU"/>
              </w:rPr>
              <w:t xml:space="preserve">This review is </w:t>
            </w:r>
            <w:r w:rsidR="00680409">
              <w:rPr>
                <w:rFonts w:ascii="Garamond" w:hAnsi="Garamond"/>
                <w:lang w:val="en-AU"/>
              </w:rPr>
              <w:t xml:space="preserve">apparently the </w:t>
            </w:r>
            <w:r w:rsidR="00680409" w:rsidRPr="00680409">
              <w:rPr>
                <w:rFonts w:ascii="Garamond" w:hAnsi="Garamond"/>
                <w:lang w:val="en-AU"/>
              </w:rPr>
              <w:t xml:space="preserve">Cochrane Consumers and Communication's most highly cited review, </w:t>
            </w:r>
            <w:r w:rsidR="00680409">
              <w:rPr>
                <w:rFonts w:ascii="Garamond" w:hAnsi="Garamond"/>
                <w:lang w:val="en-AU"/>
              </w:rPr>
              <w:t xml:space="preserve">having been </w:t>
            </w:r>
            <w:r w:rsidR="00680409" w:rsidRPr="00680409">
              <w:rPr>
                <w:rFonts w:ascii="Garamond" w:hAnsi="Garamond"/>
                <w:lang w:val="en-AU"/>
              </w:rPr>
              <w:t xml:space="preserve">cited in more than 90 clinical guidelines </w:t>
            </w:r>
            <w:r w:rsidR="00680409">
              <w:rPr>
                <w:rFonts w:ascii="Garamond" w:hAnsi="Garamond"/>
                <w:lang w:val="en-AU"/>
              </w:rPr>
              <w:t>globally</w:t>
            </w:r>
            <w:r w:rsidR="00680409" w:rsidRPr="00680409">
              <w:rPr>
                <w:rFonts w:ascii="Garamond" w:hAnsi="Garamond"/>
                <w:lang w:val="en-AU"/>
              </w:rPr>
              <w:t xml:space="preserve">. This update </w:t>
            </w:r>
            <w:r w:rsidR="00680409">
              <w:rPr>
                <w:rFonts w:ascii="Garamond" w:hAnsi="Garamond"/>
                <w:lang w:val="en-AU"/>
              </w:rPr>
              <w:t xml:space="preserve">added 104 new studies for a total of </w:t>
            </w:r>
            <w:r w:rsidR="00680409" w:rsidRPr="00680409">
              <w:rPr>
                <w:rFonts w:ascii="Garamond" w:hAnsi="Garamond"/>
                <w:lang w:val="en-AU"/>
              </w:rPr>
              <w:t xml:space="preserve">209 studies </w:t>
            </w:r>
            <w:r w:rsidR="00680409">
              <w:rPr>
                <w:rFonts w:ascii="Garamond" w:hAnsi="Garamond"/>
                <w:lang w:val="en-AU"/>
              </w:rPr>
              <w:t xml:space="preserve">covering </w:t>
            </w:r>
            <w:r w:rsidR="00680409" w:rsidRPr="00680409">
              <w:rPr>
                <w:rFonts w:ascii="Garamond" w:hAnsi="Garamond"/>
                <w:lang w:val="en-AU"/>
              </w:rPr>
              <w:t xml:space="preserve">107,698 </w:t>
            </w:r>
            <w:r w:rsidR="00DB4BDC" w:rsidRPr="00680409">
              <w:rPr>
                <w:rFonts w:ascii="Garamond" w:hAnsi="Garamond"/>
                <w:lang w:val="en-AU"/>
              </w:rPr>
              <w:t>participants and</w:t>
            </w:r>
            <w:r w:rsidR="00680409" w:rsidRPr="00680409">
              <w:rPr>
                <w:rFonts w:ascii="Garamond" w:hAnsi="Garamond"/>
                <w:lang w:val="en-AU"/>
              </w:rPr>
              <w:t xml:space="preserve"> </w:t>
            </w:r>
            <w:r w:rsidR="00680409">
              <w:rPr>
                <w:rFonts w:ascii="Garamond" w:hAnsi="Garamond"/>
                <w:lang w:val="en-AU"/>
              </w:rPr>
              <w:t xml:space="preserve">describes </w:t>
            </w:r>
            <w:r w:rsidR="00680409" w:rsidRPr="00680409">
              <w:rPr>
                <w:rFonts w:ascii="Garamond" w:hAnsi="Garamond"/>
                <w:lang w:val="en-AU"/>
              </w:rPr>
              <w:t xml:space="preserve">evidence of the benefits of the use of decision aids over usual care across a </w:t>
            </w:r>
            <w:r w:rsidR="00680409">
              <w:rPr>
                <w:rFonts w:ascii="Garamond" w:hAnsi="Garamond"/>
                <w:lang w:val="en-AU"/>
              </w:rPr>
              <w:t xml:space="preserve">range </w:t>
            </w:r>
            <w:r w:rsidR="00680409" w:rsidRPr="00680409">
              <w:rPr>
                <w:rFonts w:ascii="Garamond" w:hAnsi="Garamond"/>
                <w:lang w:val="en-AU"/>
              </w:rPr>
              <w:t>of health decisions. An accompanying editorial</w:t>
            </w:r>
            <w:r w:rsidR="00680409">
              <w:rPr>
                <w:rFonts w:ascii="Garamond" w:hAnsi="Garamond"/>
                <w:lang w:val="en-AU"/>
              </w:rPr>
              <w:t xml:space="preserve"> (Ryan and Hill)</w:t>
            </w:r>
            <w:r w:rsidR="00680409" w:rsidRPr="00680409">
              <w:rPr>
                <w:rFonts w:ascii="Garamond" w:hAnsi="Garamond"/>
                <w:lang w:val="en-AU"/>
              </w:rPr>
              <w:t xml:space="preserve"> and podcast</w:t>
            </w:r>
            <w:r w:rsidR="00680409">
              <w:rPr>
                <w:rFonts w:ascii="Garamond" w:hAnsi="Garamond"/>
                <w:lang w:val="en-AU"/>
              </w:rPr>
              <w:t xml:space="preserve"> (with the lead author Professor Dawn Stacey)</w:t>
            </w:r>
            <w:r w:rsidR="00680409" w:rsidRPr="00680409">
              <w:rPr>
                <w:rFonts w:ascii="Garamond" w:hAnsi="Garamond"/>
                <w:lang w:val="en-AU"/>
              </w:rPr>
              <w:t xml:space="preserve"> have also been published </w:t>
            </w:r>
            <w:r w:rsidR="00680409">
              <w:rPr>
                <w:rFonts w:ascii="Garamond" w:hAnsi="Garamond"/>
                <w:lang w:val="en-AU"/>
              </w:rPr>
              <w:t xml:space="preserve">with the </w:t>
            </w:r>
            <w:r w:rsidR="00680409" w:rsidRPr="00680409">
              <w:rPr>
                <w:rFonts w:ascii="Garamond" w:hAnsi="Garamond"/>
                <w:lang w:val="en-AU"/>
              </w:rPr>
              <w:t>review</w:t>
            </w:r>
            <w:r w:rsidR="00680409">
              <w:rPr>
                <w:rFonts w:ascii="Garamond" w:hAnsi="Garamond"/>
                <w:lang w:val="en-AU"/>
              </w:rPr>
              <w:t xml:space="preserve"> and </w:t>
            </w:r>
            <w:r w:rsidR="00680409" w:rsidRPr="00680409">
              <w:rPr>
                <w:rFonts w:ascii="Garamond" w:hAnsi="Garamond"/>
                <w:lang w:val="en-AU"/>
              </w:rPr>
              <w:t xml:space="preserve">are available </w:t>
            </w:r>
            <w:r w:rsidR="00680409">
              <w:rPr>
                <w:rFonts w:ascii="Garamond" w:hAnsi="Garamond"/>
                <w:lang w:val="en-AU"/>
              </w:rPr>
              <w:t xml:space="preserve">at </w:t>
            </w:r>
            <w:hyperlink r:id="rId28" w:history="1">
              <w:r w:rsidR="00680409" w:rsidRPr="0086482D">
                <w:rPr>
                  <w:rStyle w:val="Hyperlink"/>
                  <w:rFonts w:ascii="Garamond" w:hAnsi="Garamond"/>
                  <w:lang w:val="en-AU"/>
                </w:rPr>
                <w:t>https://www.cochrane.org/news/decision-aids-people-facing-health-treatment-or-screening-decisions</w:t>
              </w:r>
            </w:hyperlink>
            <w:r w:rsidR="00680409">
              <w:rPr>
                <w:rFonts w:ascii="Garamond" w:hAnsi="Garamond"/>
                <w:lang w:val="en-AU"/>
              </w:rPr>
              <w:t xml:space="preserve"> </w:t>
            </w:r>
          </w:p>
        </w:tc>
      </w:tr>
    </w:tbl>
    <w:p w14:paraId="3964892C" w14:textId="77777777" w:rsidR="002D2EE2" w:rsidRDefault="002D2EE2" w:rsidP="002D2EE2">
      <w:pPr>
        <w:keepLines/>
        <w:autoSpaceDE w:val="0"/>
        <w:autoSpaceDN w:val="0"/>
        <w:adjustRightInd w:val="0"/>
        <w:rPr>
          <w:rFonts w:ascii="Garamond" w:hAnsi="Garamond"/>
          <w:lang w:val="en-AU"/>
        </w:rPr>
      </w:pPr>
    </w:p>
    <w:p w14:paraId="73FC8B43" w14:textId="760E7A4E" w:rsidR="00680409" w:rsidRDefault="00680409" w:rsidP="00680409">
      <w:pPr>
        <w:keepLines/>
        <w:autoSpaceDE w:val="0"/>
        <w:autoSpaceDN w:val="0"/>
        <w:adjustRightInd w:val="0"/>
        <w:rPr>
          <w:rStyle w:val="Hyperlink"/>
          <w:rFonts w:ascii="Garamond" w:hAnsi="Garamond"/>
          <w:lang w:val="en-AU"/>
        </w:rPr>
      </w:pPr>
      <w:r>
        <w:rPr>
          <w:rFonts w:ascii="Garamond" w:hAnsi="Garamond"/>
          <w:lang w:val="en-AU"/>
        </w:rPr>
        <w:t xml:space="preserve">For information on the Commission’s work on shared decision making, see </w:t>
      </w:r>
      <w:hyperlink r:id="rId29" w:history="1">
        <w:r w:rsidRPr="0086482D">
          <w:rPr>
            <w:rStyle w:val="Hyperlink"/>
            <w:rFonts w:ascii="Garamond" w:hAnsi="Garamond"/>
            <w:lang w:val="en-AU"/>
          </w:rPr>
          <w:t>https://www.safetyandquality.gov.au/our-work/partnering-consumers/shared-decision-making</w:t>
        </w:r>
      </w:hyperlink>
    </w:p>
    <w:p w14:paraId="7D81E8C2" w14:textId="77777777" w:rsidR="00BF0972" w:rsidRDefault="00BF0972" w:rsidP="00680409">
      <w:pPr>
        <w:keepLines/>
        <w:autoSpaceDE w:val="0"/>
        <w:autoSpaceDN w:val="0"/>
        <w:adjustRightInd w:val="0"/>
        <w:rPr>
          <w:rFonts w:ascii="Garamond" w:hAnsi="Garamond"/>
          <w:lang w:val="en-AU"/>
        </w:rPr>
      </w:pPr>
    </w:p>
    <w:p w14:paraId="748BC63A" w14:textId="005F7756" w:rsidR="00680409" w:rsidRPr="00B662C9" w:rsidRDefault="00680409" w:rsidP="00680409">
      <w:pPr>
        <w:keepLines/>
        <w:autoSpaceDE w:val="0"/>
        <w:autoSpaceDN w:val="0"/>
        <w:adjustRightInd w:val="0"/>
        <w:rPr>
          <w:rFonts w:ascii="Garamond" w:hAnsi="Garamond"/>
          <w:lang w:val="en-AU"/>
        </w:rPr>
      </w:pPr>
      <w:r>
        <w:rPr>
          <w:rFonts w:ascii="Garamond" w:hAnsi="Garamond"/>
          <w:lang w:val="en-AU"/>
        </w:rPr>
        <w:t xml:space="preserve">For information on the Commission’s work on decision support tools, see </w:t>
      </w:r>
      <w:hyperlink r:id="rId30" w:history="1">
        <w:r w:rsidRPr="0086482D">
          <w:rPr>
            <w:rStyle w:val="Hyperlink"/>
            <w:rFonts w:ascii="Garamond" w:hAnsi="Garamond"/>
            <w:lang w:val="en-AU"/>
          </w:rPr>
          <w:t>https://www.safetyandquality.gov.au/our-work/partnering-consumers/shared-decision-making/decision-support-tools-specific-conditions</w:t>
        </w:r>
      </w:hyperlink>
    </w:p>
    <w:p w14:paraId="41C00944" w14:textId="77777777" w:rsidR="00BF0972" w:rsidRDefault="00BF0972" w:rsidP="00680409">
      <w:pPr>
        <w:keepLines/>
        <w:autoSpaceDE w:val="0"/>
        <w:autoSpaceDN w:val="0"/>
        <w:adjustRightInd w:val="0"/>
        <w:rPr>
          <w:rFonts w:ascii="Garamond" w:hAnsi="Garamond"/>
          <w:lang w:val="en-AU"/>
        </w:rPr>
      </w:pPr>
    </w:p>
    <w:p w14:paraId="579E7217" w14:textId="7BCB4FC4" w:rsidR="00680409" w:rsidRPr="00B662C9" w:rsidRDefault="00680409" w:rsidP="00680409">
      <w:pPr>
        <w:keepLines/>
        <w:autoSpaceDE w:val="0"/>
        <w:autoSpaceDN w:val="0"/>
        <w:adjustRightInd w:val="0"/>
        <w:rPr>
          <w:rFonts w:ascii="Garamond" w:hAnsi="Garamond"/>
          <w:lang w:val="en-AU"/>
        </w:rPr>
      </w:pPr>
      <w:r>
        <w:rPr>
          <w:rFonts w:ascii="Garamond" w:hAnsi="Garamond"/>
          <w:lang w:val="en-AU"/>
        </w:rPr>
        <w:t xml:space="preserve">For information on the Commission’s work on person-centred care, see </w:t>
      </w:r>
      <w:hyperlink r:id="rId31" w:history="1">
        <w:r w:rsidRPr="005631A6">
          <w:rPr>
            <w:rStyle w:val="Hyperlink"/>
            <w:rFonts w:ascii="Garamond" w:hAnsi="Garamond"/>
            <w:lang w:val="en-AU"/>
          </w:rPr>
          <w:t>https://www.safetyandquality.gov.au/our-work/partnering-consumers/person-centred-care</w:t>
        </w:r>
      </w:hyperlink>
    </w:p>
    <w:p w14:paraId="1D52C9A0" w14:textId="77777777" w:rsidR="00620C1E" w:rsidRDefault="00620C1E" w:rsidP="00620C1E">
      <w:pPr>
        <w:keepLines/>
        <w:autoSpaceDE w:val="0"/>
        <w:autoSpaceDN w:val="0"/>
        <w:adjustRightInd w:val="0"/>
        <w:rPr>
          <w:rFonts w:ascii="Garamond" w:hAnsi="Garamond"/>
          <w:lang w:val="en-AU"/>
        </w:rPr>
      </w:pPr>
    </w:p>
    <w:p w14:paraId="690DA0D2" w14:textId="77777777" w:rsidR="006078E3" w:rsidRPr="006078E3" w:rsidRDefault="006078E3" w:rsidP="006078E3">
      <w:pPr>
        <w:keepLines/>
        <w:autoSpaceDE w:val="0"/>
        <w:autoSpaceDN w:val="0"/>
        <w:adjustRightInd w:val="0"/>
        <w:rPr>
          <w:rFonts w:ascii="Garamond" w:hAnsi="Garamond"/>
          <w:i/>
          <w:iCs/>
          <w:lang w:val="en-AU"/>
        </w:rPr>
      </w:pPr>
      <w:r w:rsidRPr="006078E3">
        <w:rPr>
          <w:rFonts w:ascii="Garamond" w:hAnsi="Garamond"/>
          <w:i/>
          <w:iCs/>
          <w:lang w:val="en-AU"/>
        </w:rPr>
        <w:t xml:space="preserve">Hospital staff reports of coworker positive and unprofessional behaviours across eight hospitals: who reports what about whom? </w:t>
      </w:r>
    </w:p>
    <w:p w14:paraId="3A22ACC2" w14:textId="77777777" w:rsidR="006078E3" w:rsidRDefault="006078E3" w:rsidP="00620C1E">
      <w:pPr>
        <w:keepLines/>
        <w:autoSpaceDE w:val="0"/>
        <w:autoSpaceDN w:val="0"/>
        <w:adjustRightInd w:val="0"/>
        <w:rPr>
          <w:rFonts w:ascii="Garamond" w:hAnsi="Garamond"/>
          <w:lang w:val="en-AU"/>
        </w:rPr>
      </w:pPr>
      <w:r w:rsidRPr="006078E3">
        <w:rPr>
          <w:rFonts w:ascii="Garamond" w:hAnsi="Garamond"/>
          <w:lang w:val="en-AU"/>
        </w:rPr>
        <w:t>Urwin R, Pavithra A, McMullan RD, Churruca K, Loh E, Moore C, et al</w:t>
      </w:r>
    </w:p>
    <w:p w14:paraId="3CD4764C" w14:textId="36A7CAC2" w:rsidR="006078E3" w:rsidRDefault="006078E3" w:rsidP="00620C1E">
      <w:pPr>
        <w:keepLines/>
        <w:autoSpaceDE w:val="0"/>
        <w:autoSpaceDN w:val="0"/>
        <w:adjustRightInd w:val="0"/>
        <w:rPr>
          <w:rFonts w:ascii="Garamond" w:hAnsi="Garamond"/>
          <w:lang w:val="en-AU"/>
        </w:rPr>
      </w:pPr>
      <w:r w:rsidRPr="006078E3">
        <w:rPr>
          <w:rFonts w:ascii="Garamond" w:hAnsi="Garamond"/>
          <w:lang w:val="en-AU"/>
        </w:rPr>
        <w:t>BMJ Open Quality 2023;12(4):e002413.</w:t>
      </w:r>
    </w:p>
    <w:tbl>
      <w:tblPr>
        <w:tblStyle w:val="TableGrid"/>
        <w:tblW w:w="9360" w:type="dxa"/>
        <w:tblInd w:w="288" w:type="dxa"/>
        <w:tblLayout w:type="fixed"/>
        <w:tblLook w:val="01E0" w:firstRow="1" w:lastRow="1" w:firstColumn="1" w:lastColumn="1" w:noHBand="0" w:noVBand="0"/>
      </w:tblPr>
      <w:tblGrid>
        <w:gridCol w:w="1080"/>
        <w:gridCol w:w="8280"/>
      </w:tblGrid>
      <w:tr w:rsidR="00620C1E" w:rsidRPr="000170DA" w14:paraId="100401A8" w14:textId="77777777" w:rsidTr="00BD480D">
        <w:tc>
          <w:tcPr>
            <w:tcW w:w="1080" w:type="dxa"/>
            <w:tcBorders>
              <w:top w:val="single" w:sz="4" w:space="0" w:color="auto"/>
              <w:left w:val="single" w:sz="4" w:space="0" w:color="auto"/>
              <w:bottom w:val="single" w:sz="4" w:space="0" w:color="auto"/>
              <w:right w:val="single" w:sz="4" w:space="0" w:color="auto"/>
            </w:tcBorders>
            <w:vAlign w:val="center"/>
          </w:tcPr>
          <w:p w14:paraId="02CC2815" w14:textId="77777777" w:rsidR="00620C1E" w:rsidRPr="000170DA" w:rsidRDefault="00620C1E" w:rsidP="00BD480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D2A6F7D" w14:textId="20F3631C" w:rsidR="00620C1E" w:rsidRPr="000170DA" w:rsidRDefault="00000000" w:rsidP="00BD480D">
            <w:pPr>
              <w:keepNext/>
              <w:rPr>
                <w:rStyle w:val="Hyperlink"/>
                <w:rFonts w:ascii="Garamond" w:hAnsi="Garamond"/>
                <w:color w:val="auto"/>
                <w:u w:val="none"/>
                <w:lang w:val="en-AU"/>
              </w:rPr>
            </w:pPr>
            <w:hyperlink r:id="rId32" w:history="1">
              <w:r w:rsidR="00F32E9E" w:rsidRPr="0086482D">
                <w:rPr>
                  <w:rStyle w:val="Hyperlink"/>
                  <w:rFonts w:ascii="Garamond" w:hAnsi="Garamond"/>
                  <w:lang w:val="en-AU"/>
                </w:rPr>
                <w:t>https://doi.org/10.1136/bmjoq-2023-002413</w:t>
              </w:r>
            </w:hyperlink>
          </w:p>
        </w:tc>
      </w:tr>
      <w:tr w:rsidR="00620C1E" w:rsidRPr="000170DA" w14:paraId="2B385FEA" w14:textId="77777777" w:rsidTr="00BD480D">
        <w:tc>
          <w:tcPr>
            <w:tcW w:w="1080" w:type="dxa"/>
            <w:tcBorders>
              <w:top w:val="single" w:sz="4" w:space="0" w:color="auto"/>
              <w:left w:val="single" w:sz="4" w:space="0" w:color="auto"/>
              <w:bottom w:val="single" w:sz="4" w:space="0" w:color="auto"/>
              <w:right w:val="single" w:sz="4" w:space="0" w:color="auto"/>
            </w:tcBorders>
            <w:vAlign w:val="center"/>
          </w:tcPr>
          <w:p w14:paraId="04C03C2A" w14:textId="77777777" w:rsidR="00620C1E" w:rsidRPr="000170DA" w:rsidRDefault="00620C1E" w:rsidP="00BD480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3B6572B" w14:textId="77777777" w:rsidR="00F32E9E" w:rsidRDefault="006078E3" w:rsidP="00BD480D">
            <w:pPr>
              <w:rPr>
                <w:rFonts w:ascii="Garamond" w:hAnsi="Garamond"/>
                <w:lang w:val="en-AU"/>
              </w:rPr>
            </w:pPr>
            <w:r>
              <w:rPr>
                <w:rFonts w:ascii="Garamond" w:hAnsi="Garamond"/>
                <w:lang w:val="en-AU"/>
              </w:rPr>
              <w:t xml:space="preserve">Australian study examining the impact of ‘A </w:t>
            </w:r>
            <w:r w:rsidRPr="006078E3">
              <w:rPr>
                <w:rFonts w:ascii="Garamond" w:hAnsi="Garamond"/>
                <w:lang w:val="en-AU"/>
              </w:rPr>
              <w:t xml:space="preserve">whole-of-hospital culture change programme, Ethos, </w:t>
            </w:r>
            <w:r w:rsidR="00F32E9E">
              <w:rPr>
                <w:rFonts w:ascii="Garamond" w:hAnsi="Garamond"/>
                <w:lang w:val="en-AU"/>
              </w:rPr>
              <w:t xml:space="preserve">… </w:t>
            </w:r>
            <w:r w:rsidRPr="006078E3">
              <w:rPr>
                <w:rFonts w:ascii="Garamond" w:hAnsi="Garamond"/>
                <w:lang w:val="en-AU"/>
              </w:rPr>
              <w:t>implemented by St. Vincent’s Health Australia across eight hospita</w:t>
            </w:r>
            <w:r>
              <w:rPr>
                <w:rFonts w:ascii="Garamond" w:hAnsi="Garamond"/>
                <w:lang w:val="en-AU"/>
              </w:rPr>
              <w:t>ls’. The Ethos programme ‘</w:t>
            </w:r>
            <w:r w:rsidRPr="006078E3">
              <w:rPr>
                <w:rFonts w:ascii="Garamond" w:hAnsi="Garamond"/>
                <w:lang w:val="en-AU"/>
              </w:rPr>
              <w:t>includes a secure online submission system that allows staff across all professional groups to report positive (Feedback for Recognition) and negative (Feedback for Reflection) coworker behaviours.</w:t>
            </w:r>
            <w:r>
              <w:rPr>
                <w:rFonts w:ascii="Garamond" w:hAnsi="Garamond"/>
                <w:lang w:val="en-AU"/>
              </w:rPr>
              <w:t>’ In the period 2017–2020 there were a total of 2504 submissions, including 1194 (47.7%) positive and 1310 (52.3% negative. The authors note that</w:t>
            </w:r>
            <w:r w:rsidR="00F32E9E">
              <w:rPr>
                <w:rFonts w:ascii="Garamond" w:hAnsi="Garamond"/>
                <w:lang w:val="en-AU"/>
              </w:rPr>
              <w:t>:</w:t>
            </w:r>
          </w:p>
          <w:p w14:paraId="66D9BB9B" w14:textId="653AFF8F" w:rsidR="00F32E9E" w:rsidRPr="00F32E9E" w:rsidRDefault="00F32E9E" w:rsidP="00F32E9E">
            <w:pPr>
              <w:pStyle w:val="ListParagraph"/>
              <w:numPr>
                <w:ilvl w:val="0"/>
                <w:numId w:val="32"/>
              </w:numPr>
              <w:rPr>
                <w:rFonts w:ascii="Garamond" w:hAnsi="Garamond"/>
                <w:lang w:val="en-AU"/>
              </w:rPr>
            </w:pPr>
            <w:r w:rsidRPr="00F32E9E">
              <w:rPr>
                <w:rFonts w:ascii="Garamond" w:hAnsi="Garamond"/>
                <w:lang w:val="en-AU"/>
              </w:rPr>
              <w:t xml:space="preserve">‘Frequently reported positive coworker behaviours were non-technical skills (79.3%, N=947); values-driven behaviours (72.5%, N=866); and actions that enhanced patient care (51.3%, N=612).’ </w:t>
            </w:r>
          </w:p>
          <w:p w14:paraId="5DD0B83A" w14:textId="6F3BEE04" w:rsidR="006078E3" w:rsidRPr="00F32E9E" w:rsidRDefault="00F32E9E" w:rsidP="00F32E9E">
            <w:pPr>
              <w:pStyle w:val="ListParagraph"/>
              <w:numPr>
                <w:ilvl w:val="0"/>
                <w:numId w:val="32"/>
              </w:numPr>
              <w:rPr>
                <w:rFonts w:ascii="Garamond" w:hAnsi="Garamond"/>
                <w:lang w:val="en-AU"/>
              </w:rPr>
            </w:pPr>
            <w:r w:rsidRPr="00F32E9E">
              <w:rPr>
                <w:rFonts w:ascii="Garamond" w:hAnsi="Garamond"/>
                <w:lang w:val="en-AU"/>
              </w:rPr>
              <w:t>‘Overall, the most frequently reported unprofessional behaviours were being rude (53.8%, N=705); humiliating or ridiculing others (26%, N=346); and ignoring others’ opinions (24.6%, N=322).’</w:t>
            </w:r>
          </w:p>
        </w:tc>
      </w:tr>
    </w:tbl>
    <w:p w14:paraId="2CC45B7E" w14:textId="77777777" w:rsidR="00620C1E" w:rsidRDefault="00620C1E" w:rsidP="00620C1E">
      <w:pPr>
        <w:keepLines/>
        <w:autoSpaceDE w:val="0"/>
        <w:autoSpaceDN w:val="0"/>
        <w:adjustRightInd w:val="0"/>
        <w:rPr>
          <w:rFonts w:ascii="Garamond" w:hAnsi="Garamond"/>
          <w:lang w:val="en-AU"/>
        </w:rPr>
      </w:pPr>
    </w:p>
    <w:p w14:paraId="3BAFC8E8" w14:textId="77777777" w:rsidR="003E5574" w:rsidRPr="00AA728C" w:rsidRDefault="003E5574" w:rsidP="000A2C7C">
      <w:pPr>
        <w:keepNext/>
        <w:keepLines/>
        <w:autoSpaceDE w:val="0"/>
        <w:autoSpaceDN w:val="0"/>
        <w:adjustRightInd w:val="0"/>
        <w:rPr>
          <w:rFonts w:ascii="Garamond" w:hAnsi="Garamond"/>
          <w:i/>
          <w:iCs/>
          <w:lang w:val="en-AU"/>
        </w:rPr>
      </w:pPr>
      <w:r w:rsidRPr="00AA728C">
        <w:rPr>
          <w:rFonts w:ascii="Garamond" w:hAnsi="Garamond"/>
          <w:i/>
          <w:iCs/>
          <w:lang w:val="en-AU"/>
        </w:rPr>
        <w:lastRenderedPageBreak/>
        <w:t>Society of Critical Care Medicine Guidelines on Recognizing and Responding to Clinical Deterioration Outside the ICU: 2023</w:t>
      </w:r>
    </w:p>
    <w:p w14:paraId="61BB4239" w14:textId="77777777" w:rsidR="003E5574" w:rsidRDefault="003E5574" w:rsidP="000A2C7C">
      <w:pPr>
        <w:keepNext/>
        <w:keepLines/>
        <w:autoSpaceDE w:val="0"/>
        <w:autoSpaceDN w:val="0"/>
        <w:adjustRightInd w:val="0"/>
        <w:rPr>
          <w:rFonts w:ascii="Garamond" w:hAnsi="Garamond"/>
          <w:lang w:val="en-AU"/>
        </w:rPr>
      </w:pPr>
      <w:r w:rsidRPr="00AA728C">
        <w:rPr>
          <w:rFonts w:ascii="Garamond" w:hAnsi="Garamond"/>
          <w:lang w:val="en-AU"/>
        </w:rPr>
        <w:t>Honarmand K, Wax RS, Penoyer D, Lighthall G, Danesh V, Rochwerg B, et al</w:t>
      </w:r>
    </w:p>
    <w:p w14:paraId="67E86BA8" w14:textId="77777777" w:rsidR="003E5574" w:rsidRDefault="003E5574" w:rsidP="000A2C7C">
      <w:pPr>
        <w:keepNext/>
        <w:keepLines/>
        <w:autoSpaceDE w:val="0"/>
        <w:autoSpaceDN w:val="0"/>
        <w:adjustRightInd w:val="0"/>
        <w:rPr>
          <w:rFonts w:ascii="Garamond" w:hAnsi="Garamond"/>
          <w:lang w:val="en-AU"/>
        </w:rPr>
      </w:pPr>
      <w:r w:rsidRPr="00AA728C">
        <w:rPr>
          <w:rFonts w:ascii="Garamond" w:hAnsi="Garamond"/>
          <w:lang w:val="en-AU"/>
        </w:rPr>
        <w:t>Critical Care Medicine 2024;52(2):314-330.</w:t>
      </w:r>
    </w:p>
    <w:tbl>
      <w:tblPr>
        <w:tblStyle w:val="TableGrid"/>
        <w:tblW w:w="9360" w:type="dxa"/>
        <w:tblInd w:w="288" w:type="dxa"/>
        <w:tblLayout w:type="fixed"/>
        <w:tblLook w:val="01E0" w:firstRow="1" w:lastRow="1" w:firstColumn="1" w:lastColumn="1" w:noHBand="0" w:noVBand="0"/>
      </w:tblPr>
      <w:tblGrid>
        <w:gridCol w:w="1080"/>
        <w:gridCol w:w="8280"/>
      </w:tblGrid>
      <w:tr w:rsidR="003E5574" w:rsidRPr="000170DA" w14:paraId="262347D2" w14:textId="77777777" w:rsidTr="000971EB">
        <w:tc>
          <w:tcPr>
            <w:tcW w:w="1080" w:type="dxa"/>
            <w:tcBorders>
              <w:top w:val="single" w:sz="4" w:space="0" w:color="auto"/>
              <w:left w:val="single" w:sz="4" w:space="0" w:color="auto"/>
              <w:bottom w:val="single" w:sz="4" w:space="0" w:color="auto"/>
              <w:right w:val="single" w:sz="4" w:space="0" w:color="auto"/>
            </w:tcBorders>
            <w:vAlign w:val="center"/>
          </w:tcPr>
          <w:p w14:paraId="5A76FBE6" w14:textId="77777777" w:rsidR="003E5574" w:rsidRPr="000170DA" w:rsidRDefault="003E5574" w:rsidP="000971E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1AA87AA" w14:textId="77777777" w:rsidR="003E5574" w:rsidRPr="000170DA" w:rsidRDefault="00000000" w:rsidP="000971EB">
            <w:pPr>
              <w:keepNext/>
              <w:rPr>
                <w:rStyle w:val="Hyperlink"/>
                <w:rFonts w:ascii="Garamond" w:hAnsi="Garamond"/>
                <w:color w:val="auto"/>
                <w:u w:val="none"/>
                <w:lang w:val="en-AU"/>
              </w:rPr>
            </w:pPr>
            <w:hyperlink r:id="rId33" w:history="1">
              <w:r w:rsidR="003E5574" w:rsidRPr="004C7401">
                <w:rPr>
                  <w:rStyle w:val="Hyperlink"/>
                  <w:rFonts w:ascii="Garamond" w:hAnsi="Garamond"/>
                  <w:lang w:val="en-AU"/>
                </w:rPr>
                <w:t>https://doi.org/10.1097/ccm.0000000000006072</w:t>
              </w:r>
            </w:hyperlink>
          </w:p>
        </w:tc>
      </w:tr>
      <w:tr w:rsidR="003E5574" w:rsidRPr="000170DA" w14:paraId="70415EF2" w14:textId="77777777" w:rsidTr="000971EB">
        <w:tc>
          <w:tcPr>
            <w:tcW w:w="1080" w:type="dxa"/>
            <w:tcBorders>
              <w:top w:val="single" w:sz="4" w:space="0" w:color="auto"/>
              <w:left w:val="single" w:sz="4" w:space="0" w:color="auto"/>
              <w:bottom w:val="single" w:sz="4" w:space="0" w:color="auto"/>
              <w:right w:val="single" w:sz="4" w:space="0" w:color="auto"/>
            </w:tcBorders>
            <w:vAlign w:val="center"/>
          </w:tcPr>
          <w:p w14:paraId="32870C92" w14:textId="77777777" w:rsidR="003E5574" w:rsidRPr="000170DA" w:rsidRDefault="003E5574" w:rsidP="000971E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1FA093F" w14:textId="77777777" w:rsidR="003E5574" w:rsidRPr="00D0490E" w:rsidRDefault="003E5574" w:rsidP="000971EB">
            <w:pPr>
              <w:rPr>
                <w:rFonts w:ascii="Garamond" w:hAnsi="Garamond"/>
                <w:lang w:val="en-AU"/>
              </w:rPr>
            </w:pPr>
            <w:r>
              <w:rPr>
                <w:rFonts w:ascii="Garamond" w:hAnsi="Garamond"/>
                <w:lang w:val="en-AU"/>
              </w:rPr>
              <w:t>Piece offering ‘</w:t>
            </w:r>
            <w:r w:rsidRPr="00FD277F">
              <w:rPr>
                <w:rFonts w:ascii="Garamond" w:hAnsi="Garamond"/>
                <w:lang w:val="en-AU"/>
              </w:rPr>
              <w:t>evidence-based recommendations for hospital clinicians and administrators to optimize recognition and response to clinical deterioration in non-ICU patients.</w:t>
            </w:r>
            <w:r>
              <w:rPr>
                <w:rFonts w:ascii="Garamond" w:hAnsi="Garamond"/>
                <w:lang w:val="en-AU"/>
              </w:rPr>
              <w:t>’ This guidance stems from a 25-member panel convened by the Society Of Critical Care Medicine. The recommendations relate to both r</w:t>
            </w:r>
            <w:r w:rsidRPr="00FD277F">
              <w:rPr>
                <w:rFonts w:ascii="Garamond" w:hAnsi="Garamond"/>
                <w:lang w:val="en-AU"/>
              </w:rPr>
              <w:t xml:space="preserve">ecognizing </w:t>
            </w:r>
            <w:r>
              <w:rPr>
                <w:rFonts w:ascii="Garamond" w:hAnsi="Garamond"/>
                <w:lang w:val="en-AU"/>
              </w:rPr>
              <w:t xml:space="preserve">and responding to </w:t>
            </w:r>
            <w:r w:rsidRPr="00FD277F">
              <w:rPr>
                <w:rFonts w:ascii="Garamond" w:hAnsi="Garamond"/>
                <w:lang w:val="en-AU"/>
              </w:rPr>
              <w:t>clinical deterioration</w:t>
            </w:r>
            <w:r>
              <w:rPr>
                <w:rFonts w:ascii="Garamond" w:hAnsi="Garamond"/>
                <w:lang w:val="en-AU"/>
              </w:rPr>
              <w:t>.</w:t>
            </w:r>
          </w:p>
        </w:tc>
      </w:tr>
    </w:tbl>
    <w:p w14:paraId="16E45870" w14:textId="77777777" w:rsidR="003E5574" w:rsidRDefault="003E5574" w:rsidP="003E5574">
      <w:pPr>
        <w:keepLines/>
        <w:autoSpaceDE w:val="0"/>
        <w:autoSpaceDN w:val="0"/>
        <w:adjustRightInd w:val="0"/>
        <w:rPr>
          <w:rFonts w:ascii="Garamond" w:hAnsi="Garamond"/>
          <w:lang w:val="en-AU"/>
        </w:rPr>
      </w:pPr>
    </w:p>
    <w:p w14:paraId="51218818" w14:textId="77777777" w:rsidR="003E5574" w:rsidRDefault="003E5574" w:rsidP="003E5574">
      <w:pPr>
        <w:keepLines/>
        <w:autoSpaceDE w:val="0"/>
        <w:autoSpaceDN w:val="0"/>
        <w:adjustRightInd w:val="0"/>
        <w:rPr>
          <w:rFonts w:ascii="Garamond" w:hAnsi="Garamond"/>
          <w:lang w:val="en-AU"/>
        </w:rPr>
      </w:pPr>
      <w:r>
        <w:rPr>
          <w:rFonts w:ascii="Garamond" w:hAnsi="Garamond"/>
          <w:lang w:val="en-AU"/>
        </w:rPr>
        <w:t xml:space="preserve">For information on the Commission’s work on </w:t>
      </w:r>
      <w:r w:rsidRPr="00F305F1">
        <w:rPr>
          <w:rFonts w:ascii="Garamond" w:hAnsi="Garamond"/>
          <w:lang w:val="en-AU"/>
        </w:rPr>
        <w:t>Recognising and responding to deterioration</w:t>
      </w:r>
      <w:r>
        <w:rPr>
          <w:rFonts w:ascii="Garamond" w:hAnsi="Garamond"/>
          <w:lang w:val="en-AU"/>
        </w:rPr>
        <w:t xml:space="preserve">, see </w:t>
      </w:r>
      <w:hyperlink r:id="rId34" w:history="1">
        <w:r w:rsidRPr="004C7401">
          <w:rPr>
            <w:rStyle w:val="Hyperlink"/>
            <w:rFonts w:ascii="Garamond" w:hAnsi="Garamond"/>
            <w:lang w:val="en-AU"/>
          </w:rPr>
          <w:t>https://www.safetyandquality.gov.au/our-work/recognising-and-responding-deterioration</w:t>
        </w:r>
      </w:hyperlink>
    </w:p>
    <w:p w14:paraId="0E6EDE88" w14:textId="77777777" w:rsidR="003E5574" w:rsidRDefault="003E5574" w:rsidP="003E5574">
      <w:pPr>
        <w:keepLines/>
        <w:autoSpaceDE w:val="0"/>
        <w:autoSpaceDN w:val="0"/>
        <w:adjustRightInd w:val="0"/>
        <w:rPr>
          <w:rFonts w:ascii="Garamond" w:hAnsi="Garamond"/>
          <w:lang w:val="en-AU"/>
        </w:rPr>
      </w:pPr>
    </w:p>
    <w:p w14:paraId="727AE161" w14:textId="77777777" w:rsidR="005A0FDD" w:rsidRPr="005F34EC" w:rsidRDefault="005A0FDD" w:rsidP="005A0FDD">
      <w:pPr>
        <w:keepNext/>
        <w:rPr>
          <w:rFonts w:ascii="Garamond" w:hAnsi="Garamond"/>
          <w:i/>
          <w:iCs/>
          <w:lang w:val="en-AU"/>
        </w:rPr>
      </w:pPr>
      <w:r w:rsidRPr="005F34EC">
        <w:rPr>
          <w:rFonts w:ascii="Garamond" w:hAnsi="Garamond"/>
          <w:i/>
          <w:iCs/>
          <w:lang w:val="en-AU"/>
        </w:rPr>
        <w:t>Association between surgeon volume and patient outcomes after elective shoulder replacement surgery using data from the National Joint Registry and Hospital Episode Statistics for England: population based cohort study</w:t>
      </w:r>
    </w:p>
    <w:p w14:paraId="6F25405E" w14:textId="77777777" w:rsidR="005A0FDD" w:rsidRPr="005F34EC" w:rsidRDefault="005A0FDD" w:rsidP="005A0FDD">
      <w:pPr>
        <w:keepNext/>
        <w:rPr>
          <w:rFonts w:ascii="Garamond" w:hAnsi="Garamond"/>
          <w:i/>
          <w:iCs/>
          <w:lang w:val="en-AU"/>
        </w:rPr>
      </w:pPr>
      <w:r w:rsidRPr="005F34EC">
        <w:rPr>
          <w:rFonts w:ascii="Garamond" w:hAnsi="Garamond"/>
          <w:lang w:val="en-AU"/>
        </w:rPr>
        <w:t xml:space="preserve">Valsamis EM, Collins GS, Pinedo-Villanueva R, Whitehouse MR, Rangan A, Sayers A, et al. </w:t>
      </w:r>
    </w:p>
    <w:p w14:paraId="0323595A" w14:textId="77777777" w:rsidR="005A0FDD" w:rsidRPr="00D65371" w:rsidRDefault="005A0FDD" w:rsidP="005A0FDD">
      <w:pPr>
        <w:keepNext/>
        <w:rPr>
          <w:rFonts w:ascii="Garamond" w:hAnsi="Garamond"/>
          <w:lang w:val="en-AU"/>
        </w:rPr>
      </w:pPr>
      <w:r w:rsidRPr="005F34EC">
        <w:rPr>
          <w:rFonts w:ascii="Garamond" w:hAnsi="Garamond"/>
          <w:lang w:val="en-AU"/>
        </w:rPr>
        <w:t>BMJ 2023;381:e075355.</w:t>
      </w:r>
    </w:p>
    <w:tbl>
      <w:tblPr>
        <w:tblStyle w:val="TableGrid"/>
        <w:tblW w:w="9360" w:type="dxa"/>
        <w:tblInd w:w="288" w:type="dxa"/>
        <w:tblLayout w:type="fixed"/>
        <w:tblLook w:val="01E0" w:firstRow="1" w:lastRow="1" w:firstColumn="1" w:lastColumn="1" w:noHBand="0" w:noVBand="0"/>
      </w:tblPr>
      <w:tblGrid>
        <w:gridCol w:w="1080"/>
        <w:gridCol w:w="8280"/>
      </w:tblGrid>
      <w:tr w:rsidR="005A0FDD" w:rsidRPr="000170DA" w14:paraId="57B54470" w14:textId="77777777" w:rsidTr="0032469A">
        <w:tc>
          <w:tcPr>
            <w:tcW w:w="1080" w:type="dxa"/>
            <w:tcBorders>
              <w:top w:val="single" w:sz="4" w:space="0" w:color="auto"/>
              <w:left w:val="single" w:sz="4" w:space="0" w:color="auto"/>
              <w:bottom w:val="single" w:sz="4" w:space="0" w:color="auto"/>
              <w:right w:val="single" w:sz="4" w:space="0" w:color="auto"/>
            </w:tcBorders>
            <w:vAlign w:val="center"/>
          </w:tcPr>
          <w:p w14:paraId="7E278744" w14:textId="77777777" w:rsidR="005A0FDD" w:rsidRPr="000170DA" w:rsidRDefault="005A0FDD" w:rsidP="0032469A">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D7D3709" w14:textId="77777777" w:rsidR="005A0FDD" w:rsidRPr="000170DA" w:rsidRDefault="00000000" w:rsidP="0032469A">
            <w:pPr>
              <w:keepNext/>
              <w:rPr>
                <w:rStyle w:val="Hyperlink"/>
                <w:rFonts w:ascii="Garamond" w:hAnsi="Garamond"/>
                <w:color w:val="auto"/>
                <w:u w:val="none"/>
                <w:lang w:val="en-AU"/>
              </w:rPr>
            </w:pPr>
            <w:hyperlink r:id="rId35" w:history="1">
              <w:r w:rsidR="005A0FDD" w:rsidRPr="0086482D">
                <w:rPr>
                  <w:rStyle w:val="Hyperlink"/>
                  <w:rFonts w:ascii="Garamond" w:hAnsi="Garamond"/>
                  <w:lang w:val="en-AU"/>
                </w:rPr>
                <w:t>https://doi.org/10.1136/bmj-2023-075355</w:t>
              </w:r>
            </w:hyperlink>
          </w:p>
        </w:tc>
      </w:tr>
      <w:tr w:rsidR="005A0FDD" w:rsidRPr="000170DA" w14:paraId="40A65E92" w14:textId="77777777" w:rsidTr="0032469A">
        <w:tc>
          <w:tcPr>
            <w:tcW w:w="1080" w:type="dxa"/>
            <w:tcBorders>
              <w:top w:val="single" w:sz="4" w:space="0" w:color="auto"/>
              <w:left w:val="single" w:sz="4" w:space="0" w:color="auto"/>
              <w:bottom w:val="single" w:sz="4" w:space="0" w:color="auto"/>
              <w:right w:val="single" w:sz="4" w:space="0" w:color="auto"/>
            </w:tcBorders>
            <w:vAlign w:val="center"/>
          </w:tcPr>
          <w:p w14:paraId="600F534E" w14:textId="77777777" w:rsidR="005A0FDD" w:rsidRPr="000170DA" w:rsidRDefault="005A0FDD" w:rsidP="0032469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6FBB047" w14:textId="09429BD5" w:rsidR="005A0FDD" w:rsidRPr="00C4378F" w:rsidRDefault="005A0FDD" w:rsidP="0032469A">
            <w:pPr>
              <w:rPr>
                <w:rFonts w:ascii="Garamond" w:hAnsi="Garamond"/>
                <w:lang w:val="en-AU"/>
              </w:rPr>
            </w:pPr>
            <w:r>
              <w:rPr>
                <w:rFonts w:ascii="Garamond" w:hAnsi="Garamond"/>
                <w:lang w:val="en-AU"/>
              </w:rPr>
              <w:t xml:space="preserve">This piece is a recent addition to the literature on </w:t>
            </w:r>
            <w:r w:rsidR="00885BED">
              <w:rPr>
                <w:rFonts w:ascii="Garamond" w:hAnsi="Garamond"/>
                <w:lang w:val="en-AU"/>
              </w:rPr>
              <w:t xml:space="preserve">the </w:t>
            </w:r>
            <w:r>
              <w:rPr>
                <w:rFonts w:ascii="Garamond" w:hAnsi="Garamond"/>
                <w:lang w:val="en-AU"/>
              </w:rPr>
              <w:t>surgical volume quality relationship. The study used UK national registry data on elective shoulder replacement surgery that included ‘3</w:t>
            </w:r>
            <w:r w:rsidRPr="005F34EC">
              <w:rPr>
                <w:rFonts w:ascii="Garamond" w:hAnsi="Garamond"/>
                <w:lang w:val="en-AU"/>
              </w:rPr>
              <w:t>9</w:t>
            </w:r>
            <w:r w:rsidRPr="005F34EC">
              <w:rPr>
                <w:lang w:val="en-AU"/>
              </w:rPr>
              <w:t> </w:t>
            </w:r>
            <w:r w:rsidRPr="005F34EC">
              <w:rPr>
                <w:rFonts w:ascii="Garamond" w:hAnsi="Garamond"/>
                <w:lang w:val="en-AU"/>
              </w:rPr>
              <w:t>281 shoulder replacement procedures undertaken by 638 consultant surgeons at 416 surgical units</w:t>
            </w:r>
            <w:r>
              <w:rPr>
                <w:rFonts w:ascii="Garamond" w:hAnsi="Garamond"/>
                <w:lang w:val="en-AU"/>
              </w:rPr>
              <w:t>’ in the period 2021–2020. The authors concluded ‘</w:t>
            </w:r>
            <w:r w:rsidRPr="005F34EC">
              <w:rPr>
                <w:rFonts w:ascii="Garamond" w:hAnsi="Garamond"/>
                <w:lang w:val="en-AU"/>
              </w:rPr>
              <w:t>In the healthcare system represented by these registry data, an association was found between surgeons who averaged more than 10.4 shoulder replacements yearly and lower rates of revision surgery and reoperation, lower risk of serious adverse events, and shorter hospital stays.</w:t>
            </w:r>
            <w:r>
              <w:rPr>
                <w:rFonts w:ascii="Garamond" w:hAnsi="Garamond"/>
                <w:lang w:val="en-AU"/>
              </w:rPr>
              <w:t>’</w:t>
            </w:r>
          </w:p>
        </w:tc>
      </w:tr>
    </w:tbl>
    <w:p w14:paraId="4986EB85" w14:textId="77777777" w:rsidR="005A0FDD" w:rsidRDefault="005A0FDD" w:rsidP="005A0FDD">
      <w:pPr>
        <w:keepLines/>
        <w:autoSpaceDE w:val="0"/>
        <w:autoSpaceDN w:val="0"/>
        <w:adjustRightInd w:val="0"/>
        <w:rPr>
          <w:rFonts w:ascii="Garamond" w:hAnsi="Garamond"/>
          <w:lang w:val="en-AU"/>
        </w:rPr>
      </w:pPr>
    </w:p>
    <w:p w14:paraId="0AA569AC" w14:textId="77777777" w:rsidR="000D04CF" w:rsidRDefault="000D04CF" w:rsidP="000D04CF">
      <w:pPr>
        <w:keepNext/>
        <w:rPr>
          <w:rFonts w:ascii="Garamond" w:hAnsi="Garamond"/>
          <w:i/>
          <w:lang w:val="en-AU"/>
        </w:rPr>
      </w:pPr>
      <w:r>
        <w:rPr>
          <w:rFonts w:ascii="Garamond" w:hAnsi="Garamond"/>
          <w:i/>
          <w:lang w:val="en-AU"/>
        </w:rPr>
        <w:t>Health Affairs</w:t>
      </w:r>
    </w:p>
    <w:p w14:paraId="06D39B38" w14:textId="2BE38179" w:rsidR="000D04CF" w:rsidRDefault="000D04CF" w:rsidP="000D04CF">
      <w:pPr>
        <w:keepNext/>
        <w:rPr>
          <w:rFonts w:ascii="Garamond" w:hAnsi="Garamond"/>
          <w:lang w:val="en-AU"/>
        </w:rPr>
      </w:pPr>
      <w:r>
        <w:rPr>
          <w:rFonts w:ascii="Garamond" w:hAnsi="Garamond"/>
          <w:lang w:val="en-AU"/>
        </w:rPr>
        <w:t>Volume 43, Number 2, February 2024</w:t>
      </w:r>
    </w:p>
    <w:tbl>
      <w:tblPr>
        <w:tblStyle w:val="TableGrid"/>
        <w:tblW w:w="9360" w:type="dxa"/>
        <w:tblInd w:w="288" w:type="dxa"/>
        <w:tblLayout w:type="fixed"/>
        <w:tblLook w:val="01E0" w:firstRow="1" w:lastRow="1" w:firstColumn="1" w:lastColumn="1" w:noHBand="0" w:noVBand="0"/>
      </w:tblPr>
      <w:tblGrid>
        <w:gridCol w:w="1080"/>
        <w:gridCol w:w="8280"/>
      </w:tblGrid>
      <w:tr w:rsidR="000D04CF" w14:paraId="3459DC58" w14:textId="77777777" w:rsidTr="000C12BF">
        <w:tc>
          <w:tcPr>
            <w:tcW w:w="1080" w:type="dxa"/>
            <w:tcBorders>
              <w:top w:val="single" w:sz="4" w:space="0" w:color="auto"/>
              <w:left w:val="single" w:sz="4" w:space="0" w:color="auto"/>
              <w:bottom w:val="single" w:sz="4" w:space="0" w:color="auto"/>
              <w:right w:val="single" w:sz="4" w:space="0" w:color="auto"/>
            </w:tcBorders>
            <w:vAlign w:val="center"/>
            <w:hideMark/>
          </w:tcPr>
          <w:p w14:paraId="7EF65B80" w14:textId="77777777" w:rsidR="000D04CF" w:rsidRDefault="000D04CF" w:rsidP="000C12BF">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C214B7D" w14:textId="36DE683C" w:rsidR="000D04CF" w:rsidRDefault="00000000" w:rsidP="000C12BF">
            <w:pPr>
              <w:rPr>
                <w:rStyle w:val="Hyperlink"/>
                <w:rFonts w:ascii="Garamond" w:hAnsi="Garamond"/>
                <w:color w:val="auto"/>
                <w:u w:val="none"/>
                <w:lang w:val="en-AU"/>
              </w:rPr>
            </w:pPr>
            <w:hyperlink r:id="rId36" w:history="1">
              <w:r w:rsidR="000D04CF" w:rsidRPr="009C7825">
                <w:rPr>
                  <w:rStyle w:val="Hyperlink"/>
                  <w:rFonts w:ascii="Garamond" w:hAnsi="Garamond"/>
                  <w:lang w:val="en-AU"/>
                </w:rPr>
                <w:t>https://www.healthaffairs.org/toc/hlthaff/43/2</w:t>
              </w:r>
            </w:hyperlink>
          </w:p>
        </w:tc>
      </w:tr>
      <w:tr w:rsidR="000D04CF" w14:paraId="0CBDBD5A" w14:textId="77777777" w:rsidTr="000C12BF">
        <w:tc>
          <w:tcPr>
            <w:tcW w:w="1080" w:type="dxa"/>
            <w:tcBorders>
              <w:top w:val="single" w:sz="4" w:space="0" w:color="auto"/>
              <w:left w:val="single" w:sz="4" w:space="0" w:color="auto"/>
              <w:bottom w:val="single" w:sz="4" w:space="0" w:color="auto"/>
              <w:right w:val="single" w:sz="4" w:space="0" w:color="auto"/>
            </w:tcBorders>
            <w:vAlign w:val="center"/>
            <w:hideMark/>
          </w:tcPr>
          <w:p w14:paraId="7666DEF4" w14:textId="77777777" w:rsidR="000D04CF" w:rsidRDefault="000D04CF" w:rsidP="000C12BF">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3841F50" w14:textId="209CCA59" w:rsidR="000D04CF" w:rsidRDefault="000D04CF" w:rsidP="000C12BF">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themes </w:t>
            </w:r>
            <w:r w:rsidRPr="001173F1">
              <w:rPr>
                <w:rFonts w:ascii="Garamond" w:hAnsi="Garamond"/>
                <w:lang w:val="en-AU"/>
              </w:rPr>
              <w:t>‘</w:t>
            </w:r>
            <w:r w:rsidRPr="00B1720D">
              <w:rPr>
                <w:rFonts w:ascii="Garamond" w:hAnsi="Garamond"/>
                <w:lang w:val="en-AU"/>
              </w:rPr>
              <w:t>H</w:t>
            </w:r>
            <w:r>
              <w:rPr>
                <w:rFonts w:ascii="Garamond" w:hAnsi="Garamond"/>
                <w:lang w:val="en-AU"/>
              </w:rPr>
              <w:t>ousing &amp; H</w:t>
            </w:r>
            <w:r w:rsidRPr="00B1720D">
              <w:rPr>
                <w:rFonts w:ascii="Garamond" w:hAnsi="Garamond"/>
                <w:lang w:val="en-AU"/>
              </w:rPr>
              <w:t>ealth</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2901ADBC" w14:textId="5246E34B" w:rsidR="00147AD3" w:rsidRPr="00147AD3" w:rsidRDefault="00147AD3" w:rsidP="008D6A0D">
            <w:pPr>
              <w:pStyle w:val="ListParagraph"/>
              <w:numPr>
                <w:ilvl w:val="0"/>
                <w:numId w:val="22"/>
              </w:numPr>
              <w:rPr>
                <w:rFonts w:ascii="Garamond" w:hAnsi="Garamond"/>
                <w:lang w:val="en-AU"/>
              </w:rPr>
            </w:pPr>
            <w:r w:rsidRPr="00147AD3">
              <w:rPr>
                <w:rFonts w:ascii="Garamond" w:hAnsi="Garamond"/>
                <w:lang w:val="en-AU"/>
              </w:rPr>
              <w:t xml:space="preserve">For Some Patients, </w:t>
            </w:r>
            <w:r w:rsidRPr="00147AD3">
              <w:rPr>
                <w:rFonts w:ascii="Garamond" w:hAnsi="Garamond"/>
                <w:b/>
                <w:bCs/>
                <w:lang w:val="en-AU"/>
              </w:rPr>
              <w:t>Better Health Starts With Finding A Home</w:t>
            </w:r>
            <w:r w:rsidRPr="00147AD3">
              <w:rPr>
                <w:rFonts w:ascii="Garamond" w:hAnsi="Garamond"/>
                <w:lang w:val="en-AU"/>
              </w:rPr>
              <w:t xml:space="preserve"> (Michele Cohen Marill</w:t>
            </w:r>
            <w:r>
              <w:rPr>
                <w:rFonts w:ascii="Garamond" w:hAnsi="Garamond"/>
                <w:lang w:val="en-AU"/>
              </w:rPr>
              <w:t>)</w:t>
            </w:r>
          </w:p>
          <w:p w14:paraId="457A2296" w14:textId="61B45F39" w:rsidR="00147AD3" w:rsidRPr="00147AD3" w:rsidRDefault="00147AD3" w:rsidP="00A26F70">
            <w:pPr>
              <w:pStyle w:val="ListParagraph"/>
              <w:numPr>
                <w:ilvl w:val="0"/>
                <w:numId w:val="22"/>
              </w:numPr>
              <w:rPr>
                <w:rFonts w:ascii="Garamond" w:hAnsi="Garamond"/>
                <w:lang w:val="en-AU"/>
              </w:rPr>
            </w:pPr>
            <w:r w:rsidRPr="00147AD3">
              <w:rPr>
                <w:rFonts w:ascii="Garamond" w:hAnsi="Garamond"/>
                <w:b/>
                <w:bCs/>
                <w:lang w:val="en-AU"/>
              </w:rPr>
              <w:t>Neighborhoods And Health</w:t>
            </w:r>
            <w:r w:rsidRPr="00147AD3">
              <w:rPr>
                <w:rFonts w:ascii="Garamond" w:hAnsi="Garamond"/>
                <w:lang w:val="en-AU"/>
              </w:rPr>
              <w:t>: Interventions At The Neighborhood Level Could Help Advance Health Equity (Mariana C. Arcaya, Ingrid Gould Ellen, and Justin Steil</w:t>
            </w:r>
            <w:r>
              <w:rPr>
                <w:rFonts w:ascii="Garamond" w:hAnsi="Garamond"/>
                <w:lang w:val="en-AU"/>
              </w:rPr>
              <w:t>)</w:t>
            </w:r>
          </w:p>
          <w:p w14:paraId="21D368BB" w14:textId="68D103A7" w:rsidR="00147AD3" w:rsidRDefault="00147AD3" w:rsidP="00E24851">
            <w:pPr>
              <w:pStyle w:val="ListParagraph"/>
              <w:numPr>
                <w:ilvl w:val="0"/>
                <w:numId w:val="22"/>
              </w:numPr>
              <w:rPr>
                <w:rFonts w:ascii="Garamond" w:hAnsi="Garamond"/>
                <w:lang w:val="en-AU"/>
              </w:rPr>
            </w:pPr>
            <w:r w:rsidRPr="001447B0">
              <w:rPr>
                <w:rFonts w:ascii="Garamond" w:hAnsi="Garamond"/>
                <w:b/>
                <w:bCs/>
                <w:lang w:val="en-AU"/>
              </w:rPr>
              <w:t>Homelessness And Health</w:t>
            </w:r>
            <w:r w:rsidRPr="001447B0">
              <w:rPr>
                <w:rFonts w:ascii="Garamond" w:hAnsi="Garamond"/>
                <w:lang w:val="en-AU"/>
              </w:rPr>
              <w:t>: Factors, Evidence, Innovations That Work, And Policy Recommendations</w:t>
            </w:r>
            <w:r w:rsidR="001447B0" w:rsidRPr="001447B0">
              <w:rPr>
                <w:rFonts w:ascii="Garamond" w:hAnsi="Garamond"/>
                <w:lang w:val="en-AU"/>
              </w:rPr>
              <w:t xml:space="preserve"> (</w:t>
            </w:r>
            <w:r w:rsidRPr="001447B0">
              <w:rPr>
                <w:rFonts w:ascii="Garamond" w:hAnsi="Garamond"/>
                <w:lang w:val="en-AU"/>
              </w:rPr>
              <w:t>Cheyenne Garcia, Kelly Doran, and Margot Kushel</w:t>
            </w:r>
            <w:r w:rsidR="001447B0">
              <w:rPr>
                <w:rFonts w:ascii="Garamond" w:hAnsi="Garamond"/>
                <w:lang w:val="en-AU"/>
              </w:rPr>
              <w:t>)</w:t>
            </w:r>
          </w:p>
          <w:p w14:paraId="4B017214" w14:textId="413B07AE" w:rsidR="00147AD3" w:rsidRPr="001447B0" w:rsidRDefault="00147AD3" w:rsidP="002B738A">
            <w:pPr>
              <w:pStyle w:val="ListParagraph"/>
              <w:numPr>
                <w:ilvl w:val="0"/>
                <w:numId w:val="22"/>
              </w:numPr>
              <w:rPr>
                <w:rFonts w:ascii="Garamond" w:hAnsi="Garamond"/>
                <w:lang w:val="en-AU"/>
              </w:rPr>
            </w:pPr>
            <w:r w:rsidRPr="001447B0">
              <w:rPr>
                <w:rFonts w:ascii="Garamond" w:hAnsi="Garamond"/>
                <w:b/>
                <w:bCs/>
                <w:lang w:val="en-AU"/>
              </w:rPr>
              <w:t>Gentrification</w:t>
            </w:r>
            <w:r w:rsidRPr="001447B0">
              <w:rPr>
                <w:rFonts w:ascii="Garamond" w:hAnsi="Garamond"/>
                <w:lang w:val="en-AU"/>
              </w:rPr>
              <w:t xml:space="preserve"> Yields Racial And Ethnic Disparities In Exposure To Contextual Determinants Of Health</w:t>
            </w:r>
            <w:r w:rsidR="001447B0" w:rsidRPr="001447B0">
              <w:rPr>
                <w:rFonts w:ascii="Garamond" w:hAnsi="Garamond"/>
                <w:lang w:val="en-AU"/>
              </w:rPr>
              <w:t xml:space="preserve"> (</w:t>
            </w:r>
            <w:r w:rsidRPr="001447B0">
              <w:rPr>
                <w:rFonts w:ascii="Garamond" w:hAnsi="Garamond"/>
                <w:lang w:val="en-AU"/>
              </w:rPr>
              <w:t>Arthur Acolin, Kyle Crowder, A Decter-Frain, A Hajat, M Hall, L Homandberg, P MHurvitz, and L Woyczynski</w:t>
            </w:r>
            <w:r w:rsidR="001447B0">
              <w:rPr>
                <w:rFonts w:ascii="Garamond" w:hAnsi="Garamond"/>
                <w:lang w:val="en-AU"/>
              </w:rPr>
              <w:t>)</w:t>
            </w:r>
          </w:p>
          <w:p w14:paraId="584D4DA1" w14:textId="0E7412C1" w:rsidR="00147AD3" w:rsidRPr="001447B0" w:rsidRDefault="00147AD3" w:rsidP="00AD2BA7">
            <w:pPr>
              <w:pStyle w:val="ListParagraph"/>
              <w:numPr>
                <w:ilvl w:val="0"/>
                <w:numId w:val="22"/>
              </w:numPr>
              <w:rPr>
                <w:rFonts w:ascii="Garamond" w:hAnsi="Garamond"/>
                <w:lang w:val="en-AU"/>
              </w:rPr>
            </w:pPr>
            <w:r w:rsidRPr="001447B0">
              <w:rPr>
                <w:rFonts w:ascii="Garamond" w:hAnsi="Garamond"/>
                <w:lang w:val="en-AU"/>
              </w:rPr>
              <w:t xml:space="preserve">A History Of The </w:t>
            </w:r>
            <w:r w:rsidRPr="001447B0">
              <w:rPr>
                <w:rFonts w:ascii="Garamond" w:hAnsi="Garamond"/>
                <w:b/>
                <w:bCs/>
                <w:lang w:val="en-AU"/>
              </w:rPr>
              <w:t>Impacts Of Discriminatory Policies On Housing And Maternal And Infant Health</w:t>
            </w:r>
            <w:r w:rsidRPr="001447B0">
              <w:rPr>
                <w:rFonts w:ascii="Garamond" w:hAnsi="Garamond"/>
                <w:lang w:val="en-AU"/>
              </w:rPr>
              <w:t xml:space="preserve"> In An Ohio Neighborhood</w:t>
            </w:r>
            <w:r w:rsidR="001447B0" w:rsidRPr="001447B0">
              <w:rPr>
                <w:rFonts w:ascii="Garamond" w:hAnsi="Garamond"/>
                <w:lang w:val="en-AU"/>
              </w:rPr>
              <w:t xml:space="preserve"> (</w:t>
            </w:r>
            <w:r w:rsidRPr="001447B0">
              <w:rPr>
                <w:rFonts w:ascii="Garamond" w:hAnsi="Garamond"/>
                <w:lang w:val="en-AU"/>
              </w:rPr>
              <w:t>Kierra S Barnett, Jason Reece, Brittany M Mosley, Mikyung Baek, Ayaz Hyder, Kelly Kelleher, Shawnita Sealy-Jefferson, and Deena J Chisolm</w:t>
            </w:r>
            <w:r w:rsidR="001447B0">
              <w:rPr>
                <w:rFonts w:ascii="Garamond" w:hAnsi="Garamond"/>
                <w:lang w:val="en-AU"/>
              </w:rPr>
              <w:t>)</w:t>
            </w:r>
          </w:p>
          <w:p w14:paraId="14859B1C" w14:textId="6054DAE8" w:rsidR="00147AD3" w:rsidRPr="00872876" w:rsidRDefault="00147AD3" w:rsidP="00627B89">
            <w:pPr>
              <w:pStyle w:val="ListParagraph"/>
              <w:numPr>
                <w:ilvl w:val="0"/>
                <w:numId w:val="22"/>
              </w:numPr>
              <w:rPr>
                <w:rFonts w:ascii="Garamond" w:hAnsi="Garamond"/>
                <w:lang w:val="en-AU"/>
              </w:rPr>
            </w:pPr>
            <w:r w:rsidRPr="00872876">
              <w:rPr>
                <w:rFonts w:ascii="Garamond" w:hAnsi="Garamond"/>
                <w:b/>
                <w:bCs/>
                <w:lang w:val="en-AU"/>
              </w:rPr>
              <w:t>Addressing Housing-Related Social Needs</w:t>
            </w:r>
            <w:r w:rsidRPr="00872876">
              <w:rPr>
                <w:rFonts w:ascii="Garamond" w:hAnsi="Garamond"/>
                <w:lang w:val="en-AU"/>
              </w:rPr>
              <w:t xml:space="preserve"> Through Medicaid: Lessons From North Carolina’s Healthy Opportunities Pilots Program</w:t>
            </w:r>
            <w:r w:rsidR="001447B0" w:rsidRPr="00872876">
              <w:rPr>
                <w:rFonts w:ascii="Garamond" w:hAnsi="Garamond"/>
                <w:lang w:val="en-AU"/>
              </w:rPr>
              <w:t xml:space="preserve"> </w:t>
            </w:r>
            <w:r w:rsidR="00872876" w:rsidRPr="00872876">
              <w:rPr>
                <w:rFonts w:ascii="Garamond" w:hAnsi="Garamond"/>
                <w:lang w:val="en-AU"/>
              </w:rPr>
              <w:t>(</w:t>
            </w:r>
            <w:r w:rsidRPr="00872876">
              <w:rPr>
                <w:rFonts w:ascii="Garamond" w:hAnsi="Garamond"/>
                <w:lang w:val="en-AU"/>
              </w:rPr>
              <w:t xml:space="preserve">Katie Huber, Raman Nohria, Vibhav Nandagiri, Rebecca Whitaker, Yolande Pokam Tchuisseu, Nicholas Pylypiw, Meaghan Dennison, Brianna Van Stekelenburg, </w:t>
            </w:r>
            <w:r w:rsidRPr="00872876">
              <w:rPr>
                <w:rFonts w:ascii="Garamond" w:hAnsi="Garamond"/>
                <w:lang w:val="en-AU"/>
              </w:rPr>
              <w:lastRenderedPageBreak/>
              <w:t>Amanda Van Vleet, Maria Ramirez Perez, Madlyn C Morreale, Andrea Thoumi, Michelle Lyn, Robert S Saunders, and William K Bleser</w:t>
            </w:r>
            <w:r w:rsidR="00872876">
              <w:rPr>
                <w:rFonts w:ascii="Garamond" w:hAnsi="Garamond"/>
                <w:lang w:val="en-AU"/>
              </w:rPr>
              <w:t>)</w:t>
            </w:r>
          </w:p>
          <w:p w14:paraId="3CE21957" w14:textId="403EB704" w:rsidR="00147AD3" w:rsidRPr="00872876" w:rsidRDefault="00147AD3" w:rsidP="00D238DF">
            <w:pPr>
              <w:pStyle w:val="ListParagraph"/>
              <w:numPr>
                <w:ilvl w:val="0"/>
                <w:numId w:val="22"/>
              </w:numPr>
              <w:rPr>
                <w:rFonts w:ascii="Garamond" w:hAnsi="Garamond"/>
                <w:lang w:val="en-AU"/>
              </w:rPr>
            </w:pPr>
            <w:r w:rsidRPr="00872876">
              <w:rPr>
                <w:rFonts w:ascii="Garamond" w:hAnsi="Garamond"/>
                <w:b/>
                <w:bCs/>
                <w:lang w:val="en-AU"/>
              </w:rPr>
              <w:t>Primary Care–Based Housing Program</w:t>
            </w:r>
            <w:r w:rsidRPr="00872876">
              <w:rPr>
                <w:rFonts w:ascii="Garamond" w:hAnsi="Garamond"/>
                <w:lang w:val="en-AU"/>
              </w:rPr>
              <w:t xml:space="preserve"> Reduced Outpatient Visits; Patients Reported Mental And Physical Health Benefits</w:t>
            </w:r>
            <w:r w:rsidR="00872876" w:rsidRPr="00872876">
              <w:rPr>
                <w:rFonts w:ascii="Garamond" w:hAnsi="Garamond"/>
                <w:lang w:val="en-AU"/>
              </w:rPr>
              <w:t xml:space="preserve"> (</w:t>
            </w:r>
            <w:r w:rsidRPr="00872876">
              <w:rPr>
                <w:rFonts w:ascii="Garamond" w:hAnsi="Garamond"/>
                <w:lang w:val="en-AU"/>
              </w:rPr>
              <w:t>MaryCatherine Arbour, Placidina Fico, Sidney Atwood, Na Yu, Lynn Hur, Maahika Srinivasan, and Richard Gitomer</w:t>
            </w:r>
            <w:r w:rsidR="00872876">
              <w:rPr>
                <w:rFonts w:ascii="Garamond" w:hAnsi="Garamond"/>
                <w:lang w:val="en-AU"/>
              </w:rPr>
              <w:t>)</w:t>
            </w:r>
          </w:p>
          <w:p w14:paraId="6E4FCAF6" w14:textId="2447047C" w:rsidR="00147AD3" w:rsidRPr="00872876" w:rsidRDefault="00147AD3" w:rsidP="004D1372">
            <w:pPr>
              <w:pStyle w:val="ListParagraph"/>
              <w:numPr>
                <w:ilvl w:val="0"/>
                <w:numId w:val="22"/>
              </w:numPr>
              <w:rPr>
                <w:rFonts w:ascii="Garamond" w:hAnsi="Garamond"/>
                <w:lang w:val="en-AU"/>
              </w:rPr>
            </w:pPr>
            <w:r w:rsidRPr="00872876">
              <w:rPr>
                <w:rFonts w:ascii="Garamond" w:hAnsi="Garamond"/>
                <w:b/>
                <w:bCs/>
                <w:lang w:val="en-AU"/>
              </w:rPr>
              <w:t>‘Housing First’</w:t>
            </w:r>
            <w:r w:rsidRPr="00872876">
              <w:rPr>
                <w:rFonts w:ascii="Garamond" w:hAnsi="Garamond"/>
                <w:lang w:val="en-AU"/>
              </w:rPr>
              <w:t xml:space="preserve"> Increased Psychiatric Care Office Visits And Prescriptions While Reducing Emergency Visits</w:t>
            </w:r>
            <w:r w:rsidR="00872876" w:rsidRPr="00872876">
              <w:rPr>
                <w:rFonts w:ascii="Garamond" w:hAnsi="Garamond"/>
                <w:lang w:val="en-AU"/>
              </w:rPr>
              <w:t xml:space="preserve"> (</w:t>
            </w:r>
            <w:r w:rsidRPr="00872876">
              <w:rPr>
                <w:rFonts w:ascii="Garamond" w:hAnsi="Garamond"/>
                <w:lang w:val="en-AU"/>
              </w:rPr>
              <w:t>Devlin Hanson, and Sarah Gillespie</w:t>
            </w:r>
            <w:r w:rsidR="00872876">
              <w:rPr>
                <w:rFonts w:ascii="Garamond" w:hAnsi="Garamond"/>
                <w:lang w:val="en-AU"/>
              </w:rPr>
              <w:t>)</w:t>
            </w:r>
          </w:p>
          <w:p w14:paraId="41FBA36F" w14:textId="2A858644" w:rsidR="00147AD3" w:rsidRPr="00872876" w:rsidRDefault="00147AD3" w:rsidP="007B38C8">
            <w:pPr>
              <w:pStyle w:val="ListParagraph"/>
              <w:numPr>
                <w:ilvl w:val="0"/>
                <w:numId w:val="22"/>
              </w:numPr>
              <w:rPr>
                <w:rFonts w:ascii="Garamond" w:hAnsi="Garamond"/>
                <w:lang w:val="en-AU"/>
              </w:rPr>
            </w:pPr>
            <w:r w:rsidRPr="00872876">
              <w:rPr>
                <w:rFonts w:ascii="Garamond" w:hAnsi="Garamond"/>
                <w:b/>
                <w:bCs/>
                <w:lang w:val="en-AU"/>
              </w:rPr>
              <w:t>Encampment Clearings And Transitional Housing</w:t>
            </w:r>
            <w:r w:rsidRPr="00872876">
              <w:rPr>
                <w:rFonts w:ascii="Garamond" w:hAnsi="Garamond"/>
                <w:lang w:val="en-AU"/>
              </w:rPr>
              <w:t>: A Qualitative Analysis Of Resident Perspectives</w:t>
            </w:r>
            <w:r w:rsidR="00872876" w:rsidRPr="00872876">
              <w:rPr>
                <w:rFonts w:ascii="Garamond" w:hAnsi="Garamond"/>
                <w:lang w:val="en-AU"/>
              </w:rPr>
              <w:t xml:space="preserve"> (</w:t>
            </w:r>
            <w:r w:rsidRPr="00872876">
              <w:rPr>
                <w:rFonts w:ascii="Garamond" w:hAnsi="Garamond"/>
                <w:lang w:val="en-AU"/>
              </w:rPr>
              <w:t>Michael Mayer, Yesenia Mejia Urieta, Linda S. Martinez, Miriam Komaromy, Ursel Hughes, and Avik Chatterjee</w:t>
            </w:r>
            <w:r w:rsidR="00872876">
              <w:rPr>
                <w:rFonts w:ascii="Garamond" w:hAnsi="Garamond"/>
                <w:lang w:val="en-AU"/>
              </w:rPr>
              <w:t>)</w:t>
            </w:r>
          </w:p>
          <w:p w14:paraId="441A5C58" w14:textId="7B534783" w:rsidR="00147AD3" w:rsidRPr="00872876" w:rsidRDefault="00147AD3" w:rsidP="0090280B">
            <w:pPr>
              <w:pStyle w:val="ListParagraph"/>
              <w:numPr>
                <w:ilvl w:val="0"/>
                <w:numId w:val="22"/>
              </w:numPr>
              <w:rPr>
                <w:rFonts w:ascii="Garamond" w:hAnsi="Garamond"/>
                <w:lang w:val="en-AU"/>
              </w:rPr>
            </w:pPr>
            <w:r w:rsidRPr="00872876">
              <w:rPr>
                <w:rFonts w:ascii="Garamond" w:hAnsi="Garamond"/>
                <w:b/>
                <w:bCs/>
                <w:lang w:val="en-AU"/>
              </w:rPr>
              <w:t>Mortal Systemic Exclusion</w:t>
            </w:r>
            <w:r w:rsidRPr="00872876">
              <w:rPr>
                <w:rFonts w:ascii="Garamond" w:hAnsi="Garamond"/>
                <w:lang w:val="en-AU"/>
              </w:rPr>
              <w:t xml:space="preserve"> Yielded Steep Mortality-Rate Increases In People Experiencing Homelessness, 2011–20</w:t>
            </w:r>
            <w:r w:rsidR="00872876" w:rsidRPr="00872876">
              <w:rPr>
                <w:rFonts w:ascii="Garamond" w:hAnsi="Garamond"/>
                <w:lang w:val="en-AU"/>
              </w:rPr>
              <w:t xml:space="preserve"> (</w:t>
            </w:r>
            <w:r w:rsidRPr="00872876">
              <w:rPr>
                <w:rFonts w:ascii="Garamond" w:hAnsi="Garamond"/>
                <w:lang w:val="en-AU"/>
              </w:rPr>
              <w:t>M Z Fowle, and G Routhier</w:t>
            </w:r>
            <w:r w:rsidR="00872876">
              <w:rPr>
                <w:rFonts w:ascii="Garamond" w:hAnsi="Garamond"/>
                <w:lang w:val="en-AU"/>
              </w:rPr>
              <w:t>)</w:t>
            </w:r>
          </w:p>
          <w:p w14:paraId="645DEE62" w14:textId="6D9E3FA1" w:rsidR="00147AD3" w:rsidRPr="00872876" w:rsidRDefault="00147AD3" w:rsidP="0067706A">
            <w:pPr>
              <w:pStyle w:val="ListParagraph"/>
              <w:numPr>
                <w:ilvl w:val="0"/>
                <w:numId w:val="22"/>
              </w:numPr>
              <w:rPr>
                <w:rFonts w:ascii="Garamond" w:hAnsi="Garamond"/>
                <w:lang w:val="en-AU"/>
              </w:rPr>
            </w:pPr>
            <w:r w:rsidRPr="00872876">
              <w:rPr>
                <w:rFonts w:ascii="Garamond" w:hAnsi="Garamond"/>
                <w:b/>
                <w:bCs/>
                <w:lang w:val="en-AU"/>
              </w:rPr>
              <w:t>Housing Status</w:t>
            </w:r>
            <w:r w:rsidRPr="00872876">
              <w:rPr>
                <w:rFonts w:ascii="Garamond" w:hAnsi="Garamond"/>
                <w:lang w:val="en-AU"/>
              </w:rPr>
              <w:t xml:space="preserve"> Changes Are Associated With </w:t>
            </w:r>
            <w:r w:rsidRPr="00872876">
              <w:rPr>
                <w:rFonts w:ascii="Garamond" w:hAnsi="Garamond"/>
                <w:b/>
                <w:bCs/>
                <w:lang w:val="en-AU"/>
              </w:rPr>
              <w:t>Cancer Outcomes</w:t>
            </w:r>
            <w:r w:rsidRPr="00872876">
              <w:rPr>
                <w:rFonts w:ascii="Garamond" w:hAnsi="Garamond"/>
                <w:lang w:val="en-AU"/>
              </w:rPr>
              <w:t xml:space="preserve"> Among US Veterans</w:t>
            </w:r>
            <w:r w:rsidR="00872876" w:rsidRPr="00872876">
              <w:rPr>
                <w:rFonts w:ascii="Garamond" w:hAnsi="Garamond"/>
                <w:lang w:val="en-AU"/>
              </w:rPr>
              <w:t xml:space="preserve"> (</w:t>
            </w:r>
            <w:r w:rsidRPr="00872876">
              <w:rPr>
                <w:rFonts w:ascii="Garamond" w:hAnsi="Garamond"/>
                <w:lang w:val="en-AU"/>
              </w:rPr>
              <w:t>Hannah C Decker, Laura A Graham, Ashley Titan, Mary T Hawn, Hemal K Kanzaria, Elizabeth Wick, and Margot B Kushel</w:t>
            </w:r>
            <w:r w:rsidR="00872876">
              <w:rPr>
                <w:rFonts w:ascii="Garamond" w:hAnsi="Garamond"/>
                <w:lang w:val="en-AU"/>
              </w:rPr>
              <w:t>)</w:t>
            </w:r>
          </w:p>
          <w:p w14:paraId="23A82CB7" w14:textId="51368AF9" w:rsidR="00147AD3" w:rsidRPr="00872876" w:rsidRDefault="00147AD3" w:rsidP="00061ED0">
            <w:pPr>
              <w:pStyle w:val="ListParagraph"/>
              <w:numPr>
                <w:ilvl w:val="0"/>
                <w:numId w:val="22"/>
              </w:numPr>
              <w:rPr>
                <w:rFonts w:ascii="Garamond" w:hAnsi="Garamond"/>
                <w:lang w:val="en-AU"/>
              </w:rPr>
            </w:pPr>
            <w:r w:rsidRPr="00872876">
              <w:rPr>
                <w:rFonts w:ascii="Garamond" w:hAnsi="Garamond"/>
                <w:lang w:val="en-AU"/>
              </w:rPr>
              <w:t xml:space="preserve">Higher Rates Of </w:t>
            </w:r>
            <w:r w:rsidRPr="00872876">
              <w:rPr>
                <w:rFonts w:ascii="Garamond" w:hAnsi="Garamond"/>
                <w:b/>
                <w:bCs/>
                <w:lang w:val="en-AU"/>
              </w:rPr>
              <w:t>Homelessness</w:t>
            </w:r>
            <w:r w:rsidRPr="00872876">
              <w:rPr>
                <w:rFonts w:ascii="Garamond" w:hAnsi="Garamond"/>
                <w:lang w:val="en-AU"/>
              </w:rPr>
              <w:t xml:space="preserve"> Are Associated With Increases In Mortality From Accidental </w:t>
            </w:r>
            <w:r w:rsidRPr="00872876">
              <w:rPr>
                <w:rFonts w:ascii="Garamond" w:hAnsi="Garamond"/>
                <w:b/>
                <w:bCs/>
                <w:lang w:val="en-AU"/>
              </w:rPr>
              <w:t>Drug And Alcohol Poisonings</w:t>
            </w:r>
            <w:r w:rsidR="00872876" w:rsidRPr="00872876">
              <w:rPr>
                <w:rFonts w:ascii="Garamond" w:hAnsi="Garamond"/>
                <w:lang w:val="en-AU"/>
              </w:rPr>
              <w:t xml:space="preserve"> (</w:t>
            </w:r>
            <w:r w:rsidRPr="00872876">
              <w:rPr>
                <w:rFonts w:ascii="Garamond" w:hAnsi="Garamond"/>
                <w:lang w:val="en-AU"/>
              </w:rPr>
              <w:t>W David Bradford, and Felipe Lozano-Rojas</w:t>
            </w:r>
            <w:r w:rsidR="00872876">
              <w:rPr>
                <w:rFonts w:ascii="Garamond" w:hAnsi="Garamond"/>
                <w:lang w:val="en-AU"/>
              </w:rPr>
              <w:t>)</w:t>
            </w:r>
          </w:p>
          <w:p w14:paraId="507EAA2F" w14:textId="05FE97F9" w:rsidR="00147AD3" w:rsidRPr="00872876" w:rsidRDefault="00147AD3" w:rsidP="009926EF">
            <w:pPr>
              <w:pStyle w:val="ListParagraph"/>
              <w:numPr>
                <w:ilvl w:val="0"/>
                <w:numId w:val="22"/>
              </w:numPr>
              <w:rPr>
                <w:rFonts w:ascii="Garamond" w:hAnsi="Garamond"/>
                <w:lang w:val="en-AU"/>
              </w:rPr>
            </w:pPr>
            <w:r w:rsidRPr="00872876">
              <w:rPr>
                <w:rFonts w:ascii="Garamond" w:hAnsi="Garamond"/>
                <w:lang w:val="en-AU"/>
              </w:rPr>
              <w:t xml:space="preserve">Temporary Financial Assistance Reduced The Probability Of </w:t>
            </w:r>
            <w:r w:rsidRPr="00872876">
              <w:rPr>
                <w:rFonts w:ascii="Garamond" w:hAnsi="Garamond"/>
                <w:b/>
                <w:bCs/>
                <w:lang w:val="en-AU"/>
              </w:rPr>
              <w:t>Unstable Housing Among Veterans</w:t>
            </w:r>
            <w:r w:rsidRPr="00872876">
              <w:rPr>
                <w:rFonts w:ascii="Garamond" w:hAnsi="Garamond"/>
                <w:lang w:val="en-AU"/>
              </w:rPr>
              <w:t xml:space="preserve"> For More Than 1 Year</w:t>
            </w:r>
            <w:r w:rsidR="00872876" w:rsidRPr="00872876">
              <w:rPr>
                <w:rFonts w:ascii="Garamond" w:hAnsi="Garamond"/>
                <w:lang w:val="en-AU"/>
              </w:rPr>
              <w:t xml:space="preserve"> (</w:t>
            </w:r>
            <w:r w:rsidRPr="00872876">
              <w:rPr>
                <w:rFonts w:ascii="Garamond" w:hAnsi="Garamond"/>
                <w:lang w:val="en-AU"/>
              </w:rPr>
              <w:t>Alec B Chapman, Daniel Scharfstein, Thomas H Byrne, Ann Elizabeth Montgomery, Ying Suo, Atim Effiong, Tania Velasquez, W Pettey, R Dalrymple, J Tsai, and R E Nelson</w:t>
            </w:r>
            <w:r w:rsidR="00872876">
              <w:rPr>
                <w:rFonts w:ascii="Garamond" w:hAnsi="Garamond"/>
                <w:lang w:val="en-AU"/>
              </w:rPr>
              <w:t>)</w:t>
            </w:r>
          </w:p>
          <w:p w14:paraId="088BE576" w14:textId="40D8E2A1" w:rsidR="00147AD3" w:rsidRPr="00872876" w:rsidRDefault="00147AD3" w:rsidP="003A3828">
            <w:pPr>
              <w:pStyle w:val="ListParagraph"/>
              <w:numPr>
                <w:ilvl w:val="0"/>
                <w:numId w:val="22"/>
              </w:numPr>
              <w:rPr>
                <w:rFonts w:ascii="Garamond" w:hAnsi="Garamond"/>
                <w:lang w:val="en-AU"/>
              </w:rPr>
            </w:pPr>
            <w:r w:rsidRPr="00872876">
              <w:rPr>
                <w:rFonts w:ascii="Garamond" w:hAnsi="Garamond"/>
                <w:b/>
                <w:bCs/>
                <w:lang w:val="en-AU"/>
              </w:rPr>
              <w:t>Energy Insecurity</w:t>
            </w:r>
            <w:r w:rsidRPr="00872876">
              <w:rPr>
                <w:rFonts w:ascii="Garamond" w:hAnsi="Garamond"/>
                <w:lang w:val="en-AU"/>
              </w:rPr>
              <w:t xml:space="preserve"> Indicators Associated With Increased Odds Of Respiratory, Mental Health, And Cardiovascular Conditions</w:t>
            </w:r>
            <w:r w:rsidR="00872876" w:rsidRPr="00872876">
              <w:rPr>
                <w:rFonts w:ascii="Garamond" w:hAnsi="Garamond"/>
                <w:lang w:val="en-AU"/>
              </w:rPr>
              <w:t xml:space="preserve"> (</w:t>
            </w:r>
            <w:r w:rsidRPr="00872876">
              <w:rPr>
                <w:rFonts w:ascii="Garamond" w:hAnsi="Garamond"/>
                <w:lang w:val="en-AU"/>
              </w:rPr>
              <w:t>Eva Laura Siegel, K Lane, A Yuan, L A Smalls-Mantey, J Laird, C Olson, and D Hernández</w:t>
            </w:r>
            <w:r w:rsidR="00872876">
              <w:rPr>
                <w:rFonts w:ascii="Garamond" w:hAnsi="Garamond"/>
                <w:lang w:val="en-AU"/>
              </w:rPr>
              <w:t>)</w:t>
            </w:r>
          </w:p>
          <w:p w14:paraId="24B6B6FD" w14:textId="440D13D2" w:rsidR="00147AD3" w:rsidRPr="00872876" w:rsidRDefault="00147AD3" w:rsidP="00A165C7">
            <w:pPr>
              <w:pStyle w:val="ListParagraph"/>
              <w:numPr>
                <w:ilvl w:val="0"/>
                <w:numId w:val="22"/>
              </w:numPr>
              <w:rPr>
                <w:rFonts w:ascii="Garamond" w:hAnsi="Garamond"/>
                <w:lang w:val="en-AU"/>
              </w:rPr>
            </w:pPr>
            <w:r w:rsidRPr="00872876">
              <w:rPr>
                <w:rFonts w:ascii="Garamond" w:hAnsi="Garamond"/>
                <w:b/>
                <w:bCs/>
                <w:lang w:val="en-AU"/>
              </w:rPr>
              <w:t>TennCare Disenrollment</w:t>
            </w:r>
            <w:r w:rsidRPr="00872876">
              <w:rPr>
                <w:rFonts w:ascii="Garamond" w:hAnsi="Garamond"/>
                <w:lang w:val="en-AU"/>
              </w:rPr>
              <w:t xml:space="preserve"> Led To Increased Eviction Filings And Evictions In Tennessee Relative To Other Southern States</w:t>
            </w:r>
            <w:r w:rsidR="00872876" w:rsidRPr="00872876">
              <w:rPr>
                <w:rFonts w:ascii="Garamond" w:hAnsi="Garamond"/>
                <w:lang w:val="en-AU"/>
              </w:rPr>
              <w:t xml:space="preserve"> (</w:t>
            </w:r>
            <w:r w:rsidRPr="00872876">
              <w:rPr>
                <w:rFonts w:ascii="Garamond" w:hAnsi="Garamond"/>
                <w:lang w:val="en-AU"/>
              </w:rPr>
              <w:t>Mir M Ali, Ashley C Bradford, and Johanna Catherine Maclean</w:t>
            </w:r>
            <w:r w:rsidR="00872876">
              <w:rPr>
                <w:rFonts w:ascii="Garamond" w:hAnsi="Garamond"/>
                <w:lang w:val="en-AU"/>
              </w:rPr>
              <w:t>)</w:t>
            </w:r>
          </w:p>
          <w:p w14:paraId="0F3741CD" w14:textId="76A54767" w:rsidR="00147AD3" w:rsidRPr="00872876" w:rsidRDefault="00147AD3" w:rsidP="00924FB0">
            <w:pPr>
              <w:pStyle w:val="ListParagraph"/>
              <w:numPr>
                <w:ilvl w:val="0"/>
                <w:numId w:val="22"/>
              </w:numPr>
              <w:rPr>
                <w:rFonts w:ascii="Garamond" w:hAnsi="Garamond"/>
                <w:lang w:val="en-AU"/>
              </w:rPr>
            </w:pPr>
            <w:r w:rsidRPr="00872876">
              <w:rPr>
                <w:rFonts w:ascii="Garamond" w:hAnsi="Garamond"/>
                <w:lang w:val="en-AU"/>
              </w:rPr>
              <w:t xml:space="preserve">Experimental Evidence Shows That </w:t>
            </w:r>
            <w:r w:rsidRPr="00872876">
              <w:rPr>
                <w:rFonts w:ascii="Garamond" w:hAnsi="Garamond"/>
                <w:b/>
                <w:bCs/>
                <w:lang w:val="en-AU"/>
              </w:rPr>
              <w:t>Housing Vouchers</w:t>
            </w:r>
            <w:r w:rsidRPr="00872876">
              <w:rPr>
                <w:rFonts w:ascii="Garamond" w:hAnsi="Garamond"/>
                <w:lang w:val="en-AU"/>
              </w:rPr>
              <w:t xml:space="preserve"> Provided Measurable Benefits, Including Parent Stress Reduction</w:t>
            </w:r>
            <w:r w:rsidR="00872876" w:rsidRPr="00872876">
              <w:rPr>
                <w:rFonts w:ascii="Garamond" w:hAnsi="Garamond"/>
                <w:lang w:val="en-AU"/>
              </w:rPr>
              <w:t xml:space="preserve"> (</w:t>
            </w:r>
            <w:r w:rsidRPr="00872876">
              <w:rPr>
                <w:rFonts w:ascii="Garamond" w:hAnsi="Garamond"/>
                <w:lang w:val="en-AU"/>
              </w:rPr>
              <w:t>Sandra Newman, Tama Leventhal, C Scott Holupka, and Fei Tan</w:t>
            </w:r>
            <w:r w:rsidR="00872876">
              <w:rPr>
                <w:rFonts w:ascii="Garamond" w:hAnsi="Garamond"/>
                <w:lang w:val="en-AU"/>
              </w:rPr>
              <w:t>)</w:t>
            </w:r>
          </w:p>
          <w:p w14:paraId="41121CDB" w14:textId="10E413B5" w:rsidR="00147AD3" w:rsidRPr="00872876" w:rsidRDefault="00147AD3" w:rsidP="00780762">
            <w:pPr>
              <w:pStyle w:val="ListParagraph"/>
              <w:numPr>
                <w:ilvl w:val="0"/>
                <w:numId w:val="22"/>
              </w:numPr>
              <w:rPr>
                <w:rFonts w:ascii="Garamond" w:hAnsi="Garamond"/>
                <w:lang w:val="en-AU"/>
              </w:rPr>
            </w:pPr>
            <w:r w:rsidRPr="00872876">
              <w:rPr>
                <w:rFonts w:ascii="Garamond" w:hAnsi="Garamond"/>
                <w:lang w:val="en-AU"/>
              </w:rPr>
              <w:t xml:space="preserve">Exposing Pittsburgh Landlords To Asset-Framing Narratives: An Experiment To Increase </w:t>
            </w:r>
            <w:r w:rsidRPr="00872876">
              <w:rPr>
                <w:rFonts w:ascii="Garamond" w:hAnsi="Garamond"/>
                <w:b/>
                <w:bCs/>
                <w:lang w:val="en-AU"/>
              </w:rPr>
              <w:t>Housing Voucher Participation</w:t>
            </w:r>
            <w:r w:rsidR="00872876" w:rsidRPr="00872876">
              <w:rPr>
                <w:rFonts w:ascii="Garamond" w:hAnsi="Garamond"/>
                <w:lang w:val="en-AU"/>
              </w:rPr>
              <w:t xml:space="preserve"> (</w:t>
            </w:r>
            <w:r w:rsidRPr="00872876">
              <w:rPr>
                <w:rFonts w:ascii="Garamond" w:hAnsi="Garamond"/>
                <w:lang w:val="en-AU"/>
              </w:rPr>
              <w:t>Selena E Ortiz, Andrew Fenelon, and Yousef Chavehpour</w:t>
            </w:r>
            <w:r w:rsidR="00872876">
              <w:rPr>
                <w:rFonts w:ascii="Garamond" w:hAnsi="Garamond"/>
                <w:lang w:val="en-AU"/>
              </w:rPr>
              <w:t>)</w:t>
            </w:r>
          </w:p>
          <w:p w14:paraId="0CF30CA1" w14:textId="4E9C802A" w:rsidR="00147AD3" w:rsidRPr="00872876" w:rsidRDefault="00147AD3" w:rsidP="005A2247">
            <w:pPr>
              <w:pStyle w:val="ListParagraph"/>
              <w:numPr>
                <w:ilvl w:val="0"/>
                <w:numId w:val="22"/>
              </w:numPr>
              <w:rPr>
                <w:rFonts w:ascii="Garamond" w:hAnsi="Garamond"/>
                <w:lang w:val="en-AU"/>
              </w:rPr>
            </w:pPr>
            <w:r w:rsidRPr="00872876">
              <w:rPr>
                <w:rFonts w:ascii="Garamond" w:hAnsi="Garamond"/>
                <w:b/>
                <w:bCs/>
                <w:lang w:val="en-AU"/>
              </w:rPr>
              <w:t>Housing-Sensitive Health Conditions</w:t>
            </w:r>
            <w:r w:rsidRPr="00872876">
              <w:rPr>
                <w:rFonts w:ascii="Garamond" w:hAnsi="Garamond"/>
                <w:lang w:val="en-AU"/>
              </w:rPr>
              <w:t xml:space="preserve"> Can Predict Poor-Quality Housing</w:t>
            </w:r>
            <w:r w:rsidR="00872876" w:rsidRPr="00872876">
              <w:rPr>
                <w:rFonts w:ascii="Garamond" w:hAnsi="Garamond"/>
                <w:lang w:val="en-AU"/>
              </w:rPr>
              <w:t xml:space="preserve"> (</w:t>
            </w:r>
            <w:r w:rsidRPr="00872876">
              <w:rPr>
                <w:rFonts w:ascii="Garamond" w:hAnsi="Garamond"/>
                <w:lang w:val="en-AU"/>
              </w:rPr>
              <w:t>Ougni Chakraborty, Kacie L Dragan, Ingrid Gould Ellen, Sherry A Glied, Renata E Howland, Daniel B Neill, and Scarlett Wang</w:t>
            </w:r>
            <w:r w:rsidR="00872876">
              <w:rPr>
                <w:rFonts w:ascii="Garamond" w:hAnsi="Garamond"/>
                <w:lang w:val="en-AU"/>
              </w:rPr>
              <w:t>)</w:t>
            </w:r>
          </w:p>
          <w:p w14:paraId="5D0B11FB" w14:textId="78C19E4F" w:rsidR="000D04CF" w:rsidRDefault="00147AD3" w:rsidP="00872876">
            <w:pPr>
              <w:pStyle w:val="ListParagraph"/>
              <w:numPr>
                <w:ilvl w:val="0"/>
                <w:numId w:val="22"/>
              </w:numPr>
              <w:rPr>
                <w:rFonts w:ascii="Garamond" w:hAnsi="Garamond"/>
                <w:lang w:val="en-AU"/>
              </w:rPr>
            </w:pPr>
            <w:r w:rsidRPr="00872876">
              <w:rPr>
                <w:rFonts w:ascii="Garamond" w:hAnsi="Garamond"/>
                <w:lang w:val="en-AU"/>
              </w:rPr>
              <w:t xml:space="preserve">Finding </w:t>
            </w:r>
            <w:r w:rsidRPr="00872876">
              <w:rPr>
                <w:rFonts w:ascii="Garamond" w:hAnsi="Garamond"/>
                <w:b/>
                <w:bCs/>
                <w:lang w:val="en-AU"/>
              </w:rPr>
              <w:t>A Place To Be Somebody</w:t>
            </w:r>
            <w:r w:rsidR="00872876" w:rsidRPr="00872876">
              <w:rPr>
                <w:rFonts w:ascii="Garamond" w:hAnsi="Garamond"/>
                <w:lang w:val="en-AU"/>
              </w:rPr>
              <w:t xml:space="preserve"> (</w:t>
            </w:r>
            <w:r w:rsidRPr="00872876">
              <w:rPr>
                <w:rFonts w:ascii="Garamond" w:hAnsi="Garamond"/>
                <w:lang w:val="en-AU"/>
              </w:rPr>
              <w:t>Lawrence Lincoln</w:t>
            </w:r>
            <w:r w:rsidR="00872876" w:rsidRPr="00872876">
              <w:rPr>
                <w:rFonts w:ascii="Garamond" w:hAnsi="Garamond"/>
                <w:lang w:val="en-AU"/>
              </w:rPr>
              <w:t>)</w:t>
            </w:r>
          </w:p>
        </w:tc>
      </w:tr>
    </w:tbl>
    <w:p w14:paraId="6615E023" w14:textId="77777777" w:rsidR="000D04CF" w:rsidRDefault="000D04CF" w:rsidP="000D04CF">
      <w:pPr>
        <w:keepNext/>
        <w:keepLines/>
        <w:autoSpaceDE w:val="0"/>
        <w:autoSpaceDN w:val="0"/>
        <w:adjustRightInd w:val="0"/>
        <w:rPr>
          <w:rFonts w:ascii="Garamond" w:hAnsi="Garamond"/>
          <w:i/>
          <w:iCs/>
          <w:lang w:val="en-AU"/>
        </w:rPr>
      </w:pPr>
    </w:p>
    <w:p w14:paraId="42AE2292" w14:textId="77777777" w:rsidR="005C6930" w:rsidRPr="00E37911" w:rsidRDefault="005C6930" w:rsidP="005C6930">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C6930" w:rsidRPr="00E37911" w14:paraId="0ECBC418" w14:textId="77777777" w:rsidTr="00EF3E5E">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2D710B97"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4D65D72" w14:textId="77777777" w:rsidR="005C6930" w:rsidRPr="00E37911" w:rsidRDefault="00000000" w:rsidP="00EF3E5E">
            <w:pPr>
              <w:keepNext/>
              <w:rPr>
                <w:rFonts w:ascii="Garamond" w:hAnsi="Garamond"/>
                <w:lang w:val="en-AU"/>
              </w:rPr>
            </w:pPr>
            <w:hyperlink r:id="rId37" w:history="1">
              <w:r w:rsidR="005C6930" w:rsidRPr="00E37911">
                <w:rPr>
                  <w:rStyle w:val="Hyperlink"/>
                  <w:rFonts w:ascii="Garamond" w:hAnsi="Garamond"/>
                  <w:lang w:val="en-AU"/>
                </w:rPr>
                <w:t>https://qualitysafety.bmj.com/content/early/recent</w:t>
              </w:r>
            </w:hyperlink>
          </w:p>
        </w:tc>
      </w:tr>
      <w:tr w:rsidR="005C6930" w:rsidRPr="00E37911" w14:paraId="03ACCF12"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3A2E92DA"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C48FA3" w14:textId="77777777" w:rsidR="005C6930" w:rsidRPr="00E37911" w:rsidRDefault="005C6930" w:rsidP="00EF3E5E">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3AC71CE8" w14:textId="6859032A" w:rsidR="005C6930" w:rsidRPr="00E37911" w:rsidRDefault="00620C1E" w:rsidP="006E076E">
            <w:pPr>
              <w:pStyle w:val="ListParagraph"/>
              <w:numPr>
                <w:ilvl w:val="0"/>
                <w:numId w:val="16"/>
              </w:numPr>
              <w:rPr>
                <w:rFonts w:ascii="Garamond" w:hAnsi="Garamond"/>
                <w:lang w:val="en-AU"/>
              </w:rPr>
            </w:pPr>
            <w:r w:rsidRPr="00620C1E">
              <w:rPr>
                <w:rFonts w:ascii="Garamond" w:hAnsi="Garamond"/>
                <w:lang w:val="en-AU"/>
              </w:rPr>
              <w:t xml:space="preserve">Editorial: Routine versus prompted </w:t>
            </w:r>
            <w:r w:rsidRPr="00620C1E">
              <w:rPr>
                <w:rFonts w:ascii="Garamond" w:hAnsi="Garamond"/>
                <w:b/>
                <w:bCs/>
                <w:lang w:val="en-AU"/>
              </w:rPr>
              <w:t>clinical debriefing</w:t>
            </w:r>
            <w:r w:rsidRPr="00620C1E">
              <w:rPr>
                <w:rFonts w:ascii="Garamond" w:hAnsi="Garamond"/>
                <w:lang w:val="en-AU"/>
              </w:rPr>
              <w:t xml:space="preserve">: aligning aims, mechanisms and implementation </w:t>
            </w:r>
            <w:r>
              <w:rPr>
                <w:rFonts w:ascii="Garamond" w:hAnsi="Garamond"/>
                <w:lang w:val="en-AU"/>
              </w:rPr>
              <w:t>(</w:t>
            </w:r>
            <w:r w:rsidRPr="00620C1E">
              <w:rPr>
                <w:rFonts w:ascii="Garamond" w:hAnsi="Garamond"/>
                <w:lang w:val="en-AU"/>
              </w:rPr>
              <w:t>Emma Claire Phillips, Victoria Tallentire</w:t>
            </w:r>
            <w:r>
              <w:rPr>
                <w:rFonts w:ascii="Garamond" w:hAnsi="Garamond"/>
                <w:lang w:val="en-AU"/>
              </w:rPr>
              <w:t>)</w:t>
            </w:r>
          </w:p>
        </w:tc>
      </w:tr>
    </w:tbl>
    <w:p w14:paraId="17909067" w14:textId="77777777" w:rsidR="005C6930" w:rsidRDefault="005C6930" w:rsidP="005C6930">
      <w:pPr>
        <w:keepLines/>
        <w:autoSpaceDE w:val="0"/>
        <w:autoSpaceDN w:val="0"/>
        <w:adjustRightInd w:val="0"/>
        <w:rPr>
          <w:rFonts w:ascii="Garamond" w:hAnsi="Garamond"/>
          <w:i/>
          <w:lang w:val="en-AU"/>
        </w:rPr>
      </w:pPr>
    </w:p>
    <w:p w14:paraId="627FDDD8" w14:textId="77777777" w:rsidR="005C6930" w:rsidRDefault="005C6930" w:rsidP="005C6930">
      <w:pPr>
        <w:rPr>
          <w:rFonts w:ascii="Garamond" w:hAnsi="Garamond"/>
          <w:b/>
          <w:lang w:val="en-AU"/>
        </w:rPr>
      </w:pPr>
    </w:p>
    <w:p w14:paraId="5E6E9550" w14:textId="77777777" w:rsidR="005C6930" w:rsidRDefault="005C6930" w:rsidP="005C6930">
      <w:pPr>
        <w:rPr>
          <w:rFonts w:ascii="Garamond" w:hAnsi="Garamond"/>
          <w:b/>
          <w:lang w:val="en-AU"/>
        </w:rPr>
      </w:pPr>
    </w:p>
    <w:p w14:paraId="536302D7" w14:textId="77777777" w:rsidR="005C6930" w:rsidRPr="00E37911" w:rsidRDefault="005C6930" w:rsidP="005C6930">
      <w:pPr>
        <w:keepNext/>
        <w:keepLines/>
        <w:rPr>
          <w:rFonts w:ascii="Garamond" w:hAnsi="Garamond"/>
          <w:b/>
          <w:lang w:val="en-AU"/>
        </w:rPr>
      </w:pPr>
      <w:r w:rsidRPr="00E37911">
        <w:rPr>
          <w:rFonts w:ascii="Garamond" w:hAnsi="Garamond"/>
          <w:b/>
          <w:lang w:val="en-AU"/>
        </w:rPr>
        <w:lastRenderedPageBreak/>
        <w:t>Online resources</w:t>
      </w:r>
    </w:p>
    <w:p w14:paraId="1870D7B6" w14:textId="77777777" w:rsidR="005C6930" w:rsidRDefault="005C6930" w:rsidP="005C6930">
      <w:pPr>
        <w:keepNext/>
        <w:keepLines/>
        <w:rPr>
          <w:rFonts w:ascii="Garamond" w:hAnsi="Garamond"/>
          <w:b/>
          <w:lang w:val="en-AU"/>
        </w:rPr>
      </w:pPr>
    </w:p>
    <w:p w14:paraId="02ED01E1" w14:textId="1DDBC3C0" w:rsidR="002C14CC" w:rsidRPr="00D77160" w:rsidRDefault="002C14CC" w:rsidP="002C14CC">
      <w:pPr>
        <w:keepNext/>
        <w:keepLines/>
        <w:rPr>
          <w:rFonts w:ascii="Garamond" w:hAnsi="Garamond"/>
          <w:b/>
          <w:bCs/>
          <w:i/>
          <w:lang w:val="en-AU"/>
        </w:rPr>
      </w:pPr>
      <w:r w:rsidRPr="00D77160">
        <w:rPr>
          <w:rFonts w:ascii="Garamond" w:hAnsi="Garamond"/>
          <w:b/>
          <w:bCs/>
          <w:i/>
          <w:lang w:val="en-AU"/>
        </w:rPr>
        <w:t>[USA] Effective Health Care Program reports</w:t>
      </w:r>
    </w:p>
    <w:p w14:paraId="596DD1CE" w14:textId="77777777" w:rsidR="002C14CC" w:rsidRPr="000170DA" w:rsidRDefault="00000000" w:rsidP="002C14CC">
      <w:pPr>
        <w:keepNext/>
        <w:keepLines/>
        <w:rPr>
          <w:rFonts w:ascii="Garamond" w:hAnsi="Garamond"/>
          <w:u w:val="single"/>
          <w:lang w:val="en-AU"/>
        </w:rPr>
      </w:pPr>
      <w:hyperlink r:id="rId38" w:history="1">
        <w:r w:rsidR="002C14CC" w:rsidRPr="000170DA">
          <w:rPr>
            <w:rStyle w:val="Hyperlink"/>
            <w:rFonts w:ascii="Garamond" w:hAnsi="Garamond"/>
            <w:lang w:val="en-AU"/>
          </w:rPr>
          <w:t>https://effectivehealthcare.ahrq.gov/</w:t>
        </w:r>
      </w:hyperlink>
    </w:p>
    <w:p w14:paraId="6516A719" w14:textId="77777777" w:rsidR="002C14CC" w:rsidRDefault="002C14CC" w:rsidP="002C14CC">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14:paraId="7DC30892" w14:textId="451DE504" w:rsidR="00620C1E" w:rsidRPr="00620C1E" w:rsidRDefault="008636CB" w:rsidP="0010531A">
      <w:pPr>
        <w:pStyle w:val="ListParagraph"/>
        <w:keepNext/>
        <w:numPr>
          <w:ilvl w:val="0"/>
          <w:numId w:val="14"/>
        </w:numPr>
        <w:rPr>
          <w:rFonts w:ascii="Garamond" w:hAnsi="Garamond"/>
          <w:iCs/>
          <w:lang w:val="en-AU"/>
        </w:rPr>
      </w:pPr>
      <w:r w:rsidRPr="008636CB">
        <w:rPr>
          <w:rFonts w:ascii="Garamond" w:hAnsi="Garamond"/>
          <w:b/>
          <w:bCs/>
          <w:i/>
          <w:lang w:val="en-AU"/>
        </w:rPr>
        <w:t>Deprescribing</w:t>
      </w:r>
      <w:r w:rsidRPr="008636CB">
        <w:rPr>
          <w:rFonts w:ascii="Garamond" w:hAnsi="Garamond"/>
          <w:i/>
          <w:lang w:val="en-AU"/>
        </w:rPr>
        <w:t xml:space="preserve"> To Reduce Medication Harms in Older Adults</w:t>
      </w:r>
      <w:r>
        <w:rPr>
          <w:rFonts w:ascii="Garamond" w:hAnsi="Garamond"/>
          <w:iCs/>
          <w:lang w:val="en-AU"/>
        </w:rPr>
        <w:t xml:space="preserve"> </w:t>
      </w:r>
      <w:hyperlink r:id="rId39" w:history="1">
        <w:r w:rsidRPr="009C7825">
          <w:rPr>
            <w:rStyle w:val="Hyperlink"/>
            <w:rFonts w:ascii="Garamond" w:hAnsi="Garamond"/>
            <w:iCs/>
            <w:lang w:val="en-AU"/>
          </w:rPr>
          <w:t>https://effectivehealthcare.ahrq.gov/products/deprescribing-mhs4/rapid-research</w:t>
        </w:r>
      </w:hyperlink>
    </w:p>
    <w:p w14:paraId="59786CA1" w14:textId="556514F0" w:rsidR="002C14CC" w:rsidRDefault="002C14CC" w:rsidP="002C14CC">
      <w:pPr>
        <w:rPr>
          <w:rFonts w:ascii="Garamond" w:hAnsi="Garamond"/>
          <w:iCs/>
          <w:lang w:val="en-AU"/>
        </w:rPr>
      </w:pPr>
    </w:p>
    <w:p w14:paraId="7D1F3725" w14:textId="77777777" w:rsidR="007F7A18" w:rsidRDefault="007F7A18" w:rsidP="002C14CC">
      <w:pPr>
        <w:rPr>
          <w:rFonts w:ascii="Garamond" w:hAnsi="Garamond"/>
          <w:iCs/>
          <w:lang w:val="en-AU"/>
        </w:rPr>
      </w:pPr>
    </w:p>
    <w:p w14:paraId="78917479" w14:textId="77777777" w:rsidR="00056D5B" w:rsidRPr="003C2554" w:rsidRDefault="00056D5B" w:rsidP="002C14CC">
      <w:pPr>
        <w:rPr>
          <w:rFonts w:ascii="Garamond" w:hAnsi="Garamond"/>
          <w:iCs/>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40"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41"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42"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13D77ED1">
            <wp:extent cx="3036277" cy="4284239"/>
            <wp:effectExtent l="0" t="0" r="0" b="2540"/>
            <wp:docPr id="8" name="Picture 8" descr="COVID-19 poster - combined contact and droplet precautions">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3060952" cy="4319056"/>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4"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6"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7"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8"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51"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12BF9FBD" w14:textId="0ED05E05" w:rsidR="00D574D3" w:rsidRPr="008E375B" w:rsidRDefault="00D574D3" w:rsidP="00D574D3">
      <w:pPr>
        <w:keepNext/>
        <w:keepLines/>
        <w:rPr>
          <w:rFonts w:ascii="Garamond" w:hAnsi="Garamond"/>
          <w:i/>
          <w:lang w:val="en-AU"/>
        </w:rPr>
      </w:pPr>
      <w:r w:rsidRPr="008E375B">
        <w:rPr>
          <w:rFonts w:ascii="Garamond" w:hAnsi="Garamond"/>
          <w:i/>
          <w:lang w:val="en-AU"/>
        </w:rPr>
        <w:lastRenderedPageBreak/>
        <w:t>National Clinical Evidence Taskforce</w:t>
      </w:r>
    </w:p>
    <w:p w14:paraId="066BAB2A" w14:textId="1753A1A5" w:rsidR="009C6AF9" w:rsidRPr="008E375B" w:rsidRDefault="00000000" w:rsidP="00D574D3">
      <w:pPr>
        <w:keepNext/>
        <w:keepLines/>
        <w:rPr>
          <w:rFonts w:ascii="Garamond" w:hAnsi="Garamond"/>
        </w:rPr>
      </w:pPr>
      <w:hyperlink r:id="rId54" w:history="1">
        <w:r w:rsidR="009C6AF9" w:rsidRPr="008E375B">
          <w:rPr>
            <w:rStyle w:val="Hyperlink"/>
            <w:rFonts w:ascii="Garamond" w:hAnsi="Garamond"/>
          </w:rPr>
          <w:t>https://clinicalevidence.net.au/</w:t>
        </w:r>
      </w:hyperlink>
    </w:p>
    <w:p w14:paraId="7C588070" w14:textId="77777777" w:rsidR="009C6AF9" w:rsidRPr="008E375B" w:rsidRDefault="009C6AF9" w:rsidP="009C6AF9">
      <w:pPr>
        <w:keepLines/>
        <w:rPr>
          <w:rFonts w:ascii="Garamond" w:hAnsi="Garamond"/>
          <w:lang w:val="en-AU"/>
        </w:rPr>
      </w:pPr>
      <w:r w:rsidRPr="008E375B">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8E375B" w:rsidRDefault="009C6AF9" w:rsidP="009C6AF9">
      <w:pPr>
        <w:keepLines/>
        <w:rPr>
          <w:rFonts w:ascii="Garamond" w:hAnsi="Garamond"/>
          <w:lang w:val="en-AU"/>
        </w:rPr>
      </w:pPr>
      <w:r w:rsidRPr="008E375B">
        <w:rPr>
          <w:rFonts w:ascii="Garamond" w:hAnsi="Garamond"/>
          <w:lang w:val="en-AU"/>
        </w:rPr>
        <w:t>This alliance established the world’s first ‘living guidelines’ for the care of people with COVID-19 and MPX.</w:t>
      </w:r>
    </w:p>
    <w:p w14:paraId="3FE22EB3" w14:textId="77777777" w:rsidR="009C6AF9" w:rsidRPr="008E375B" w:rsidRDefault="009C6AF9" w:rsidP="009C6AF9">
      <w:pPr>
        <w:keepLines/>
        <w:rPr>
          <w:rFonts w:ascii="Garamond" w:hAnsi="Garamond"/>
          <w:lang w:val="en-AU"/>
        </w:rPr>
      </w:pPr>
      <w:r w:rsidRPr="008E375B">
        <w:rPr>
          <w:rFonts w:ascii="Garamond" w:hAnsi="Garamond"/>
          <w:lang w:val="en-AU"/>
        </w:rPr>
        <w:t>Funding has now been discontinued for the National Clinical Evidence Taskforce and the COVID-19 guidelines as of 30 June 2023.</w:t>
      </w:r>
    </w:p>
    <w:p w14:paraId="0851C8FF" w14:textId="4E8D45D1" w:rsidR="009C6AF9" w:rsidRDefault="009C6AF9" w:rsidP="009C6AF9">
      <w:pPr>
        <w:keepLines/>
        <w:rPr>
          <w:rFonts w:ascii="Garamond" w:hAnsi="Garamond"/>
          <w:lang w:val="en-AU"/>
        </w:rPr>
      </w:pPr>
      <w:r w:rsidRPr="008E375B">
        <w:rPr>
          <w:rFonts w:ascii="Garamond" w:hAnsi="Garamond"/>
          <w:lang w:val="en-AU"/>
        </w:rPr>
        <w:t>These guidelines are no longer continually updated but will remain online until the guidance becomes inaccurate and/or no longer reflects the evidence or recommended practice.</w:t>
      </w:r>
    </w:p>
    <w:p w14:paraId="1CBC3401" w14:textId="7B23C301" w:rsidR="00DD64D5" w:rsidRDefault="00DD64D5"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5A0CDA44"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5"/>
      <w:footerReference w:type="default" r:id="rId5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212B" w14:textId="77777777" w:rsidR="00F979B4" w:rsidRDefault="00F979B4">
      <w:r>
        <w:separator/>
      </w:r>
    </w:p>
  </w:endnote>
  <w:endnote w:type="continuationSeparator" w:id="0">
    <w:p w14:paraId="6AA73366" w14:textId="77777777" w:rsidR="00F979B4" w:rsidRDefault="00F9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3C337B71"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A90FB9">
      <w:rPr>
        <w:rFonts w:ascii="Garamond" w:hAnsi="Garamond"/>
      </w:rPr>
      <w:t>3</w:t>
    </w:r>
    <w:r w:rsidR="00620C1E">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63CDE26B"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A90FB9">
      <w:rPr>
        <w:rFonts w:ascii="Garamond" w:hAnsi="Garamond"/>
      </w:rPr>
      <w:t>3</w:t>
    </w:r>
    <w:r w:rsidR="00620C1E">
      <w:rPr>
        <w:rFonts w:ascii="Garamond" w:hAnsi="Garamond"/>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687C" w14:textId="77777777" w:rsidR="00F979B4" w:rsidRDefault="00F979B4">
      <w:r>
        <w:separator/>
      </w:r>
    </w:p>
  </w:footnote>
  <w:footnote w:type="continuationSeparator" w:id="0">
    <w:p w14:paraId="4A37773D" w14:textId="77777777" w:rsidR="00F979B4" w:rsidRDefault="00F97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77041"/>
    <w:multiLevelType w:val="hybridMultilevel"/>
    <w:tmpl w:val="8D323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0315A8"/>
    <w:multiLevelType w:val="hybridMultilevel"/>
    <w:tmpl w:val="120CB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EB0FC8"/>
    <w:multiLevelType w:val="hybridMultilevel"/>
    <w:tmpl w:val="4F5AB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B21DA6"/>
    <w:multiLevelType w:val="hybridMultilevel"/>
    <w:tmpl w:val="1F2A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4D758E"/>
    <w:multiLevelType w:val="hybridMultilevel"/>
    <w:tmpl w:val="4B50C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0E36B1"/>
    <w:multiLevelType w:val="hybridMultilevel"/>
    <w:tmpl w:val="757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483942"/>
    <w:multiLevelType w:val="hybridMultilevel"/>
    <w:tmpl w:val="B51C8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D6955"/>
    <w:multiLevelType w:val="hybridMultilevel"/>
    <w:tmpl w:val="48D0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D745BA"/>
    <w:multiLevelType w:val="hybridMultilevel"/>
    <w:tmpl w:val="7E24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B67BDC"/>
    <w:multiLevelType w:val="hybridMultilevel"/>
    <w:tmpl w:val="FDDE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06708"/>
    <w:multiLevelType w:val="hybridMultilevel"/>
    <w:tmpl w:val="CD9C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C26A0C"/>
    <w:multiLevelType w:val="hybridMultilevel"/>
    <w:tmpl w:val="E92E1A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0D77C1"/>
    <w:multiLevelType w:val="hybridMultilevel"/>
    <w:tmpl w:val="D0724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EB2EB8"/>
    <w:multiLevelType w:val="hybridMultilevel"/>
    <w:tmpl w:val="12DA9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541861"/>
    <w:multiLevelType w:val="hybridMultilevel"/>
    <w:tmpl w:val="D11E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D545E9"/>
    <w:multiLevelType w:val="hybridMultilevel"/>
    <w:tmpl w:val="6E3C7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1"/>
  </w:num>
  <w:num w:numId="2" w16cid:durableId="1683386478">
    <w:abstractNumId w:val="31"/>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6"/>
  </w:num>
  <w:num w:numId="14" w16cid:durableId="28579523">
    <w:abstractNumId w:val="22"/>
  </w:num>
  <w:num w:numId="15" w16cid:durableId="1756245841">
    <w:abstractNumId w:val="25"/>
  </w:num>
  <w:num w:numId="16" w16cid:durableId="1878159678">
    <w:abstractNumId w:val="15"/>
  </w:num>
  <w:num w:numId="17" w16cid:durableId="1406414453">
    <w:abstractNumId w:val="20"/>
  </w:num>
  <w:num w:numId="18" w16cid:durableId="737750215">
    <w:abstractNumId w:val="27"/>
  </w:num>
  <w:num w:numId="19" w16cid:durableId="1685746231">
    <w:abstractNumId w:val="30"/>
  </w:num>
  <w:num w:numId="20" w16cid:durableId="64836618">
    <w:abstractNumId w:val="23"/>
  </w:num>
  <w:num w:numId="21" w16cid:durableId="412553615">
    <w:abstractNumId w:val="24"/>
  </w:num>
  <w:num w:numId="22" w16cid:durableId="1376396157">
    <w:abstractNumId w:val="16"/>
  </w:num>
  <w:num w:numId="23" w16cid:durableId="980311576">
    <w:abstractNumId w:val="11"/>
  </w:num>
  <w:num w:numId="24" w16cid:durableId="1322276046">
    <w:abstractNumId w:val="33"/>
  </w:num>
  <w:num w:numId="25" w16cid:durableId="250630762">
    <w:abstractNumId w:val="32"/>
  </w:num>
  <w:num w:numId="26" w16cid:durableId="1226453529">
    <w:abstractNumId w:val="13"/>
  </w:num>
  <w:num w:numId="27" w16cid:durableId="1774322985">
    <w:abstractNumId w:val="18"/>
  </w:num>
  <w:num w:numId="28" w16cid:durableId="1540557084">
    <w:abstractNumId w:val="19"/>
  </w:num>
  <w:num w:numId="29" w16cid:durableId="908032508">
    <w:abstractNumId w:val="34"/>
  </w:num>
  <w:num w:numId="30" w16cid:durableId="1385913735">
    <w:abstractNumId w:val="29"/>
  </w:num>
  <w:num w:numId="31" w16cid:durableId="1827473624">
    <w:abstractNumId w:val="28"/>
  </w:num>
  <w:num w:numId="32" w16cid:durableId="1183326293">
    <w:abstractNumId w:val="12"/>
  </w:num>
  <w:num w:numId="33" w16cid:durableId="535389394">
    <w:abstractNumId w:val="10"/>
  </w:num>
  <w:num w:numId="34" w16cid:durableId="1765807579">
    <w:abstractNumId w:val="14"/>
  </w:num>
  <w:num w:numId="35" w16cid:durableId="32506276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001"/>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B62"/>
    <w:rsid w:val="00073CA3"/>
    <w:rsid w:val="00073E65"/>
    <w:rsid w:val="00073F1E"/>
    <w:rsid w:val="00073F5A"/>
    <w:rsid w:val="00073FA4"/>
    <w:rsid w:val="000740F2"/>
    <w:rsid w:val="000742DC"/>
    <w:rsid w:val="00074383"/>
    <w:rsid w:val="00074540"/>
    <w:rsid w:val="00074786"/>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BE"/>
    <w:rsid w:val="00077753"/>
    <w:rsid w:val="000778FC"/>
    <w:rsid w:val="00077931"/>
    <w:rsid w:val="00077ADD"/>
    <w:rsid w:val="00077D98"/>
    <w:rsid w:val="00077F9E"/>
    <w:rsid w:val="000800A4"/>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2E32"/>
    <w:rsid w:val="0008346E"/>
    <w:rsid w:val="000834C7"/>
    <w:rsid w:val="00083515"/>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70"/>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C7C"/>
    <w:rsid w:val="000A2E53"/>
    <w:rsid w:val="000A2FA3"/>
    <w:rsid w:val="000A3099"/>
    <w:rsid w:val="000A3222"/>
    <w:rsid w:val="000A36CA"/>
    <w:rsid w:val="000A3771"/>
    <w:rsid w:val="000A382F"/>
    <w:rsid w:val="000A3862"/>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27A"/>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DAE"/>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754"/>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D7"/>
    <w:rsid w:val="000E0AE5"/>
    <w:rsid w:val="000E0BA0"/>
    <w:rsid w:val="000E0E9C"/>
    <w:rsid w:val="000E0FCB"/>
    <w:rsid w:val="000E10EF"/>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33D"/>
    <w:rsid w:val="000E34DE"/>
    <w:rsid w:val="000E3511"/>
    <w:rsid w:val="000E3648"/>
    <w:rsid w:val="000E3D74"/>
    <w:rsid w:val="000E3F2F"/>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B8B"/>
    <w:rsid w:val="000E5F6D"/>
    <w:rsid w:val="000E6105"/>
    <w:rsid w:val="000E6227"/>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44E6"/>
    <w:rsid w:val="0011467B"/>
    <w:rsid w:val="001147A2"/>
    <w:rsid w:val="001149FE"/>
    <w:rsid w:val="00114A31"/>
    <w:rsid w:val="00114DEB"/>
    <w:rsid w:val="00114FAF"/>
    <w:rsid w:val="001153A4"/>
    <w:rsid w:val="00115478"/>
    <w:rsid w:val="001154A8"/>
    <w:rsid w:val="001154E9"/>
    <w:rsid w:val="001157F3"/>
    <w:rsid w:val="0011590C"/>
    <w:rsid w:val="00115990"/>
    <w:rsid w:val="00115B0E"/>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51"/>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2C"/>
    <w:rsid w:val="00127E8B"/>
    <w:rsid w:val="00127FE0"/>
    <w:rsid w:val="00127FE5"/>
    <w:rsid w:val="00130CA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68E"/>
    <w:rsid w:val="001417CF"/>
    <w:rsid w:val="00141BA3"/>
    <w:rsid w:val="00141BDF"/>
    <w:rsid w:val="00141F63"/>
    <w:rsid w:val="00141F8A"/>
    <w:rsid w:val="001420B4"/>
    <w:rsid w:val="001421C3"/>
    <w:rsid w:val="0014225E"/>
    <w:rsid w:val="001426E2"/>
    <w:rsid w:val="0014273B"/>
    <w:rsid w:val="00142754"/>
    <w:rsid w:val="00142778"/>
    <w:rsid w:val="001428DD"/>
    <w:rsid w:val="00142A28"/>
    <w:rsid w:val="00142AFF"/>
    <w:rsid w:val="00142D0A"/>
    <w:rsid w:val="00142DF4"/>
    <w:rsid w:val="001430BF"/>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8C"/>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AFE"/>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34B"/>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BA3"/>
    <w:rsid w:val="001B4C12"/>
    <w:rsid w:val="001B4CB1"/>
    <w:rsid w:val="001B4F49"/>
    <w:rsid w:val="001B5029"/>
    <w:rsid w:val="001B5138"/>
    <w:rsid w:val="001B5298"/>
    <w:rsid w:val="001B53F8"/>
    <w:rsid w:val="001B5733"/>
    <w:rsid w:val="001B593D"/>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092"/>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105"/>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4E7D"/>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675"/>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64A"/>
    <w:rsid w:val="00240CFC"/>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983"/>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B1"/>
    <w:rsid w:val="002A19EA"/>
    <w:rsid w:val="002A1AFE"/>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4C86"/>
    <w:rsid w:val="002A4F78"/>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EE2"/>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714"/>
    <w:rsid w:val="002D4744"/>
    <w:rsid w:val="002D4811"/>
    <w:rsid w:val="002D48A3"/>
    <w:rsid w:val="002D4B7D"/>
    <w:rsid w:val="002D4C6B"/>
    <w:rsid w:val="002D4CA7"/>
    <w:rsid w:val="002D4F76"/>
    <w:rsid w:val="002D50C1"/>
    <w:rsid w:val="002D5163"/>
    <w:rsid w:val="002D51B6"/>
    <w:rsid w:val="002D5315"/>
    <w:rsid w:val="002D57FA"/>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C11"/>
    <w:rsid w:val="002E0DC8"/>
    <w:rsid w:val="002E0F7B"/>
    <w:rsid w:val="002E103F"/>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949"/>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354"/>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5C0"/>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9B"/>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009"/>
    <w:rsid w:val="003B02ED"/>
    <w:rsid w:val="003B0336"/>
    <w:rsid w:val="003B03E4"/>
    <w:rsid w:val="003B044B"/>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2E"/>
    <w:rsid w:val="003B6192"/>
    <w:rsid w:val="003B6195"/>
    <w:rsid w:val="003B62CC"/>
    <w:rsid w:val="003B64E9"/>
    <w:rsid w:val="003B6541"/>
    <w:rsid w:val="003B6618"/>
    <w:rsid w:val="003B6637"/>
    <w:rsid w:val="003B67CB"/>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0C8"/>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4"/>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9AD"/>
    <w:rsid w:val="00412A60"/>
    <w:rsid w:val="00412AF7"/>
    <w:rsid w:val="00412B42"/>
    <w:rsid w:val="00412B8B"/>
    <w:rsid w:val="00412BB5"/>
    <w:rsid w:val="00412C64"/>
    <w:rsid w:val="00412CCB"/>
    <w:rsid w:val="00412F59"/>
    <w:rsid w:val="00412FEC"/>
    <w:rsid w:val="0041309D"/>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27C51"/>
    <w:rsid w:val="00430015"/>
    <w:rsid w:val="00430334"/>
    <w:rsid w:val="004307B1"/>
    <w:rsid w:val="00430A0A"/>
    <w:rsid w:val="00430D53"/>
    <w:rsid w:val="00430DC7"/>
    <w:rsid w:val="00430E95"/>
    <w:rsid w:val="004310CA"/>
    <w:rsid w:val="004311E6"/>
    <w:rsid w:val="00431409"/>
    <w:rsid w:val="00431767"/>
    <w:rsid w:val="00431773"/>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6B"/>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6"/>
    <w:rsid w:val="004575C8"/>
    <w:rsid w:val="0045779A"/>
    <w:rsid w:val="004577B3"/>
    <w:rsid w:val="00457855"/>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719"/>
    <w:rsid w:val="00460777"/>
    <w:rsid w:val="004607C5"/>
    <w:rsid w:val="00460979"/>
    <w:rsid w:val="00460BE6"/>
    <w:rsid w:val="00460E59"/>
    <w:rsid w:val="00461018"/>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7019E"/>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30"/>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953"/>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51"/>
    <w:rsid w:val="00496D7D"/>
    <w:rsid w:val="00496DF0"/>
    <w:rsid w:val="00497034"/>
    <w:rsid w:val="00497042"/>
    <w:rsid w:val="00497094"/>
    <w:rsid w:val="00497338"/>
    <w:rsid w:val="00497385"/>
    <w:rsid w:val="0049742E"/>
    <w:rsid w:val="00497A9B"/>
    <w:rsid w:val="00497C82"/>
    <w:rsid w:val="00497EC5"/>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55"/>
    <w:rsid w:val="004C2FC8"/>
    <w:rsid w:val="004C30F9"/>
    <w:rsid w:val="004C323D"/>
    <w:rsid w:val="004C33AE"/>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6034"/>
    <w:rsid w:val="004C607E"/>
    <w:rsid w:val="004C6086"/>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B8C"/>
    <w:rsid w:val="004D1BFB"/>
    <w:rsid w:val="004D1CDC"/>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96"/>
    <w:rsid w:val="004D414D"/>
    <w:rsid w:val="004D4184"/>
    <w:rsid w:val="004D424B"/>
    <w:rsid w:val="004D45E3"/>
    <w:rsid w:val="004D4648"/>
    <w:rsid w:val="004D481F"/>
    <w:rsid w:val="004D4AAB"/>
    <w:rsid w:val="004D4AB7"/>
    <w:rsid w:val="004D4CBF"/>
    <w:rsid w:val="004D4E72"/>
    <w:rsid w:val="004D508A"/>
    <w:rsid w:val="004D52F4"/>
    <w:rsid w:val="004D5676"/>
    <w:rsid w:val="004D56E5"/>
    <w:rsid w:val="004D5D11"/>
    <w:rsid w:val="004D63C7"/>
    <w:rsid w:val="004D69A0"/>
    <w:rsid w:val="004D6A08"/>
    <w:rsid w:val="004D6B8C"/>
    <w:rsid w:val="004D6C26"/>
    <w:rsid w:val="004D6E39"/>
    <w:rsid w:val="004D6FA5"/>
    <w:rsid w:val="004D7363"/>
    <w:rsid w:val="004D73CF"/>
    <w:rsid w:val="004D73E3"/>
    <w:rsid w:val="004D75C5"/>
    <w:rsid w:val="004D774D"/>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90B"/>
    <w:rsid w:val="004F4B20"/>
    <w:rsid w:val="004F4BFC"/>
    <w:rsid w:val="004F4C5B"/>
    <w:rsid w:val="004F4CFB"/>
    <w:rsid w:val="004F4D7F"/>
    <w:rsid w:val="004F4E38"/>
    <w:rsid w:val="004F515B"/>
    <w:rsid w:val="004F544B"/>
    <w:rsid w:val="004F555C"/>
    <w:rsid w:val="004F55A6"/>
    <w:rsid w:val="004F57FF"/>
    <w:rsid w:val="004F5852"/>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ABB"/>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A7"/>
    <w:rsid w:val="0052333A"/>
    <w:rsid w:val="005234C3"/>
    <w:rsid w:val="005234F2"/>
    <w:rsid w:val="005237CD"/>
    <w:rsid w:val="0052382E"/>
    <w:rsid w:val="00523AE4"/>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FA7"/>
    <w:rsid w:val="0054523A"/>
    <w:rsid w:val="00545355"/>
    <w:rsid w:val="00545392"/>
    <w:rsid w:val="0054541D"/>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407"/>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20"/>
    <w:rsid w:val="00571C57"/>
    <w:rsid w:val="00571C5E"/>
    <w:rsid w:val="00572114"/>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150"/>
    <w:rsid w:val="00581225"/>
    <w:rsid w:val="0058135E"/>
    <w:rsid w:val="005814DF"/>
    <w:rsid w:val="005816C2"/>
    <w:rsid w:val="005817D9"/>
    <w:rsid w:val="005819E8"/>
    <w:rsid w:val="00581A15"/>
    <w:rsid w:val="00581B9A"/>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DB4"/>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AA3"/>
    <w:rsid w:val="005A6F0D"/>
    <w:rsid w:val="005A6FA8"/>
    <w:rsid w:val="005A6FC3"/>
    <w:rsid w:val="005A706A"/>
    <w:rsid w:val="005A71D6"/>
    <w:rsid w:val="005A71F0"/>
    <w:rsid w:val="005A72BA"/>
    <w:rsid w:val="005A7426"/>
    <w:rsid w:val="005A7885"/>
    <w:rsid w:val="005A78FA"/>
    <w:rsid w:val="005A7924"/>
    <w:rsid w:val="005A7997"/>
    <w:rsid w:val="005A7B9B"/>
    <w:rsid w:val="005A7EBC"/>
    <w:rsid w:val="005A7EE5"/>
    <w:rsid w:val="005A7F00"/>
    <w:rsid w:val="005A7F4A"/>
    <w:rsid w:val="005A7F94"/>
    <w:rsid w:val="005B021C"/>
    <w:rsid w:val="005B02B1"/>
    <w:rsid w:val="005B02C8"/>
    <w:rsid w:val="005B0606"/>
    <w:rsid w:val="005B0807"/>
    <w:rsid w:val="005B087F"/>
    <w:rsid w:val="005B0886"/>
    <w:rsid w:val="005B08A7"/>
    <w:rsid w:val="005B0A52"/>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30"/>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651"/>
    <w:rsid w:val="00606BCF"/>
    <w:rsid w:val="00606C83"/>
    <w:rsid w:val="00606DA1"/>
    <w:rsid w:val="00606DD6"/>
    <w:rsid w:val="00606E9D"/>
    <w:rsid w:val="00607175"/>
    <w:rsid w:val="00607191"/>
    <w:rsid w:val="00607371"/>
    <w:rsid w:val="0060740D"/>
    <w:rsid w:val="0060766F"/>
    <w:rsid w:val="00607792"/>
    <w:rsid w:val="0060784C"/>
    <w:rsid w:val="006078E3"/>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F89"/>
    <w:rsid w:val="00612111"/>
    <w:rsid w:val="006121B0"/>
    <w:rsid w:val="00612207"/>
    <w:rsid w:val="00612330"/>
    <w:rsid w:val="00612344"/>
    <w:rsid w:val="00612490"/>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902"/>
    <w:rsid w:val="00621912"/>
    <w:rsid w:val="00621B0C"/>
    <w:rsid w:val="00621D86"/>
    <w:rsid w:val="00622211"/>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9BE"/>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5D8"/>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4F"/>
    <w:rsid w:val="0064077D"/>
    <w:rsid w:val="00640801"/>
    <w:rsid w:val="00640914"/>
    <w:rsid w:val="00640A0E"/>
    <w:rsid w:val="00640B20"/>
    <w:rsid w:val="00640B2E"/>
    <w:rsid w:val="00640D35"/>
    <w:rsid w:val="00640E50"/>
    <w:rsid w:val="00640F29"/>
    <w:rsid w:val="006412B6"/>
    <w:rsid w:val="0064150C"/>
    <w:rsid w:val="00641B26"/>
    <w:rsid w:val="00641F2D"/>
    <w:rsid w:val="00642025"/>
    <w:rsid w:val="00642256"/>
    <w:rsid w:val="00642328"/>
    <w:rsid w:val="006423CF"/>
    <w:rsid w:val="00642558"/>
    <w:rsid w:val="0064259F"/>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2E6"/>
    <w:rsid w:val="006523E0"/>
    <w:rsid w:val="006525F8"/>
    <w:rsid w:val="006529F3"/>
    <w:rsid w:val="00652A67"/>
    <w:rsid w:val="00652B13"/>
    <w:rsid w:val="00652D5F"/>
    <w:rsid w:val="00652DFB"/>
    <w:rsid w:val="0065313E"/>
    <w:rsid w:val="00653191"/>
    <w:rsid w:val="0065335C"/>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1EEE"/>
    <w:rsid w:val="00662095"/>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E"/>
    <w:rsid w:val="006662D8"/>
    <w:rsid w:val="0066672C"/>
    <w:rsid w:val="0066678E"/>
    <w:rsid w:val="00666878"/>
    <w:rsid w:val="006668DB"/>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44E"/>
    <w:rsid w:val="006A6469"/>
    <w:rsid w:val="006A6819"/>
    <w:rsid w:val="006A68C3"/>
    <w:rsid w:val="006A6AFB"/>
    <w:rsid w:val="006A6DC0"/>
    <w:rsid w:val="006A6E27"/>
    <w:rsid w:val="006A711F"/>
    <w:rsid w:val="006A71A2"/>
    <w:rsid w:val="006A746B"/>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07"/>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BC"/>
    <w:rsid w:val="006C0694"/>
    <w:rsid w:val="006C06FF"/>
    <w:rsid w:val="006C074C"/>
    <w:rsid w:val="006C0D20"/>
    <w:rsid w:val="006C0EBD"/>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DFF"/>
    <w:rsid w:val="006C3EDF"/>
    <w:rsid w:val="006C420A"/>
    <w:rsid w:val="006C44A7"/>
    <w:rsid w:val="006C4740"/>
    <w:rsid w:val="006C4975"/>
    <w:rsid w:val="006C49A9"/>
    <w:rsid w:val="006C49FD"/>
    <w:rsid w:val="006C4BC6"/>
    <w:rsid w:val="006C4EC9"/>
    <w:rsid w:val="006C4EF7"/>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6E"/>
    <w:rsid w:val="006E0777"/>
    <w:rsid w:val="006E0786"/>
    <w:rsid w:val="006E0899"/>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63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D3D"/>
    <w:rsid w:val="006E7E2B"/>
    <w:rsid w:val="006F016A"/>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6E70"/>
    <w:rsid w:val="007072B4"/>
    <w:rsid w:val="007074E3"/>
    <w:rsid w:val="00707597"/>
    <w:rsid w:val="007077F8"/>
    <w:rsid w:val="00707AD3"/>
    <w:rsid w:val="00707AEF"/>
    <w:rsid w:val="00707F4F"/>
    <w:rsid w:val="0071004F"/>
    <w:rsid w:val="007103C7"/>
    <w:rsid w:val="00710409"/>
    <w:rsid w:val="00710D8E"/>
    <w:rsid w:val="00710DE5"/>
    <w:rsid w:val="00711025"/>
    <w:rsid w:val="00711346"/>
    <w:rsid w:val="0071135A"/>
    <w:rsid w:val="0071141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8EA"/>
    <w:rsid w:val="00717962"/>
    <w:rsid w:val="00717CAE"/>
    <w:rsid w:val="00717D09"/>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7C3"/>
    <w:rsid w:val="0072583B"/>
    <w:rsid w:val="00725977"/>
    <w:rsid w:val="00725992"/>
    <w:rsid w:val="00725ADA"/>
    <w:rsid w:val="00725D6A"/>
    <w:rsid w:val="00726002"/>
    <w:rsid w:val="007261F4"/>
    <w:rsid w:val="00726262"/>
    <w:rsid w:val="007263E1"/>
    <w:rsid w:val="0072648D"/>
    <w:rsid w:val="00726510"/>
    <w:rsid w:val="00726662"/>
    <w:rsid w:val="0072666E"/>
    <w:rsid w:val="00726853"/>
    <w:rsid w:val="007269AA"/>
    <w:rsid w:val="00726CBB"/>
    <w:rsid w:val="00726E19"/>
    <w:rsid w:val="00726F5D"/>
    <w:rsid w:val="007273CC"/>
    <w:rsid w:val="007279BE"/>
    <w:rsid w:val="00727B35"/>
    <w:rsid w:val="00727CFC"/>
    <w:rsid w:val="00727D44"/>
    <w:rsid w:val="00727D90"/>
    <w:rsid w:val="00727DBF"/>
    <w:rsid w:val="00727DF4"/>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84C"/>
    <w:rsid w:val="00731B6E"/>
    <w:rsid w:val="00731E67"/>
    <w:rsid w:val="00731F59"/>
    <w:rsid w:val="0073208E"/>
    <w:rsid w:val="007320CB"/>
    <w:rsid w:val="00732108"/>
    <w:rsid w:val="00732180"/>
    <w:rsid w:val="00732426"/>
    <w:rsid w:val="007324AD"/>
    <w:rsid w:val="00732505"/>
    <w:rsid w:val="007326A0"/>
    <w:rsid w:val="007329EF"/>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BB0"/>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4E"/>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091"/>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906"/>
    <w:rsid w:val="007A2949"/>
    <w:rsid w:val="007A2A68"/>
    <w:rsid w:val="007A2DA1"/>
    <w:rsid w:val="007A2E56"/>
    <w:rsid w:val="007A2E59"/>
    <w:rsid w:val="007A2EE1"/>
    <w:rsid w:val="007A3048"/>
    <w:rsid w:val="007A31E4"/>
    <w:rsid w:val="007A3574"/>
    <w:rsid w:val="007A3B55"/>
    <w:rsid w:val="007A3B62"/>
    <w:rsid w:val="007A3BF0"/>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4FB1"/>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55A"/>
    <w:rsid w:val="007C3778"/>
    <w:rsid w:val="007C37D0"/>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C3"/>
    <w:rsid w:val="007C63B3"/>
    <w:rsid w:val="007C6477"/>
    <w:rsid w:val="007C6481"/>
    <w:rsid w:val="007C65C4"/>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AC4"/>
    <w:rsid w:val="007D0CA2"/>
    <w:rsid w:val="007D0E02"/>
    <w:rsid w:val="007D0EA7"/>
    <w:rsid w:val="007D0F16"/>
    <w:rsid w:val="007D1126"/>
    <w:rsid w:val="007D127D"/>
    <w:rsid w:val="007D13EC"/>
    <w:rsid w:val="007D13F5"/>
    <w:rsid w:val="007D1446"/>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32"/>
    <w:rsid w:val="007D29FA"/>
    <w:rsid w:val="007D30B3"/>
    <w:rsid w:val="007D3239"/>
    <w:rsid w:val="007D328E"/>
    <w:rsid w:val="007D32AD"/>
    <w:rsid w:val="007D32E3"/>
    <w:rsid w:val="007D33CF"/>
    <w:rsid w:val="007D33D7"/>
    <w:rsid w:val="007D34BB"/>
    <w:rsid w:val="007D3743"/>
    <w:rsid w:val="007D378E"/>
    <w:rsid w:val="007D3949"/>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0C16"/>
    <w:rsid w:val="007E10D9"/>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4D1"/>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C32"/>
    <w:rsid w:val="00802C4D"/>
    <w:rsid w:val="00802CA2"/>
    <w:rsid w:val="00802EF9"/>
    <w:rsid w:val="008033B9"/>
    <w:rsid w:val="00803809"/>
    <w:rsid w:val="00803A1B"/>
    <w:rsid w:val="00803BF6"/>
    <w:rsid w:val="00804160"/>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B97"/>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0E8"/>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7A3"/>
    <w:rsid w:val="00851832"/>
    <w:rsid w:val="00851C7F"/>
    <w:rsid w:val="00851CB2"/>
    <w:rsid w:val="00851F60"/>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73"/>
    <w:rsid w:val="0085775D"/>
    <w:rsid w:val="0085775E"/>
    <w:rsid w:val="008578A9"/>
    <w:rsid w:val="00857A17"/>
    <w:rsid w:val="00857C8D"/>
    <w:rsid w:val="00857DD5"/>
    <w:rsid w:val="008600F3"/>
    <w:rsid w:val="008604E0"/>
    <w:rsid w:val="00860577"/>
    <w:rsid w:val="008605BA"/>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0DE8"/>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BED"/>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A4E"/>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3CFF"/>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04"/>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0C92"/>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3A2"/>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75B"/>
    <w:rsid w:val="008E3866"/>
    <w:rsid w:val="008E3876"/>
    <w:rsid w:val="008E3AC8"/>
    <w:rsid w:val="008E3D86"/>
    <w:rsid w:val="008E3EF6"/>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A8"/>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107"/>
    <w:rsid w:val="00904247"/>
    <w:rsid w:val="009042B1"/>
    <w:rsid w:val="00904418"/>
    <w:rsid w:val="00904807"/>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70C"/>
    <w:rsid w:val="009207D6"/>
    <w:rsid w:val="00920892"/>
    <w:rsid w:val="00920D77"/>
    <w:rsid w:val="00920DB5"/>
    <w:rsid w:val="00920E06"/>
    <w:rsid w:val="009210C0"/>
    <w:rsid w:val="00921303"/>
    <w:rsid w:val="00921375"/>
    <w:rsid w:val="00921662"/>
    <w:rsid w:val="00921740"/>
    <w:rsid w:val="00921883"/>
    <w:rsid w:val="00921CA1"/>
    <w:rsid w:val="00921EB3"/>
    <w:rsid w:val="00921F29"/>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43FA"/>
    <w:rsid w:val="0092440C"/>
    <w:rsid w:val="009246FE"/>
    <w:rsid w:val="00924791"/>
    <w:rsid w:val="00924795"/>
    <w:rsid w:val="00924AD5"/>
    <w:rsid w:val="00924ADB"/>
    <w:rsid w:val="00924C12"/>
    <w:rsid w:val="00924D7F"/>
    <w:rsid w:val="00924E21"/>
    <w:rsid w:val="00924F73"/>
    <w:rsid w:val="00924FB7"/>
    <w:rsid w:val="00925512"/>
    <w:rsid w:val="009255CB"/>
    <w:rsid w:val="00925618"/>
    <w:rsid w:val="00925822"/>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10"/>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37FED"/>
    <w:rsid w:val="009402F0"/>
    <w:rsid w:val="009404B3"/>
    <w:rsid w:val="009404EE"/>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A8"/>
    <w:rsid w:val="00944E82"/>
    <w:rsid w:val="00945130"/>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7C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D04"/>
    <w:rsid w:val="00975117"/>
    <w:rsid w:val="00975155"/>
    <w:rsid w:val="00975304"/>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3B21"/>
    <w:rsid w:val="00983E76"/>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9A"/>
    <w:rsid w:val="00987DD8"/>
    <w:rsid w:val="00987DF9"/>
    <w:rsid w:val="00987F41"/>
    <w:rsid w:val="009901B5"/>
    <w:rsid w:val="009902D4"/>
    <w:rsid w:val="009903BA"/>
    <w:rsid w:val="0099078F"/>
    <w:rsid w:val="009909A7"/>
    <w:rsid w:val="00990C04"/>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C69"/>
    <w:rsid w:val="009B6E7B"/>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C6E"/>
    <w:rsid w:val="009C0CD2"/>
    <w:rsid w:val="009C0D2C"/>
    <w:rsid w:val="009C0E63"/>
    <w:rsid w:val="009C106C"/>
    <w:rsid w:val="009C107E"/>
    <w:rsid w:val="009C1292"/>
    <w:rsid w:val="009C12A8"/>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FD5"/>
    <w:rsid w:val="009C73F0"/>
    <w:rsid w:val="009C750D"/>
    <w:rsid w:val="009C75AE"/>
    <w:rsid w:val="009C7794"/>
    <w:rsid w:val="009C781A"/>
    <w:rsid w:val="009C78BC"/>
    <w:rsid w:val="009C79EF"/>
    <w:rsid w:val="009C7A84"/>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1CDD"/>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5E0"/>
    <w:rsid w:val="009D46E0"/>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4E9D"/>
    <w:rsid w:val="009E5107"/>
    <w:rsid w:val="009E514F"/>
    <w:rsid w:val="009E515C"/>
    <w:rsid w:val="009E518A"/>
    <w:rsid w:val="009E5582"/>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B3C"/>
    <w:rsid w:val="009F5C39"/>
    <w:rsid w:val="009F5D43"/>
    <w:rsid w:val="009F5E45"/>
    <w:rsid w:val="009F603D"/>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CF"/>
    <w:rsid w:val="00A061F1"/>
    <w:rsid w:val="00A062F2"/>
    <w:rsid w:val="00A064DE"/>
    <w:rsid w:val="00A064EC"/>
    <w:rsid w:val="00A06711"/>
    <w:rsid w:val="00A06914"/>
    <w:rsid w:val="00A06967"/>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03"/>
    <w:rsid w:val="00A21E2E"/>
    <w:rsid w:val="00A22458"/>
    <w:rsid w:val="00A2275E"/>
    <w:rsid w:val="00A229CF"/>
    <w:rsid w:val="00A22B7B"/>
    <w:rsid w:val="00A22C2F"/>
    <w:rsid w:val="00A22CEA"/>
    <w:rsid w:val="00A22D05"/>
    <w:rsid w:val="00A22E24"/>
    <w:rsid w:val="00A22EF6"/>
    <w:rsid w:val="00A22F75"/>
    <w:rsid w:val="00A231F6"/>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734"/>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7A"/>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709"/>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8D"/>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1FC7"/>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FAB"/>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55"/>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1BE"/>
    <w:rsid w:val="00AD7522"/>
    <w:rsid w:val="00AD7CD4"/>
    <w:rsid w:val="00AE015E"/>
    <w:rsid w:val="00AE02C6"/>
    <w:rsid w:val="00AE098D"/>
    <w:rsid w:val="00AE09B0"/>
    <w:rsid w:val="00AE0A49"/>
    <w:rsid w:val="00AE0B0E"/>
    <w:rsid w:val="00AE0C51"/>
    <w:rsid w:val="00AE0CAA"/>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805"/>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AD"/>
    <w:rsid w:val="00AF1602"/>
    <w:rsid w:val="00AF1803"/>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21"/>
    <w:rsid w:val="00B11D5B"/>
    <w:rsid w:val="00B11E53"/>
    <w:rsid w:val="00B11FD4"/>
    <w:rsid w:val="00B1241A"/>
    <w:rsid w:val="00B12B15"/>
    <w:rsid w:val="00B12BE0"/>
    <w:rsid w:val="00B12BE4"/>
    <w:rsid w:val="00B12F61"/>
    <w:rsid w:val="00B12FAD"/>
    <w:rsid w:val="00B13088"/>
    <w:rsid w:val="00B131B1"/>
    <w:rsid w:val="00B132CD"/>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4E2"/>
    <w:rsid w:val="00B1468B"/>
    <w:rsid w:val="00B146EA"/>
    <w:rsid w:val="00B14ADA"/>
    <w:rsid w:val="00B14CBA"/>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0D"/>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C8B"/>
    <w:rsid w:val="00B31F93"/>
    <w:rsid w:val="00B32020"/>
    <w:rsid w:val="00B3208C"/>
    <w:rsid w:val="00B32098"/>
    <w:rsid w:val="00B320A5"/>
    <w:rsid w:val="00B3225D"/>
    <w:rsid w:val="00B325CB"/>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540"/>
    <w:rsid w:val="00B427FA"/>
    <w:rsid w:val="00B4284B"/>
    <w:rsid w:val="00B42C7B"/>
    <w:rsid w:val="00B42CED"/>
    <w:rsid w:val="00B42D00"/>
    <w:rsid w:val="00B42D83"/>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10C4"/>
    <w:rsid w:val="00B5113A"/>
    <w:rsid w:val="00B511C3"/>
    <w:rsid w:val="00B514FF"/>
    <w:rsid w:val="00B516E3"/>
    <w:rsid w:val="00B519CB"/>
    <w:rsid w:val="00B51BC2"/>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8"/>
    <w:rsid w:val="00B6064C"/>
    <w:rsid w:val="00B606E2"/>
    <w:rsid w:val="00B60737"/>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17A"/>
    <w:rsid w:val="00B66276"/>
    <w:rsid w:val="00B662C9"/>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A2"/>
    <w:rsid w:val="00B961B3"/>
    <w:rsid w:val="00B962D4"/>
    <w:rsid w:val="00B9633E"/>
    <w:rsid w:val="00B963E8"/>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7E"/>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7E4"/>
    <w:rsid w:val="00BC4ADB"/>
    <w:rsid w:val="00BC4BE5"/>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6FD0"/>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994"/>
    <w:rsid w:val="00BE3ACC"/>
    <w:rsid w:val="00BE3C51"/>
    <w:rsid w:val="00BE3E38"/>
    <w:rsid w:val="00BE4092"/>
    <w:rsid w:val="00BE4213"/>
    <w:rsid w:val="00BE442A"/>
    <w:rsid w:val="00BE45D8"/>
    <w:rsid w:val="00BE45D9"/>
    <w:rsid w:val="00BE45DD"/>
    <w:rsid w:val="00BE4709"/>
    <w:rsid w:val="00BE494F"/>
    <w:rsid w:val="00BE4F5B"/>
    <w:rsid w:val="00BE505A"/>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72"/>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DE5"/>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9C"/>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6"/>
    <w:rsid w:val="00C227CC"/>
    <w:rsid w:val="00C22AD0"/>
    <w:rsid w:val="00C22DEF"/>
    <w:rsid w:val="00C23361"/>
    <w:rsid w:val="00C236B4"/>
    <w:rsid w:val="00C237B7"/>
    <w:rsid w:val="00C23A26"/>
    <w:rsid w:val="00C23CED"/>
    <w:rsid w:val="00C23E98"/>
    <w:rsid w:val="00C24271"/>
    <w:rsid w:val="00C242CF"/>
    <w:rsid w:val="00C24439"/>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3FE"/>
    <w:rsid w:val="00C3166B"/>
    <w:rsid w:val="00C31A80"/>
    <w:rsid w:val="00C31BF3"/>
    <w:rsid w:val="00C31E22"/>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55"/>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78F"/>
    <w:rsid w:val="00C43830"/>
    <w:rsid w:val="00C43852"/>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5E20"/>
    <w:rsid w:val="00C960D6"/>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AD6"/>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0A"/>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6E94"/>
    <w:rsid w:val="00CB70B1"/>
    <w:rsid w:val="00CB7476"/>
    <w:rsid w:val="00CB74BA"/>
    <w:rsid w:val="00CB7986"/>
    <w:rsid w:val="00CB7C73"/>
    <w:rsid w:val="00CB7EEA"/>
    <w:rsid w:val="00CC0090"/>
    <w:rsid w:val="00CC03B4"/>
    <w:rsid w:val="00CC0782"/>
    <w:rsid w:val="00CC091B"/>
    <w:rsid w:val="00CC0AB1"/>
    <w:rsid w:val="00CC0AD5"/>
    <w:rsid w:val="00CC0BDC"/>
    <w:rsid w:val="00CC0C40"/>
    <w:rsid w:val="00CC0CF3"/>
    <w:rsid w:val="00CC0D2C"/>
    <w:rsid w:val="00CC0D33"/>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6FC3"/>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ABF"/>
    <w:rsid w:val="00CF2C68"/>
    <w:rsid w:val="00CF2E52"/>
    <w:rsid w:val="00CF2F2A"/>
    <w:rsid w:val="00CF3221"/>
    <w:rsid w:val="00CF33B9"/>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AD8"/>
    <w:rsid w:val="00CF5C87"/>
    <w:rsid w:val="00CF5C8F"/>
    <w:rsid w:val="00CF5CDB"/>
    <w:rsid w:val="00CF5D1E"/>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1D5"/>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771"/>
    <w:rsid w:val="00D35AF7"/>
    <w:rsid w:val="00D35CE6"/>
    <w:rsid w:val="00D35D74"/>
    <w:rsid w:val="00D35E8F"/>
    <w:rsid w:val="00D35EC2"/>
    <w:rsid w:val="00D35FC6"/>
    <w:rsid w:val="00D35FCD"/>
    <w:rsid w:val="00D36258"/>
    <w:rsid w:val="00D36430"/>
    <w:rsid w:val="00D3643D"/>
    <w:rsid w:val="00D367A5"/>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233"/>
    <w:rsid w:val="00D51639"/>
    <w:rsid w:val="00D5180A"/>
    <w:rsid w:val="00D51921"/>
    <w:rsid w:val="00D51A8C"/>
    <w:rsid w:val="00D51F05"/>
    <w:rsid w:val="00D52200"/>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8B"/>
    <w:rsid w:val="00D65371"/>
    <w:rsid w:val="00D653B9"/>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70264"/>
    <w:rsid w:val="00D70AEE"/>
    <w:rsid w:val="00D70B45"/>
    <w:rsid w:val="00D70B57"/>
    <w:rsid w:val="00D70CA2"/>
    <w:rsid w:val="00D70CDA"/>
    <w:rsid w:val="00D70E93"/>
    <w:rsid w:val="00D70EBB"/>
    <w:rsid w:val="00D70F23"/>
    <w:rsid w:val="00D70FD1"/>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44F"/>
    <w:rsid w:val="00D815D6"/>
    <w:rsid w:val="00D8186B"/>
    <w:rsid w:val="00D81989"/>
    <w:rsid w:val="00D81A39"/>
    <w:rsid w:val="00D81CF6"/>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0FDA"/>
    <w:rsid w:val="00D913E1"/>
    <w:rsid w:val="00D913F3"/>
    <w:rsid w:val="00D9161E"/>
    <w:rsid w:val="00D917F0"/>
    <w:rsid w:val="00D918C9"/>
    <w:rsid w:val="00D91B21"/>
    <w:rsid w:val="00D91D01"/>
    <w:rsid w:val="00D92152"/>
    <w:rsid w:val="00D9245D"/>
    <w:rsid w:val="00D928B1"/>
    <w:rsid w:val="00D92906"/>
    <w:rsid w:val="00D929AA"/>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859"/>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2D3"/>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BD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25"/>
    <w:rsid w:val="00DC5AD0"/>
    <w:rsid w:val="00DC5CED"/>
    <w:rsid w:val="00DC5DEE"/>
    <w:rsid w:val="00DC5EA9"/>
    <w:rsid w:val="00DC5F00"/>
    <w:rsid w:val="00DC624E"/>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A7D"/>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AA"/>
    <w:rsid w:val="00DE557E"/>
    <w:rsid w:val="00DE5942"/>
    <w:rsid w:val="00DE5C32"/>
    <w:rsid w:val="00DE5D35"/>
    <w:rsid w:val="00DE5D4F"/>
    <w:rsid w:val="00DE5D57"/>
    <w:rsid w:val="00DE5F50"/>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339"/>
    <w:rsid w:val="00DF1534"/>
    <w:rsid w:val="00DF1A39"/>
    <w:rsid w:val="00DF1B5D"/>
    <w:rsid w:val="00DF1C0E"/>
    <w:rsid w:val="00DF225B"/>
    <w:rsid w:val="00DF249D"/>
    <w:rsid w:val="00DF24CB"/>
    <w:rsid w:val="00DF2537"/>
    <w:rsid w:val="00DF2601"/>
    <w:rsid w:val="00DF26BE"/>
    <w:rsid w:val="00DF26D9"/>
    <w:rsid w:val="00DF2AD0"/>
    <w:rsid w:val="00DF2F3A"/>
    <w:rsid w:val="00DF300F"/>
    <w:rsid w:val="00DF326B"/>
    <w:rsid w:val="00DF33E9"/>
    <w:rsid w:val="00DF3402"/>
    <w:rsid w:val="00DF39CD"/>
    <w:rsid w:val="00DF3B53"/>
    <w:rsid w:val="00DF3DF5"/>
    <w:rsid w:val="00DF3EBD"/>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10"/>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3FF"/>
    <w:rsid w:val="00E1545E"/>
    <w:rsid w:val="00E155FD"/>
    <w:rsid w:val="00E15653"/>
    <w:rsid w:val="00E158AE"/>
    <w:rsid w:val="00E15B43"/>
    <w:rsid w:val="00E15C9D"/>
    <w:rsid w:val="00E15D5B"/>
    <w:rsid w:val="00E15DF0"/>
    <w:rsid w:val="00E15E79"/>
    <w:rsid w:val="00E16205"/>
    <w:rsid w:val="00E16364"/>
    <w:rsid w:val="00E16383"/>
    <w:rsid w:val="00E164FC"/>
    <w:rsid w:val="00E1676B"/>
    <w:rsid w:val="00E16864"/>
    <w:rsid w:val="00E16891"/>
    <w:rsid w:val="00E16946"/>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5F3"/>
    <w:rsid w:val="00E2366C"/>
    <w:rsid w:val="00E23946"/>
    <w:rsid w:val="00E239D3"/>
    <w:rsid w:val="00E23A59"/>
    <w:rsid w:val="00E240CC"/>
    <w:rsid w:val="00E244CA"/>
    <w:rsid w:val="00E244DB"/>
    <w:rsid w:val="00E2451D"/>
    <w:rsid w:val="00E245C8"/>
    <w:rsid w:val="00E24843"/>
    <w:rsid w:val="00E24AED"/>
    <w:rsid w:val="00E24B6D"/>
    <w:rsid w:val="00E24C90"/>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A6"/>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C8F"/>
    <w:rsid w:val="00E50E62"/>
    <w:rsid w:val="00E50EAF"/>
    <w:rsid w:val="00E50EB6"/>
    <w:rsid w:val="00E51432"/>
    <w:rsid w:val="00E518E5"/>
    <w:rsid w:val="00E51A29"/>
    <w:rsid w:val="00E51AB0"/>
    <w:rsid w:val="00E51ACA"/>
    <w:rsid w:val="00E51D23"/>
    <w:rsid w:val="00E51E0E"/>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9B3"/>
    <w:rsid w:val="00E66B3F"/>
    <w:rsid w:val="00E66B9D"/>
    <w:rsid w:val="00E66CB7"/>
    <w:rsid w:val="00E66DC3"/>
    <w:rsid w:val="00E671E7"/>
    <w:rsid w:val="00E67473"/>
    <w:rsid w:val="00E6770C"/>
    <w:rsid w:val="00E679BA"/>
    <w:rsid w:val="00E679F5"/>
    <w:rsid w:val="00E67BE7"/>
    <w:rsid w:val="00E67CBE"/>
    <w:rsid w:val="00E67CF6"/>
    <w:rsid w:val="00E67EE7"/>
    <w:rsid w:val="00E67FDF"/>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0DC"/>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1F20"/>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F40"/>
    <w:rsid w:val="00ED1FE9"/>
    <w:rsid w:val="00ED26B7"/>
    <w:rsid w:val="00ED288D"/>
    <w:rsid w:val="00ED29A0"/>
    <w:rsid w:val="00ED29D6"/>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86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878"/>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035"/>
    <w:rsid w:val="00EF6217"/>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6B"/>
    <w:rsid w:val="00F02AEF"/>
    <w:rsid w:val="00F02B03"/>
    <w:rsid w:val="00F02C22"/>
    <w:rsid w:val="00F02CA2"/>
    <w:rsid w:val="00F02EE4"/>
    <w:rsid w:val="00F02EFA"/>
    <w:rsid w:val="00F02FB7"/>
    <w:rsid w:val="00F0311C"/>
    <w:rsid w:val="00F033F9"/>
    <w:rsid w:val="00F0341B"/>
    <w:rsid w:val="00F035D6"/>
    <w:rsid w:val="00F03702"/>
    <w:rsid w:val="00F0370D"/>
    <w:rsid w:val="00F03B0D"/>
    <w:rsid w:val="00F03B31"/>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693"/>
    <w:rsid w:val="00F2769B"/>
    <w:rsid w:val="00F27731"/>
    <w:rsid w:val="00F279F8"/>
    <w:rsid w:val="00F27C8B"/>
    <w:rsid w:val="00F27DF4"/>
    <w:rsid w:val="00F27F6D"/>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448"/>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BBB"/>
    <w:rsid w:val="00F56DB9"/>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0CEF"/>
    <w:rsid w:val="00F6103B"/>
    <w:rsid w:val="00F61127"/>
    <w:rsid w:val="00F613B3"/>
    <w:rsid w:val="00F61457"/>
    <w:rsid w:val="00F614CC"/>
    <w:rsid w:val="00F6156C"/>
    <w:rsid w:val="00F615ED"/>
    <w:rsid w:val="00F61720"/>
    <w:rsid w:val="00F6179B"/>
    <w:rsid w:val="00F6188A"/>
    <w:rsid w:val="00F61B21"/>
    <w:rsid w:val="00F61D03"/>
    <w:rsid w:val="00F61F35"/>
    <w:rsid w:val="00F6247B"/>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6E4"/>
    <w:rsid w:val="00F808DB"/>
    <w:rsid w:val="00F808F5"/>
    <w:rsid w:val="00F8090F"/>
    <w:rsid w:val="00F81562"/>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DC"/>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9B4"/>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4A1"/>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595"/>
    <w:rsid w:val="00FB259A"/>
    <w:rsid w:val="00FB2B55"/>
    <w:rsid w:val="00FB2C77"/>
    <w:rsid w:val="00FB2C80"/>
    <w:rsid w:val="00FB2EED"/>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77F"/>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45D"/>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23970/AHRQEPC_MHS4DEPRESCRIBING" TargetMode="External"/><Relationship Id="rId26" Type="http://schemas.openxmlformats.org/officeDocument/2006/relationships/hyperlink" Target="https://doi.org/10.1002/14651858.CD001431.pub6" TargetMode="External"/><Relationship Id="rId39" Type="http://schemas.openxmlformats.org/officeDocument/2006/relationships/hyperlink" Target="https://effectivehealthcare.ahrq.gov/products/deprescribing-mhs4/rapid-research" TargetMode="External"/><Relationship Id="rId21" Type="http://schemas.openxmlformats.org/officeDocument/2006/relationships/hyperlink" Target="https://www.hssib.org.uk/patient-safety-investigations/positive-patient-identification/" TargetMode="External"/><Relationship Id="rId34" Type="http://schemas.openxmlformats.org/officeDocument/2006/relationships/hyperlink" Target="https://www.safetyandquality.gov.au/our-work/recognising-and-responding-deterioration" TargetMode="External"/><Relationship Id="rId42" Type="http://schemas.openxmlformats.org/officeDocument/2006/relationships/hyperlink" Target="https://www.safetyandquality.gov.au/publications-and-resources/resource-library/infection-prevention-and-control-poster-combined-contact-and-droplet-precautions" TargetMode="External"/><Relationship Id="rId47" Type="http://schemas.openxmlformats.org/officeDocument/2006/relationships/hyperlink" Target="https://www.safetyandquality.gov.au/publications-and-resources/resource-library/covid-19-infection-prevention-and-control-risk-management-guidance" TargetMode="External"/><Relationship Id="rId50" Type="http://schemas.openxmlformats.org/officeDocument/2006/relationships/image" Target="media/image4.PN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ecri.org/2024hazards" TargetMode="External"/><Relationship Id="rId25" Type="http://schemas.openxmlformats.org/officeDocument/2006/relationships/hyperlink" Target="https://doi.org/10.1093/ageing/afad250" TargetMode="External"/><Relationship Id="rId33" Type="http://schemas.openxmlformats.org/officeDocument/2006/relationships/hyperlink" Target="https://doi.org/10.1097/ccm.0000000000006072" TargetMode="External"/><Relationship Id="rId38" Type="http://schemas.openxmlformats.org/officeDocument/2006/relationships/hyperlink" Target="https://effectivehealthcare.ahrq.gov/" TargetMode="External"/><Relationship Id="rId46" Type="http://schemas.openxmlformats.org/officeDocument/2006/relationships/hyperlink" Target="http://www.safetyandquality.gov.au/environmental-cleaning" TargetMode="External"/><Relationship Id="rId2" Type="http://schemas.openxmlformats.org/officeDocument/2006/relationships/numbering" Target="numbering.xml"/><Relationship Id="rId16" Type="http://schemas.openxmlformats.org/officeDocument/2006/relationships/hyperlink" Target="https://www.safetyandquality.gov.au/newsroom/consultations/updating-national-guidelines-screen-presentation-discharge-summaries" TargetMode="External"/><Relationship Id="rId20" Type="http://schemas.openxmlformats.org/officeDocument/2006/relationships/hyperlink" Target="https://www.ahrq.gov/patient-safety/reports/issue-briefs/dxsafety-current-state.html" TargetMode="External"/><Relationship Id="rId29" Type="http://schemas.openxmlformats.org/officeDocument/2006/relationships/hyperlink" Target="https://www.safetyandquality.gov.au/our-work/partnering-consumers/shared-decision-making" TargetMode="External"/><Relationship Id="rId41" Type="http://schemas.openxmlformats.org/officeDocument/2006/relationships/hyperlink" Target="https://www.safetyandquality.gov.au/publications-and-resources/resource-library/covid-19-infection-prevention-and-control-risk-management-guidance" TargetMode="External"/><Relationship Id="rId54" Type="http://schemas.openxmlformats.org/officeDocument/2006/relationships/hyperlink" Target="https://clinicalevidence.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our-work/healthcare-associated-infection-program" TargetMode="External"/><Relationship Id="rId32" Type="http://schemas.openxmlformats.org/officeDocument/2006/relationships/hyperlink" Target="https://doi.org/10.1136/bmjoq-2023-002413" TargetMode="External"/><Relationship Id="rId37" Type="http://schemas.openxmlformats.org/officeDocument/2006/relationships/hyperlink" Target="https://qualitysafety.bmj.com/content/early/recent" TargetMode="External"/><Relationship Id="rId40" Type="http://schemas.openxmlformats.org/officeDocument/2006/relationships/hyperlink" Target="https://www.safetyandquality.gov.au/covid-19" TargetMode="External"/><Relationship Id="rId45" Type="http://schemas.openxmlformats.org/officeDocument/2006/relationships/image" Target="media/image3.PNG"/><Relationship Id="rId53" Type="http://schemas.openxmlformats.org/officeDocument/2006/relationships/image" Target="media/image5.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newsroom/consultations/updating-national-guidelines-screen-presentation-discharge-summaries" TargetMode="External"/><Relationship Id="rId23" Type="http://schemas.openxmlformats.org/officeDocument/2006/relationships/hyperlink" Target="https://doi.org/10.1017/ice.2023.160" TargetMode="External"/><Relationship Id="rId28" Type="http://schemas.openxmlformats.org/officeDocument/2006/relationships/hyperlink" Target="https://www.cochrane.org/news/decision-aids-people-facing-health-treatment-or-screening-decisions" TargetMode="External"/><Relationship Id="rId36" Type="http://schemas.openxmlformats.org/officeDocument/2006/relationships/hyperlink" Target="https://www.healthaffairs.org/toc/hlthaff/43/2" TargetMode="External"/><Relationship Id="rId49"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7" Type="http://schemas.openxmlformats.org/officeDocument/2006/relationships/fontTable" Target="fontTable.xml"/><Relationship Id="rId10" Type="http://schemas.openxmlformats.org/officeDocument/2006/relationships/hyperlink" Target="https://www.safetyandquality.gov.au/newsroom/subscribe-news" TargetMode="External"/><Relationship Id="rId19" Type="http://schemas.openxmlformats.org/officeDocument/2006/relationships/hyperlink" Target="https://www.safetyandquality.gov.au/our-work/medication-safety" TargetMode="External"/><Relationship Id="rId31" Type="http://schemas.openxmlformats.org/officeDocument/2006/relationships/hyperlink" Target="https://www.safetyandquality.gov.au/our-work/partnering-consumers/person-centred-care" TargetMode="External"/><Relationship Id="rId44" Type="http://schemas.openxmlformats.org/officeDocument/2006/relationships/hyperlink" Target="https://www.safetyandquality.gov.au/publications-and-resources/resource-library/poster-combined-airborne-and-contact-precautions" TargetMode="External"/><Relationship Id="rId52" Type="http://schemas.openxmlformats.org/officeDocument/2006/relationships/hyperlink" Target="https://www.safetyandquality.gov.au/sites/default/files/2020-07/covid-19_and_face_masks_-_information_for_consumers.pdf"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standards/nsqhs-standards/communicating-safety-standard" TargetMode="External"/><Relationship Id="rId27" Type="http://schemas.openxmlformats.org/officeDocument/2006/relationships/hyperlink" Target="https://doi.org/10.1002/14651858.ED000164" TargetMode="External"/><Relationship Id="rId30" Type="http://schemas.openxmlformats.org/officeDocument/2006/relationships/hyperlink" Target="https://www.safetyandquality.gov.au/our-work/partnering-consumers/shared-decision-making/decision-support-tools-specific-conditions" TargetMode="External"/><Relationship Id="rId35" Type="http://schemas.openxmlformats.org/officeDocument/2006/relationships/hyperlink" Target="https://doi.org/10.1136/bmj-2023-075355" TargetMode="External"/><Relationship Id="rId43" Type="http://schemas.openxmlformats.org/officeDocument/2006/relationships/image" Target="media/image2.PNG"/><Relationship Id="rId48" Type="http://schemas.openxmlformats.org/officeDocument/2006/relationships/hyperlink" Target="https://www.safetyandquality.gov.au/our-work/cognitive-impairment/cognitive-impairment-and-covid-19" TargetMode="External"/><Relationship Id="rId56"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s://www.safetyandquality.gov.au/publications-and-resources/resource-library/covid-19-and-face-masks-information-consumer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12</Pages>
  <Words>4148</Words>
  <Characters>23647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Draft On the Radar Issue 637</vt:lpstr>
    </vt:vector>
  </TitlesOfParts>
  <Company>ACSQHC</Company>
  <LinksUpToDate>false</LinksUpToDate>
  <CharactersWithSpaces>27740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637</dc:title>
  <dc:subject/>
  <dc:creator>Dr Niall Johnson</dc:creator>
  <cp:keywords>On the Radar</cp:keywords>
  <dc:description/>
  <cp:lastModifiedBy>JOHNSON, Niall</cp:lastModifiedBy>
  <cp:revision>57</cp:revision>
  <cp:lastPrinted>2018-03-02T02:34:00Z</cp:lastPrinted>
  <dcterms:created xsi:type="dcterms:W3CDTF">2024-02-04T20:31:00Z</dcterms:created>
  <dcterms:modified xsi:type="dcterms:W3CDTF">2024-02-08T22:44:00Z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