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6AEE89BA" w:rsidR="00B160EF" w:rsidRPr="00DD7416" w:rsidRDefault="00824B99" w:rsidP="0005178C">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2D226B98">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75E5E5AF" w:rsidR="009932E9" w:rsidRDefault="009932E9" w:rsidP="00F738B5">
      <w:pPr>
        <w:rPr>
          <w:rFonts w:ascii="Garamond" w:hAnsi="Garamond"/>
          <w:lang w:val="en-AU"/>
        </w:rPr>
      </w:pPr>
      <w:r>
        <w:rPr>
          <w:rFonts w:ascii="Garamond" w:hAnsi="Garamond"/>
          <w:lang w:val="en-AU"/>
        </w:rPr>
        <w:t>Issue 6</w:t>
      </w:r>
      <w:r w:rsidR="00752AB3">
        <w:rPr>
          <w:rFonts w:ascii="Garamond" w:hAnsi="Garamond"/>
          <w:lang w:val="en-AU"/>
        </w:rPr>
        <w:t>4</w:t>
      </w:r>
      <w:r w:rsidR="008A68DB">
        <w:rPr>
          <w:rFonts w:ascii="Garamond" w:hAnsi="Garamond"/>
          <w:lang w:val="en-AU"/>
        </w:rPr>
        <w:t>6</w:t>
      </w:r>
    </w:p>
    <w:p w14:paraId="53429E1A" w14:textId="69A3A97A" w:rsidR="005C6930" w:rsidRDefault="008A68DB" w:rsidP="00F738B5">
      <w:pPr>
        <w:rPr>
          <w:rFonts w:ascii="Garamond" w:hAnsi="Garamond"/>
          <w:lang w:val="en-AU"/>
        </w:rPr>
      </w:pPr>
      <w:r>
        <w:rPr>
          <w:rFonts w:ascii="Garamond" w:hAnsi="Garamond"/>
          <w:lang w:val="en-AU"/>
        </w:rPr>
        <w:t>22</w:t>
      </w:r>
      <w:r w:rsidR="0029615C">
        <w:rPr>
          <w:rFonts w:ascii="Garamond" w:hAnsi="Garamond"/>
          <w:lang w:val="en-AU"/>
        </w:rPr>
        <w:t xml:space="preserve"> April </w:t>
      </w:r>
      <w:r w:rsidR="005C6930">
        <w:rPr>
          <w:rFonts w:ascii="Garamond" w:hAnsi="Garamond"/>
          <w:lang w:val="en-AU"/>
        </w:rPr>
        <w:t>2024</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0134B0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61C9C3A4" w14:textId="67941B69" w:rsidR="000F5002" w:rsidRPr="00467B47" w:rsidRDefault="001F39E6" w:rsidP="004554DB">
      <w:pPr>
        <w:autoSpaceDE w:val="0"/>
        <w:rPr>
          <w:rFonts w:ascii="Garamond" w:hAnsi="Garamond"/>
          <w:lang w:val="en-AU"/>
        </w:rPr>
      </w:pPr>
      <w:r>
        <w:rPr>
          <w:rFonts w:ascii="Garamond" w:hAnsi="Garamond"/>
          <w:lang w:val="en-AU"/>
        </w:rPr>
        <w:t>w</w:t>
      </w: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31479785" w14:textId="251C85CB" w:rsidR="00A83B1D"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4C3A98">
        <w:rPr>
          <w:rFonts w:ascii="Garamond" w:hAnsi="Garamond"/>
          <w:bCs/>
          <w:lang w:val="en-AU"/>
        </w:rPr>
        <w:t>, Helen Francombe</w:t>
      </w:r>
      <w:r w:rsidR="001876E3">
        <w:rPr>
          <w:rFonts w:ascii="Garamond" w:hAnsi="Garamond"/>
          <w:bCs/>
          <w:lang w:val="en-AU"/>
        </w:rPr>
        <w:t>, Paul Miles</w:t>
      </w:r>
    </w:p>
    <w:p w14:paraId="0542DE30" w14:textId="77777777" w:rsidR="00B7443A" w:rsidRDefault="00B7443A" w:rsidP="009525CC">
      <w:pPr>
        <w:rPr>
          <w:rFonts w:ascii="Garamond" w:hAnsi="Garamond"/>
          <w:bCs/>
          <w:lang w:val="en-AU"/>
        </w:rPr>
      </w:pPr>
    </w:p>
    <w:p w14:paraId="64129E85" w14:textId="77777777" w:rsidR="001F7B09" w:rsidRDefault="001F7B09" w:rsidP="009525CC">
      <w:pPr>
        <w:rPr>
          <w:rFonts w:ascii="Garamond" w:hAnsi="Garamond"/>
          <w:bCs/>
          <w:lang w:val="en-AU"/>
        </w:rPr>
      </w:pPr>
    </w:p>
    <w:p w14:paraId="7311C105" w14:textId="77777777" w:rsidR="001F7B09" w:rsidRPr="001F7B09" w:rsidRDefault="001F7B09" w:rsidP="001F7B09">
      <w:pPr>
        <w:keepLines/>
        <w:autoSpaceDE w:val="0"/>
        <w:autoSpaceDN w:val="0"/>
        <w:adjustRightInd w:val="0"/>
        <w:rPr>
          <w:rFonts w:ascii="Garamond" w:hAnsi="Garamond"/>
          <w:b/>
          <w:lang w:val="en-AU"/>
        </w:rPr>
      </w:pPr>
      <w:r w:rsidRPr="001F7B09">
        <w:rPr>
          <w:rFonts w:ascii="Garamond" w:hAnsi="Garamond"/>
          <w:b/>
          <w:lang w:val="en-AU"/>
        </w:rPr>
        <w:t>Emergency Triage Education Kit, 2nd edition</w:t>
      </w:r>
    </w:p>
    <w:p w14:paraId="074B26CB" w14:textId="639ABD62" w:rsidR="001F7B09" w:rsidRPr="001F7B09" w:rsidRDefault="001F7B09" w:rsidP="001F7B09">
      <w:pPr>
        <w:keepLines/>
        <w:autoSpaceDE w:val="0"/>
        <w:autoSpaceDN w:val="0"/>
        <w:adjustRightInd w:val="0"/>
        <w:rPr>
          <w:rFonts w:ascii="Garamond" w:hAnsi="Garamond"/>
          <w:bCs/>
          <w:lang w:val="en-AU"/>
        </w:rPr>
      </w:pPr>
      <w:r w:rsidRPr="001F7B09">
        <w:rPr>
          <w:rFonts w:ascii="Garamond" w:hAnsi="Garamond"/>
          <w:bCs/>
          <w:lang w:val="en-AU"/>
        </w:rPr>
        <w:t>Australian Commission on Safety and Quality in Health Care</w:t>
      </w:r>
    </w:p>
    <w:p w14:paraId="66C4E1D9" w14:textId="70C165DB" w:rsidR="001F7B09" w:rsidRPr="001F7B09" w:rsidRDefault="001F7B09" w:rsidP="001F7B09">
      <w:pPr>
        <w:keepLines/>
        <w:autoSpaceDE w:val="0"/>
        <w:autoSpaceDN w:val="0"/>
        <w:adjustRightInd w:val="0"/>
        <w:rPr>
          <w:rFonts w:ascii="Garamond" w:hAnsi="Garamond"/>
          <w:bCs/>
          <w:lang w:val="en-AU"/>
        </w:rPr>
      </w:pPr>
      <w:r w:rsidRPr="001F7B09">
        <w:rPr>
          <w:rFonts w:ascii="Garamond" w:hAnsi="Garamond"/>
          <w:bCs/>
          <w:lang w:val="en-AU"/>
        </w:rPr>
        <w:t>Sydney: ACSQHC; 2024.</w:t>
      </w:r>
    </w:p>
    <w:p w14:paraId="062A2F7D" w14:textId="4C8C40CE" w:rsidR="001F7B09" w:rsidRDefault="00000000" w:rsidP="001F7B09">
      <w:pPr>
        <w:keepLines/>
        <w:autoSpaceDE w:val="0"/>
        <w:autoSpaceDN w:val="0"/>
        <w:adjustRightInd w:val="0"/>
        <w:rPr>
          <w:rFonts w:ascii="Garamond" w:hAnsi="Garamond"/>
          <w:bCs/>
          <w:lang w:val="en-AU"/>
        </w:rPr>
      </w:pPr>
      <w:hyperlink r:id="rId15" w:history="1">
        <w:r w:rsidR="001F7B09" w:rsidRPr="0076773D">
          <w:rPr>
            <w:rStyle w:val="Hyperlink"/>
            <w:rFonts w:ascii="Garamond" w:hAnsi="Garamond"/>
            <w:bCs/>
            <w:lang w:val="en-AU"/>
          </w:rPr>
          <w:t>https://www.safetyandquality.gov.au/publications-and-resources/resource-library/emergency-triage-education-kit-etek-second-edition</w:t>
        </w:r>
      </w:hyperlink>
    </w:p>
    <w:p w14:paraId="5F7CD693" w14:textId="77777777" w:rsidR="001F7B09" w:rsidRDefault="001F7B09" w:rsidP="001F7B09">
      <w:pPr>
        <w:keepLines/>
        <w:autoSpaceDE w:val="0"/>
        <w:autoSpaceDN w:val="0"/>
        <w:adjustRightInd w:val="0"/>
        <w:rPr>
          <w:rFonts w:ascii="Garamond" w:hAnsi="Garamond"/>
          <w:bCs/>
          <w:lang w:val="en-AU"/>
        </w:rPr>
      </w:pPr>
    </w:p>
    <w:p w14:paraId="06B76EA8" w14:textId="15A1FD5B" w:rsidR="001F7B09" w:rsidRDefault="001F7B09" w:rsidP="001F7B09">
      <w:pPr>
        <w:keepLines/>
        <w:autoSpaceDE w:val="0"/>
        <w:autoSpaceDN w:val="0"/>
        <w:adjustRightInd w:val="0"/>
        <w:rPr>
          <w:rFonts w:ascii="Garamond" w:hAnsi="Garamond"/>
          <w:bCs/>
          <w:lang w:val="en-AU"/>
        </w:rPr>
      </w:pPr>
      <w:r w:rsidRPr="001F7B09">
        <w:rPr>
          <w:rFonts w:ascii="Garamond" w:hAnsi="Garamond"/>
          <w:bCs/>
          <w:lang w:val="en-AU"/>
        </w:rPr>
        <w:t>Learning how to rapidly identify subtle signs of serious illness and ga</w:t>
      </w:r>
      <w:r w:rsidR="00055E94">
        <w:rPr>
          <w:rFonts w:ascii="Garamond" w:hAnsi="Garamond"/>
          <w:bCs/>
          <w:lang w:val="en-AU"/>
        </w:rPr>
        <w:t>ther</w:t>
      </w:r>
      <w:r w:rsidRPr="001F7B09">
        <w:rPr>
          <w:rFonts w:ascii="Garamond" w:hAnsi="Garamond"/>
          <w:bCs/>
          <w:lang w:val="en-AU"/>
        </w:rPr>
        <w:t xml:space="preserve"> the essential facts from a patient’s history will now be easier for emergency department nurses training for the triage role. The second edition of the </w:t>
      </w:r>
      <w:r w:rsidRPr="001F7B09">
        <w:rPr>
          <w:rFonts w:ascii="Garamond" w:hAnsi="Garamond"/>
          <w:bCs/>
          <w:i/>
          <w:iCs/>
          <w:lang w:val="en-AU"/>
        </w:rPr>
        <w:t>Emergency Triage Education Kit</w:t>
      </w:r>
      <w:r w:rsidRPr="001F7B09">
        <w:rPr>
          <w:rFonts w:ascii="Garamond" w:hAnsi="Garamond"/>
          <w:bCs/>
          <w:lang w:val="en-AU"/>
        </w:rPr>
        <w:t xml:space="preserve"> (ETEK) is now available as an interactive </w:t>
      </w:r>
      <w:r w:rsidR="00707803">
        <w:rPr>
          <w:rFonts w:ascii="Garamond" w:hAnsi="Garamond"/>
          <w:bCs/>
          <w:lang w:val="en-AU"/>
        </w:rPr>
        <w:t xml:space="preserve">PDF </w:t>
      </w:r>
      <w:r w:rsidRPr="001F7B09">
        <w:rPr>
          <w:rFonts w:ascii="Garamond" w:hAnsi="Garamond"/>
          <w:bCs/>
          <w:lang w:val="en-AU"/>
        </w:rPr>
        <w:t>on the website of the Australian Commission on Safety and Quality in Health Care (the Commission).</w:t>
      </w:r>
    </w:p>
    <w:p w14:paraId="73C7A10F" w14:textId="77777777" w:rsidR="001F7B09" w:rsidRPr="001F7B09" w:rsidRDefault="001F7B09" w:rsidP="001F7B09">
      <w:pPr>
        <w:keepLines/>
        <w:autoSpaceDE w:val="0"/>
        <w:autoSpaceDN w:val="0"/>
        <w:adjustRightInd w:val="0"/>
        <w:rPr>
          <w:rFonts w:ascii="Garamond" w:hAnsi="Garamond"/>
          <w:bCs/>
          <w:lang w:val="en-AU"/>
        </w:rPr>
      </w:pPr>
    </w:p>
    <w:p w14:paraId="461CE74A" w14:textId="77777777" w:rsidR="001F7B09" w:rsidRPr="001F7B09" w:rsidRDefault="001F7B09" w:rsidP="001F7B09">
      <w:pPr>
        <w:keepLines/>
        <w:autoSpaceDE w:val="0"/>
        <w:autoSpaceDN w:val="0"/>
        <w:adjustRightInd w:val="0"/>
        <w:rPr>
          <w:rFonts w:ascii="Garamond" w:hAnsi="Garamond"/>
          <w:bCs/>
          <w:lang w:val="en-AU"/>
        </w:rPr>
      </w:pPr>
      <w:r w:rsidRPr="001F7B09">
        <w:rPr>
          <w:rFonts w:ascii="Garamond" w:hAnsi="Garamond"/>
          <w:bCs/>
          <w:lang w:val="en-AU"/>
        </w:rPr>
        <w:t xml:space="preserve">Triage nurses determine each patient’s need for time-critical care and the order in which patients see the treating clinician. Designed for both independent learning and educator-led sessions, the ETEK includes a set of learning resources that support nationally consistent training for this role. Each chapter contains case studies to illustrate key points, and a set of validated triage scenarios is provided for self-test and consolidation of learning. </w:t>
      </w:r>
    </w:p>
    <w:p w14:paraId="199FFCF6" w14:textId="77777777" w:rsidR="001F7B09" w:rsidRDefault="001F7B09" w:rsidP="001F7B09">
      <w:pPr>
        <w:keepLines/>
        <w:autoSpaceDE w:val="0"/>
        <w:autoSpaceDN w:val="0"/>
        <w:adjustRightInd w:val="0"/>
        <w:rPr>
          <w:rFonts w:ascii="Garamond" w:hAnsi="Garamond"/>
          <w:bCs/>
          <w:lang w:val="en-AU"/>
        </w:rPr>
      </w:pPr>
    </w:p>
    <w:p w14:paraId="5DE1EDEE" w14:textId="53059E8A" w:rsidR="001F7B09" w:rsidRPr="001F7B09" w:rsidRDefault="001F7B09" w:rsidP="001F7B09">
      <w:pPr>
        <w:keepLines/>
        <w:autoSpaceDE w:val="0"/>
        <w:autoSpaceDN w:val="0"/>
        <w:adjustRightInd w:val="0"/>
        <w:rPr>
          <w:rFonts w:ascii="Garamond" w:hAnsi="Garamond"/>
          <w:bCs/>
          <w:lang w:val="en-AU"/>
        </w:rPr>
      </w:pPr>
      <w:r w:rsidRPr="001F7B09">
        <w:rPr>
          <w:rFonts w:ascii="Garamond" w:hAnsi="Garamond"/>
          <w:bCs/>
          <w:lang w:val="en-AU"/>
        </w:rPr>
        <w:lastRenderedPageBreak/>
        <w:t>The Department of Health and Aged Care engaged the Commission to review and update the original ETEK, published in 2009. The project was underpinned by extensive engagement with key stakeholder groups: practising emergency clinicians to ensure the ETEK's currency; topic experts and academics to reference best practice and the evidence base; and consumers to incorporate their needs at triage. Their collective wisdom has been distilled into clear and practical guidance for nurses preparing for this critical role in the Australian health system.</w:t>
      </w:r>
    </w:p>
    <w:p w14:paraId="17E0F483" w14:textId="77777777" w:rsidR="001F7B09" w:rsidRDefault="001F7B09" w:rsidP="001F7B09">
      <w:pPr>
        <w:keepLines/>
        <w:autoSpaceDE w:val="0"/>
        <w:autoSpaceDN w:val="0"/>
        <w:adjustRightInd w:val="0"/>
        <w:rPr>
          <w:rFonts w:ascii="Garamond" w:hAnsi="Garamond"/>
          <w:bCs/>
          <w:lang w:val="en-AU"/>
        </w:rPr>
      </w:pPr>
    </w:p>
    <w:p w14:paraId="2AFCA9C6" w14:textId="1E873FFE" w:rsidR="004C3A98" w:rsidRPr="001F7B09" w:rsidRDefault="001F7B09" w:rsidP="001F7B09">
      <w:pPr>
        <w:keepLines/>
        <w:autoSpaceDE w:val="0"/>
        <w:autoSpaceDN w:val="0"/>
        <w:adjustRightInd w:val="0"/>
        <w:rPr>
          <w:rFonts w:ascii="Garamond" w:hAnsi="Garamond"/>
          <w:bCs/>
          <w:lang w:val="en-AU"/>
        </w:rPr>
      </w:pPr>
      <w:r w:rsidRPr="001F7B09">
        <w:rPr>
          <w:rFonts w:ascii="Garamond" w:hAnsi="Garamond"/>
          <w:bCs/>
          <w:lang w:val="en-AU"/>
        </w:rPr>
        <w:t>For enquiries</w:t>
      </w:r>
      <w:r>
        <w:rPr>
          <w:rFonts w:ascii="Garamond" w:hAnsi="Garamond"/>
          <w:bCs/>
          <w:lang w:val="en-AU"/>
        </w:rPr>
        <w:t xml:space="preserve"> about the revised ETEK</w:t>
      </w:r>
      <w:r w:rsidRPr="001F7B09">
        <w:rPr>
          <w:rFonts w:ascii="Garamond" w:hAnsi="Garamond"/>
          <w:bCs/>
          <w:lang w:val="en-AU"/>
        </w:rPr>
        <w:t xml:space="preserve">, please contact </w:t>
      </w:r>
      <w:hyperlink r:id="rId16" w:history="1">
        <w:r w:rsidRPr="0076773D">
          <w:rPr>
            <w:rStyle w:val="Hyperlink"/>
            <w:rFonts w:ascii="Garamond" w:hAnsi="Garamond"/>
            <w:bCs/>
            <w:lang w:val="en-AU"/>
          </w:rPr>
          <w:t>mail@safetyandquality.gov.au</w:t>
        </w:r>
      </w:hyperlink>
    </w:p>
    <w:p w14:paraId="285E064D" w14:textId="77777777" w:rsidR="004C3A98" w:rsidRDefault="004C3A98" w:rsidP="00981E7A">
      <w:pPr>
        <w:keepNext/>
        <w:keepLines/>
        <w:autoSpaceDE w:val="0"/>
        <w:autoSpaceDN w:val="0"/>
        <w:adjustRightInd w:val="0"/>
        <w:rPr>
          <w:rFonts w:ascii="Garamond" w:hAnsi="Garamond"/>
          <w:b/>
          <w:lang w:val="en-AU"/>
        </w:rPr>
      </w:pPr>
    </w:p>
    <w:p w14:paraId="6055FBC9" w14:textId="3A09E334" w:rsidR="00A83B1D" w:rsidRDefault="00A83B1D" w:rsidP="00981E7A">
      <w:pPr>
        <w:keepNext/>
        <w:keepLines/>
        <w:autoSpaceDE w:val="0"/>
        <w:autoSpaceDN w:val="0"/>
        <w:adjustRightInd w:val="0"/>
        <w:rPr>
          <w:rFonts w:ascii="Garamond" w:hAnsi="Garamond"/>
          <w:b/>
          <w:lang w:val="en-AU"/>
        </w:rPr>
      </w:pPr>
      <w:r>
        <w:rPr>
          <w:rFonts w:ascii="Garamond" w:hAnsi="Garamond"/>
          <w:b/>
          <w:lang w:val="en-AU"/>
        </w:rPr>
        <w:t>Books</w:t>
      </w:r>
    </w:p>
    <w:p w14:paraId="73D5F892" w14:textId="77777777" w:rsidR="00A83B1D" w:rsidRDefault="00A83B1D" w:rsidP="00A83B1D">
      <w:pPr>
        <w:keepNext/>
        <w:keepLines/>
        <w:autoSpaceDE w:val="0"/>
        <w:autoSpaceDN w:val="0"/>
        <w:adjustRightInd w:val="0"/>
        <w:rPr>
          <w:rFonts w:ascii="Garamond" w:hAnsi="Garamond"/>
          <w:b/>
          <w:lang w:val="en-AU"/>
        </w:rPr>
      </w:pPr>
    </w:p>
    <w:p w14:paraId="481DC71B" w14:textId="77777777" w:rsidR="00E356C4" w:rsidRPr="00E356C4" w:rsidRDefault="00E356C4" w:rsidP="00E356C4">
      <w:pPr>
        <w:keepLines/>
        <w:autoSpaceDE w:val="0"/>
        <w:autoSpaceDN w:val="0"/>
        <w:adjustRightInd w:val="0"/>
        <w:rPr>
          <w:rFonts w:ascii="Garamond" w:hAnsi="Garamond"/>
          <w:i/>
          <w:iCs/>
          <w:lang w:val="en-AU"/>
        </w:rPr>
      </w:pPr>
      <w:r w:rsidRPr="00E356C4">
        <w:rPr>
          <w:rFonts w:ascii="Garamond" w:hAnsi="Garamond"/>
          <w:i/>
          <w:iCs/>
          <w:lang w:val="en-AU"/>
        </w:rPr>
        <w:t>Values and Ethics</w:t>
      </w:r>
    </w:p>
    <w:p w14:paraId="5FA95310" w14:textId="304C3B05" w:rsidR="00E356C4" w:rsidRDefault="0016726B" w:rsidP="00A83B1D">
      <w:pPr>
        <w:keepLines/>
        <w:autoSpaceDE w:val="0"/>
        <w:autoSpaceDN w:val="0"/>
        <w:adjustRightInd w:val="0"/>
        <w:rPr>
          <w:rFonts w:ascii="Garamond" w:hAnsi="Garamond"/>
          <w:lang w:val="en-AU"/>
        </w:rPr>
      </w:pPr>
      <w:r w:rsidRPr="0016726B">
        <w:rPr>
          <w:rFonts w:ascii="Garamond" w:hAnsi="Garamond"/>
          <w:lang w:val="en-AU"/>
        </w:rPr>
        <w:t>Elements of Improving Quality and Safety in Healthcare</w:t>
      </w:r>
    </w:p>
    <w:p w14:paraId="65C035C7" w14:textId="04F254BC" w:rsidR="00BF6B65" w:rsidRDefault="00BF6B65" w:rsidP="00A83B1D">
      <w:pPr>
        <w:keepLines/>
        <w:autoSpaceDE w:val="0"/>
        <w:autoSpaceDN w:val="0"/>
        <w:adjustRightInd w:val="0"/>
        <w:rPr>
          <w:rFonts w:ascii="Garamond" w:hAnsi="Garamond"/>
          <w:lang w:val="en-AU"/>
        </w:rPr>
      </w:pPr>
      <w:r w:rsidRPr="00BF6B65">
        <w:rPr>
          <w:rFonts w:ascii="Garamond" w:hAnsi="Garamond"/>
          <w:lang w:val="en-AU"/>
        </w:rPr>
        <w:t xml:space="preserve">Cribb A, Entwistle VA, Mitchell P. </w:t>
      </w:r>
    </w:p>
    <w:p w14:paraId="72ADEB87" w14:textId="73544B4D" w:rsidR="00A83B1D" w:rsidRDefault="00BF6B65" w:rsidP="00A83B1D">
      <w:pPr>
        <w:keepLines/>
        <w:autoSpaceDE w:val="0"/>
        <w:autoSpaceDN w:val="0"/>
        <w:adjustRightInd w:val="0"/>
        <w:rPr>
          <w:rFonts w:ascii="Garamond" w:hAnsi="Garamond"/>
          <w:lang w:val="en-AU"/>
        </w:rPr>
      </w:pPr>
      <w:r w:rsidRPr="00BF6B65">
        <w:rPr>
          <w:rFonts w:ascii="Garamond" w:hAnsi="Garamond"/>
          <w:lang w:val="en-AU"/>
        </w:rPr>
        <w:t>Cambridge: Cambridge University Press; 2024.</w:t>
      </w:r>
    </w:p>
    <w:tbl>
      <w:tblPr>
        <w:tblStyle w:val="TableGrid"/>
        <w:tblW w:w="9360" w:type="dxa"/>
        <w:tblInd w:w="288" w:type="dxa"/>
        <w:tblLayout w:type="fixed"/>
        <w:tblLook w:val="01E0" w:firstRow="1" w:lastRow="1" w:firstColumn="1" w:lastColumn="1" w:noHBand="0" w:noVBand="0"/>
      </w:tblPr>
      <w:tblGrid>
        <w:gridCol w:w="1080"/>
        <w:gridCol w:w="8280"/>
      </w:tblGrid>
      <w:tr w:rsidR="00A83B1D" w:rsidRPr="000170DA" w14:paraId="78DB1493" w14:textId="77777777" w:rsidTr="00030872">
        <w:tc>
          <w:tcPr>
            <w:tcW w:w="1080" w:type="dxa"/>
            <w:tcBorders>
              <w:top w:val="single" w:sz="4" w:space="0" w:color="auto"/>
              <w:left w:val="single" w:sz="4" w:space="0" w:color="auto"/>
              <w:bottom w:val="single" w:sz="4" w:space="0" w:color="auto"/>
              <w:right w:val="single" w:sz="4" w:space="0" w:color="auto"/>
            </w:tcBorders>
            <w:vAlign w:val="center"/>
          </w:tcPr>
          <w:p w14:paraId="153188DD" w14:textId="77777777" w:rsidR="00A83B1D" w:rsidRPr="000170DA" w:rsidRDefault="00A83B1D" w:rsidP="0003087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85C52A4" w14:textId="4200058D" w:rsidR="00A83B1D" w:rsidRPr="000170DA" w:rsidRDefault="00000000" w:rsidP="00030872">
            <w:pPr>
              <w:keepNext/>
              <w:rPr>
                <w:rStyle w:val="Hyperlink"/>
                <w:rFonts w:ascii="Garamond" w:hAnsi="Garamond"/>
                <w:color w:val="auto"/>
                <w:u w:val="none"/>
                <w:lang w:val="en-AU"/>
              </w:rPr>
            </w:pPr>
            <w:hyperlink r:id="rId17" w:history="1">
              <w:r w:rsidR="0016726B" w:rsidRPr="00AF4AC1">
                <w:rPr>
                  <w:rStyle w:val="Hyperlink"/>
                  <w:rFonts w:ascii="Garamond" w:hAnsi="Garamond"/>
                  <w:lang w:val="en-AU"/>
                </w:rPr>
                <w:t>https://doi.org/10.1017/9781009325233</w:t>
              </w:r>
            </w:hyperlink>
          </w:p>
        </w:tc>
      </w:tr>
      <w:tr w:rsidR="00A83B1D" w:rsidRPr="000170DA" w14:paraId="29571A47" w14:textId="77777777" w:rsidTr="00030872">
        <w:tc>
          <w:tcPr>
            <w:tcW w:w="1080" w:type="dxa"/>
            <w:tcBorders>
              <w:top w:val="single" w:sz="4" w:space="0" w:color="auto"/>
              <w:left w:val="single" w:sz="4" w:space="0" w:color="auto"/>
              <w:bottom w:val="single" w:sz="4" w:space="0" w:color="auto"/>
              <w:right w:val="single" w:sz="4" w:space="0" w:color="auto"/>
            </w:tcBorders>
            <w:vAlign w:val="center"/>
          </w:tcPr>
          <w:p w14:paraId="07B131AF" w14:textId="77777777" w:rsidR="00A83B1D" w:rsidRPr="000170DA" w:rsidRDefault="00A83B1D" w:rsidP="0003087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3CBB7CE" w14:textId="7173B090" w:rsidR="00C53A2B" w:rsidRPr="0032523C" w:rsidRDefault="0080315F" w:rsidP="001D2426">
            <w:pPr>
              <w:rPr>
                <w:rFonts w:ascii="Garamond" w:hAnsi="Garamond"/>
                <w:lang w:val="en-AU"/>
              </w:rPr>
            </w:pPr>
            <w:r w:rsidRPr="0080315F">
              <w:rPr>
                <w:rFonts w:ascii="Garamond" w:hAnsi="Garamond"/>
                <w:lang w:val="en-AU"/>
              </w:rPr>
              <w:t>This is the latest release in the Elements of Improving Quality and Safety in Healthcare series from The Healthcare Improvement Studies Institute (the THIS Institute) in Cambridge. This volume examines</w:t>
            </w:r>
            <w:r>
              <w:rPr>
                <w:rFonts w:ascii="Garamond" w:hAnsi="Garamond"/>
                <w:lang w:val="en-AU"/>
              </w:rPr>
              <w:t xml:space="preserve"> </w:t>
            </w:r>
            <w:r w:rsidR="003B5DDF">
              <w:rPr>
                <w:rFonts w:ascii="Garamond" w:hAnsi="Garamond"/>
                <w:lang w:val="en-AU"/>
              </w:rPr>
              <w:t>the role of values and ethical is</w:t>
            </w:r>
            <w:r w:rsidR="003E1AC5">
              <w:rPr>
                <w:rFonts w:ascii="Garamond" w:hAnsi="Garamond"/>
                <w:lang w:val="en-AU"/>
              </w:rPr>
              <w:t>sues in healthcare improvement. As the authors note ‘</w:t>
            </w:r>
            <w:r w:rsidR="00C53A2B" w:rsidRPr="00C53A2B">
              <w:rPr>
                <w:rFonts w:ascii="Garamond" w:hAnsi="Garamond"/>
                <w:lang w:val="en-AU"/>
              </w:rPr>
              <w:t>Ethics involves examining values and identifying what is</w:t>
            </w:r>
            <w:r w:rsidR="00C53A2B">
              <w:rPr>
                <w:rFonts w:ascii="Garamond" w:hAnsi="Garamond"/>
                <w:lang w:val="en-AU"/>
              </w:rPr>
              <w:t xml:space="preserve"> </w:t>
            </w:r>
            <w:r w:rsidR="00C53A2B" w:rsidRPr="00C53A2B">
              <w:rPr>
                <w:rFonts w:ascii="Garamond" w:hAnsi="Garamond"/>
                <w:lang w:val="en-AU"/>
              </w:rPr>
              <w:t>good, right, and justified – and why. Diverse values and ethical issues</w:t>
            </w:r>
            <w:r w:rsidR="00C53A2B">
              <w:rPr>
                <w:rFonts w:ascii="Garamond" w:hAnsi="Garamond"/>
                <w:lang w:val="en-AU"/>
              </w:rPr>
              <w:t xml:space="preserve"> </w:t>
            </w:r>
            <w:r w:rsidR="00C53A2B" w:rsidRPr="00C53A2B">
              <w:rPr>
                <w:rFonts w:ascii="Garamond" w:hAnsi="Garamond"/>
                <w:lang w:val="en-AU"/>
              </w:rPr>
              <w:t>run through healthcare improvement, but they are not always</w:t>
            </w:r>
            <w:r w:rsidR="00C53A2B">
              <w:rPr>
                <w:rFonts w:ascii="Garamond" w:hAnsi="Garamond"/>
                <w:lang w:val="en-AU"/>
              </w:rPr>
              <w:t xml:space="preserve"> </w:t>
            </w:r>
            <w:r w:rsidR="00C53A2B" w:rsidRPr="00C53A2B">
              <w:rPr>
                <w:rFonts w:ascii="Garamond" w:hAnsi="Garamond"/>
                <w:lang w:val="en-AU"/>
              </w:rPr>
              <w:t>recognised or given the attention they need.</w:t>
            </w:r>
            <w:r w:rsidR="003E1AC5">
              <w:rPr>
                <w:rFonts w:ascii="Garamond" w:hAnsi="Garamond"/>
                <w:lang w:val="en-AU"/>
              </w:rPr>
              <w:t xml:space="preserve">’ They </w:t>
            </w:r>
            <w:r w:rsidR="001D2426">
              <w:rPr>
                <w:rFonts w:ascii="Garamond" w:hAnsi="Garamond"/>
                <w:lang w:val="en-AU"/>
              </w:rPr>
              <w:t xml:space="preserve">suggest that this </w:t>
            </w:r>
            <w:r w:rsidR="00C46A7E">
              <w:rPr>
                <w:rFonts w:ascii="Garamond" w:hAnsi="Garamond"/>
                <w:lang w:val="en-AU"/>
              </w:rPr>
              <w:t>‘</w:t>
            </w:r>
            <w:r w:rsidR="00C53A2B" w:rsidRPr="00C53A2B">
              <w:rPr>
                <w:rFonts w:ascii="Garamond" w:hAnsi="Garamond"/>
                <w:lang w:val="en-AU"/>
              </w:rPr>
              <w:t>Element demonstrates the ethical</w:t>
            </w:r>
            <w:r w:rsidR="003B5DDF">
              <w:rPr>
                <w:rFonts w:ascii="Garamond" w:hAnsi="Garamond"/>
                <w:lang w:val="en-AU"/>
              </w:rPr>
              <w:t xml:space="preserve"> </w:t>
            </w:r>
            <w:r w:rsidR="00C53A2B" w:rsidRPr="00C53A2B">
              <w:rPr>
                <w:rFonts w:ascii="Garamond" w:hAnsi="Garamond"/>
                <w:lang w:val="en-AU"/>
              </w:rPr>
              <w:t>considerations and rich array of values that inevitably underpin both</w:t>
            </w:r>
            <w:r w:rsidR="001D2426">
              <w:rPr>
                <w:rFonts w:ascii="Garamond" w:hAnsi="Garamond"/>
                <w:lang w:val="en-AU"/>
              </w:rPr>
              <w:t xml:space="preserve"> </w:t>
            </w:r>
            <w:r w:rsidR="00C53A2B" w:rsidRPr="00C53A2B">
              <w:rPr>
                <w:rFonts w:ascii="Garamond" w:hAnsi="Garamond"/>
                <w:lang w:val="en-AU"/>
              </w:rPr>
              <w:t>the goals of healthcare improvement (what aspects of quality or what</w:t>
            </w:r>
            <w:r w:rsidR="001D2426">
              <w:rPr>
                <w:rFonts w:ascii="Garamond" w:hAnsi="Garamond"/>
                <w:lang w:val="en-AU"/>
              </w:rPr>
              <w:t xml:space="preserve"> </w:t>
            </w:r>
            <w:r w:rsidR="00C53A2B" w:rsidRPr="00C53A2B">
              <w:rPr>
                <w:rFonts w:ascii="Garamond" w:hAnsi="Garamond"/>
                <w:lang w:val="en-AU"/>
              </w:rPr>
              <w:t>kinds of good are pursued) and how improvement work is undertaken.</w:t>
            </w:r>
            <w:r w:rsidR="001D2426">
              <w:rPr>
                <w:rFonts w:ascii="Garamond" w:hAnsi="Garamond"/>
                <w:lang w:val="en-AU"/>
              </w:rPr>
              <w:t xml:space="preserve"> </w:t>
            </w:r>
            <w:r w:rsidR="00C53A2B" w:rsidRPr="00C53A2B">
              <w:rPr>
                <w:rFonts w:ascii="Garamond" w:hAnsi="Garamond"/>
                <w:lang w:val="en-AU"/>
              </w:rPr>
              <w:t>It outlines an agenda for improvement ethics with the aim of helping</w:t>
            </w:r>
            <w:r w:rsidR="001D2426">
              <w:rPr>
                <w:rFonts w:ascii="Garamond" w:hAnsi="Garamond"/>
                <w:lang w:val="en-AU"/>
              </w:rPr>
              <w:t xml:space="preserve"> </w:t>
            </w:r>
            <w:r w:rsidR="00C53A2B" w:rsidRPr="00C53A2B">
              <w:rPr>
                <w:rFonts w:ascii="Garamond" w:hAnsi="Garamond"/>
                <w:lang w:val="en-AU"/>
              </w:rPr>
              <w:t>those involved in healthcare improvement to reflect on and discuss</w:t>
            </w:r>
            <w:r w:rsidR="001D2426">
              <w:rPr>
                <w:rFonts w:ascii="Garamond" w:hAnsi="Garamond"/>
                <w:lang w:val="en-AU"/>
              </w:rPr>
              <w:t xml:space="preserve"> </w:t>
            </w:r>
            <w:r w:rsidR="00C53A2B" w:rsidRPr="00C53A2B">
              <w:rPr>
                <w:rFonts w:ascii="Garamond" w:hAnsi="Garamond"/>
                <w:lang w:val="en-AU"/>
              </w:rPr>
              <w:t>ethical aspects of their work more explicitly and rigorously</w:t>
            </w:r>
            <w:r w:rsidR="001D2426">
              <w:rPr>
                <w:rFonts w:ascii="Garamond" w:hAnsi="Garamond"/>
                <w:lang w:val="en-AU"/>
              </w:rPr>
              <w:t>.’</w:t>
            </w:r>
          </w:p>
        </w:tc>
      </w:tr>
    </w:tbl>
    <w:p w14:paraId="0D97D15D" w14:textId="77777777" w:rsidR="00A83B1D" w:rsidRDefault="00A83B1D" w:rsidP="00A83B1D">
      <w:pPr>
        <w:keepLines/>
        <w:autoSpaceDE w:val="0"/>
        <w:autoSpaceDN w:val="0"/>
        <w:adjustRightInd w:val="0"/>
        <w:rPr>
          <w:rFonts w:ascii="Garamond" w:hAnsi="Garamond"/>
          <w:lang w:val="en-AU"/>
        </w:rPr>
      </w:pPr>
    </w:p>
    <w:p w14:paraId="1AC9313E" w14:textId="77777777" w:rsidR="00A83B1D" w:rsidRDefault="00A83B1D" w:rsidP="00A83B1D">
      <w:pPr>
        <w:keepLines/>
        <w:autoSpaceDE w:val="0"/>
        <w:autoSpaceDN w:val="0"/>
        <w:adjustRightInd w:val="0"/>
        <w:rPr>
          <w:rFonts w:ascii="Garamond" w:hAnsi="Garamond"/>
          <w:lang w:val="en-AU"/>
        </w:rPr>
      </w:pPr>
    </w:p>
    <w:p w14:paraId="5A353EE1" w14:textId="77777777" w:rsidR="00A83B1D" w:rsidRDefault="00A83B1D" w:rsidP="00A83B1D">
      <w:pPr>
        <w:keepLines/>
        <w:autoSpaceDE w:val="0"/>
        <w:autoSpaceDN w:val="0"/>
        <w:adjustRightInd w:val="0"/>
        <w:rPr>
          <w:rFonts w:ascii="Garamond" w:hAnsi="Garamond"/>
          <w:lang w:val="en-AU"/>
        </w:rPr>
      </w:pPr>
    </w:p>
    <w:p w14:paraId="28529B09" w14:textId="2A8C383B" w:rsidR="00981E7A" w:rsidRDefault="00981E7A" w:rsidP="00981E7A">
      <w:pPr>
        <w:keepNext/>
        <w:keepLines/>
        <w:autoSpaceDE w:val="0"/>
        <w:autoSpaceDN w:val="0"/>
        <w:adjustRightInd w:val="0"/>
        <w:rPr>
          <w:rFonts w:ascii="Garamond" w:hAnsi="Garamond"/>
          <w:b/>
          <w:lang w:val="en-AU"/>
        </w:rPr>
      </w:pPr>
      <w:r>
        <w:rPr>
          <w:rFonts w:ascii="Garamond" w:hAnsi="Garamond"/>
          <w:b/>
          <w:lang w:val="en-AU"/>
        </w:rPr>
        <w:t>Reports</w:t>
      </w:r>
    </w:p>
    <w:p w14:paraId="5416695A" w14:textId="77777777" w:rsidR="00981E7A" w:rsidRDefault="00981E7A" w:rsidP="00981E7A">
      <w:pPr>
        <w:keepNext/>
        <w:keepLines/>
        <w:autoSpaceDE w:val="0"/>
        <w:autoSpaceDN w:val="0"/>
        <w:adjustRightInd w:val="0"/>
        <w:rPr>
          <w:rFonts w:ascii="Garamond" w:hAnsi="Garamond"/>
          <w:b/>
          <w:lang w:val="en-AU"/>
        </w:rPr>
      </w:pPr>
    </w:p>
    <w:p w14:paraId="3A0C7B11" w14:textId="0D124BBF" w:rsidR="00F238A0" w:rsidRPr="00B526EB" w:rsidRDefault="00B526EB" w:rsidP="00DF128E">
      <w:pPr>
        <w:keepLines/>
        <w:autoSpaceDE w:val="0"/>
        <w:autoSpaceDN w:val="0"/>
        <w:adjustRightInd w:val="0"/>
        <w:rPr>
          <w:rFonts w:ascii="Garamond" w:hAnsi="Garamond"/>
          <w:i/>
          <w:iCs/>
          <w:lang w:val="en-AU"/>
        </w:rPr>
      </w:pPr>
      <w:r w:rsidRPr="00B526EB">
        <w:rPr>
          <w:rFonts w:ascii="Garamond" w:hAnsi="Garamond"/>
          <w:i/>
          <w:iCs/>
          <w:lang w:val="en-AU"/>
        </w:rPr>
        <w:t>Investigation report: Retained swabs following invasive procedures</w:t>
      </w:r>
    </w:p>
    <w:p w14:paraId="24A9FB14" w14:textId="77777777" w:rsidR="00FC66E8" w:rsidRDefault="00FC66E8" w:rsidP="00DF128E">
      <w:pPr>
        <w:keepLines/>
        <w:autoSpaceDE w:val="0"/>
        <w:autoSpaceDN w:val="0"/>
        <w:adjustRightInd w:val="0"/>
        <w:rPr>
          <w:rFonts w:ascii="Garamond" w:hAnsi="Garamond"/>
          <w:lang w:val="en-AU"/>
        </w:rPr>
      </w:pPr>
      <w:r w:rsidRPr="00FC66E8">
        <w:rPr>
          <w:rFonts w:ascii="Garamond" w:hAnsi="Garamond"/>
          <w:lang w:val="en-AU"/>
        </w:rPr>
        <w:t>Health Services Safety Investigation Body</w:t>
      </w:r>
    </w:p>
    <w:p w14:paraId="5834D922" w14:textId="6A4CF042" w:rsidR="00B526EB" w:rsidRDefault="00FC66E8" w:rsidP="00DF128E">
      <w:pPr>
        <w:keepLines/>
        <w:autoSpaceDE w:val="0"/>
        <w:autoSpaceDN w:val="0"/>
        <w:adjustRightInd w:val="0"/>
        <w:rPr>
          <w:rFonts w:ascii="Garamond" w:hAnsi="Garamond"/>
          <w:lang w:val="en-AU"/>
        </w:rPr>
      </w:pPr>
      <w:r w:rsidRPr="00FC66E8">
        <w:rPr>
          <w:rFonts w:ascii="Garamond" w:hAnsi="Garamond"/>
          <w:lang w:val="en-AU"/>
        </w:rPr>
        <w:t>Poole: HSSIB; 2024.</w:t>
      </w:r>
    </w:p>
    <w:tbl>
      <w:tblPr>
        <w:tblStyle w:val="TableGrid"/>
        <w:tblW w:w="9360" w:type="dxa"/>
        <w:tblInd w:w="288" w:type="dxa"/>
        <w:tblLayout w:type="fixed"/>
        <w:tblLook w:val="01E0" w:firstRow="1" w:lastRow="1" w:firstColumn="1" w:lastColumn="1" w:noHBand="0" w:noVBand="0"/>
      </w:tblPr>
      <w:tblGrid>
        <w:gridCol w:w="1080"/>
        <w:gridCol w:w="8280"/>
      </w:tblGrid>
      <w:tr w:rsidR="00F238A0" w:rsidRPr="000170DA" w14:paraId="490ACDC3" w14:textId="77777777" w:rsidTr="00576CE6">
        <w:tc>
          <w:tcPr>
            <w:tcW w:w="1080" w:type="dxa"/>
            <w:tcBorders>
              <w:top w:val="single" w:sz="4" w:space="0" w:color="auto"/>
              <w:left w:val="single" w:sz="4" w:space="0" w:color="auto"/>
              <w:bottom w:val="single" w:sz="4" w:space="0" w:color="auto"/>
              <w:right w:val="single" w:sz="4" w:space="0" w:color="auto"/>
            </w:tcBorders>
            <w:vAlign w:val="center"/>
          </w:tcPr>
          <w:p w14:paraId="772F4020" w14:textId="3C108F8F" w:rsidR="00F238A0" w:rsidRPr="000170DA" w:rsidRDefault="00B526EB" w:rsidP="00576CE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ABBFDF7" w14:textId="02E7ED1D" w:rsidR="00F238A0" w:rsidRPr="000170DA" w:rsidRDefault="00000000" w:rsidP="00576CE6">
            <w:pPr>
              <w:keepNext/>
              <w:rPr>
                <w:rStyle w:val="Hyperlink"/>
                <w:rFonts w:ascii="Garamond" w:hAnsi="Garamond"/>
                <w:color w:val="auto"/>
                <w:u w:val="none"/>
                <w:lang w:val="en-AU"/>
              </w:rPr>
            </w:pPr>
            <w:hyperlink r:id="rId18" w:anchor="32-detectability-of-swabs-placed-in-the-cavity-during-surgery" w:history="1">
              <w:r w:rsidR="009827B2" w:rsidRPr="0076773D">
                <w:rPr>
                  <w:rStyle w:val="Hyperlink"/>
                  <w:rFonts w:ascii="Garamond" w:hAnsi="Garamond"/>
                  <w:lang w:val="en-AU"/>
                </w:rPr>
                <w:t>https://www.hssib.org.uk/patient-safety-investigations/retained-surgical-swabs/investigation-report/#32-detectability-of-swabs-placed-in-the-cavity-during-surgery</w:t>
              </w:r>
            </w:hyperlink>
          </w:p>
        </w:tc>
      </w:tr>
      <w:tr w:rsidR="00F238A0" w:rsidRPr="000170DA" w14:paraId="6D793FEA" w14:textId="77777777" w:rsidTr="00576CE6">
        <w:tc>
          <w:tcPr>
            <w:tcW w:w="1080" w:type="dxa"/>
            <w:tcBorders>
              <w:top w:val="single" w:sz="4" w:space="0" w:color="auto"/>
              <w:left w:val="single" w:sz="4" w:space="0" w:color="auto"/>
              <w:bottom w:val="single" w:sz="4" w:space="0" w:color="auto"/>
              <w:right w:val="single" w:sz="4" w:space="0" w:color="auto"/>
            </w:tcBorders>
            <w:vAlign w:val="center"/>
          </w:tcPr>
          <w:p w14:paraId="3E84944C" w14:textId="77777777" w:rsidR="00F238A0" w:rsidRPr="000170DA" w:rsidRDefault="00F238A0" w:rsidP="00576CE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F39F502" w14:textId="016E32C8" w:rsidR="00F238A0" w:rsidRPr="0032523C" w:rsidRDefault="004F3D92" w:rsidP="00C707B4">
            <w:pPr>
              <w:rPr>
                <w:rFonts w:ascii="Garamond" w:hAnsi="Garamond"/>
                <w:lang w:val="en-AU"/>
              </w:rPr>
            </w:pPr>
            <w:r w:rsidRPr="004F3D92">
              <w:rPr>
                <w:rFonts w:ascii="Garamond" w:hAnsi="Garamond"/>
                <w:lang w:val="en-AU"/>
              </w:rPr>
              <w:t>This latest report from the UK’s Health Services Safety Investigation Body (HSSIB)</w:t>
            </w:r>
            <w:r w:rsidR="00F93BEF">
              <w:rPr>
                <w:rFonts w:ascii="Garamond" w:hAnsi="Garamond"/>
                <w:lang w:val="en-AU"/>
              </w:rPr>
              <w:t xml:space="preserve"> examines </w:t>
            </w:r>
            <w:r w:rsidR="00F93BEF" w:rsidRPr="00F93BEF">
              <w:rPr>
                <w:rFonts w:ascii="Garamond" w:hAnsi="Garamond"/>
                <w:lang w:val="en-AU"/>
              </w:rPr>
              <w:t>the patient safety risk of swabs being unintentionally retained following an invasive procedure such as surgery.</w:t>
            </w:r>
            <w:r w:rsidR="0020028A">
              <w:rPr>
                <w:rFonts w:ascii="Garamond" w:hAnsi="Garamond"/>
                <w:lang w:val="en-AU"/>
              </w:rPr>
              <w:t xml:space="preserve"> This investigation was prompted by the case </w:t>
            </w:r>
            <w:r w:rsidR="009D68BE">
              <w:rPr>
                <w:rFonts w:ascii="Garamond" w:hAnsi="Garamond"/>
                <w:lang w:val="en-AU"/>
              </w:rPr>
              <w:t>of patient</w:t>
            </w:r>
            <w:r w:rsidR="0020028A">
              <w:rPr>
                <w:rFonts w:ascii="Garamond" w:hAnsi="Garamond"/>
                <w:lang w:val="en-AU"/>
              </w:rPr>
              <w:t xml:space="preserve"> undergoing </w:t>
            </w:r>
            <w:r w:rsidR="00335409">
              <w:rPr>
                <w:rFonts w:ascii="Garamond" w:hAnsi="Garamond"/>
                <w:lang w:val="en-AU"/>
              </w:rPr>
              <w:t xml:space="preserve">surgery to treat </w:t>
            </w:r>
            <w:r w:rsidR="00335409" w:rsidRPr="00335409">
              <w:rPr>
                <w:rFonts w:ascii="Garamond" w:hAnsi="Garamond"/>
                <w:lang w:val="en-AU"/>
              </w:rPr>
              <w:t>coronary artery disease</w:t>
            </w:r>
            <w:r w:rsidR="00335409">
              <w:rPr>
                <w:rFonts w:ascii="Garamond" w:hAnsi="Garamond"/>
                <w:lang w:val="en-AU"/>
              </w:rPr>
              <w:t xml:space="preserve"> who was twice returned to the operating theatre </w:t>
            </w:r>
            <w:r w:rsidR="00CE5EDD">
              <w:rPr>
                <w:rFonts w:ascii="Garamond" w:hAnsi="Garamond"/>
                <w:lang w:val="en-AU"/>
              </w:rPr>
              <w:t>to remove gauze swabs that had been inadvertently left in the patient’s chest after the surgery.</w:t>
            </w:r>
            <w:r w:rsidR="00C707B4">
              <w:rPr>
                <w:rFonts w:ascii="Garamond" w:hAnsi="Garamond"/>
                <w:lang w:val="en-AU"/>
              </w:rPr>
              <w:t xml:space="preserve"> The investigation report offers </w:t>
            </w:r>
            <w:proofErr w:type="gramStart"/>
            <w:r w:rsidR="00C707B4">
              <w:rPr>
                <w:rFonts w:ascii="Garamond" w:hAnsi="Garamond"/>
                <w:lang w:val="en-AU"/>
              </w:rPr>
              <w:t>a number of</w:t>
            </w:r>
            <w:proofErr w:type="gramEnd"/>
            <w:r w:rsidR="00C707B4">
              <w:rPr>
                <w:rFonts w:ascii="Garamond" w:hAnsi="Garamond"/>
                <w:lang w:val="en-AU"/>
              </w:rPr>
              <w:t xml:space="preserve"> findings and recommendations.</w:t>
            </w:r>
          </w:p>
        </w:tc>
      </w:tr>
    </w:tbl>
    <w:p w14:paraId="5F95ED51" w14:textId="77777777" w:rsidR="00F238A0" w:rsidRDefault="00F238A0" w:rsidP="00F238A0">
      <w:pPr>
        <w:keepLines/>
        <w:autoSpaceDE w:val="0"/>
        <w:autoSpaceDN w:val="0"/>
        <w:adjustRightInd w:val="0"/>
        <w:rPr>
          <w:rFonts w:ascii="Garamond" w:hAnsi="Garamond"/>
          <w:lang w:val="en-AU"/>
        </w:rPr>
      </w:pPr>
    </w:p>
    <w:p w14:paraId="184679E9" w14:textId="77777777" w:rsidR="00F238A0" w:rsidRDefault="00F238A0" w:rsidP="00F238A0">
      <w:pPr>
        <w:keepLines/>
        <w:autoSpaceDE w:val="0"/>
        <w:autoSpaceDN w:val="0"/>
        <w:adjustRightInd w:val="0"/>
        <w:rPr>
          <w:rFonts w:ascii="Garamond" w:hAnsi="Garamond"/>
          <w:lang w:val="en-AU"/>
        </w:rPr>
      </w:pPr>
    </w:p>
    <w:p w14:paraId="6A61FF18" w14:textId="77777777" w:rsidR="00F238A0" w:rsidRDefault="00F238A0" w:rsidP="00F238A0">
      <w:pPr>
        <w:keepLines/>
        <w:autoSpaceDE w:val="0"/>
        <w:autoSpaceDN w:val="0"/>
        <w:adjustRightInd w:val="0"/>
        <w:rPr>
          <w:rFonts w:ascii="Garamond" w:hAnsi="Garamond"/>
          <w:lang w:val="en-AU"/>
        </w:rPr>
      </w:pPr>
    </w:p>
    <w:p w14:paraId="704E2B7E" w14:textId="77777777" w:rsidR="00DF772E" w:rsidRDefault="00DF772E">
      <w:pPr>
        <w:rPr>
          <w:rFonts w:ascii="Garamond" w:hAnsi="Garamond"/>
          <w:b/>
          <w:lang w:val="en-AU"/>
        </w:rPr>
      </w:pPr>
      <w:r>
        <w:rPr>
          <w:rFonts w:ascii="Garamond" w:hAnsi="Garamond"/>
          <w:b/>
          <w:lang w:val="en-AU"/>
        </w:rPr>
        <w:br w:type="page"/>
      </w:r>
    </w:p>
    <w:p w14:paraId="604EB9F1" w14:textId="4890A671" w:rsidR="00E02472" w:rsidRDefault="00E02472" w:rsidP="000A3862">
      <w:pPr>
        <w:keepNext/>
        <w:keepLines/>
        <w:autoSpaceDE w:val="0"/>
        <w:autoSpaceDN w:val="0"/>
        <w:adjustRightInd w:val="0"/>
        <w:rPr>
          <w:rFonts w:ascii="Garamond" w:hAnsi="Garamond"/>
          <w:b/>
          <w:lang w:val="en-AU"/>
        </w:rPr>
      </w:pPr>
      <w:r>
        <w:rPr>
          <w:rFonts w:ascii="Garamond" w:hAnsi="Garamond"/>
          <w:b/>
          <w:lang w:val="en-AU"/>
        </w:rPr>
        <w:lastRenderedPageBreak/>
        <w:t>Journal articles</w:t>
      </w:r>
    </w:p>
    <w:p w14:paraId="27A5064B" w14:textId="0273C4DD" w:rsidR="005A0FDD" w:rsidRDefault="005A0FDD" w:rsidP="005A0FDD">
      <w:pPr>
        <w:keepLines/>
        <w:autoSpaceDE w:val="0"/>
        <w:autoSpaceDN w:val="0"/>
        <w:adjustRightInd w:val="0"/>
        <w:rPr>
          <w:rFonts w:ascii="Garamond" w:hAnsi="Garamond"/>
          <w:lang w:val="en-AU"/>
        </w:rPr>
      </w:pPr>
    </w:p>
    <w:p w14:paraId="0994782F" w14:textId="77777777" w:rsidR="004C3A98" w:rsidRPr="004C3A98" w:rsidRDefault="004C3A98" w:rsidP="004C3A98">
      <w:pPr>
        <w:keepLines/>
        <w:autoSpaceDE w:val="0"/>
        <w:autoSpaceDN w:val="0"/>
        <w:adjustRightInd w:val="0"/>
        <w:rPr>
          <w:rFonts w:ascii="Garamond" w:hAnsi="Garamond"/>
          <w:i/>
          <w:iCs/>
          <w:lang w:val="en-AU"/>
        </w:rPr>
      </w:pPr>
      <w:r w:rsidRPr="004C3A98">
        <w:rPr>
          <w:rFonts w:ascii="Garamond" w:hAnsi="Garamond"/>
          <w:i/>
          <w:iCs/>
          <w:lang w:val="en-AU"/>
        </w:rPr>
        <w:t>An Analysis of Incident Reports Related to Electronic Medication Management: How They Change Over Time</w:t>
      </w:r>
    </w:p>
    <w:p w14:paraId="3AA2EFC7" w14:textId="77777777" w:rsidR="004C3A98" w:rsidRDefault="004C3A98" w:rsidP="008A68DB">
      <w:pPr>
        <w:keepLines/>
        <w:autoSpaceDE w:val="0"/>
        <w:autoSpaceDN w:val="0"/>
        <w:adjustRightInd w:val="0"/>
        <w:rPr>
          <w:rFonts w:ascii="Garamond" w:hAnsi="Garamond"/>
          <w:lang w:val="en-AU"/>
        </w:rPr>
      </w:pPr>
      <w:r w:rsidRPr="004C3A98">
        <w:rPr>
          <w:rFonts w:ascii="Garamond" w:hAnsi="Garamond"/>
          <w:lang w:val="en-AU"/>
        </w:rPr>
        <w:t>Kinlay M, Zheng WY, Burke R, Juraskova I, Ho LM, Turton H, et al</w:t>
      </w:r>
    </w:p>
    <w:p w14:paraId="4D805D12" w14:textId="2024C15F" w:rsidR="008A68DB" w:rsidRDefault="004C3A98" w:rsidP="008A68DB">
      <w:pPr>
        <w:keepLines/>
        <w:autoSpaceDE w:val="0"/>
        <w:autoSpaceDN w:val="0"/>
        <w:adjustRightInd w:val="0"/>
        <w:rPr>
          <w:rFonts w:ascii="Garamond" w:hAnsi="Garamond"/>
          <w:lang w:val="en-AU"/>
        </w:rPr>
      </w:pPr>
      <w:r w:rsidRPr="004C3A98">
        <w:rPr>
          <w:rFonts w:ascii="Garamond" w:hAnsi="Garamond"/>
          <w:lang w:val="en-AU"/>
        </w:rPr>
        <w:t>Journal of Patient Safety. 2024;20(3):202-208</w:t>
      </w:r>
    </w:p>
    <w:p w14:paraId="783363D2" w14:textId="77777777" w:rsidR="004C3A98" w:rsidRDefault="004C3A98" w:rsidP="008A68DB">
      <w:pPr>
        <w:keepLines/>
        <w:autoSpaceDE w:val="0"/>
        <w:autoSpaceDN w:val="0"/>
        <w:adjustRightInd w:val="0"/>
        <w:rPr>
          <w:rFonts w:ascii="Garamond" w:hAnsi="Garamond"/>
          <w:lang w:val="en-AU"/>
        </w:rPr>
      </w:pPr>
    </w:p>
    <w:p w14:paraId="2C846720" w14:textId="58168E1D" w:rsidR="004C3A98" w:rsidRDefault="004C3A98" w:rsidP="008A68DB">
      <w:pPr>
        <w:keepLines/>
        <w:autoSpaceDE w:val="0"/>
        <w:autoSpaceDN w:val="0"/>
        <w:adjustRightInd w:val="0"/>
        <w:rPr>
          <w:rFonts w:ascii="Garamond" w:hAnsi="Garamond"/>
          <w:lang w:val="en-AU"/>
        </w:rPr>
      </w:pPr>
      <w:r w:rsidRPr="004C3A98">
        <w:rPr>
          <w:rFonts w:ascii="Garamond" w:hAnsi="Garamond"/>
          <w:i/>
          <w:iCs/>
          <w:lang w:val="en-AU"/>
        </w:rPr>
        <w:t>Drug–Drug Interactions and Actual Harm to Hospitalized Patients: A Multicentre Study Examining the Prevalence Pre- and Post-Electronic Medication System Implementation</w:t>
      </w:r>
    </w:p>
    <w:p w14:paraId="0DF9793D" w14:textId="56FC6A3C" w:rsidR="004C3A98" w:rsidRDefault="004C3A98" w:rsidP="008A68DB">
      <w:pPr>
        <w:keepLines/>
        <w:autoSpaceDE w:val="0"/>
        <w:autoSpaceDN w:val="0"/>
        <w:adjustRightInd w:val="0"/>
        <w:rPr>
          <w:rFonts w:ascii="Garamond" w:hAnsi="Garamond"/>
          <w:lang w:val="en-AU"/>
        </w:rPr>
      </w:pPr>
      <w:r w:rsidRPr="004C3A98">
        <w:rPr>
          <w:rFonts w:ascii="Garamond" w:hAnsi="Garamond"/>
          <w:lang w:val="en-AU"/>
        </w:rPr>
        <w:t>Li L, Baker J, Quirk R, Deidun D, Moran M, Salem AA, et al</w:t>
      </w:r>
    </w:p>
    <w:p w14:paraId="430DF4EF" w14:textId="7004ED31" w:rsidR="004C3A98" w:rsidRDefault="004C3A98" w:rsidP="008A68DB">
      <w:pPr>
        <w:keepLines/>
        <w:autoSpaceDE w:val="0"/>
        <w:autoSpaceDN w:val="0"/>
        <w:adjustRightInd w:val="0"/>
        <w:rPr>
          <w:rFonts w:ascii="Garamond" w:hAnsi="Garamond"/>
          <w:lang w:val="en-AU"/>
        </w:rPr>
      </w:pPr>
      <w:r w:rsidRPr="004C3A98">
        <w:rPr>
          <w:rFonts w:ascii="Garamond" w:hAnsi="Garamond"/>
          <w:lang w:val="en-AU"/>
        </w:rPr>
        <w:t>Drug Safety. 2024.</w:t>
      </w:r>
    </w:p>
    <w:tbl>
      <w:tblPr>
        <w:tblStyle w:val="TableGrid"/>
        <w:tblW w:w="9360" w:type="dxa"/>
        <w:tblInd w:w="288" w:type="dxa"/>
        <w:tblLayout w:type="fixed"/>
        <w:tblLook w:val="01E0" w:firstRow="1" w:lastRow="1" w:firstColumn="1" w:lastColumn="1" w:noHBand="0" w:noVBand="0"/>
      </w:tblPr>
      <w:tblGrid>
        <w:gridCol w:w="1080"/>
        <w:gridCol w:w="8280"/>
      </w:tblGrid>
      <w:tr w:rsidR="008A68DB" w:rsidRPr="000170DA" w14:paraId="265B5150" w14:textId="77777777" w:rsidTr="00D72C3C">
        <w:tc>
          <w:tcPr>
            <w:tcW w:w="1080" w:type="dxa"/>
            <w:tcBorders>
              <w:top w:val="single" w:sz="4" w:space="0" w:color="auto"/>
              <w:left w:val="single" w:sz="4" w:space="0" w:color="auto"/>
              <w:bottom w:val="single" w:sz="4" w:space="0" w:color="auto"/>
              <w:right w:val="single" w:sz="4" w:space="0" w:color="auto"/>
            </w:tcBorders>
            <w:vAlign w:val="center"/>
          </w:tcPr>
          <w:p w14:paraId="507F4E56" w14:textId="77777777" w:rsidR="008A68DB" w:rsidRPr="000170DA" w:rsidRDefault="008A68DB" w:rsidP="00D72C3C">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60A5F73" w14:textId="07E8BF4B" w:rsidR="008A68DB" w:rsidRDefault="004C3A98" w:rsidP="00D72C3C">
            <w:pPr>
              <w:keepNext/>
              <w:rPr>
                <w:rStyle w:val="Hyperlink"/>
                <w:rFonts w:ascii="Garamond" w:hAnsi="Garamond"/>
                <w:color w:val="auto"/>
                <w:u w:val="none"/>
                <w:lang w:val="en-AU"/>
              </w:rPr>
            </w:pPr>
            <w:r>
              <w:rPr>
                <w:rStyle w:val="Hyperlink"/>
                <w:rFonts w:ascii="Garamond" w:hAnsi="Garamond"/>
                <w:color w:val="auto"/>
                <w:u w:val="none"/>
                <w:lang w:val="en-AU"/>
              </w:rPr>
              <w:t>Kinlay et al</w:t>
            </w:r>
            <w:r w:rsidR="00C442CA">
              <w:rPr>
                <w:rStyle w:val="Hyperlink"/>
                <w:rFonts w:ascii="Garamond" w:hAnsi="Garamond"/>
                <w:color w:val="auto"/>
                <w:u w:val="none"/>
                <w:lang w:val="en-AU"/>
              </w:rPr>
              <w:t xml:space="preserve"> </w:t>
            </w:r>
            <w:hyperlink r:id="rId19" w:history="1">
              <w:r w:rsidR="00C442CA" w:rsidRPr="0076773D">
                <w:rPr>
                  <w:rStyle w:val="Hyperlink"/>
                  <w:rFonts w:ascii="Garamond" w:hAnsi="Garamond"/>
                  <w:lang w:val="en-AU"/>
                </w:rPr>
                <w:t>https://doi.org/10.1097/PTS.0000000000001204</w:t>
              </w:r>
            </w:hyperlink>
            <w:r w:rsidR="00C442CA">
              <w:rPr>
                <w:rStyle w:val="Hyperlink"/>
                <w:rFonts w:ascii="Garamond" w:hAnsi="Garamond"/>
                <w:color w:val="auto"/>
                <w:u w:val="none"/>
                <w:lang w:val="en-AU"/>
              </w:rPr>
              <w:t xml:space="preserve"> </w:t>
            </w:r>
          </w:p>
          <w:p w14:paraId="3EED0811" w14:textId="1507B4D2" w:rsidR="004C3A98" w:rsidRPr="000170DA" w:rsidRDefault="004C3A98" w:rsidP="00D72C3C">
            <w:pPr>
              <w:keepNext/>
              <w:rPr>
                <w:rStyle w:val="Hyperlink"/>
                <w:rFonts w:ascii="Garamond" w:hAnsi="Garamond"/>
                <w:color w:val="auto"/>
                <w:u w:val="none"/>
                <w:lang w:val="en-AU"/>
              </w:rPr>
            </w:pPr>
            <w:r>
              <w:rPr>
                <w:rStyle w:val="Hyperlink"/>
                <w:rFonts w:ascii="Garamond" w:hAnsi="Garamond"/>
                <w:color w:val="auto"/>
                <w:u w:val="none"/>
                <w:lang w:val="en-AU"/>
              </w:rPr>
              <w:t xml:space="preserve">Li et al </w:t>
            </w:r>
            <w:hyperlink r:id="rId20" w:history="1">
              <w:r w:rsidR="00C0378C" w:rsidRPr="0076773D">
                <w:rPr>
                  <w:rStyle w:val="Hyperlink"/>
                  <w:rFonts w:ascii="Garamond" w:hAnsi="Garamond"/>
                  <w:lang w:val="en-AU"/>
                </w:rPr>
                <w:t>https://doi.org/10.1007/s40264-024-01412-w</w:t>
              </w:r>
            </w:hyperlink>
          </w:p>
        </w:tc>
      </w:tr>
      <w:tr w:rsidR="008A68DB" w:rsidRPr="000170DA" w14:paraId="7952AA99" w14:textId="77777777" w:rsidTr="00D72C3C">
        <w:tc>
          <w:tcPr>
            <w:tcW w:w="1080" w:type="dxa"/>
            <w:tcBorders>
              <w:top w:val="single" w:sz="4" w:space="0" w:color="auto"/>
              <w:left w:val="single" w:sz="4" w:space="0" w:color="auto"/>
              <w:bottom w:val="single" w:sz="4" w:space="0" w:color="auto"/>
              <w:right w:val="single" w:sz="4" w:space="0" w:color="auto"/>
            </w:tcBorders>
            <w:vAlign w:val="center"/>
          </w:tcPr>
          <w:p w14:paraId="184B3B70" w14:textId="77777777" w:rsidR="008A68DB" w:rsidRPr="000170DA" w:rsidRDefault="008A68DB" w:rsidP="00D72C3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C2F77FF" w14:textId="7581C70E" w:rsidR="008A68DB" w:rsidRDefault="004C3A98" w:rsidP="00D72C3C">
            <w:pPr>
              <w:rPr>
                <w:rFonts w:ascii="Garamond" w:hAnsi="Garamond"/>
                <w:lang w:val="en-AU"/>
              </w:rPr>
            </w:pPr>
            <w:r>
              <w:rPr>
                <w:rFonts w:ascii="Garamond" w:hAnsi="Garamond"/>
                <w:lang w:val="en-AU"/>
              </w:rPr>
              <w:t>A pair of Australian studies examining the impacts of electronic medication management (EMM)</w:t>
            </w:r>
            <w:r w:rsidR="00F11C0C">
              <w:rPr>
                <w:rFonts w:ascii="Garamond" w:hAnsi="Garamond"/>
                <w:lang w:val="en-AU"/>
              </w:rPr>
              <w:t>.</w:t>
            </w:r>
          </w:p>
          <w:p w14:paraId="3731929E" w14:textId="16E2FB07" w:rsidR="00F11C0C" w:rsidRDefault="00F11C0C" w:rsidP="00D72C3C">
            <w:pPr>
              <w:rPr>
                <w:rFonts w:ascii="Garamond" w:hAnsi="Garamond"/>
                <w:lang w:val="en-AU"/>
              </w:rPr>
            </w:pPr>
            <w:r>
              <w:rPr>
                <w:rFonts w:ascii="Garamond" w:hAnsi="Garamond"/>
                <w:lang w:val="en-AU"/>
              </w:rPr>
              <w:t>Kinlay et al</w:t>
            </w:r>
            <w:r w:rsidR="008B4644">
              <w:rPr>
                <w:rFonts w:ascii="Garamond" w:hAnsi="Garamond"/>
                <w:lang w:val="en-AU"/>
              </w:rPr>
              <w:t xml:space="preserve"> examined incidents </w:t>
            </w:r>
            <w:r w:rsidR="00230990">
              <w:rPr>
                <w:rFonts w:ascii="Garamond" w:hAnsi="Garamond"/>
                <w:lang w:val="en-AU"/>
              </w:rPr>
              <w:t xml:space="preserve">arising </w:t>
            </w:r>
            <w:r w:rsidR="002A48F7" w:rsidRPr="002A48F7">
              <w:rPr>
                <w:rFonts w:ascii="Garamond" w:hAnsi="Garamond"/>
                <w:lang w:val="en-AU"/>
              </w:rPr>
              <w:t xml:space="preserve">between </w:t>
            </w:r>
            <w:r w:rsidR="002A48F7">
              <w:rPr>
                <w:rFonts w:ascii="Garamond" w:hAnsi="Garamond"/>
                <w:lang w:val="en-AU"/>
              </w:rPr>
              <w:t xml:space="preserve">1 </w:t>
            </w:r>
            <w:r w:rsidR="002A48F7" w:rsidRPr="002A48F7">
              <w:rPr>
                <w:rFonts w:ascii="Garamond" w:hAnsi="Garamond"/>
                <w:lang w:val="en-AU"/>
              </w:rPr>
              <w:t xml:space="preserve">January 2010, and </w:t>
            </w:r>
            <w:r w:rsidR="002A48F7">
              <w:rPr>
                <w:rFonts w:ascii="Garamond" w:hAnsi="Garamond"/>
                <w:lang w:val="en-AU"/>
              </w:rPr>
              <w:t xml:space="preserve">31 </w:t>
            </w:r>
            <w:r w:rsidR="002A48F7" w:rsidRPr="002A48F7">
              <w:rPr>
                <w:rFonts w:ascii="Garamond" w:hAnsi="Garamond"/>
                <w:lang w:val="en-AU"/>
              </w:rPr>
              <w:t>December 2019</w:t>
            </w:r>
            <w:r w:rsidR="002A48F7">
              <w:rPr>
                <w:rFonts w:ascii="Garamond" w:hAnsi="Garamond"/>
                <w:lang w:val="en-AU"/>
              </w:rPr>
              <w:t xml:space="preserve"> </w:t>
            </w:r>
            <w:r w:rsidR="00230990">
              <w:rPr>
                <w:rFonts w:ascii="Garamond" w:hAnsi="Garamond"/>
                <w:lang w:val="en-AU"/>
              </w:rPr>
              <w:t>after the implementation of EMM systems at 3 Australian hospitals</w:t>
            </w:r>
            <w:r w:rsidR="002A48F7">
              <w:rPr>
                <w:rFonts w:ascii="Garamond" w:hAnsi="Garamond"/>
                <w:lang w:val="en-AU"/>
              </w:rPr>
              <w:t>.</w:t>
            </w:r>
            <w:r w:rsidR="00144096">
              <w:rPr>
                <w:rFonts w:ascii="Garamond" w:hAnsi="Garamond"/>
                <w:lang w:val="en-AU"/>
              </w:rPr>
              <w:t xml:space="preserve"> </w:t>
            </w:r>
            <w:r w:rsidR="003A1D6F">
              <w:rPr>
                <w:rFonts w:ascii="Garamond" w:hAnsi="Garamond"/>
                <w:lang w:val="en-AU"/>
              </w:rPr>
              <w:t>The review found ‘</w:t>
            </w:r>
            <w:r w:rsidR="003A1D6F" w:rsidRPr="003A1D6F">
              <w:rPr>
                <w:rFonts w:ascii="Garamond" w:hAnsi="Garamond"/>
                <w:lang w:val="en-AU"/>
              </w:rPr>
              <w:t>444 incident reports were determined to be EMM related.</w:t>
            </w:r>
            <w:r w:rsidR="003A1D6F">
              <w:rPr>
                <w:rFonts w:ascii="Garamond" w:hAnsi="Garamond"/>
                <w:lang w:val="en-AU"/>
              </w:rPr>
              <w:t xml:space="preserve">’ </w:t>
            </w:r>
            <w:r w:rsidR="000E0509">
              <w:rPr>
                <w:rFonts w:ascii="Garamond" w:hAnsi="Garamond"/>
                <w:lang w:val="en-AU"/>
              </w:rPr>
              <w:t xml:space="preserve">The </w:t>
            </w:r>
            <w:r w:rsidR="00E921F7">
              <w:rPr>
                <w:rFonts w:ascii="Garamond" w:hAnsi="Garamond"/>
                <w:lang w:val="en-AU"/>
              </w:rPr>
              <w:t>analysis of the incidents led the authors to conclude ‘</w:t>
            </w:r>
            <w:r w:rsidR="00E921F7" w:rsidRPr="00E921F7">
              <w:rPr>
                <w:rFonts w:ascii="Garamond" w:hAnsi="Garamond"/>
                <w:lang w:val="en-AU"/>
              </w:rPr>
              <w:t>Electronic medication management–related incidents continue to occur years after EMM implementation and are driven by design, user, and organizational conditions. Although factors contribute to reported incidents in varying degrees over time, some factors are persistent and highlight the importance of continuously improving the EMM system and its use.</w:t>
            </w:r>
            <w:r w:rsidR="00E921F7">
              <w:rPr>
                <w:rFonts w:ascii="Garamond" w:hAnsi="Garamond"/>
                <w:lang w:val="en-AU"/>
              </w:rPr>
              <w:t>’</w:t>
            </w:r>
          </w:p>
          <w:p w14:paraId="1933F535" w14:textId="1B32BC95" w:rsidR="004C3A98" w:rsidRPr="0032523C" w:rsidRDefault="00F11C0C" w:rsidP="003832A0">
            <w:pPr>
              <w:rPr>
                <w:rFonts w:ascii="Garamond" w:hAnsi="Garamond"/>
                <w:lang w:val="en-AU"/>
              </w:rPr>
            </w:pPr>
            <w:r>
              <w:rPr>
                <w:rFonts w:ascii="Garamond" w:hAnsi="Garamond"/>
                <w:lang w:val="en-AU"/>
              </w:rPr>
              <w:t xml:space="preserve">Li et al </w:t>
            </w:r>
            <w:r w:rsidR="00EB06E3">
              <w:rPr>
                <w:rFonts w:ascii="Garamond" w:hAnsi="Garamond"/>
                <w:lang w:val="en-AU"/>
              </w:rPr>
              <w:t xml:space="preserve">also examined EMM in 3 Australian hospitals, with a focus on </w:t>
            </w:r>
            <w:r w:rsidR="007E20D9">
              <w:rPr>
                <w:rFonts w:ascii="Garamond" w:hAnsi="Garamond"/>
                <w:lang w:val="en-AU"/>
              </w:rPr>
              <w:t xml:space="preserve">the incidence of </w:t>
            </w:r>
            <w:r w:rsidR="00CE4131" w:rsidRPr="00CE4131">
              <w:rPr>
                <w:rFonts w:ascii="Garamond" w:hAnsi="Garamond"/>
                <w:lang w:val="en-AU"/>
              </w:rPr>
              <w:t xml:space="preserve">potential </w:t>
            </w:r>
            <w:r w:rsidR="00CE4131">
              <w:rPr>
                <w:rFonts w:ascii="Garamond" w:hAnsi="Garamond"/>
                <w:lang w:val="en-AU"/>
              </w:rPr>
              <w:t xml:space="preserve">drug-drug interactions </w:t>
            </w:r>
            <w:r w:rsidR="00CE4131" w:rsidRPr="00CE4131">
              <w:rPr>
                <w:rFonts w:ascii="Garamond" w:hAnsi="Garamond"/>
                <w:lang w:val="en-AU"/>
              </w:rPr>
              <w:t xml:space="preserve">(pDDI) and clinically relevant </w:t>
            </w:r>
            <w:r w:rsidR="00CE4131">
              <w:rPr>
                <w:rFonts w:ascii="Garamond" w:hAnsi="Garamond"/>
                <w:lang w:val="en-AU"/>
              </w:rPr>
              <w:t xml:space="preserve">drug-drug-interactions </w:t>
            </w:r>
            <w:r w:rsidR="00CE4131" w:rsidRPr="00CE4131">
              <w:rPr>
                <w:rFonts w:ascii="Garamond" w:hAnsi="Garamond"/>
                <w:lang w:val="en-AU"/>
              </w:rPr>
              <w:t xml:space="preserve">DDI (cDDI) before and after implementation of </w:t>
            </w:r>
            <w:r w:rsidR="009603FD">
              <w:rPr>
                <w:rFonts w:ascii="Garamond" w:hAnsi="Garamond"/>
                <w:lang w:val="en-AU"/>
              </w:rPr>
              <w:t>EMM systems.</w:t>
            </w:r>
            <w:r w:rsidR="00392E1F">
              <w:rPr>
                <w:rFonts w:ascii="Garamond" w:hAnsi="Garamond"/>
                <w:lang w:val="en-AU"/>
              </w:rPr>
              <w:t xml:space="preserve"> </w:t>
            </w:r>
            <w:r w:rsidR="00821E09">
              <w:rPr>
                <w:rFonts w:ascii="Garamond" w:hAnsi="Garamond"/>
                <w:lang w:val="en-AU"/>
              </w:rPr>
              <w:t xml:space="preserve">The authors report that </w:t>
            </w:r>
            <w:r w:rsidR="00851742">
              <w:rPr>
                <w:rFonts w:ascii="Garamond" w:hAnsi="Garamond"/>
                <w:lang w:val="en-AU"/>
              </w:rPr>
              <w:t>‘</w:t>
            </w:r>
            <w:r w:rsidR="00851742" w:rsidRPr="00851742">
              <w:rPr>
                <w:rFonts w:ascii="Garamond" w:hAnsi="Garamond"/>
                <w:lang w:val="en-AU"/>
              </w:rPr>
              <w:t>Of 1186 patient admissions, 70.1% (n = 831) experienced a pDDI, 42.6% (n = 505) a cDDI and 0.9% (n = 11) an actual harm in hospital. Of 15,860 pDDIs identified, 27.0% (n = 4285) were classified as cDDIs.</w:t>
            </w:r>
            <w:r w:rsidR="00851742">
              <w:rPr>
                <w:rFonts w:ascii="Garamond" w:hAnsi="Garamond"/>
                <w:lang w:val="en-AU"/>
              </w:rPr>
              <w:t xml:space="preserve">’ </w:t>
            </w:r>
            <w:r w:rsidR="00E903D4">
              <w:rPr>
                <w:rFonts w:ascii="Garamond" w:hAnsi="Garamond"/>
                <w:lang w:val="en-AU"/>
              </w:rPr>
              <w:t xml:space="preserve">The authors note that </w:t>
            </w:r>
            <w:r w:rsidR="0032169F">
              <w:rPr>
                <w:rFonts w:ascii="Garamond" w:hAnsi="Garamond"/>
                <w:lang w:val="en-AU"/>
              </w:rPr>
              <w:t>‘</w:t>
            </w:r>
            <w:r w:rsidR="009D68BE" w:rsidRPr="0032169F">
              <w:rPr>
                <w:rFonts w:ascii="Garamond" w:hAnsi="Garamond"/>
                <w:lang w:val="en-AU"/>
              </w:rPr>
              <w:t>less</w:t>
            </w:r>
            <w:r w:rsidR="0032169F" w:rsidRPr="0032169F">
              <w:rPr>
                <w:rFonts w:ascii="Garamond" w:hAnsi="Garamond"/>
                <w:lang w:val="en-AU"/>
              </w:rPr>
              <w:t xml:space="preserve"> than one-third of pDDIs were clinically relevant</w:t>
            </w:r>
            <w:r w:rsidR="0032169F">
              <w:rPr>
                <w:rFonts w:ascii="Garamond" w:hAnsi="Garamond"/>
                <w:lang w:val="en-AU"/>
              </w:rPr>
              <w:t>’</w:t>
            </w:r>
            <w:r w:rsidR="0032169F" w:rsidRPr="0032169F">
              <w:rPr>
                <w:rFonts w:ascii="Garamond" w:hAnsi="Garamond"/>
                <w:lang w:val="en-AU"/>
              </w:rPr>
              <w:t>. The</w:t>
            </w:r>
            <w:r w:rsidR="003832A0">
              <w:rPr>
                <w:rFonts w:ascii="Garamond" w:hAnsi="Garamond"/>
                <w:lang w:val="en-AU"/>
              </w:rPr>
              <w:t>y go on to suggest that this</w:t>
            </w:r>
            <w:r w:rsidR="0032169F" w:rsidRPr="0032169F">
              <w:rPr>
                <w:rFonts w:ascii="Garamond" w:hAnsi="Garamond"/>
                <w:lang w:val="en-AU"/>
              </w:rPr>
              <w:t xml:space="preserve"> </w:t>
            </w:r>
            <w:r w:rsidR="003832A0">
              <w:rPr>
                <w:rFonts w:ascii="Garamond" w:hAnsi="Garamond"/>
                <w:lang w:val="en-AU"/>
              </w:rPr>
              <w:t>‘</w:t>
            </w:r>
            <w:r w:rsidR="0032169F" w:rsidRPr="0032169F">
              <w:rPr>
                <w:rFonts w:ascii="Garamond" w:hAnsi="Garamond"/>
                <w:lang w:val="en-AU"/>
              </w:rPr>
              <w:t>low prevalence of harm identified raises questions about the value of incorporating DDI decision support into systems given the potential negative impacts of DDI alerts.</w:t>
            </w:r>
            <w:r w:rsidR="0032169F">
              <w:rPr>
                <w:rFonts w:ascii="Garamond" w:hAnsi="Garamond"/>
                <w:lang w:val="en-AU"/>
              </w:rPr>
              <w:t>’</w:t>
            </w:r>
          </w:p>
        </w:tc>
      </w:tr>
    </w:tbl>
    <w:p w14:paraId="7367A032" w14:textId="77777777" w:rsidR="008A68DB" w:rsidRDefault="008A68DB" w:rsidP="008A68DB">
      <w:pPr>
        <w:keepLines/>
        <w:autoSpaceDE w:val="0"/>
        <w:autoSpaceDN w:val="0"/>
        <w:adjustRightInd w:val="0"/>
        <w:rPr>
          <w:rFonts w:ascii="Garamond" w:hAnsi="Garamond"/>
          <w:lang w:val="en-AU"/>
        </w:rPr>
      </w:pPr>
    </w:p>
    <w:p w14:paraId="4AF53170" w14:textId="47E9F5A6" w:rsidR="004C3A98" w:rsidRDefault="004C3A98" w:rsidP="004C3A98">
      <w:pPr>
        <w:keepLines/>
        <w:autoSpaceDE w:val="0"/>
        <w:autoSpaceDN w:val="0"/>
        <w:adjustRightInd w:val="0"/>
        <w:rPr>
          <w:rFonts w:ascii="Garamond" w:hAnsi="Garamond"/>
          <w:lang w:val="en-AU"/>
        </w:rPr>
      </w:pPr>
      <w:r>
        <w:rPr>
          <w:rFonts w:ascii="Garamond" w:hAnsi="Garamond"/>
          <w:lang w:val="en-AU"/>
        </w:rPr>
        <w:t>For information on the Commission’s work on medication safety</w:t>
      </w:r>
      <w:r w:rsidR="00F11C0C">
        <w:rPr>
          <w:rFonts w:ascii="Garamond" w:hAnsi="Garamond"/>
          <w:lang w:val="en-AU"/>
        </w:rPr>
        <w:t xml:space="preserve">, including electronic medication management and the </w:t>
      </w:r>
      <w:r w:rsidR="00F11C0C" w:rsidRPr="00F11C0C">
        <w:rPr>
          <w:rFonts w:ascii="Garamond" w:hAnsi="Garamond"/>
          <w:i/>
          <w:iCs/>
          <w:lang w:val="en-AU"/>
        </w:rPr>
        <w:t>Electronic Medication Management Systems – A guide to safe implementation</w:t>
      </w:r>
      <w:r w:rsidR="00F11C0C" w:rsidRPr="00F11C0C">
        <w:rPr>
          <w:rFonts w:ascii="Garamond" w:hAnsi="Garamond"/>
          <w:lang w:val="en-AU"/>
        </w:rPr>
        <w:t xml:space="preserve"> (third edition)</w:t>
      </w:r>
      <w:r>
        <w:rPr>
          <w:rFonts w:ascii="Garamond" w:hAnsi="Garamond"/>
          <w:lang w:val="en-AU"/>
        </w:rPr>
        <w:t xml:space="preserve">, see </w:t>
      </w:r>
      <w:hyperlink r:id="rId21" w:history="1">
        <w:r w:rsidRPr="007E0679">
          <w:rPr>
            <w:rStyle w:val="Hyperlink"/>
            <w:rFonts w:ascii="Garamond" w:hAnsi="Garamond"/>
            <w:lang w:val="en-AU"/>
          </w:rPr>
          <w:t>https://www.safetyandquality.gov.au/our-work/medication-safety</w:t>
        </w:r>
      </w:hyperlink>
    </w:p>
    <w:p w14:paraId="5C6933CD" w14:textId="77777777" w:rsidR="004C3A98" w:rsidRDefault="004C3A98" w:rsidP="008A68DB">
      <w:pPr>
        <w:keepLines/>
        <w:autoSpaceDE w:val="0"/>
        <w:autoSpaceDN w:val="0"/>
        <w:adjustRightInd w:val="0"/>
        <w:rPr>
          <w:rFonts w:ascii="Garamond" w:hAnsi="Garamond"/>
          <w:lang w:val="en-AU"/>
        </w:rPr>
      </w:pPr>
    </w:p>
    <w:p w14:paraId="2193942D" w14:textId="77777777" w:rsidR="004C3A98" w:rsidRPr="004C3A98" w:rsidRDefault="004C3A98" w:rsidP="004C3A98">
      <w:pPr>
        <w:rPr>
          <w:rFonts w:ascii="Garamond" w:hAnsi="Garamond"/>
          <w:i/>
          <w:iCs/>
          <w:lang w:val="en-AU"/>
        </w:rPr>
      </w:pPr>
      <w:r w:rsidRPr="004C3A98">
        <w:rPr>
          <w:rFonts w:ascii="Garamond" w:hAnsi="Garamond"/>
          <w:i/>
          <w:iCs/>
          <w:lang w:val="en-AU"/>
        </w:rPr>
        <w:t>Decreasing Prescribing Errors in Antimicrobial Stewardship Program-Restricted Medications</w:t>
      </w:r>
    </w:p>
    <w:p w14:paraId="092D83DE" w14:textId="77777777" w:rsidR="004C3A98" w:rsidRDefault="004C3A98" w:rsidP="004C3A98">
      <w:pPr>
        <w:rPr>
          <w:rFonts w:ascii="Garamond" w:hAnsi="Garamond"/>
          <w:lang w:val="en-AU"/>
        </w:rPr>
      </w:pPr>
      <w:r w:rsidRPr="004C3A98">
        <w:rPr>
          <w:rFonts w:ascii="Garamond" w:hAnsi="Garamond"/>
          <w:lang w:val="en-AU"/>
        </w:rPr>
        <w:t xml:space="preserve">Tang KM, Lee P, Anosike BI, Asas K, Cassel-Choudhury G, Devi T, </w:t>
      </w:r>
      <w:proofErr w:type="gramStart"/>
      <w:r w:rsidRPr="004C3A98">
        <w:rPr>
          <w:rFonts w:ascii="Garamond" w:hAnsi="Garamond"/>
          <w:lang w:val="en-AU"/>
        </w:rPr>
        <w:t>et al..</w:t>
      </w:r>
      <w:proofErr w:type="gramEnd"/>
      <w:r w:rsidRPr="004C3A98">
        <w:rPr>
          <w:rFonts w:ascii="Garamond" w:hAnsi="Garamond"/>
          <w:lang w:val="en-AU"/>
        </w:rPr>
        <w:t xml:space="preserve"> </w:t>
      </w:r>
    </w:p>
    <w:p w14:paraId="69799EAA" w14:textId="13E311C6" w:rsidR="008A68DB" w:rsidRDefault="004C3A98" w:rsidP="004C3A98">
      <w:pPr>
        <w:rPr>
          <w:rFonts w:ascii="Garamond" w:hAnsi="Garamond"/>
          <w:lang w:val="en-AU"/>
        </w:rPr>
      </w:pPr>
      <w:r w:rsidRPr="004C3A98">
        <w:rPr>
          <w:rFonts w:ascii="Garamond" w:hAnsi="Garamond"/>
          <w:lang w:val="en-AU"/>
        </w:rPr>
        <w:t>Hospital Pediatrics. 2024;14(4):281-290.</w:t>
      </w:r>
    </w:p>
    <w:tbl>
      <w:tblPr>
        <w:tblStyle w:val="TableGrid"/>
        <w:tblW w:w="9360" w:type="dxa"/>
        <w:tblInd w:w="288" w:type="dxa"/>
        <w:tblLayout w:type="fixed"/>
        <w:tblLook w:val="01E0" w:firstRow="1" w:lastRow="1" w:firstColumn="1" w:lastColumn="1" w:noHBand="0" w:noVBand="0"/>
      </w:tblPr>
      <w:tblGrid>
        <w:gridCol w:w="1080"/>
        <w:gridCol w:w="8280"/>
      </w:tblGrid>
      <w:tr w:rsidR="008A68DB" w:rsidRPr="000170DA" w14:paraId="54386E49" w14:textId="77777777" w:rsidTr="00D72C3C">
        <w:tc>
          <w:tcPr>
            <w:tcW w:w="1080" w:type="dxa"/>
            <w:tcBorders>
              <w:top w:val="single" w:sz="4" w:space="0" w:color="auto"/>
              <w:left w:val="single" w:sz="4" w:space="0" w:color="auto"/>
              <w:bottom w:val="single" w:sz="4" w:space="0" w:color="auto"/>
              <w:right w:val="single" w:sz="4" w:space="0" w:color="auto"/>
            </w:tcBorders>
            <w:vAlign w:val="center"/>
          </w:tcPr>
          <w:p w14:paraId="79C8CD60" w14:textId="77777777" w:rsidR="008A68DB" w:rsidRPr="000170DA" w:rsidRDefault="008A68DB" w:rsidP="00D72C3C">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77BD21D" w14:textId="1E3DFD97" w:rsidR="008A68DB" w:rsidRPr="000170DA" w:rsidRDefault="00000000" w:rsidP="00D72C3C">
            <w:pPr>
              <w:keepNext/>
              <w:rPr>
                <w:rStyle w:val="Hyperlink"/>
                <w:rFonts w:ascii="Garamond" w:hAnsi="Garamond"/>
                <w:color w:val="auto"/>
                <w:u w:val="none"/>
                <w:lang w:val="en-AU"/>
              </w:rPr>
            </w:pPr>
            <w:hyperlink r:id="rId22" w:history="1">
              <w:r w:rsidR="0033588C" w:rsidRPr="0076773D">
                <w:rPr>
                  <w:rStyle w:val="Hyperlink"/>
                  <w:rFonts w:ascii="Garamond" w:hAnsi="Garamond"/>
                  <w:lang w:val="en-AU"/>
                </w:rPr>
                <w:t>https://doi.org/10.1542/hpeds.2023-007548</w:t>
              </w:r>
            </w:hyperlink>
          </w:p>
        </w:tc>
      </w:tr>
      <w:tr w:rsidR="008A68DB" w:rsidRPr="000170DA" w14:paraId="3387C35B" w14:textId="77777777" w:rsidTr="00D72C3C">
        <w:tc>
          <w:tcPr>
            <w:tcW w:w="1080" w:type="dxa"/>
            <w:tcBorders>
              <w:top w:val="single" w:sz="4" w:space="0" w:color="auto"/>
              <w:left w:val="single" w:sz="4" w:space="0" w:color="auto"/>
              <w:bottom w:val="single" w:sz="4" w:space="0" w:color="auto"/>
              <w:right w:val="single" w:sz="4" w:space="0" w:color="auto"/>
            </w:tcBorders>
            <w:vAlign w:val="center"/>
          </w:tcPr>
          <w:p w14:paraId="13EBD8DD" w14:textId="77777777" w:rsidR="008A68DB" w:rsidRPr="000170DA" w:rsidRDefault="008A68DB" w:rsidP="00D72C3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9EB50CE" w14:textId="4EF0F32A" w:rsidR="0033588C" w:rsidRPr="0032523C" w:rsidRDefault="007B6510" w:rsidP="00D72C3C">
            <w:pPr>
              <w:rPr>
                <w:rFonts w:ascii="Garamond" w:hAnsi="Garamond"/>
                <w:lang w:val="en-AU"/>
              </w:rPr>
            </w:pPr>
            <w:r>
              <w:rPr>
                <w:rFonts w:ascii="Garamond" w:hAnsi="Garamond"/>
                <w:lang w:val="en-AU"/>
              </w:rPr>
              <w:t xml:space="preserve">Paper reporting on a quality improvement project </w:t>
            </w:r>
            <w:r w:rsidR="00F11FE5">
              <w:rPr>
                <w:rFonts w:ascii="Garamond" w:hAnsi="Garamond"/>
                <w:lang w:val="en-AU"/>
              </w:rPr>
              <w:t xml:space="preserve">that sought to reduce the </w:t>
            </w:r>
            <w:r w:rsidR="002367B3">
              <w:rPr>
                <w:rFonts w:ascii="Garamond" w:hAnsi="Garamond"/>
                <w:lang w:val="en-AU"/>
              </w:rPr>
              <w:t xml:space="preserve">rate of </w:t>
            </w:r>
            <w:r w:rsidR="002367B3" w:rsidRPr="002367B3">
              <w:rPr>
                <w:rFonts w:ascii="Garamond" w:hAnsi="Garamond"/>
                <w:lang w:val="en-AU"/>
              </w:rPr>
              <w:t xml:space="preserve">prescribing errors in </w:t>
            </w:r>
            <w:r w:rsidR="002367B3">
              <w:rPr>
                <w:rFonts w:ascii="Garamond" w:hAnsi="Garamond"/>
                <w:lang w:val="en-AU"/>
              </w:rPr>
              <w:t>a</w:t>
            </w:r>
            <w:r w:rsidR="002367B3" w:rsidRPr="002367B3">
              <w:rPr>
                <w:rFonts w:ascii="Garamond" w:hAnsi="Garamond"/>
                <w:lang w:val="en-AU"/>
              </w:rPr>
              <w:t>ntimicrobial stewardship programs (ASP)</w:t>
            </w:r>
            <w:r w:rsidR="002367B3">
              <w:rPr>
                <w:rFonts w:ascii="Garamond" w:hAnsi="Garamond"/>
                <w:lang w:val="en-AU"/>
              </w:rPr>
              <w:t xml:space="preserve"> </w:t>
            </w:r>
            <w:r w:rsidR="002367B3" w:rsidRPr="002367B3">
              <w:rPr>
                <w:rFonts w:ascii="Garamond" w:hAnsi="Garamond"/>
                <w:lang w:val="en-AU"/>
              </w:rPr>
              <w:t>restricted medications by standardizing workflow</w:t>
            </w:r>
            <w:r w:rsidR="00CE408E">
              <w:rPr>
                <w:rFonts w:ascii="Garamond" w:hAnsi="Garamond"/>
                <w:lang w:val="en-AU"/>
              </w:rPr>
              <w:t xml:space="preserve"> in a US </w:t>
            </w:r>
            <w:r w:rsidR="00CE408E" w:rsidRPr="00CE408E">
              <w:rPr>
                <w:rFonts w:ascii="Garamond" w:hAnsi="Garamond"/>
                <w:lang w:val="en-AU"/>
              </w:rPr>
              <w:t>tertiary care children’s hospital</w:t>
            </w:r>
            <w:r w:rsidR="00CE408E">
              <w:rPr>
                <w:rFonts w:ascii="Garamond" w:hAnsi="Garamond"/>
                <w:lang w:val="en-AU"/>
              </w:rPr>
              <w:t>.</w:t>
            </w:r>
            <w:r w:rsidR="00F636D3">
              <w:rPr>
                <w:rFonts w:ascii="Garamond" w:hAnsi="Garamond"/>
                <w:lang w:val="en-AU"/>
              </w:rPr>
              <w:t xml:space="preserve"> The changes to workflow included </w:t>
            </w:r>
            <w:r w:rsidR="00C76B1C">
              <w:rPr>
                <w:rFonts w:ascii="Garamond" w:hAnsi="Garamond"/>
                <w:lang w:val="en-AU"/>
              </w:rPr>
              <w:t>‘</w:t>
            </w:r>
            <w:r w:rsidR="009E44D0" w:rsidRPr="009E44D0">
              <w:rPr>
                <w:rFonts w:ascii="Garamond" w:hAnsi="Garamond"/>
                <w:lang w:val="en-AU"/>
              </w:rPr>
              <w:t xml:space="preserve">standardizing communication and medication review, implementing protocols, and developing electronic health record safety </w:t>
            </w:r>
            <w:proofErr w:type="gramStart"/>
            <w:r w:rsidR="009E44D0" w:rsidRPr="009E44D0">
              <w:rPr>
                <w:rFonts w:ascii="Garamond" w:hAnsi="Garamond"/>
                <w:lang w:val="en-AU"/>
              </w:rPr>
              <w:t>nets</w:t>
            </w:r>
            <w:r w:rsidR="00C76B1C">
              <w:rPr>
                <w:rFonts w:ascii="Garamond" w:hAnsi="Garamond"/>
                <w:lang w:val="en-AU"/>
              </w:rPr>
              <w:t>’</w:t>
            </w:r>
            <w:proofErr w:type="gramEnd"/>
            <w:r w:rsidR="009E44D0">
              <w:rPr>
                <w:rFonts w:ascii="Garamond" w:hAnsi="Garamond"/>
                <w:lang w:val="en-AU"/>
              </w:rPr>
              <w:t xml:space="preserve">. </w:t>
            </w:r>
            <w:r w:rsidR="00C71AC8">
              <w:rPr>
                <w:rFonts w:ascii="Garamond" w:hAnsi="Garamond"/>
                <w:lang w:val="en-AU"/>
              </w:rPr>
              <w:t>From the analysis of the baseline and intervention periods, the authors report ‘</w:t>
            </w:r>
            <w:r w:rsidR="00C71AC8" w:rsidRPr="00C71AC8">
              <w:rPr>
                <w:rFonts w:ascii="Garamond" w:hAnsi="Garamond"/>
                <w:lang w:val="en-AU"/>
              </w:rPr>
              <w:t>The proportion of prescribing errors decreased from 10.9% to 4.6%</w:t>
            </w:r>
            <w:proofErr w:type="gramStart"/>
            <w:r w:rsidR="00C71AC8">
              <w:rPr>
                <w:rFonts w:ascii="Garamond" w:hAnsi="Garamond"/>
                <w:lang w:val="en-AU"/>
              </w:rPr>
              <w:t>’  and</w:t>
            </w:r>
            <w:proofErr w:type="gramEnd"/>
            <w:r w:rsidR="00C71AC8">
              <w:rPr>
                <w:rFonts w:ascii="Garamond" w:hAnsi="Garamond"/>
                <w:lang w:val="en-AU"/>
              </w:rPr>
              <w:t xml:space="preserve"> ‘</w:t>
            </w:r>
            <w:r w:rsidR="00C71AC8" w:rsidRPr="00C71AC8">
              <w:rPr>
                <w:rFonts w:ascii="Garamond" w:hAnsi="Garamond"/>
                <w:lang w:val="en-AU"/>
              </w:rPr>
              <w:t>Mean time between prescribing errors increased from 2.9 days to 8.5 days.</w:t>
            </w:r>
            <w:r w:rsidR="00C71AC8">
              <w:rPr>
                <w:rFonts w:ascii="Garamond" w:hAnsi="Garamond"/>
                <w:lang w:val="en-AU"/>
              </w:rPr>
              <w:t>’</w:t>
            </w:r>
          </w:p>
        </w:tc>
      </w:tr>
    </w:tbl>
    <w:p w14:paraId="7A5E4FB3" w14:textId="77777777" w:rsidR="008A68DB" w:rsidRDefault="008A68DB" w:rsidP="008A68DB">
      <w:pPr>
        <w:keepLines/>
        <w:autoSpaceDE w:val="0"/>
        <w:autoSpaceDN w:val="0"/>
        <w:adjustRightInd w:val="0"/>
        <w:rPr>
          <w:rFonts w:ascii="Garamond" w:hAnsi="Garamond"/>
          <w:lang w:val="en-AU"/>
        </w:rPr>
      </w:pPr>
    </w:p>
    <w:p w14:paraId="3E184C16" w14:textId="391F93E3" w:rsidR="008F1BB4" w:rsidRDefault="008F1BB4" w:rsidP="008A68DB">
      <w:pPr>
        <w:keepLines/>
        <w:autoSpaceDE w:val="0"/>
        <w:autoSpaceDN w:val="0"/>
        <w:adjustRightInd w:val="0"/>
        <w:rPr>
          <w:rFonts w:ascii="Garamond" w:hAnsi="Garamond"/>
          <w:lang w:val="en-AU"/>
        </w:rPr>
      </w:pPr>
      <w:r>
        <w:rPr>
          <w:rFonts w:ascii="Garamond" w:hAnsi="Garamond"/>
          <w:lang w:val="en-AU"/>
        </w:rPr>
        <w:t xml:space="preserve">For information on the Commission’s work on antimicrobial stewardship, see </w:t>
      </w:r>
      <w:hyperlink r:id="rId23" w:history="1">
        <w:r w:rsidR="00A73379" w:rsidRPr="0076773D">
          <w:rPr>
            <w:rStyle w:val="Hyperlink"/>
            <w:rFonts w:ascii="Garamond" w:hAnsi="Garamond"/>
            <w:lang w:val="en-AU"/>
          </w:rPr>
          <w:t>https://www.safetyandquality.gov.au/our-work/antimicrobial-stewardship</w:t>
        </w:r>
      </w:hyperlink>
    </w:p>
    <w:p w14:paraId="23BEF10A" w14:textId="77777777" w:rsidR="00BE393B" w:rsidRDefault="00BE393B" w:rsidP="00BE393B">
      <w:pPr>
        <w:keepLines/>
        <w:autoSpaceDE w:val="0"/>
        <w:autoSpaceDN w:val="0"/>
        <w:adjustRightInd w:val="0"/>
        <w:rPr>
          <w:rFonts w:ascii="Garamond" w:hAnsi="Garamond"/>
          <w:lang w:val="en-AU"/>
        </w:rPr>
      </w:pPr>
      <w:r w:rsidRPr="004E74CB">
        <w:rPr>
          <w:rFonts w:ascii="Garamond" w:hAnsi="Garamond"/>
          <w:i/>
          <w:iCs/>
          <w:lang w:val="en-AU"/>
        </w:rPr>
        <w:lastRenderedPageBreak/>
        <w:t xml:space="preserve">Paediatric medication incident reporting: a multicentre comparison study of medication errors identified at audit, detected by </w:t>
      </w:r>
      <w:proofErr w:type="gramStart"/>
      <w:r w:rsidRPr="004E74CB">
        <w:rPr>
          <w:rFonts w:ascii="Garamond" w:hAnsi="Garamond"/>
          <w:i/>
          <w:iCs/>
          <w:lang w:val="en-AU"/>
        </w:rPr>
        <w:t>staff</w:t>
      </w:r>
      <w:proofErr w:type="gramEnd"/>
      <w:r w:rsidRPr="004E74CB">
        <w:rPr>
          <w:rFonts w:ascii="Garamond" w:hAnsi="Garamond"/>
          <w:i/>
          <w:iCs/>
          <w:lang w:val="en-AU"/>
        </w:rPr>
        <w:t xml:space="preserve"> and reported to an incident system</w:t>
      </w:r>
      <w:r w:rsidRPr="004E74CB">
        <w:rPr>
          <w:rFonts w:ascii="Garamond" w:hAnsi="Garamond"/>
          <w:i/>
          <w:iCs/>
          <w:lang w:val="en-AU"/>
        </w:rPr>
        <w:br/>
      </w:r>
      <w:r w:rsidRPr="004E74CB">
        <w:rPr>
          <w:rFonts w:ascii="Garamond" w:hAnsi="Garamond"/>
          <w:lang w:val="en-AU"/>
        </w:rPr>
        <w:t>Li L, Badgery-Parker T, Merchant A, Fitzpatrick E, Raban MZ, Mumford V, et al</w:t>
      </w:r>
      <w:r>
        <w:rPr>
          <w:rFonts w:ascii="Garamond" w:hAnsi="Garamond"/>
          <w:lang w:val="en-AU"/>
        </w:rPr>
        <w:br/>
      </w:r>
      <w:r w:rsidRPr="004E74CB">
        <w:rPr>
          <w:rFonts w:ascii="Garamond" w:hAnsi="Garamond"/>
          <w:lang w:val="en-AU"/>
        </w:rPr>
        <w:t xml:space="preserve">BMJ Quality &amp; Safety. </w:t>
      </w:r>
      <w:proofErr w:type="gramStart"/>
      <w:r w:rsidRPr="004E74CB">
        <w:rPr>
          <w:rFonts w:ascii="Garamond" w:hAnsi="Garamond"/>
          <w:lang w:val="en-AU"/>
        </w:rPr>
        <w:t>2024:bmjqs</w:t>
      </w:r>
      <w:proofErr w:type="gramEnd"/>
      <w:r w:rsidRPr="004E74CB">
        <w:rPr>
          <w:rFonts w:ascii="Garamond" w:hAnsi="Garamond"/>
          <w:lang w:val="en-AU"/>
        </w:rPr>
        <w:t>-2023-016711.</w:t>
      </w:r>
    </w:p>
    <w:tbl>
      <w:tblPr>
        <w:tblStyle w:val="TableGrid"/>
        <w:tblW w:w="9360" w:type="dxa"/>
        <w:tblInd w:w="288" w:type="dxa"/>
        <w:tblLayout w:type="fixed"/>
        <w:tblLook w:val="01E0" w:firstRow="1" w:lastRow="1" w:firstColumn="1" w:lastColumn="1" w:noHBand="0" w:noVBand="0"/>
      </w:tblPr>
      <w:tblGrid>
        <w:gridCol w:w="1080"/>
        <w:gridCol w:w="8280"/>
      </w:tblGrid>
      <w:tr w:rsidR="00BE393B" w:rsidRPr="000170DA" w14:paraId="682955CF" w14:textId="77777777" w:rsidTr="007C284E">
        <w:tc>
          <w:tcPr>
            <w:tcW w:w="1080" w:type="dxa"/>
            <w:tcBorders>
              <w:top w:val="single" w:sz="4" w:space="0" w:color="auto"/>
              <w:left w:val="single" w:sz="4" w:space="0" w:color="auto"/>
              <w:bottom w:val="single" w:sz="4" w:space="0" w:color="auto"/>
              <w:right w:val="single" w:sz="4" w:space="0" w:color="auto"/>
            </w:tcBorders>
            <w:vAlign w:val="center"/>
          </w:tcPr>
          <w:p w14:paraId="6F31E066" w14:textId="77777777" w:rsidR="00BE393B" w:rsidRPr="000170DA" w:rsidRDefault="00BE393B" w:rsidP="007C284E">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77AAC1A" w14:textId="77777777" w:rsidR="00BE393B" w:rsidRPr="000170DA" w:rsidRDefault="00000000" w:rsidP="007C284E">
            <w:pPr>
              <w:keepNext/>
              <w:rPr>
                <w:rStyle w:val="Hyperlink"/>
                <w:rFonts w:ascii="Garamond" w:hAnsi="Garamond"/>
                <w:color w:val="auto"/>
                <w:u w:val="none"/>
                <w:lang w:val="en-AU"/>
              </w:rPr>
            </w:pPr>
            <w:hyperlink r:id="rId24" w:history="1">
              <w:r w:rsidR="00BE393B" w:rsidRPr="00AF3E25">
                <w:rPr>
                  <w:rStyle w:val="Hyperlink"/>
                  <w:rFonts w:ascii="Garamond" w:hAnsi="Garamond"/>
                  <w:lang w:val="en-AU"/>
                </w:rPr>
                <w:t>https://doi.org/10.1136/bmjqs-2023-016711</w:t>
              </w:r>
            </w:hyperlink>
          </w:p>
        </w:tc>
      </w:tr>
      <w:tr w:rsidR="00BE393B" w:rsidRPr="000170DA" w14:paraId="6DFE53CE" w14:textId="77777777" w:rsidTr="007C284E">
        <w:tc>
          <w:tcPr>
            <w:tcW w:w="1080" w:type="dxa"/>
            <w:tcBorders>
              <w:top w:val="single" w:sz="4" w:space="0" w:color="auto"/>
              <w:left w:val="single" w:sz="4" w:space="0" w:color="auto"/>
              <w:bottom w:val="single" w:sz="4" w:space="0" w:color="auto"/>
              <w:right w:val="single" w:sz="4" w:space="0" w:color="auto"/>
            </w:tcBorders>
            <w:vAlign w:val="center"/>
          </w:tcPr>
          <w:p w14:paraId="14CDC36A" w14:textId="77777777" w:rsidR="00BE393B" w:rsidRPr="000170DA" w:rsidRDefault="00BE393B" w:rsidP="007C284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4CE6B7C" w14:textId="77777777" w:rsidR="00BE393B" w:rsidRPr="0032523C" w:rsidRDefault="00BE393B" w:rsidP="007C284E">
            <w:pPr>
              <w:rPr>
                <w:rFonts w:ascii="Garamond" w:hAnsi="Garamond"/>
                <w:lang w:val="en-AU"/>
              </w:rPr>
            </w:pPr>
            <w:r>
              <w:rPr>
                <w:rFonts w:ascii="Garamond" w:hAnsi="Garamond"/>
                <w:lang w:val="en-AU"/>
              </w:rPr>
              <w:t xml:space="preserve">Paper reporting on a </w:t>
            </w:r>
            <w:r w:rsidRPr="007F349F">
              <w:rPr>
                <w:rFonts w:ascii="Garamond" w:hAnsi="Garamond"/>
                <w:lang w:val="en-AU"/>
              </w:rPr>
              <w:t>comparison study at two tertiary referral paediatric hospitals between 2016 and 2020 in Australia</w:t>
            </w:r>
            <w:r>
              <w:rPr>
                <w:rFonts w:ascii="Garamond" w:hAnsi="Garamond"/>
                <w:lang w:val="en-AU"/>
              </w:rPr>
              <w:t xml:space="preserve"> that sought to ‘</w:t>
            </w:r>
            <w:r w:rsidRPr="0096501E">
              <w:rPr>
                <w:rFonts w:ascii="Garamond" w:hAnsi="Garamond"/>
                <w:lang w:val="en-AU"/>
              </w:rPr>
              <w:t>compare medication errors identified at audit and via direct observation with medication errors reported to an incident reporting system</w:t>
            </w:r>
            <w:r>
              <w:rPr>
                <w:rFonts w:ascii="Garamond" w:hAnsi="Garamond"/>
                <w:lang w:val="en-AU"/>
              </w:rPr>
              <w:t xml:space="preserve"> …</w:t>
            </w:r>
            <w:r w:rsidRPr="0096501E">
              <w:rPr>
                <w:rFonts w:ascii="Garamond" w:hAnsi="Garamond"/>
                <w:lang w:val="en-AU"/>
              </w:rPr>
              <w:t xml:space="preserve"> and to investigate differences in types and severity of errors detected and reported by staff.</w:t>
            </w:r>
            <w:r>
              <w:rPr>
                <w:rFonts w:ascii="Garamond" w:hAnsi="Garamond"/>
                <w:lang w:val="en-AU"/>
              </w:rPr>
              <w:t>’ The authors report finding that ‘</w:t>
            </w:r>
            <w:r w:rsidRPr="0096501E">
              <w:rPr>
                <w:rFonts w:ascii="Garamond" w:hAnsi="Garamond"/>
                <w:lang w:val="en-AU"/>
              </w:rPr>
              <w:t>Of 11 302 clinical prescribing errors identified at audit, 3.2 per 1000 errors (95% CI 2.3 to 4.4, n=36) had an incident report. Of 2224 potentially serious prescribing errors from audit, 26.1% (95% CI 24.3 to 27.9, n=580) were detected by staff and 11.2 per 1000 errors (95% CI 7.6 to 16.5, n=25) were reported to the incident system.</w:t>
            </w:r>
            <w:r>
              <w:rPr>
                <w:rFonts w:ascii="Garamond" w:hAnsi="Garamond"/>
                <w:lang w:val="en-AU"/>
              </w:rPr>
              <w:t>’</w:t>
            </w:r>
            <w:r w:rsidRPr="0096501E">
              <w:rPr>
                <w:rFonts w:ascii="Garamond" w:hAnsi="Garamond"/>
                <w:lang w:val="en-AU"/>
              </w:rPr>
              <w:t xml:space="preserve"> </w:t>
            </w:r>
            <w:r>
              <w:rPr>
                <w:rFonts w:ascii="Garamond" w:hAnsi="Garamond"/>
                <w:lang w:val="en-AU"/>
              </w:rPr>
              <w:t>Further, ‘</w:t>
            </w:r>
            <w:r w:rsidRPr="0096501E">
              <w:rPr>
                <w:rFonts w:ascii="Garamond" w:hAnsi="Garamond"/>
                <w:lang w:val="en-AU"/>
              </w:rPr>
              <w:t>None of the 2883 clinical medication administration errors observed, including 903 potentially serious errors and 144 errors associated with actual patient harm, had incident reports.</w:t>
            </w:r>
            <w:r>
              <w:rPr>
                <w:rFonts w:ascii="Garamond" w:hAnsi="Garamond"/>
                <w:lang w:val="en-AU"/>
              </w:rPr>
              <w:t>’ These led to the conclusion that ‘</w:t>
            </w:r>
            <w:r w:rsidRPr="0096501E">
              <w:rPr>
                <w:rFonts w:ascii="Garamond" w:hAnsi="Garamond"/>
                <w:lang w:val="en-AU"/>
              </w:rPr>
              <w:t>Incident reporting data do not provide an accurate reflection of medication errors and related harm to children in hospitals. Failure to detect medication errors is likely to be a significant contributor to low error reporting rates.</w:t>
            </w:r>
            <w:r>
              <w:rPr>
                <w:rFonts w:ascii="Garamond" w:hAnsi="Garamond"/>
                <w:lang w:val="en-AU"/>
              </w:rPr>
              <w:t>’ The authors suggest that ‘</w:t>
            </w:r>
            <w:r w:rsidRPr="0096501E">
              <w:rPr>
                <w:rFonts w:ascii="Garamond" w:hAnsi="Garamond"/>
                <w:lang w:val="en-AU"/>
              </w:rPr>
              <w:t>In an era of electronic health records, new automated approaches to monitor medication safety should be pursued to provide real-time monitoring.</w:t>
            </w:r>
            <w:r>
              <w:rPr>
                <w:rFonts w:ascii="Garamond" w:hAnsi="Garamond"/>
                <w:lang w:val="en-AU"/>
              </w:rPr>
              <w:t>’</w:t>
            </w:r>
          </w:p>
        </w:tc>
      </w:tr>
    </w:tbl>
    <w:p w14:paraId="50E1E4EB" w14:textId="77777777" w:rsidR="00BE393B" w:rsidRDefault="00BE393B" w:rsidP="00BE393B">
      <w:pPr>
        <w:keepLines/>
        <w:autoSpaceDE w:val="0"/>
        <w:autoSpaceDN w:val="0"/>
        <w:adjustRightInd w:val="0"/>
        <w:rPr>
          <w:rFonts w:ascii="Garamond" w:hAnsi="Garamond"/>
          <w:lang w:val="en-AU"/>
        </w:rPr>
      </w:pPr>
    </w:p>
    <w:p w14:paraId="0517F88C" w14:textId="77777777" w:rsidR="00BE393B" w:rsidRDefault="00BE393B" w:rsidP="00BE393B">
      <w:pPr>
        <w:keepLines/>
        <w:autoSpaceDE w:val="0"/>
        <w:autoSpaceDN w:val="0"/>
        <w:adjustRightInd w:val="0"/>
        <w:rPr>
          <w:rFonts w:ascii="Garamond" w:hAnsi="Garamond"/>
          <w:lang w:val="en-AU"/>
        </w:rPr>
      </w:pPr>
      <w:r>
        <w:rPr>
          <w:rFonts w:ascii="Garamond" w:hAnsi="Garamond"/>
          <w:lang w:val="en-AU"/>
        </w:rPr>
        <w:t xml:space="preserve">For information on the Commission’s work on medication safety, see </w:t>
      </w:r>
      <w:hyperlink r:id="rId25" w:history="1">
        <w:r w:rsidRPr="007E0679">
          <w:rPr>
            <w:rStyle w:val="Hyperlink"/>
            <w:rFonts w:ascii="Garamond" w:hAnsi="Garamond"/>
            <w:lang w:val="en-AU"/>
          </w:rPr>
          <w:t>https://www.safetyandquality.gov.au/our-work/medication-safety</w:t>
        </w:r>
      </w:hyperlink>
    </w:p>
    <w:p w14:paraId="03A6B8ED" w14:textId="77777777" w:rsidR="00BE393B" w:rsidRDefault="00BE393B" w:rsidP="00BE393B">
      <w:pPr>
        <w:keepLines/>
        <w:autoSpaceDE w:val="0"/>
        <w:autoSpaceDN w:val="0"/>
        <w:adjustRightInd w:val="0"/>
        <w:rPr>
          <w:rFonts w:ascii="Garamond" w:hAnsi="Garamond"/>
          <w:lang w:val="en-AU"/>
        </w:rPr>
      </w:pPr>
    </w:p>
    <w:p w14:paraId="185EB5C9" w14:textId="77777777" w:rsidR="00A77C97" w:rsidRPr="004C3A98" w:rsidRDefault="00A77C97" w:rsidP="00A77C97">
      <w:pPr>
        <w:keepNext/>
        <w:keepLines/>
        <w:autoSpaceDE w:val="0"/>
        <w:autoSpaceDN w:val="0"/>
        <w:adjustRightInd w:val="0"/>
        <w:rPr>
          <w:rFonts w:ascii="Garamond" w:hAnsi="Garamond"/>
          <w:i/>
          <w:iCs/>
          <w:lang w:val="en-AU"/>
        </w:rPr>
      </w:pPr>
      <w:r w:rsidRPr="004C3A98">
        <w:rPr>
          <w:rFonts w:ascii="Garamond" w:hAnsi="Garamond"/>
          <w:i/>
          <w:iCs/>
          <w:lang w:val="en-AU"/>
        </w:rPr>
        <w:t xml:space="preserve">Managing workplace violence against health care workers: education alone is not </w:t>
      </w:r>
      <w:proofErr w:type="gramStart"/>
      <w:r w:rsidRPr="004C3A98">
        <w:rPr>
          <w:rFonts w:ascii="Garamond" w:hAnsi="Garamond"/>
          <w:i/>
          <w:iCs/>
          <w:lang w:val="en-AU"/>
        </w:rPr>
        <w:t>enough</w:t>
      </w:r>
      <w:proofErr w:type="gramEnd"/>
    </w:p>
    <w:p w14:paraId="047099CB" w14:textId="77777777" w:rsidR="00A77C97" w:rsidRDefault="00A77C97" w:rsidP="00A77C97">
      <w:pPr>
        <w:keepLines/>
        <w:autoSpaceDE w:val="0"/>
        <w:autoSpaceDN w:val="0"/>
        <w:adjustRightInd w:val="0"/>
        <w:rPr>
          <w:rFonts w:ascii="Garamond" w:hAnsi="Garamond"/>
          <w:lang w:val="en-AU"/>
        </w:rPr>
      </w:pPr>
      <w:r w:rsidRPr="004C3A98">
        <w:rPr>
          <w:rFonts w:ascii="Garamond" w:hAnsi="Garamond"/>
          <w:lang w:val="en-AU"/>
        </w:rPr>
        <w:t>Kynoch K, Liu X-L, Cabilan CJ, Ramis M-A</w:t>
      </w:r>
    </w:p>
    <w:p w14:paraId="6EC8B5F1" w14:textId="77777777" w:rsidR="00A77C97" w:rsidRDefault="00A77C97" w:rsidP="00A77C97">
      <w:pPr>
        <w:keepLines/>
        <w:autoSpaceDE w:val="0"/>
        <w:autoSpaceDN w:val="0"/>
        <w:adjustRightInd w:val="0"/>
        <w:rPr>
          <w:rFonts w:ascii="Garamond" w:hAnsi="Garamond"/>
          <w:lang w:val="en-AU"/>
        </w:rPr>
      </w:pPr>
      <w:r w:rsidRPr="004C3A98">
        <w:rPr>
          <w:rFonts w:ascii="Garamond" w:hAnsi="Garamond"/>
          <w:lang w:val="en-AU"/>
        </w:rPr>
        <w:t>JBI Evidence Synthesis. 2024;22(4).</w:t>
      </w:r>
    </w:p>
    <w:tbl>
      <w:tblPr>
        <w:tblStyle w:val="TableGrid"/>
        <w:tblW w:w="9360" w:type="dxa"/>
        <w:tblInd w:w="288" w:type="dxa"/>
        <w:tblLayout w:type="fixed"/>
        <w:tblLook w:val="01E0" w:firstRow="1" w:lastRow="1" w:firstColumn="1" w:lastColumn="1" w:noHBand="0" w:noVBand="0"/>
      </w:tblPr>
      <w:tblGrid>
        <w:gridCol w:w="1080"/>
        <w:gridCol w:w="8280"/>
      </w:tblGrid>
      <w:tr w:rsidR="00A77C97" w:rsidRPr="000170DA" w14:paraId="4FBE5D3F" w14:textId="77777777" w:rsidTr="00E727CA">
        <w:tc>
          <w:tcPr>
            <w:tcW w:w="1080" w:type="dxa"/>
            <w:tcBorders>
              <w:top w:val="single" w:sz="4" w:space="0" w:color="auto"/>
              <w:left w:val="single" w:sz="4" w:space="0" w:color="auto"/>
              <w:bottom w:val="single" w:sz="4" w:space="0" w:color="auto"/>
              <w:right w:val="single" w:sz="4" w:space="0" w:color="auto"/>
            </w:tcBorders>
            <w:vAlign w:val="center"/>
          </w:tcPr>
          <w:p w14:paraId="24F8DD68" w14:textId="77777777" w:rsidR="00A77C97" w:rsidRPr="000170DA" w:rsidRDefault="00A77C97" w:rsidP="00E727CA">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A52A62F" w14:textId="77777777" w:rsidR="00A77C97" w:rsidRPr="000170DA" w:rsidRDefault="00000000" w:rsidP="00E727CA">
            <w:pPr>
              <w:keepNext/>
              <w:rPr>
                <w:rStyle w:val="Hyperlink"/>
                <w:rFonts w:ascii="Garamond" w:hAnsi="Garamond"/>
                <w:color w:val="auto"/>
                <w:u w:val="none"/>
                <w:lang w:val="en-AU"/>
              </w:rPr>
            </w:pPr>
            <w:hyperlink r:id="rId26" w:history="1">
              <w:r w:rsidR="00A77C97" w:rsidRPr="0076773D">
                <w:rPr>
                  <w:rStyle w:val="Hyperlink"/>
                  <w:rFonts w:ascii="Garamond" w:hAnsi="Garamond"/>
                  <w:lang w:val="en-AU"/>
                </w:rPr>
                <w:t>https://doi.org/10.11124/JBIES-24-00104</w:t>
              </w:r>
            </w:hyperlink>
          </w:p>
        </w:tc>
      </w:tr>
      <w:tr w:rsidR="00A77C97" w:rsidRPr="000170DA" w14:paraId="32F60CBC" w14:textId="77777777" w:rsidTr="00E727CA">
        <w:tc>
          <w:tcPr>
            <w:tcW w:w="1080" w:type="dxa"/>
            <w:tcBorders>
              <w:top w:val="single" w:sz="4" w:space="0" w:color="auto"/>
              <w:left w:val="single" w:sz="4" w:space="0" w:color="auto"/>
              <w:bottom w:val="single" w:sz="4" w:space="0" w:color="auto"/>
              <w:right w:val="single" w:sz="4" w:space="0" w:color="auto"/>
            </w:tcBorders>
            <w:vAlign w:val="center"/>
          </w:tcPr>
          <w:p w14:paraId="550C239C" w14:textId="77777777" w:rsidR="00A77C97" w:rsidRPr="000170DA" w:rsidRDefault="00A77C97" w:rsidP="00E727C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DBEFCD3" w14:textId="647938C4" w:rsidR="00A77C97" w:rsidRPr="0032523C" w:rsidRDefault="00A77C97" w:rsidP="00E727CA">
            <w:pPr>
              <w:rPr>
                <w:rFonts w:ascii="Garamond" w:hAnsi="Garamond"/>
                <w:lang w:val="en-AU"/>
              </w:rPr>
            </w:pPr>
            <w:r>
              <w:rPr>
                <w:rFonts w:ascii="Garamond" w:hAnsi="Garamond"/>
                <w:lang w:val="en-AU"/>
              </w:rPr>
              <w:t>Editorial reporting on and summarising a systematic review in the same journal issue (</w:t>
            </w:r>
            <w:hyperlink r:id="rId27" w:history="1">
              <w:r w:rsidRPr="0076773D">
                <w:rPr>
                  <w:rStyle w:val="Hyperlink"/>
                  <w:rFonts w:ascii="Garamond" w:hAnsi="Garamond"/>
                  <w:lang w:val="en-AU"/>
                </w:rPr>
                <w:t>https://doi.org/10.11124/JBIES-22-00409</w:t>
              </w:r>
            </w:hyperlink>
            <w:r>
              <w:rPr>
                <w:rFonts w:ascii="Garamond" w:hAnsi="Garamond"/>
                <w:lang w:val="en-AU"/>
              </w:rPr>
              <w:t>) that examined the ‘</w:t>
            </w:r>
            <w:r w:rsidRPr="000E39C8">
              <w:rPr>
                <w:rFonts w:ascii="Garamond" w:hAnsi="Garamond"/>
                <w:lang w:val="en-AU"/>
              </w:rPr>
              <w:t>evidence on the impact of educational programs and interventions for health care staff to prevent and manage aggressive behaviors in acute hospitals.</w:t>
            </w:r>
            <w:r>
              <w:rPr>
                <w:rFonts w:ascii="Garamond" w:hAnsi="Garamond"/>
                <w:lang w:val="en-AU"/>
              </w:rPr>
              <w:t>’ While ‘</w:t>
            </w:r>
            <w:r w:rsidRPr="0046038E">
              <w:rPr>
                <w:rFonts w:ascii="Garamond" w:hAnsi="Garamond"/>
                <w:lang w:val="en-AU"/>
              </w:rPr>
              <w:t>Education programs aim to prepare health care workers to recognize and respond appropriately to potentially violent situation</w:t>
            </w:r>
            <w:r>
              <w:rPr>
                <w:rFonts w:ascii="Garamond" w:hAnsi="Garamond"/>
                <w:lang w:val="en-AU"/>
              </w:rPr>
              <w:t>’, the review found ‘</w:t>
            </w:r>
            <w:r w:rsidRPr="0046038E">
              <w:rPr>
                <w:rFonts w:ascii="Garamond" w:hAnsi="Garamond"/>
                <w:lang w:val="en-AU"/>
              </w:rPr>
              <w:t>certainty regarding the most effective education intervention to prevent and manage aggressive behaviors is unclear.</w:t>
            </w:r>
            <w:r>
              <w:rPr>
                <w:rFonts w:ascii="Garamond" w:hAnsi="Garamond"/>
                <w:lang w:val="en-AU"/>
              </w:rPr>
              <w:t>’ In the editorial the authors observe the review ‘</w:t>
            </w:r>
            <w:r w:rsidRPr="001B5452">
              <w:rPr>
                <w:rFonts w:ascii="Garamond" w:hAnsi="Garamond"/>
                <w:lang w:val="en-AU"/>
              </w:rPr>
              <w:t xml:space="preserve">highlights that education programs require careful consideration, and that a combination of approaches </w:t>
            </w:r>
            <w:proofErr w:type="gramStart"/>
            <w:r w:rsidRPr="001B5452">
              <w:rPr>
                <w:rFonts w:ascii="Garamond" w:hAnsi="Garamond"/>
                <w:lang w:val="en-AU"/>
              </w:rPr>
              <w:t>are</w:t>
            </w:r>
            <w:proofErr w:type="gramEnd"/>
            <w:r w:rsidRPr="001B5452">
              <w:rPr>
                <w:rFonts w:ascii="Garamond" w:hAnsi="Garamond"/>
                <w:lang w:val="en-AU"/>
              </w:rPr>
              <w:t xml:space="preserve"> needed to equip health care workers with the knowledge, skills, and confidence to manage aggressive situations</w:t>
            </w:r>
            <w:r>
              <w:rPr>
                <w:rFonts w:ascii="Garamond" w:hAnsi="Garamond"/>
                <w:lang w:val="en-AU"/>
              </w:rPr>
              <w:t>’. It</w:t>
            </w:r>
            <w:r w:rsidR="00C46A7E">
              <w:rPr>
                <w:rFonts w:ascii="Garamond" w:hAnsi="Garamond"/>
                <w:lang w:val="en-AU"/>
              </w:rPr>
              <w:t xml:space="preserve"> i</w:t>
            </w:r>
            <w:r>
              <w:rPr>
                <w:rFonts w:ascii="Garamond" w:hAnsi="Garamond"/>
                <w:lang w:val="en-AU"/>
              </w:rPr>
              <w:t>s also suggested that ‘</w:t>
            </w:r>
            <w:r w:rsidRPr="004F4E27">
              <w:rPr>
                <w:rFonts w:ascii="Garamond" w:hAnsi="Garamond"/>
                <w:lang w:val="en-AU"/>
              </w:rPr>
              <w:t>health care policies, procedures, and processes for preventing and managing workplace violence are essential at local levels also, and should be informed by robust evidence, supporting the need for additional resources and funding for further multidisciplinary research.</w:t>
            </w:r>
            <w:r>
              <w:rPr>
                <w:rFonts w:ascii="Garamond" w:hAnsi="Garamond"/>
                <w:lang w:val="en-AU"/>
              </w:rPr>
              <w:t>’</w:t>
            </w:r>
          </w:p>
        </w:tc>
      </w:tr>
    </w:tbl>
    <w:p w14:paraId="24535939" w14:textId="77777777" w:rsidR="00A77C97" w:rsidRDefault="00A77C97" w:rsidP="00A77C97">
      <w:pPr>
        <w:keepLines/>
        <w:autoSpaceDE w:val="0"/>
        <w:autoSpaceDN w:val="0"/>
        <w:adjustRightInd w:val="0"/>
        <w:rPr>
          <w:rFonts w:ascii="Garamond" w:hAnsi="Garamond"/>
          <w:lang w:val="en-AU"/>
        </w:rPr>
      </w:pPr>
    </w:p>
    <w:p w14:paraId="0F22385E" w14:textId="77777777" w:rsidR="00A77C97" w:rsidRDefault="00A77C97">
      <w:pPr>
        <w:rPr>
          <w:rFonts w:ascii="Garamond" w:hAnsi="Garamond"/>
          <w:i/>
          <w:iCs/>
        </w:rPr>
      </w:pPr>
      <w:r>
        <w:rPr>
          <w:rFonts w:ascii="Garamond" w:hAnsi="Garamond"/>
          <w:i/>
          <w:iCs/>
        </w:rPr>
        <w:br w:type="page"/>
      </w:r>
    </w:p>
    <w:p w14:paraId="382D7A7E" w14:textId="2C9299C7" w:rsidR="00A77C97" w:rsidRPr="00A77C97" w:rsidRDefault="00A77C97" w:rsidP="00A77C97">
      <w:pPr>
        <w:keepLines/>
        <w:autoSpaceDE w:val="0"/>
        <w:autoSpaceDN w:val="0"/>
        <w:adjustRightInd w:val="0"/>
        <w:rPr>
          <w:rFonts w:ascii="Garamond" w:hAnsi="Garamond"/>
          <w:lang w:val="en-AU"/>
        </w:rPr>
      </w:pPr>
      <w:r w:rsidRPr="00A77C97">
        <w:rPr>
          <w:rFonts w:ascii="Garamond" w:hAnsi="Garamond"/>
          <w:i/>
          <w:iCs/>
        </w:rPr>
        <w:lastRenderedPageBreak/>
        <w:t>Co-worker unprofessional behaviour and patient safety risks: An analysis of co-worker reports across eight Australian hospitals</w:t>
      </w:r>
      <w:r w:rsidRPr="00A77C97">
        <w:rPr>
          <w:rFonts w:ascii="Garamond" w:hAnsi="Garamond"/>
          <w:i/>
          <w:iCs/>
        </w:rPr>
        <w:br/>
      </w:r>
      <w:r w:rsidRPr="00A77C97">
        <w:rPr>
          <w:rFonts w:ascii="Garamond" w:hAnsi="Garamond"/>
        </w:rPr>
        <w:t>McMullan RD, Churruca K, Hibbert P, Li L, Ash R, Urwin R, et al</w:t>
      </w:r>
      <w:r w:rsidRPr="00A77C97">
        <w:rPr>
          <w:rFonts w:ascii="Garamond" w:hAnsi="Garamond"/>
        </w:rPr>
        <w:br/>
        <w:t xml:space="preserve">International Journal for Quality in Health Care. </w:t>
      </w:r>
      <w:proofErr w:type="gramStart"/>
      <w:r w:rsidRPr="00A77C97">
        <w:rPr>
          <w:rFonts w:ascii="Garamond" w:hAnsi="Garamond"/>
        </w:rPr>
        <w:t>2024:mzae</w:t>
      </w:r>
      <w:proofErr w:type="gramEnd"/>
      <w:r w:rsidRPr="00A77C97">
        <w:rPr>
          <w:rFonts w:ascii="Garamond" w:hAnsi="Garamond"/>
        </w:rPr>
        <w:t>030.</w:t>
      </w:r>
    </w:p>
    <w:tbl>
      <w:tblPr>
        <w:tblStyle w:val="TableGrid"/>
        <w:tblW w:w="9360" w:type="dxa"/>
        <w:tblInd w:w="288" w:type="dxa"/>
        <w:tblLayout w:type="fixed"/>
        <w:tblLook w:val="01E0" w:firstRow="1" w:lastRow="1" w:firstColumn="1" w:lastColumn="1" w:noHBand="0" w:noVBand="0"/>
      </w:tblPr>
      <w:tblGrid>
        <w:gridCol w:w="1080"/>
        <w:gridCol w:w="8280"/>
      </w:tblGrid>
      <w:tr w:rsidR="00A77C97" w:rsidRPr="00A77C97" w14:paraId="377A2192" w14:textId="77777777" w:rsidTr="00E727CA">
        <w:tc>
          <w:tcPr>
            <w:tcW w:w="1080" w:type="dxa"/>
            <w:tcBorders>
              <w:top w:val="single" w:sz="4" w:space="0" w:color="auto"/>
              <w:left w:val="single" w:sz="4" w:space="0" w:color="auto"/>
              <w:bottom w:val="single" w:sz="4" w:space="0" w:color="auto"/>
              <w:right w:val="single" w:sz="4" w:space="0" w:color="auto"/>
            </w:tcBorders>
            <w:vAlign w:val="center"/>
          </w:tcPr>
          <w:p w14:paraId="43C0F556" w14:textId="77777777" w:rsidR="00A77C97" w:rsidRPr="00A77C97" w:rsidRDefault="00A77C97" w:rsidP="00E727CA">
            <w:pPr>
              <w:keepNext/>
              <w:rPr>
                <w:rStyle w:val="Hyperlink"/>
                <w:rFonts w:ascii="Garamond" w:hAnsi="Garamond"/>
                <w:lang w:val="en-AU"/>
              </w:rPr>
            </w:pPr>
            <w:r w:rsidRPr="00A77C97">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C90BB9B" w14:textId="77777777" w:rsidR="00A77C97" w:rsidRPr="00A77C97" w:rsidRDefault="00000000" w:rsidP="00E727CA">
            <w:pPr>
              <w:keepNext/>
              <w:rPr>
                <w:rStyle w:val="Hyperlink"/>
                <w:rFonts w:ascii="Garamond" w:hAnsi="Garamond"/>
                <w:color w:val="auto"/>
                <w:u w:val="none"/>
                <w:lang w:val="en-AU"/>
              </w:rPr>
            </w:pPr>
            <w:hyperlink r:id="rId28" w:history="1">
              <w:r w:rsidR="00A77C97" w:rsidRPr="00A77C97">
                <w:rPr>
                  <w:rStyle w:val="Hyperlink"/>
                  <w:rFonts w:ascii="Garamond" w:hAnsi="Garamond"/>
                </w:rPr>
                <w:t>https://doi.org/10.1093/intqhc/mzae030</w:t>
              </w:r>
            </w:hyperlink>
          </w:p>
        </w:tc>
      </w:tr>
      <w:tr w:rsidR="00A77C97" w:rsidRPr="00A77C97" w14:paraId="095BA6F4" w14:textId="77777777" w:rsidTr="00E727CA">
        <w:tc>
          <w:tcPr>
            <w:tcW w:w="1080" w:type="dxa"/>
            <w:tcBorders>
              <w:top w:val="single" w:sz="4" w:space="0" w:color="auto"/>
              <w:left w:val="single" w:sz="4" w:space="0" w:color="auto"/>
              <w:bottom w:val="single" w:sz="4" w:space="0" w:color="auto"/>
              <w:right w:val="single" w:sz="4" w:space="0" w:color="auto"/>
            </w:tcBorders>
            <w:vAlign w:val="center"/>
          </w:tcPr>
          <w:p w14:paraId="6366A5F8" w14:textId="77777777" w:rsidR="00A77C97" w:rsidRPr="00A77C97" w:rsidRDefault="00A77C97" w:rsidP="00E727CA">
            <w:pPr>
              <w:rPr>
                <w:rFonts w:ascii="Garamond" w:hAnsi="Garamond"/>
                <w:lang w:val="en-AU" w:eastAsia="en-AU"/>
              </w:rPr>
            </w:pPr>
            <w:r w:rsidRPr="00A77C9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3FA0351" w14:textId="7EC9C930" w:rsidR="00A77C97" w:rsidRPr="00A77C97" w:rsidRDefault="00A77C97" w:rsidP="00E727CA">
            <w:pPr>
              <w:rPr>
                <w:rFonts w:ascii="Garamond" w:hAnsi="Garamond"/>
                <w:lang w:val="en-AU"/>
              </w:rPr>
            </w:pPr>
            <w:r w:rsidRPr="00A77C97">
              <w:rPr>
                <w:rFonts w:ascii="Garamond" w:hAnsi="Garamond"/>
                <w:lang w:val="en-AU"/>
              </w:rPr>
              <w:t xml:space="preserve">This study used healthcare worker reports from ‘a whole-of-hospital professional accountability programme that includes an online messaging system’ </w:t>
            </w:r>
            <w:r w:rsidR="00C46A7E">
              <w:rPr>
                <w:rFonts w:ascii="Garamond" w:hAnsi="Garamond"/>
                <w:lang w:val="en-AU"/>
              </w:rPr>
              <w:t>at</w:t>
            </w:r>
            <w:r w:rsidRPr="00A77C97">
              <w:rPr>
                <w:rFonts w:ascii="Garamond" w:hAnsi="Garamond"/>
                <w:lang w:val="en-AU"/>
              </w:rPr>
              <w:t xml:space="preserve"> eight Australian hospitals. The authors report that ‘Of 1310 submissions about unprofessional behaviour, 395 (30.2%) indicated that there was a risk to patient safety.’ Among the results noted were:</w:t>
            </w:r>
          </w:p>
          <w:p w14:paraId="595E2DAA" w14:textId="77777777" w:rsidR="00A77C97" w:rsidRPr="00A77C97" w:rsidRDefault="00A77C97" w:rsidP="00E727CA">
            <w:pPr>
              <w:pStyle w:val="ListParagraph"/>
              <w:numPr>
                <w:ilvl w:val="0"/>
                <w:numId w:val="44"/>
              </w:numPr>
              <w:rPr>
                <w:rFonts w:ascii="Garamond" w:hAnsi="Garamond"/>
                <w:lang w:val="en-AU"/>
              </w:rPr>
            </w:pPr>
            <w:r w:rsidRPr="00A77C97">
              <w:rPr>
                <w:rFonts w:ascii="Garamond" w:hAnsi="Garamond"/>
                <w:lang w:val="en-AU"/>
              </w:rPr>
              <w:t xml:space="preserve">Nurses made the highest number of submissions that included a patient safety </w:t>
            </w:r>
            <w:proofErr w:type="gramStart"/>
            <w:r w:rsidRPr="00A77C97">
              <w:rPr>
                <w:rFonts w:ascii="Garamond" w:hAnsi="Garamond"/>
                <w:lang w:val="en-AU"/>
              </w:rPr>
              <w:t>risk</w:t>
            </w:r>
            <w:proofErr w:type="gramEnd"/>
            <w:r w:rsidRPr="00A77C97">
              <w:rPr>
                <w:rFonts w:ascii="Garamond" w:hAnsi="Garamond"/>
                <w:lang w:val="en-AU"/>
              </w:rPr>
              <w:t xml:space="preserve"> </w:t>
            </w:r>
          </w:p>
          <w:p w14:paraId="0D0ABAB0" w14:textId="77777777" w:rsidR="00A77C97" w:rsidRPr="00A77C97" w:rsidRDefault="00A77C97" w:rsidP="00E727CA">
            <w:pPr>
              <w:pStyle w:val="ListParagraph"/>
              <w:numPr>
                <w:ilvl w:val="0"/>
                <w:numId w:val="44"/>
              </w:numPr>
              <w:rPr>
                <w:rFonts w:ascii="Garamond" w:hAnsi="Garamond"/>
                <w:lang w:val="en-AU"/>
              </w:rPr>
            </w:pPr>
            <w:r w:rsidRPr="00A77C97">
              <w:rPr>
                <w:rFonts w:ascii="Garamond" w:hAnsi="Garamond"/>
                <w:lang w:val="en-AU"/>
              </w:rPr>
              <w:t xml:space="preserve">Medical professionals had the highest rate as subjects of submissions for unprofessional </w:t>
            </w:r>
            <w:proofErr w:type="gramStart"/>
            <w:r w:rsidRPr="00A77C97">
              <w:rPr>
                <w:rFonts w:ascii="Garamond" w:hAnsi="Garamond"/>
                <w:lang w:val="en-AU"/>
              </w:rPr>
              <w:t>behaviour</w:t>
            </w:r>
            <w:proofErr w:type="gramEnd"/>
            <w:r w:rsidRPr="00A77C97">
              <w:rPr>
                <w:rFonts w:ascii="Garamond" w:hAnsi="Garamond"/>
                <w:lang w:val="en-AU"/>
              </w:rPr>
              <w:t xml:space="preserve"> </w:t>
            </w:r>
          </w:p>
          <w:p w14:paraId="6FA8A2F0" w14:textId="77777777" w:rsidR="00A77C97" w:rsidRPr="00A77C97" w:rsidRDefault="00A77C97" w:rsidP="00E727CA">
            <w:pPr>
              <w:pStyle w:val="ListParagraph"/>
              <w:numPr>
                <w:ilvl w:val="0"/>
                <w:numId w:val="44"/>
              </w:numPr>
              <w:rPr>
                <w:rFonts w:ascii="Garamond" w:hAnsi="Garamond"/>
                <w:lang w:val="en-AU"/>
              </w:rPr>
            </w:pPr>
            <w:r w:rsidRPr="00A77C97">
              <w:rPr>
                <w:rFonts w:ascii="Garamond" w:hAnsi="Garamond"/>
                <w:lang w:val="en-AU"/>
              </w:rPr>
              <w:t xml:space="preserve">‘Opinions being ignored’ and </w:t>
            </w:r>
            <w:r w:rsidRPr="00A77C97">
              <w:rPr>
                <w:rFonts w:ascii="Garamond" w:hAnsi="Garamond" w:cs="Garamond"/>
                <w:lang w:val="en-AU"/>
              </w:rPr>
              <w:t>‘</w:t>
            </w:r>
            <w:r w:rsidRPr="00A77C97">
              <w:rPr>
                <w:rFonts w:ascii="Garamond" w:hAnsi="Garamond"/>
                <w:lang w:val="en-AU"/>
              </w:rPr>
              <w:t xml:space="preserve">someone withholding information which affects work performance’ were behaviours strongly associated with patient safety risk in the </w:t>
            </w:r>
            <w:proofErr w:type="gramStart"/>
            <w:r w:rsidRPr="00A77C97">
              <w:rPr>
                <w:rFonts w:ascii="Garamond" w:hAnsi="Garamond"/>
                <w:lang w:val="en-AU"/>
              </w:rPr>
              <w:t>submissions</w:t>
            </w:r>
            <w:proofErr w:type="gramEnd"/>
          </w:p>
          <w:p w14:paraId="337FC973" w14:textId="77777777" w:rsidR="00A77C97" w:rsidRPr="00A77C97" w:rsidRDefault="00A77C97" w:rsidP="00E727CA">
            <w:pPr>
              <w:pStyle w:val="ListParagraph"/>
              <w:numPr>
                <w:ilvl w:val="0"/>
                <w:numId w:val="44"/>
              </w:numPr>
              <w:rPr>
                <w:rFonts w:ascii="Garamond" w:hAnsi="Garamond"/>
                <w:lang w:val="en-AU"/>
              </w:rPr>
            </w:pPr>
            <w:r w:rsidRPr="00A77C97">
              <w:rPr>
                <w:rFonts w:ascii="Garamond" w:hAnsi="Garamond"/>
                <w:lang w:val="en-AU"/>
              </w:rPr>
              <w:t>The two main types of risks to patient safety described were related to clinical process/procedure and clinical administration.</w:t>
            </w:r>
          </w:p>
          <w:p w14:paraId="486008C9" w14:textId="77777777" w:rsidR="00A77C97" w:rsidRPr="00A77C97" w:rsidRDefault="00A77C97" w:rsidP="00E727CA">
            <w:pPr>
              <w:pStyle w:val="ListParagraph"/>
              <w:numPr>
                <w:ilvl w:val="0"/>
                <w:numId w:val="44"/>
              </w:numPr>
              <w:rPr>
                <w:rFonts w:ascii="Garamond" w:hAnsi="Garamond"/>
                <w:lang w:val="en-AU"/>
              </w:rPr>
            </w:pPr>
            <w:r w:rsidRPr="00A77C97">
              <w:rPr>
                <w:rFonts w:ascii="Garamond" w:hAnsi="Garamond"/>
                <w:lang w:val="en-AU"/>
              </w:rPr>
              <w:t>Commonly reported events included staff not following policy or protocol; doctors refusing to review a patient; and interruptions and inadequate information during handover.</w:t>
            </w:r>
          </w:p>
          <w:p w14:paraId="273DCFDA" w14:textId="070F58A9" w:rsidR="00A77C97" w:rsidRPr="00A77C97" w:rsidRDefault="00A77C97" w:rsidP="00E727CA">
            <w:pPr>
              <w:rPr>
                <w:rFonts w:ascii="Garamond" w:hAnsi="Garamond"/>
                <w:lang w:val="en-AU"/>
              </w:rPr>
            </w:pPr>
            <w:r w:rsidRPr="00A77C97">
              <w:rPr>
                <w:rFonts w:ascii="Garamond" w:hAnsi="Garamond"/>
                <w:lang w:val="en-AU"/>
              </w:rPr>
              <w:t>The authors suggest that ‘Co-worker reports about unprofessional behaviour have significant value as they can be used by organizations to better understand how unprofessional behaviour can disrupt work practices and lead to risks to patient safety.’</w:t>
            </w:r>
          </w:p>
        </w:tc>
      </w:tr>
    </w:tbl>
    <w:p w14:paraId="1C20A06E" w14:textId="77777777" w:rsidR="00A77C97" w:rsidRPr="00A77C97" w:rsidRDefault="00A77C97" w:rsidP="00A77C97">
      <w:pPr>
        <w:keepLines/>
        <w:autoSpaceDE w:val="0"/>
        <w:autoSpaceDN w:val="0"/>
        <w:adjustRightInd w:val="0"/>
        <w:rPr>
          <w:rFonts w:ascii="Garamond" w:hAnsi="Garamond"/>
          <w:lang w:val="en-AU"/>
        </w:rPr>
      </w:pPr>
    </w:p>
    <w:p w14:paraId="771AA7B5" w14:textId="77777777" w:rsidR="00E03BF4" w:rsidRPr="00A77C97" w:rsidRDefault="00E03BF4" w:rsidP="00E33C29">
      <w:pPr>
        <w:keepNext/>
        <w:keepLines/>
        <w:autoSpaceDE w:val="0"/>
        <w:autoSpaceDN w:val="0"/>
        <w:adjustRightInd w:val="0"/>
        <w:rPr>
          <w:rFonts w:ascii="Garamond" w:hAnsi="Garamond"/>
          <w:i/>
          <w:iCs/>
          <w:lang w:val="en-AU"/>
        </w:rPr>
      </w:pPr>
      <w:r w:rsidRPr="00A77C97">
        <w:rPr>
          <w:rFonts w:ascii="Garamond" w:hAnsi="Garamond"/>
          <w:i/>
          <w:iCs/>
          <w:lang w:val="en-AU"/>
        </w:rPr>
        <w:t xml:space="preserve">Locum doctor working and quality and safety: a qualitative study in English primary and secondary </w:t>
      </w:r>
      <w:proofErr w:type="gramStart"/>
      <w:r w:rsidRPr="00A77C97">
        <w:rPr>
          <w:rFonts w:ascii="Garamond" w:hAnsi="Garamond"/>
          <w:i/>
          <w:iCs/>
          <w:lang w:val="en-AU"/>
        </w:rPr>
        <w:t>care</w:t>
      </w:r>
      <w:proofErr w:type="gramEnd"/>
    </w:p>
    <w:p w14:paraId="137C6F06" w14:textId="77777777" w:rsidR="00E03BF4" w:rsidRPr="00A77C97" w:rsidRDefault="00E03BF4" w:rsidP="00E33C29">
      <w:pPr>
        <w:keepNext/>
        <w:keepLines/>
        <w:autoSpaceDE w:val="0"/>
        <w:autoSpaceDN w:val="0"/>
        <w:adjustRightInd w:val="0"/>
        <w:rPr>
          <w:rFonts w:ascii="Garamond" w:hAnsi="Garamond"/>
          <w:lang w:val="en-AU"/>
        </w:rPr>
      </w:pPr>
      <w:r w:rsidRPr="00A77C97">
        <w:rPr>
          <w:rFonts w:ascii="Garamond" w:hAnsi="Garamond"/>
          <w:lang w:val="en-AU"/>
        </w:rPr>
        <w:t>Ferguson J, Stringer G, Walshe K, Allen T, Grigoroglou C, Ashcroft DM, et al</w:t>
      </w:r>
    </w:p>
    <w:p w14:paraId="5EEB5EA3" w14:textId="6BDA90E7" w:rsidR="00E03BF4" w:rsidRPr="00A77C97" w:rsidRDefault="00E03BF4" w:rsidP="00E33C29">
      <w:pPr>
        <w:keepNext/>
        <w:keepLines/>
        <w:autoSpaceDE w:val="0"/>
        <w:autoSpaceDN w:val="0"/>
        <w:adjustRightInd w:val="0"/>
        <w:rPr>
          <w:rFonts w:ascii="Garamond" w:hAnsi="Garamond"/>
          <w:lang w:val="en-AU"/>
        </w:rPr>
      </w:pPr>
      <w:r w:rsidRPr="00A77C97">
        <w:rPr>
          <w:rFonts w:ascii="Garamond" w:hAnsi="Garamond"/>
          <w:lang w:val="en-AU"/>
        </w:rPr>
        <w:t xml:space="preserve">BMJ Quality &amp; Safety </w:t>
      </w:r>
      <w:proofErr w:type="gramStart"/>
      <w:r w:rsidRPr="00A77C97">
        <w:rPr>
          <w:rFonts w:ascii="Garamond" w:hAnsi="Garamond"/>
          <w:lang w:val="en-AU"/>
        </w:rPr>
        <w:t>2024:bmjqs</w:t>
      </w:r>
      <w:proofErr w:type="gramEnd"/>
      <w:r w:rsidRPr="00A77C97">
        <w:rPr>
          <w:rFonts w:ascii="Garamond" w:hAnsi="Garamond"/>
          <w:lang w:val="en-AU"/>
        </w:rPr>
        <w:t>-2023-016699.</w:t>
      </w:r>
    </w:p>
    <w:p w14:paraId="483C612A" w14:textId="77777777" w:rsidR="00372F2E" w:rsidRPr="00A77C97" w:rsidRDefault="00372F2E" w:rsidP="00E33C29">
      <w:pPr>
        <w:keepNext/>
        <w:keepLines/>
        <w:autoSpaceDE w:val="0"/>
        <w:autoSpaceDN w:val="0"/>
        <w:adjustRightInd w:val="0"/>
        <w:rPr>
          <w:rFonts w:ascii="Garamond" w:hAnsi="Garamond"/>
          <w:lang w:val="en-AU"/>
        </w:rPr>
      </w:pPr>
    </w:p>
    <w:p w14:paraId="26F7D5E6" w14:textId="21D4342B" w:rsidR="00760EB0" w:rsidRPr="00A77C97" w:rsidRDefault="00760EB0" w:rsidP="00E33C29">
      <w:pPr>
        <w:keepNext/>
        <w:keepLines/>
        <w:autoSpaceDE w:val="0"/>
        <w:autoSpaceDN w:val="0"/>
        <w:adjustRightInd w:val="0"/>
        <w:rPr>
          <w:rFonts w:ascii="Garamond" w:hAnsi="Garamond"/>
          <w:lang w:val="en-AU"/>
        </w:rPr>
      </w:pPr>
      <w:r w:rsidRPr="00A77C97">
        <w:rPr>
          <w:rFonts w:ascii="Garamond" w:hAnsi="Garamond"/>
          <w:i/>
          <w:iCs/>
          <w:lang w:val="en-AU"/>
        </w:rPr>
        <w:t>Locums: threat or opportunity</w:t>
      </w:r>
    </w:p>
    <w:p w14:paraId="1919F00E" w14:textId="03E29842" w:rsidR="00760EB0" w:rsidRPr="00A77C97" w:rsidRDefault="00760EB0" w:rsidP="00E33C29">
      <w:pPr>
        <w:keepNext/>
        <w:keepLines/>
        <w:autoSpaceDE w:val="0"/>
        <w:autoSpaceDN w:val="0"/>
        <w:adjustRightInd w:val="0"/>
        <w:rPr>
          <w:rFonts w:ascii="Garamond" w:hAnsi="Garamond"/>
          <w:lang w:val="en-AU"/>
        </w:rPr>
      </w:pPr>
      <w:r w:rsidRPr="00A77C97">
        <w:rPr>
          <w:rFonts w:ascii="Garamond" w:hAnsi="Garamond"/>
          <w:lang w:val="en-AU"/>
        </w:rPr>
        <w:t>Lilford R</w:t>
      </w:r>
    </w:p>
    <w:p w14:paraId="662355E3" w14:textId="7D6B1E04" w:rsidR="00372F2E" w:rsidRPr="00A77C97" w:rsidRDefault="00760EB0" w:rsidP="00E33C29">
      <w:pPr>
        <w:keepNext/>
        <w:keepLines/>
        <w:autoSpaceDE w:val="0"/>
        <w:autoSpaceDN w:val="0"/>
        <w:adjustRightInd w:val="0"/>
        <w:rPr>
          <w:rFonts w:ascii="Garamond" w:hAnsi="Garamond"/>
          <w:lang w:val="en-AU"/>
        </w:rPr>
      </w:pPr>
      <w:r w:rsidRPr="00A77C97">
        <w:rPr>
          <w:rFonts w:ascii="Garamond" w:hAnsi="Garamond"/>
          <w:lang w:val="en-AU"/>
        </w:rPr>
        <w:t xml:space="preserve">BMJ Quality &amp; Safety </w:t>
      </w:r>
      <w:proofErr w:type="gramStart"/>
      <w:r w:rsidRPr="00A77C97">
        <w:rPr>
          <w:rFonts w:ascii="Garamond" w:hAnsi="Garamond"/>
          <w:lang w:val="en-AU"/>
        </w:rPr>
        <w:t>2024:bmjqs</w:t>
      </w:r>
      <w:proofErr w:type="gramEnd"/>
      <w:r w:rsidRPr="00A77C97">
        <w:rPr>
          <w:rFonts w:ascii="Garamond" w:hAnsi="Garamond"/>
          <w:lang w:val="en-AU"/>
        </w:rPr>
        <w:t>-2023-016951.</w:t>
      </w:r>
    </w:p>
    <w:tbl>
      <w:tblPr>
        <w:tblStyle w:val="TableGrid"/>
        <w:tblW w:w="9360" w:type="dxa"/>
        <w:tblInd w:w="288" w:type="dxa"/>
        <w:tblLayout w:type="fixed"/>
        <w:tblLook w:val="01E0" w:firstRow="1" w:lastRow="1" w:firstColumn="1" w:lastColumn="1" w:noHBand="0" w:noVBand="0"/>
      </w:tblPr>
      <w:tblGrid>
        <w:gridCol w:w="1080"/>
        <w:gridCol w:w="8280"/>
      </w:tblGrid>
      <w:tr w:rsidR="00E03BF4" w:rsidRPr="00A77C97" w14:paraId="6699A2DE" w14:textId="77777777" w:rsidTr="00F5062A">
        <w:tc>
          <w:tcPr>
            <w:tcW w:w="1080" w:type="dxa"/>
            <w:tcBorders>
              <w:top w:val="single" w:sz="4" w:space="0" w:color="auto"/>
              <w:left w:val="single" w:sz="4" w:space="0" w:color="auto"/>
              <w:bottom w:val="single" w:sz="4" w:space="0" w:color="auto"/>
              <w:right w:val="single" w:sz="4" w:space="0" w:color="auto"/>
            </w:tcBorders>
            <w:vAlign w:val="center"/>
          </w:tcPr>
          <w:p w14:paraId="3BB8822B" w14:textId="77777777" w:rsidR="00E03BF4" w:rsidRPr="00A77C97" w:rsidRDefault="00E03BF4" w:rsidP="00F5062A">
            <w:pPr>
              <w:keepNext/>
              <w:rPr>
                <w:rStyle w:val="Hyperlink"/>
                <w:rFonts w:ascii="Garamond" w:hAnsi="Garamond"/>
                <w:lang w:val="en-AU"/>
              </w:rPr>
            </w:pPr>
            <w:r w:rsidRPr="00A77C97">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E5F81FB" w14:textId="77777777" w:rsidR="00E03BF4" w:rsidRPr="00A77C97" w:rsidRDefault="009511D9" w:rsidP="00F5062A">
            <w:pPr>
              <w:keepNext/>
              <w:rPr>
                <w:rFonts w:ascii="Garamond" w:hAnsi="Garamond"/>
                <w:lang w:val="en-AU"/>
              </w:rPr>
            </w:pPr>
            <w:r w:rsidRPr="00A77C97">
              <w:rPr>
                <w:rFonts w:ascii="Garamond" w:hAnsi="Garamond"/>
              </w:rPr>
              <w:t xml:space="preserve">Ferguson et al </w:t>
            </w:r>
            <w:hyperlink r:id="rId29" w:history="1">
              <w:r w:rsidRPr="00A77C97">
                <w:rPr>
                  <w:rStyle w:val="Hyperlink"/>
                  <w:rFonts w:ascii="Garamond" w:hAnsi="Garamond"/>
                  <w:lang w:val="en-AU"/>
                </w:rPr>
                <w:t>https://doi.org/10.1136/bmjqs-2023-016699</w:t>
              </w:r>
            </w:hyperlink>
          </w:p>
          <w:p w14:paraId="30667B6C" w14:textId="71DB1E0F" w:rsidR="009511D9" w:rsidRPr="00A77C97" w:rsidRDefault="009511D9" w:rsidP="00F5062A">
            <w:pPr>
              <w:keepNext/>
              <w:rPr>
                <w:rStyle w:val="Hyperlink"/>
                <w:rFonts w:ascii="Garamond" w:hAnsi="Garamond"/>
                <w:color w:val="auto"/>
                <w:u w:val="none"/>
                <w:lang w:val="en-AU"/>
              </w:rPr>
            </w:pPr>
            <w:r w:rsidRPr="00A77C97">
              <w:rPr>
                <w:rFonts w:ascii="Garamond" w:hAnsi="Garamond"/>
                <w:lang w:val="en-AU"/>
              </w:rPr>
              <w:t xml:space="preserve">Lilford </w:t>
            </w:r>
            <w:hyperlink r:id="rId30" w:history="1">
              <w:r w:rsidRPr="00A77C97">
                <w:rPr>
                  <w:rStyle w:val="Hyperlink"/>
                  <w:rFonts w:ascii="Garamond" w:hAnsi="Garamond"/>
                  <w:lang w:val="en-AU"/>
                </w:rPr>
                <w:t>https://doi.org/10.1136/bmjqs-2023-016951</w:t>
              </w:r>
            </w:hyperlink>
          </w:p>
        </w:tc>
      </w:tr>
      <w:tr w:rsidR="00E03BF4" w:rsidRPr="00A77C97" w14:paraId="65490296" w14:textId="77777777" w:rsidTr="00F5062A">
        <w:tc>
          <w:tcPr>
            <w:tcW w:w="1080" w:type="dxa"/>
            <w:tcBorders>
              <w:top w:val="single" w:sz="4" w:space="0" w:color="auto"/>
              <w:left w:val="single" w:sz="4" w:space="0" w:color="auto"/>
              <w:bottom w:val="single" w:sz="4" w:space="0" w:color="auto"/>
              <w:right w:val="single" w:sz="4" w:space="0" w:color="auto"/>
            </w:tcBorders>
            <w:vAlign w:val="center"/>
          </w:tcPr>
          <w:p w14:paraId="2F0A072D" w14:textId="4C540664" w:rsidR="00E03BF4" w:rsidRPr="00A77C97" w:rsidRDefault="00E03BF4" w:rsidP="00E03BF4">
            <w:pPr>
              <w:rPr>
                <w:rFonts w:ascii="Garamond" w:hAnsi="Garamond"/>
                <w:lang w:val="en-AU" w:eastAsia="en-AU"/>
              </w:rPr>
            </w:pPr>
            <w:r w:rsidRPr="00A77C9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3714027" w14:textId="47F60CC5" w:rsidR="000F5CED" w:rsidRPr="00A77C97" w:rsidRDefault="00076C18" w:rsidP="000F5CED">
            <w:pPr>
              <w:rPr>
                <w:rFonts w:ascii="Garamond" w:hAnsi="Garamond"/>
                <w:lang w:val="en-AU"/>
              </w:rPr>
            </w:pPr>
            <w:r w:rsidRPr="00A77C97">
              <w:rPr>
                <w:rFonts w:ascii="Garamond" w:hAnsi="Garamond"/>
                <w:lang w:val="en-AU"/>
              </w:rPr>
              <w:t xml:space="preserve">Ferguson et al </w:t>
            </w:r>
            <w:r w:rsidR="00457E86" w:rsidRPr="00A77C97">
              <w:rPr>
                <w:rFonts w:ascii="Garamond" w:hAnsi="Garamond"/>
                <w:lang w:val="en-AU"/>
              </w:rPr>
              <w:t xml:space="preserve">conducted </w:t>
            </w:r>
            <w:r w:rsidR="00C17AC7" w:rsidRPr="00A77C97">
              <w:rPr>
                <w:rFonts w:ascii="Garamond" w:hAnsi="Garamond"/>
                <w:lang w:val="en-AU"/>
              </w:rPr>
              <w:t>‘semi-structured interviews and focus groups were conducted with 130 participants, including locums, patients, permanently employed doctors, nurses and other healthcare professionals with governance and recruitment responsibilities for locums across primary and secondary healthcare organisations in the English NHS’ as part of their investigation on ‘the implications of locum working for quality and safety’.</w:t>
            </w:r>
            <w:r w:rsidR="00AE22B2" w:rsidRPr="00A77C97">
              <w:rPr>
                <w:rFonts w:ascii="Garamond" w:hAnsi="Garamond"/>
                <w:lang w:val="en-AU"/>
              </w:rPr>
              <w:t xml:space="preserve"> </w:t>
            </w:r>
            <w:r w:rsidR="000F5CED" w:rsidRPr="00A77C97">
              <w:rPr>
                <w:rFonts w:ascii="Garamond" w:hAnsi="Garamond"/>
                <w:lang w:val="en-AU"/>
              </w:rPr>
              <w:t>Is the related editorial Lilford observes that this study ‘found that the life of the locum is a difficult and lonely one, opening up many pathways to unsafe practice.’</w:t>
            </w:r>
          </w:p>
          <w:p w14:paraId="2EC20BBC" w14:textId="4730B94B" w:rsidR="00E03BF4" w:rsidRPr="00A77C97" w:rsidRDefault="00AE22B2" w:rsidP="000F5CED">
            <w:pPr>
              <w:rPr>
                <w:rFonts w:ascii="Garamond" w:hAnsi="Garamond"/>
                <w:lang w:val="en-AU"/>
              </w:rPr>
            </w:pPr>
            <w:r w:rsidRPr="00A77C97">
              <w:rPr>
                <w:rFonts w:ascii="Garamond" w:hAnsi="Garamond"/>
                <w:lang w:val="en-AU"/>
              </w:rPr>
              <w:t xml:space="preserve">From these sources and </w:t>
            </w:r>
            <w:r w:rsidR="000C3AEE" w:rsidRPr="00A77C97">
              <w:rPr>
                <w:rFonts w:ascii="Garamond" w:hAnsi="Garamond"/>
                <w:lang w:val="en-AU"/>
              </w:rPr>
              <w:t xml:space="preserve">the analyses </w:t>
            </w:r>
            <w:r w:rsidR="000F5CED" w:rsidRPr="00A77C97">
              <w:rPr>
                <w:rFonts w:ascii="Garamond" w:hAnsi="Garamond"/>
                <w:lang w:val="en-AU"/>
              </w:rPr>
              <w:t xml:space="preserve">Ferguson et al </w:t>
            </w:r>
            <w:r w:rsidR="000C3AEE" w:rsidRPr="00A77C97">
              <w:rPr>
                <w:rFonts w:ascii="Garamond" w:hAnsi="Garamond"/>
                <w:lang w:val="en-AU"/>
              </w:rPr>
              <w:t>report ‘Locum working and how locums were integrated into organisations posed some significant challenges and opportunities for patient safety and quality of care. Organisations should take stock of how they work with the locum workforce to improve not only quality and safety but also locum experience and retention.’</w:t>
            </w:r>
          </w:p>
        </w:tc>
      </w:tr>
    </w:tbl>
    <w:p w14:paraId="7141B69F" w14:textId="77777777" w:rsidR="00E03BF4" w:rsidRPr="00A77C97" w:rsidRDefault="00E03BF4" w:rsidP="008A68DB">
      <w:pPr>
        <w:keepLines/>
        <w:autoSpaceDE w:val="0"/>
        <w:autoSpaceDN w:val="0"/>
        <w:adjustRightInd w:val="0"/>
        <w:rPr>
          <w:rFonts w:ascii="Garamond" w:hAnsi="Garamond"/>
          <w:lang w:val="en-AU"/>
        </w:rPr>
      </w:pPr>
    </w:p>
    <w:p w14:paraId="509BE20D" w14:textId="1151C60D" w:rsidR="00655A12" w:rsidRPr="00A77C97" w:rsidRDefault="00655A12" w:rsidP="003A6F13">
      <w:pPr>
        <w:keepLines/>
        <w:autoSpaceDE w:val="0"/>
        <w:autoSpaceDN w:val="0"/>
        <w:adjustRightInd w:val="0"/>
        <w:rPr>
          <w:rFonts w:ascii="Garamond" w:hAnsi="Garamond"/>
          <w:i/>
          <w:iCs/>
          <w:lang w:val="en-AU"/>
        </w:rPr>
      </w:pPr>
      <w:r w:rsidRPr="00A77C97">
        <w:rPr>
          <w:rFonts w:ascii="Garamond" w:hAnsi="Garamond"/>
          <w:i/>
          <w:iCs/>
          <w:lang w:val="en-AU"/>
        </w:rPr>
        <w:lastRenderedPageBreak/>
        <w:t xml:space="preserve">Telephone versus video consultations: A systematic review of comparative effectiveness studies and guidance for choosing the most appropriate </w:t>
      </w:r>
      <w:proofErr w:type="gramStart"/>
      <w:r w:rsidRPr="00A77C97">
        <w:rPr>
          <w:rFonts w:ascii="Garamond" w:hAnsi="Garamond"/>
          <w:i/>
          <w:iCs/>
          <w:lang w:val="en-AU"/>
        </w:rPr>
        <w:t>modality</w:t>
      </w:r>
      <w:proofErr w:type="gramEnd"/>
    </w:p>
    <w:p w14:paraId="69559458" w14:textId="77777777" w:rsidR="00B64C32" w:rsidRPr="00A77C97" w:rsidRDefault="00B64C32" w:rsidP="003A6F13">
      <w:pPr>
        <w:keepLines/>
        <w:autoSpaceDE w:val="0"/>
        <w:autoSpaceDN w:val="0"/>
        <w:adjustRightInd w:val="0"/>
        <w:rPr>
          <w:rFonts w:ascii="Garamond" w:hAnsi="Garamond"/>
          <w:lang w:val="en-AU"/>
        </w:rPr>
      </w:pPr>
      <w:r w:rsidRPr="00A77C97">
        <w:rPr>
          <w:rFonts w:ascii="Garamond" w:hAnsi="Garamond"/>
          <w:lang w:val="en-AU"/>
        </w:rPr>
        <w:t>Caffery LJ, Catapan SDC, Taylor ML, Kelly JT, Haydon HM, Smith AC, et al</w:t>
      </w:r>
    </w:p>
    <w:p w14:paraId="1ED281F4" w14:textId="104605B4" w:rsidR="00655A12" w:rsidRPr="00A77C97" w:rsidRDefault="00B64C32" w:rsidP="003A6F13">
      <w:pPr>
        <w:keepLines/>
        <w:autoSpaceDE w:val="0"/>
        <w:autoSpaceDN w:val="0"/>
        <w:adjustRightInd w:val="0"/>
        <w:rPr>
          <w:rFonts w:ascii="Garamond" w:hAnsi="Garamond"/>
          <w:lang w:val="en-AU"/>
        </w:rPr>
      </w:pPr>
      <w:r w:rsidRPr="00A77C97">
        <w:rPr>
          <w:rFonts w:ascii="Garamond" w:hAnsi="Garamond"/>
          <w:lang w:val="en-AU"/>
        </w:rPr>
        <w:t>Journal of Telemedicine and Telecare 2024:1357633X241232464.</w:t>
      </w:r>
    </w:p>
    <w:p w14:paraId="3D733E72" w14:textId="77777777" w:rsidR="00B64C32" w:rsidRPr="00A77C97" w:rsidRDefault="00B64C32" w:rsidP="003A6F13">
      <w:pPr>
        <w:keepLines/>
        <w:autoSpaceDE w:val="0"/>
        <w:autoSpaceDN w:val="0"/>
        <w:adjustRightInd w:val="0"/>
        <w:rPr>
          <w:rFonts w:ascii="Garamond" w:hAnsi="Garamond"/>
          <w:lang w:val="en-AU"/>
        </w:rPr>
      </w:pPr>
    </w:p>
    <w:p w14:paraId="788941A0" w14:textId="77777777" w:rsidR="00B10896" w:rsidRPr="00A77C97" w:rsidRDefault="00B10896" w:rsidP="00B10896">
      <w:pPr>
        <w:keepLines/>
        <w:autoSpaceDE w:val="0"/>
        <w:autoSpaceDN w:val="0"/>
        <w:adjustRightInd w:val="0"/>
        <w:rPr>
          <w:rFonts w:ascii="Garamond" w:hAnsi="Garamond"/>
          <w:i/>
          <w:iCs/>
          <w:lang w:val="en-AU"/>
        </w:rPr>
      </w:pPr>
      <w:r w:rsidRPr="00A77C97">
        <w:rPr>
          <w:rFonts w:ascii="Garamond" w:hAnsi="Garamond"/>
          <w:i/>
          <w:iCs/>
          <w:lang w:val="en-AU"/>
        </w:rPr>
        <w:t xml:space="preserve">The Impact </w:t>
      </w:r>
      <w:proofErr w:type="gramStart"/>
      <w:r w:rsidRPr="00A77C97">
        <w:rPr>
          <w:rFonts w:ascii="Garamond" w:hAnsi="Garamond"/>
          <w:i/>
          <w:iCs/>
          <w:lang w:val="en-AU"/>
        </w:rPr>
        <w:t>Of</w:t>
      </w:r>
      <w:proofErr w:type="gramEnd"/>
      <w:r w:rsidRPr="00A77C97">
        <w:rPr>
          <w:rFonts w:ascii="Garamond" w:hAnsi="Garamond"/>
          <w:i/>
          <w:iCs/>
          <w:lang w:val="en-AU"/>
        </w:rPr>
        <w:t xml:space="preserve"> Telemedicine On Utilization, Spending, And Quality, 2019–22</w:t>
      </w:r>
    </w:p>
    <w:p w14:paraId="3595E20E" w14:textId="77777777" w:rsidR="00B10896" w:rsidRPr="00A77C97" w:rsidRDefault="00B10896" w:rsidP="003A6F13">
      <w:pPr>
        <w:keepLines/>
        <w:autoSpaceDE w:val="0"/>
        <w:autoSpaceDN w:val="0"/>
        <w:adjustRightInd w:val="0"/>
        <w:rPr>
          <w:rFonts w:ascii="Garamond" w:hAnsi="Garamond"/>
          <w:lang w:val="en-AU"/>
        </w:rPr>
      </w:pPr>
      <w:r w:rsidRPr="00A77C97">
        <w:rPr>
          <w:rFonts w:ascii="Garamond" w:hAnsi="Garamond"/>
          <w:lang w:val="en-AU"/>
        </w:rPr>
        <w:t>Nakamoto CH, Cutler DM, Beaulieu ND, Uscher-Pines L, Mehrotra A</w:t>
      </w:r>
    </w:p>
    <w:p w14:paraId="15D50B8F" w14:textId="36DF1337" w:rsidR="00B10896" w:rsidRPr="00A77C97" w:rsidRDefault="00B10896" w:rsidP="003A6F13">
      <w:pPr>
        <w:keepLines/>
        <w:autoSpaceDE w:val="0"/>
        <w:autoSpaceDN w:val="0"/>
        <w:adjustRightInd w:val="0"/>
        <w:rPr>
          <w:rFonts w:ascii="Garamond" w:hAnsi="Garamond"/>
          <w:lang w:val="en-AU"/>
        </w:rPr>
      </w:pPr>
      <w:r w:rsidRPr="00A77C97">
        <w:rPr>
          <w:rFonts w:ascii="Garamond" w:hAnsi="Garamond"/>
          <w:lang w:val="en-AU"/>
        </w:rPr>
        <w:t>Health Affairs 2024.</w:t>
      </w:r>
    </w:p>
    <w:tbl>
      <w:tblPr>
        <w:tblStyle w:val="TableGrid"/>
        <w:tblW w:w="9360" w:type="dxa"/>
        <w:tblInd w:w="288" w:type="dxa"/>
        <w:tblLayout w:type="fixed"/>
        <w:tblLook w:val="01E0" w:firstRow="1" w:lastRow="1" w:firstColumn="1" w:lastColumn="1" w:noHBand="0" w:noVBand="0"/>
      </w:tblPr>
      <w:tblGrid>
        <w:gridCol w:w="1080"/>
        <w:gridCol w:w="8280"/>
      </w:tblGrid>
      <w:tr w:rsidR="00655A12" w:rsidRPr="00A77C97" w14:paraId="32201CD8" w14:textId="77777777" w:rsidTr="007C284E">
        <w:tc>
          <w:tcPr>
            <w:tcW w:w="1080" w:type="dxa"/>
            <w:tcBorders>
              <w:top w:val="single" w:sz="4" w:space="0" w:color="auto"/>
              <w:left w:val="single" w:sz="4" w:space="0" w:color="auto"/>
              <w:bottom w:val="single" w:sz="4" w:space="0" w:color="auto"/>
              <w:right w:val="single" w:sz="4" w:space="0" w:color="auto"/>
            </w:tcBorders>
            <w:vAlign w:val="center"/>
          </w:tcPr>
          <w:p w14:paraId="5E6786C0" w14:textId="77777777" w:rsidR="00655A12" w:rsidRPr="00A77C97" w:rsidRDefault="00655A12" w:rsidP="007C284E">
            <w:pPr>
              <w:keepNext/>
              <w:rPr>
                <w:rStyle w:val="Hyperlink"/>
                <w:rFonts w:ascii="Garamond" w:hAnsi="Garamond"/>
                <w:lang w:val="en-AU"/>
              </w:rPr>
            </w:pPr>
            <w:r w:rsidRPr="00A77C97">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85F5F02" w14:textId="77777777" w:rsidR="00655A12" w:rsidRPr="00A77C97" w:rsidRDefault="00995DB3" w:rsidP="007C284E">
            <w:pPr>
              <w:keepNext/>
              <w:rPr>
                <w:rStyle w:val="Hyperlink"/>
                <w:rFonts w:ascii="Garamond" w:hAnsi="Garamond"/>
                <w:color w:val="auto"/>
                <w:u w:val="none"/>
                <w:lang w:val="en-AU"/>
              </w:rPr>
            </w:pPr>
            <w:r w:rsidRPr="00A77C97">
              <w:rPr>
                <w:rStyle w:val="Hyperlink"/>
                <w:rFonts w:ascii="Garamond" w:hAnsi="Garamond"/>
                <w:color w:val="auto"/>
                <w:u w:val="none"/>
                <w:lang w:val="en-AU"/>
              </w:rPr>
              <w:t xml:space="preserve">Caffery et al </w:t>
            </w:r>
            <w:hyperlink r:id="rId31" w:history="1">
              <w:r w:rsidRPr="00A77C97">
                <w:rPr>
                  <w:rStyle w:val="Hyperlink"/>
                  <w:rFonts w:ascii="Garamond" w:hAnsi="Garamond"/>
                  <w:lang w:val="en-AU"/>
                </w:rPr>
                <w:t>https://doi.org/10.1177/1357633X241232464</w:t>
              </w:r>
            </w:hyperlink>
          </w:p>
          <w:p w14:paraId="44A968A3" w14:textId="2EB34F6C" w:rsidR="00995DB3" w:rsidRPr="00A77C97" w:rsidRDefault="00995DB3" w:rsidP="007C284E">
            <w:pPr>
              <w:keepNext/>
              <w:rPr>
                <w:rStyle w:val="Hyperlink"/>
                <w:rFonts w:ascii="Garamond" w:hAnsi="Garamond"/>
                <w:color w:val="auto"/>
                <w:u w:val="none"/>
                <w:lang w:val="en-AU"/>
              </w:rPr>
            </w:pPr>
            <w:r w:rsidRPr="00A77C97">
              <w:rPr>
                <w:rFonts w:ascii="Garamond" w:hAnsi="Garamond"/>
                <w:lang w:val="en-AU"/>
              </w:rPr>
              <w:t xml:space="preserve">Nakamoto et al </w:t>
            </w:r>
            <w:hyperlink r:id="rId32" w:history="1">
              <w:r w:rsidR="00224797" w:rsidRPr="00A77C97">
                <w:rPr>
                  <w:rStyle w:val="Hyperlink"/>
                  <w:rFonts w:ascii="Garamond" w:hAnsi="Garamond"/>
                  <w:lang w:val="en-AU"/>
                </w:rPr>
                <w:t>https://doi.org/10.1377/hlthaff.2023.01142</w:t>
              </w:r>
            </w:hyperlink>
          </w:p>
        </w:tc>
      </w:tr>
      <w:tr w:rsidR="00655A12" w:rsidRPr="00A77C97" w14:paraId="4BF41C2F" w14:textId="77777777" w:rsidTr="007C284E">
        <w:tc>
          <w:tcPr>
            <w:tcW w:w="1080" w:type="dxa"/>
            <w:tcBorders>
              <w:top w:val="single" w:sz="4" w:space="0" w:color="auto"/>
              <w:left w:val="single" w:sz="4" w:space="0" w:color="auto"/>
              <w:bottom w:val="single" w:sz="4" w:space="0" w:color="auto"/>
              <w:right w:val="single" w:sz="4" w:space="0" w:color="auto"/>
            </w:tcBorders>
            <w:vAlign w:val="center"/>
          </w:tcPr>
          <w:p w14:paraId="14FF45F7" w14:textId="77777777" w:rsidR="00655A12" w:rsidRPr="00A77C97" w:rsidRDefault="00655A12" w:rsidP="007C284E">
            <w:pPr>
              <w:rPr>
                <w:rFonts w:ascii="Garamond" w:hAnsi="Garamond"/>
                <w:lang w:val="en-AU" w:eastAsia="en-AU"/>
              </w:rPr>
            </w:pPr>
            <w:r w:rsidRPr="00A77C9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A07F08D" w14:textId="442154E0" w:rsidR="00655A12" w:rsidRPr="00A77C97" w:rsidRDefault="00995DB3" w:rsidP="007C284E">
            <w:pPr>
              <w:rPr>
                <w:rFonts w:ascii="Garamond" w:hAnsi="Garamond"/>
                <w:lang w:val="en-AU"/>
              </w:rPr>
            </w:pPr>
            <w:r w:rsidRPr="00A77C97">
              <w:rPr>
                <w:rFonts w:ascii="Garamond" w:hAnsi="Garamond"/>
                <w:lang w:val="en-AU"/>
              </w:rPr>
              <w:t xml:space="preserve">Caffery et al </w:t>
            </w:r>
            <w:r w:rsidR="00224797" w:rsidRPr="00A77C97">
              <w:rPr>
                <w:rFonts w:ascii="Garamond" w:hAnsi="Garamond"/>
                <w:lang w:val="en-AU"/>
              </w:rPr>
              <w:t>report on a systematic review that sought to compare the clinical, service and cost effectiveness of telephone consultations (TC) to video consultations (VC). Based on 79 articles the review found ‘VC were superior or equivalent to TC for all clinical outcomes. When compared to TC, VC were likely to have better patient engagement and retention, to improve transfer decisions, and reduce downstream sub-acute care utilisation. The impact of telehealth modality on consultation time, completion rates, failure-to-attend rates and acute care utilisation was mixed. VC were consistently found to be more cost effective despite having a higher incremental cost than TC.’</w:t>
            </w:r>
          </w:p>
          <w:p w14:paraId="202BD0C0" w14:textId="2DE41643" w:rsidR="00B10896" w:rsidRPr="00A77C97" w:rsidRDefault="00DF772E" w:rsidP="001876E3">
            <w:pPr>
              <w:rPr>
                <w:rFonts w:ascii="Garamond" w:hAnsi="Garamond"/>
                <w:lang w:val="en-AU"/>
              </w:rPr>
            </w:pPr>
            <w:r w:rsidRPr="00A77C97">
              <w:rPr>
                <w:rFonts w:ascii="Garamond" w:hAnsi="Garamond"/>
                <w:lang w:val="en-AU"/>
              </w:rPr>
              <w:t>Nakamoto et al</w:t>
            </w:r>
            <w:r w:rsidR="001876E3" w:rsidRPr="00A77C97">
              <w:rPr>
                <w:rFonts w:ascii="Garamond" w:hAnsi="Garamond"/>
                <w:lang w:val="en-AU"/>
              </w:rPr>
              <w:t xml:space="preserve"> examined the impact of telemedicine in the USA by seeking to ‘estimate association of greater telemedicine use across health systems with utilization, spending, and quality’. They report that ‘Patients receiving care from health systems in the highest quartile of telemedicine use had modest increases in office visits, care continuity, and medication adherence, as well as decreases in ED visits, relative to patients of health systems in the lowest quartile. We did not observe differences in testing or preventive service use. The relative increase in visits was larger among patients without chronic illness and among lower-income, non-White patients. However, these changes were accompanied by a 1.6 percent increase in health care spending, largely driven by inpatient and drug spending.’</w:t>
            </w:r>
          </w:p>
        </w:tc>
      </w:tr>
    </w:tbl>
    <w:p w14:paraId="6EEA0705" w14:textId="77777777" w:rsidR="00655A12" w:rsidRPr="00A77C97" w:rsidRDefault="00655A12" w:rsidP="00655A12">
      <w:pPr>
        <w:keepLines/>
        <w:autoSpaceDE w:val="0"/>
        <w:autoSpaceDN w:val="0"/>
        <w:adjustRightInd w:val="0"/>
        <w:rPr>
          <w:rFonts w:ascii="Garamond" w:hAnsi="Garamond"/>
          <w:lang w:val="en-AU"/>
        </w:rPr>
      </w:pPr>
    </w:p>
    <w:p w14:paraId="5FA4331B" w14:textId="49975DCD" w:rsidR="00A83B1D" w:rsidRPr="00A77C97" w:rsidRDefault="0053089E" w:rsidP="00A83B1D">
      <w:pPr>
        <w:keepNext/>
        <w:rPr>
          <w:rFonts w:ascii="Garamond" w:hAnsi="Garamond"/>
          <w:i/>
          <w:lang w:val="en-AU"/>
        </w:rPr>
      </w:pPr>
      <w:r w:rsidRPr="00A77C97">
        <w:rPr>
          <w:rFonts w:ascii="Garamond" w:hAnsi="Garamond"/>
          <w:i/>
          <w:lang w:val="en-AU"/>
        </w:rPr>
        <w:t>Health Policy</w:t>
      </w:r>
    </w:p>
    <w:p w14:paraId="394983E0" w14:textId="5231A811" w:rsidR="00A83B1D" w:rsidRPr="00A77C97" w:rsidRDefault="00A83B1D" w:rsidP="00A83B1D">
      <w:pPr>
        <w:keepNext/>
        <w:rPr>
          <w:rFonts w:ascii="Garamond" w:hAnsi="Garamond"/>
          <w:iCs/>
          <w:lang w:val="en-AU"/>
        </w:rPr>
      </w:pPr>
      <w:r w:rsidRPr="00A77C97">
        <w:rPr>
          <w:rFonts w:ascii="Garamond" w:hAnsi="Garamond"/>
          <w:iCs/>
          <w:lang w:val="en-AU"/>
        </w:rPr>
        <w:t xml:space="preserve">Volume </w:t>
      </w:r>
      <w:r w:rsidR="0053089E" w:rsidRPr="00A77C97">
        <w:rPr>
          <w:rFonts w:ascii="Garamond" w:hAnsi="Garamond"/>
          <w:iCs/>
          <w:lang w:val="en-AU"/>
        </w:rPr>
        <w:t>143</w:t>
      </w:r>
      <w:r w:rsidRPr="00A77C97">
        <w:rPr>
          <w:rFonts w:ascii="Garamond" w:hAnsi="Garamond"/>
          <w:iCs/>
          <w:lang w:val="en-AU"/>
        </w:rPr>
        <w:t>, Ma</w:t>
      </w:r>
      <w:r w:rsidR="0053089E" w:rsidRPr="00A77C97">
        <w:rPr>
          <w:rFonts w:ascii="Garamond" w:hAnsi="Garamond"/>
          <w:iCs/>
          <w:lang w:val="en-AU"/>
        </w:rPr>
        <w:t>y</w:t>
      </w:r>
      <w:r w:rsidRPr="00A77C97">
        <w:rPr>
          <w:rFonts w:ascii="Garamond" w:hAnsi="Garamond"/>
          <w:iCs/>
          <w:lang w:val="en-AU"/>
        </w:rPr>
        <w:t xml:space="preserve"> 2024</w:t>
      </w:r>
    </w:p>
    <w:tbl>
      <w:tblPr>
        <w:tblStyle w:val="TableGrid"/>
        <w:tblW w:w="9360" w:type="dxa"/>
        <w:tblInd w:w="288" w:type="dxa"/>
        <w:tblLayout w:type="fixed"/>
        <w:tblLook w:val="01E0" w:firstRow="1" w:lastRow="1" w:firstColumn="1" w:lastColumn="1" w:noHBand="0" w:noVBand="0"/>
      </w:tblPr>
      <w:tblGrid>
        <w:gridCol w:w="1080"/>
        <w:gridCol w:w="8280"/>
      </w:tblGrid>
      <w:tr w:rsidR="00A83B1D" w:rsidRPr="00A77C97" w14:paraId="24B929B4" w14:textId="77777777" w:rsidTr="0053089E">
        <w:tc>
          <w:tcPr>
            <w:tcW w:w="1080" w:type="dxa"/>
            <w:tcBorders>
              <w:top w:val="single" w:sz="4" w:space="0" w:color="auto"/>
              <w:left w:val="single" w:sz="4" w:space="0" w:color="auto"/>
              <w:bottom w:val="single" w:sz="4" w:space="0" w:color="auto"/>
              <w:right w:val="single" w:sz="4" w:space="0" w:color="auto"/>
            </w:tcBorders>
            <w:vAlign w:val="center"/>
            <w:hideMark/>
          </w:tcPr>
          <w:p w14:paraId="545505E2" w14:textId="77777777" w:rsidR="00A83B1D" w:rsidRPr="00A77C97" w:rsidRDefault="00A83B1D" w:rsidP="00030872">
            <w:pPr>
              <w:rPr>
                <w:rStyle w:val="Hyperlink"/>
                <w:rFonts w:ascii="Garamond" w:hAnsi="Garamond"/>
              </w:rPr>
            </w:pPr>
            <w:r w:rsidRPr="00A77C9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CCFA350" w14:textId="455FF6E0" w:rsidR="00A83B1D" w:rsidRPr="00A77C97" w:rsidRDefault="00000000" w:rsidP="00030872">
            <w:pPr>
              <w:rPr>
                <w:rStyle w:val="Hyperlink"/>
                <w:rFonts w:ascii="Garamond" w:hAnsi="Garamond"/>
                <w:color w:val="auto"/>
                <w:u w:val="none"/>
                <w:lang w:val="en-AU"/>
              </w:rPr>
            </w:pPr>
            <w:hyperlink r:id="rId33" w:history="1">
              <w:r w:rsidR="00C762F6" w:rsidRPr="00A77C97">
                <w:rPr>
                  <w:rStyle w:val="Hyperlink"/>
                  <w:rFonts w:ascii="Garamond" w:hAnsi="Garamond"/>
                  <w:lang w:val="en-AU"/>
                </w:rPr>
                <w:t>https://www.sciencedirect.com/journal/health-policy/vol/143/</w:t>
              </w:r>
            </w:hyperlink>
          </w:p>
        </w:tc>
      </w:tr>
      <w:tr w:rsidR="00A83B1D" w:rsidRPr="00A77C97" w14:paraId="0378B744" w14:textId="77777777" w:rsidTr="00030872">
        <w:tc>
          <w:tcPr>
            <w:tcW w:w="1080" w:type="dxa"/>
            <w:tcBorders>
              <w:top w:val="single" w:sz="4" w:space="0" w:color="auto"/>
              <w:left w:val="single" w:sz="4" w:space="0" w:color="auto"/>
              <w:bottom w:val="single" w:sz="4" w:space="0" w:color="auto"/>
              <w:right w:val="single" w:sz="4" w:space="0" w:color="auto"/>
            </w:tcBorders>
            <w:vAlign w:val="center"/>
            <w:hideMark/>
          </w:tcPr>
          <w:p w14:paraId="6E81989B" w14:textId="77777777" w:rsidR="00A83B1D" w:rsidRPr="00A77C97" w:rsidRDefault="00A83B1D" w:rsidP="00030872">
            <w:pPr>
              <w:rPr>
                <w:rFonts w:ascii="Garamond" w:hAnsi="Garamond"/>
                <w:lang w:eastAsia="en-AU"/>
              </w:rPr>
            </w:pPr>
            <w:r w:rsidRPr="00A77C9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CC877AD" w14:textId="764AF4D0" w:rsidR="00A83B1D" w:rsidRPr="00A77C97" w:rsidRDefault="00A83B1D" w:rsidP="00030872">
            <w:pPr>
              <w:rPr>
                <w:rFonts w:ascii="Garamond" w:hAnsi="Garamond"/>
                <w:lang w:val="en-AU"/>
              </w:rPr>
            </w:pPr>
            <w:r w:rsidRPr="00A77C97">
              <w:rPr>
                <w:rFonts w:ascii="Garamond" w:hAnsi="Garamond"/>
                <w:lang w:val="en-AU"/>
              </w:rPr>
              <w:t xml:space="preserve">A new issue of </w:t>
            </w:r>
            <w:r w:rsidR="0053089E" w:rsidRPr="00A77C97">
              <w:rPr>
                <w:rFonts w:ascii="Garamond" w:hAnsi="Garamond"/>
                <w:i/>
                <w:lang w:val="en-AU"/>
              </w:rPr>
              <w:t>Health Policy</w:t>
            </w:r>
            <w:r w:rsidR="0053089E" w:rsidRPr="00A77C97">
              <w:rPr>
                <w:rFonts w:ascii="Garamond" w:hAnsi="Garamond"/>
                <w:lang w:val="en-AU"/>
              </w:rPr>
              <w:t xml:space="preserve"> </w:t>
            </w:r>
            <w:r w:rsidRPr="00A77C97">
              <w:rPr>
                <w:rFonts w:ascii="Garamond" w:hAnsi="Garamond"/>
                <w:lang w:val="en-AU"/>
              </w:rPr>
              <w:t xml:space="preserve">has been published. Articles in this issue of </w:t>
            </w:r>
            <w:r w:rsidR="0053089E" w:rsidRPr="00A77C97">
              <w:rPr>
                <w:rFonts w:ascii="Garamond" w:hAnsi="Garamond"/>
                <w:i/>
                <w:lang w:val="en-AU"/>
              </w:rPr>
              <w:t>Health Policy</w:t>
            </w:r>
            <w:r w:rsidR="0053089E" w:rsidRPr="00A77C97">
              <w:rPr>
                <w:rFonts w:ascii="Garamond" w:hAnsi="Garamond"/>
                <w:lang w:val="en-AU"/>
              </w:rPr>
              <w:t xml:space="preserve"> </w:t>
            </w:r>
            <w:r w:rsidRPr="00A77C97">
              <w:rPr>
                <w:rFonts w:ascii="Garamond" w:hAnsi="Garamond"/>
                <w:lang w:val="en-AU"/>
              </w:rPr>
              <w:t>include:</w:t>
            </w:r>
          </w:p>
          <w:p w14:paraId="681F3A52" w14:textId="08A12B0F" w:rsidR="00A30437" w:rsidRPr="00A77C97" w:rsidRDefault="00A30437" w:rsidP="00586396">
            <w:pPr>
              <w:pStyle w:val="ListParagraph"/>
              <w:numPr>
                <w:ilvl w:val="0"/>
                <w:numId w:val="22"/>
              </w:numPr>
              <w:rPr>
                <w:rFonts w:ascii="Garamond" w:hAnsi="Garamond"/>
                <w:lang w:val="en-AU"/>
              </w:rPr>
            </w:pPr>
            <w:r w:rsidRPr="00A77C97">
              <w:rPr>
                <w:rFonts w:ascii="Garamond" w:hAnsi="Garamond"/>
                <w:lang w:val="en-AU"/>
              </w:rPr>
              <w:t xml:space="preserve">Health literacy, governance and systems leadership contribute to the implementation of the </w:t>
            </w:r>
            <w:r w:rsidRPr="00A77C97">
              <w:rPr>
                <w:rFonts w:ascii="Garamond" w:hAnsi="Garamond"/>
                <w:b/>
                <w:bCs/>
                <w:lang w:val="en-AU"/>
              </w:rPr>
              <w:t>One Health</w:t>
            </w:r>
            <w:r w:rsidRPr="00A77C97">
              <w:rPr>
                <w:rFonts w:ascii="Garamond" w:hAnsi="Garamond"/>
                <w:lang w:val="en-AU"/>
              </w:rPr>
              <w:t xml:space="preserve"> approach: a virtuous circle </w:t>
            </w:r>
            <w:r w:rsidR="004D782C" w:rsidRPr="00A77C97">
              <w:rPr>
                <w:rFonts w:ascii="Garamond" w:hAnsi="Garamond"/>
                <w:lang w:val="en-AU"/>
              </w:rPr>
              <w:t>(</w:t>
            </w:r>
            <w:r w:rsidRPr="00A77C97">
              <w:rPr>
                <w:rFonts w:ascii="Garamond" w:hAnsi="Garamond"/>
                <w:lang w:val="en-AU"/>
              </w:rPr>
              <w:t>Carl Rudolf Blankart, Saskia Maria De Gani, H Crimlisk, M Desmedt, B Bauer, G Doyle</w:t>
            </w:r>
            <w:r w:rsidR="004D782C" w:rsidRPr="00A77C97">
              <w:rPr>
                <w:rFonts w:ascii="Garamond" w:hAnsi="Garamond"/>
                <w:lang w:val="en-AU"/>
              </w:rPr>
              <w:t>)</w:t>
            </w:r>
          </w:p>
          <w:p w14:paraId="234F0096" w14:textId="0C935F4E" w:rsidR="00A30437" w:rsidRPr="00A77C97" w:rsidRDefault="00A30437" w:rsidP="001B2A71">
            <w:pPr>
              <w:pStyle w:val="ListParagraph"/>
              <w:numPr>
                <w:ilvl w:val="0"/>
                <w:numId w:val="22"/>
              </w:numPr>
              <w:rPr>
                <w:rFonts w:ascii="Garamond" w:hAnsi="Garamond"/>
                <w:lang w:val="en-AU"/>
              </w:rPr>
            </w:pPr>
            <w:r w:rsidRPr="00A77C97">
              <w:rPr>
                <w:rFonts w:ascii="Garamond" w:hAnsi="Garamond"/>
                <w:lang w:val="en-AU"/>
              </w:rPr>
              <w:t xml:space="preserve">The role of the </w:t>
            </w:r>
            <w:r w:rsidRPr="00A77C97">
              <w:rPr>
                <w:rFonts w:ascii="Garamond" w:hAnsi="Garamond"/>
                <w:b/>
                <w:bCs/>
                <w:lang w:val="en-AU"/>
              </w:rPr>
              <w:t>health sector in tackling climate change</w:t>
            </w:r>
            <w:r w:rsidRPr="00A77C97">
              <w:rPr>
                <w:rFonts w:ascii="Garamond" w:hAnsi="Garamond"/>
                <w:lang w:val="en-AU"/>
              </w:rPr>
              <w:t xml:space="preserve">: A narrative review </w:t>
            </w:r>
            <w:r w:rsidR="004D782C" w:rsidRPr="00A77C97">
              <w:rPr>
                <w:rFonts w:ascii="Garamond" w:hAnsi="Garamond"/>
                <w:lang w:val="en-AU"/>
              </w:rPr>
              <w:t>(</w:t>
            </w:r>
            <w:r w:rsidRPr="00A77C97">
              <w:rPr>
                <w:rFonts w:ascii="Garamond" w:hAnsi="Garamond"/>
                <w:lang w:val="en-AU"/>
              </w:rPr>
              <w:t>Zeynep Or, Anna-Veera Seppänen</w:t>
            </w:r>
            <w:r w:rsidR="004D782C" w:rsidRPr="00A77C97">
              <w:rPr>
                <w:rFonts w:ascii="Garamond" w:hAnsi="Garamond"/>
                <w:lang w:val="en-AU"/>
              </w:rPr>
              <w:t>)</w:t>
            </w:r>
          </w:p>
          <w:p w14:paraId="5286EBEF" w14:textId="29FD875D" w:rsidR="00A30437" w:rsidRPr="00A77C97" w:rsidRDefault="00A30437" w:rsidP="00D22FC1">
            <w:pPr>
              <w:pStyle w:val="ListParagraph"/>
              <w:numPr>
                <w:ilvl w:val="0"/>
                <w:numId w:val="22"/>
              </w:numPr>
              <w:rPr>
                <w:rFonts w:ascii="Garamond" w:hAnsi="Garamond"/>
                <w:lang w:val="en-AU"/>
              </w:rPr>
            </w:pPr>
            <w:r w:rsidRPr="00A77C97">
              <w:rPr>
                <w:rFonts w:ascii="Garamond" w:hAnsi="Garamond"/>
                <w:lang w:val="en-AU"/>
              </w:rPr>
              <w:t xml:space="preserve">Variations and inequities in </w:t>
            </w:r>
            <w:r w:rsidRPr="00A77C97">
              <w:rPr>
                <w:rFonts w:ascii="Garamond" w:hAnsi="Garamond"/>
                <w:b/>
                <w:bCs/>
                <w:lang w:val="en-AU"/>
              </w:rPr>
              <w:t>access to cardiac diagnostic services</w:t>
            </w:r>
            <w:r w:rsidRPr="00A77C97">
              <w:rPr>
                <w:rFonts w:ascii="Garamond" w:hAnsi="Garamond"/>
                <w:lang w:val="en-AU"/>
              </w:rPr>
              <w:t xml:space="preserve"> in Ontario Canada </w:t>
            </w:r>
            <w:r w:rsidR="004D782C" w:rsidRPr="00A77C97">
              <w:rPr>
                <w:rFonts w:ascii="Garamond" w:hAnsi="Garamond"/>
                <w:lang w:val="en-AU"/>
              </w:rPr>
              <w:t>(</w:t>
            </w:r>
            <w:r w:rsidRPr="00A77C97">
              <w:rPr>
                <w:rFonts w:ascii="Garamond" w:hAnsi="Garamond"/>
                <w:lang w:val="en-AU"/>
              </w:rPr>
              <w:t>Gavin Wardle, Anthony J. Sanfilippo, Ashrut Narula, Andriy Kolos, Kwan Chan, Howard Leong-Poi, Zion Sasson, Graham Woodward</w:t>
            </w:r>
            <w:r w:rsidR="004D782C" w:rsidRPr="00A77C97">
              <w:rPr>
                <w:rFonts w:ascii="Garamond" w:hAnsi="Garamond"/>
                <w:lang w:val="en-AU"/>
              </w:rPr>
              <w:t>)</w:t>
            </w:r>
          </w:p>
          <w:p w14:paraId="15A718AF" w14:textId="537110A3" w:rsidR="004D782C" w:rsidRPr="00A77C97" w:rsidRDefault="00A30437" w:rsidP="00BE24EB">
            <w:pPr>
              <w:pStyle w:val="ListParagraph"/>
              <w:numPr>
                <w:ilvl w:val="0"/>
                <w:numId w:val="22"/>
              </w:numPr>
              <w:rPr>
                <w:rFonts w:ascii="Garamond" w:hAnsi="Garamond"/>
                <w:lang w:val="en-AU"/>
              </w:rPr>
            </w:pPr>
            <w:r w:rsidRPr="00A77C97">
              <w:rPr>
                <w:rFonts w:ascii="Garamond" w:hAnsi="Garamond"/>
                <w:lang w:val="en-AU"/>
              </w:rPr>
              <w:t xml:space="preserve">Understanding the legacies of shocks on </w:t>
            </w:r>
            <w:r w:rsidRPr="00A77C97">
              <w:rPr>
                <w:rFonts w:ascii="Garamond" w:hAnsi="Garamond"/>
                <w:b/>
                <w:bCs/>
                <w:lang w:val="en-AU"/>
              </w:rPr>
              <w:t>health system performance</w:t>
            </w:r>
            <w:r w:rsidRPr="00A77C97">
              <w:rPr>
                <w:rFonts w:ascii="Garamond" w:hAnsi="Garamond"/>
                <w:lang w:val="en-AU"/>
              </w:rPr>
              <w:t xml:space="preserve">: Exploring Ireland's management of recent crises and its implications for policy </w:t>
            </w:r>
            <w:r w:rsidR="004D782C" w:rsidRPr="00A77C97">
              <w:rPr>
                <w:rFonts w:ascii="Garamond" w:hAnsi="Garamond"/>
                <w:lang w:val="en-AU"/>
              </w:rPr>
              <w:t>(</w:t>
            </w:r>
            <w:r w:rsidRPr="00A77C97">
              <w:rPr>
                <w:rFonts w:ascii="Garamond" w:hAnsi="Garamond"/>
                <w:lang w:val="en-AU"/>
              </w:rPr>
              <w:t xml:space="preserve">Liz Farsaci, Padraic Fleming, </w:t>
            </w:r>
            <w:proofErr w:type="gramStart"/>
            <w:r w:rsidRPr="00A77C97">
              <w:rPr>
                <w:rFonts w:ascii="Garamond" w:hAnsi="Garamond"/>
                <w:lang w:val="en-AU"/>
              </w:rPr>
              <w:t>A</w:t>
            </w:r>
            <w:proofErr w:type="gramEnd"/>
            <w:r w:rsidRPr="00A77C97">
              <w:rPr>
                <w:rFonts w:ascii="Garamond" w:hAnsi="Garamond"/>
                <w:lang w:val="en-AU"/>
              </w:rPr>
              <w:t xml:space="preserve"> Almirall-Sanchez, C O'Donoghue, S Thomas</w:t>
            </w:r>
            <w:r w:rsidR="004D782C" w:rsidRPr="00A77C97">
              <w:rPr>
                <w:rFonts w:ascii="Garamond" w:hAnsi="Garamond"/>
                <w:lang w:val="en-AU"/>
              </w:rPr>
              <w:t>)</w:t>
            </w:r>
          </w:p>
          <w:p w14:paraId="425BC020" w14:textId="74E3A4AB" w:rsidR="00A30437" w:rsidRPr="00A77C97" w:rsidRDefault="00A30437" w:rsidP="00B771C0">
            <w:pPr>
              <w:pStyle w:val="ListParagraph"/>
              <w:numPr>
                <w:ilvl w:val="0"/>
                <w:numId w:val="22"/>
              </w:numPr>
              <w:rPr>
                <w:rFonts w:ascii="Garamond" w:hAnsi="Garamond"/>
                <w:lang w:val="en-AU"/>
              </w:rPr>
            </w:pPr>
            <w:r w:rsidRPr="00A77C97">
              <w:rPr>
                <w:rFonts w:ascii="Garamond" w:hAnsi="Garamond"/>
                <w:lang w:val="en-AU"/>
              </w:rPr>
              <w:t xml:space="preserve">Responsiveness of </w:t>
            </w:r>
            <w:r w:rsidRPr="00A77C97">
              <w:rPr>
                <w:rFonts w:ascii="Garamond" w:hAnsi="Garamond"/>
                <w:b/>
                <w:bCs/>
                <w:lang w:val="en-AU"/>
              </w:rPr>
              <w:t>inpatient care and provision of dignity</w:t>
            </w:r>
            <w:r w:rsidRPr="00A77C97">
              <w:rPr>
                <w:rFonts w:ascii="Garamond" w:hAnsi="Garamond"/>
                <w:lang w:val="en-AU"/>
              </w:rPr>
              <w:t xml:space="preserve">: Insights from a patient experience survey in Israel </w:t>
            </w:r>
            <w:r w:rsidR="004D782C" w:rsidRPr="00A77C97">
              <w:rPr>
                <w:rFonts w:ascii="Garamond" w:hAnsi="Garamond"/>
                <w:lang w:val="en-AU"/>
              </w:rPr>
              <w:t>(</w:t>
            </w:r>
            <w:r w:rsidRPr="00A77C97">
              <w:rPr>
                <w:rFonts w:ascii="Garamond" w:hAnsi="Garamond"/>
                <w:lang w:val="en-AU"/>
              </w:rPr>
              <w:t>Keren Semyonov-Tal</w:t>
            </w:r>
            <w:r w:rsidR="004D782C" w:rsidRPr="00A77C97">
              <w:rPr>
                <w:rFonts w:ascii="Garamond" w:hAnsi="Garamond"/>
                <w:lang w:val="en-AU"/>
              </w:rPr>
              <w:t>)</w:t>
            </w:r>
          </w:p>
          <w:p w14:paraId="10046667" w14:textId="48BC452D" w:rsidR="00A30437" w:rsidRPr="00A77C97" w:rsidRDefault="00A30437" w:rsidP="00473E73">
            <w:pPr>
              <w:pStyle w:val="ListParagraph"/>
              <w:numPr>
                <w:ilvl w:val="0"/>
                <w:numId w:val="22"/>
              </w:numPr>
              <w:rPr>
                <w:rFonts w:ascii="Garamond" w:hAnsi="Garamond"/>
                <w:lang w:val="en-AU"/>
              </w:rPr>
            </w:pPr>
            <w:r w:rsidRPr="00A77C97">
              <w:rPr>
                <w:rFonts w:ascii="Garamond" w:hAnsi="Garamond"/>
                <w:lang w:val="en-AU"/>
              </w:rPr>
              <w:t xml:space="preserve">Disentangling the impact of </w:t>
            </w:r>
            <w:r w:rsidRPr="00A77C97">
              <w:rPr>
                <w:rFonts w:ascii="Garamond" w:hAnsi="Garamond"/>
                <w:b/>
                <w:bCs/>
                <w:lang w:val="en-AU"/>
              </w:rPr>
              <w:t>alternative payment models and associated service delivery models on quality of chronic care</w:t>
            </w:r>
            <w:r w:rsidRPr="00A77C97">
              <w:rPr>
                <w:rFonts w:ascii="Garamond" w:hAnsi="Garamond"/>
                <w:lang w:val="en-AU"/>
              </w:rPr>
              <w:t xml:space="preserve">: A scoping review </w:t>
            </w:r>
            <w:r w:rsidR="004D782C" w:rsidRPr="00A77C97">
              <w:rPr>
                <w:rFonts w:ascii="Garamond" w:hAnsi="Garamond"/>
                <w:lang w:val="en-AU"/>
              </w:rPr>
              <w:t>(</w:t>
            </w:r>
            <w:r w:rsidRPr="00A77C97">
              <w:rPr>
                <w:rFonts w:ascii="Garamond" w:hAnsi="Garamond"/>
                <w:lang w:val="en-AU"/>
              </w:rPr>
              <w:t>Cassandra Simmons, Mirjam Pot, Klara Lorenz-Dant, Kai Leichsenring</w:t>
            </w:r>
            <w:r w:rsidR="004D782C" w:rsidRPr="00A77C97">
              <w:rPr>
                <w:rFonts w:ascii="Garamond" w:hAnsi="Garamond"/>
                <w:lang w:val="en-AU"/>
              </w:rPr>
              <w:t>)</w:t>
            </w:r>
          </w:p>
          <w:p w14:paraId="0F209D71" w14:textId="77777777" w:rsidR="00572145" w:rsidRPr="00A77C97" w:rsidRDefault="00A30437" w:rsidP="007177A9">
            <w:pPr>
              <w:pStyle w:val="ListParagraph"/>
              <w:numPr>
                <w:ilvl w:val="0"/>
                <w:numId w:val="22"/>
              </w:numPr>
              <w:rPr>
                <w:rFonts w:ascii="Garamond" w:hAnsi="Garamond"/>
                <w:lang w:val="en-AU"/>
              </w:rPr>
            </w:pPr>
            <w:r w:rsidRPr="00A77C97">
              <w:rPr>
                <w:rFonts w:ascii="Garamond" w:hAnsi="Garamond"/>
                <w:lang w:val="en-AU"/>
              </w:rPr>
              <w:lastRenderedPageBreak/>
              <w:t xml:space="preserve">The dynamics of </w:t>
            </w:r>
            <w:r w:rsidRPr="00A77C97">
              <w:rPr>
                <w:rFonts w:ascii="Garamond" w:hAnsi="Garamond"/>
                <w:b/>
                <w:bCs/>
                <w:lang w:val="en-AU"/>
              </w:rPr>
              <w:t>international health system reforms</w:t>
            </w:r>
            <w:r w:rsidRPr="00A77C97">
              <w:rPr>
                <w:rFonts w:ascii="Garamond" w:hAnsi="Garamond"/>
                <w:lang w:val="en-AU"/>
              </w:rPr>
              <w:t xml:space="preserve">: Evidence of a new wave in response to the 2008 economic crisis and the COVID-19 pandemic? </w:t>
            </w:r>
            <w:r w:rsidR="00572145" w:rsidRPr="00A77C97">
              <w:rPr>
                <w:rFonts w:ascii="Garamond" w:hAnsi="Garamond"/>
                <w:lang w:val="en-AU"/>
              </w:rPr>
              <w:t>(</w:t>
            </w:r>
            <w:r w:rsidRPr="00A77C97">
              <w:rPr>
                <w:rFonts w:ascii="Garamond" w:hAnsi="Garamond"/>
                <w:lang w:val="en-AU"/>
              </w:rPr>
              <w:t>Chiara Berardi, Frederik Schut, Francesco Paolucci</w:t>
            </w:r>
            <w:r w:rsidR="00572145" w:rsidRPr="00A77C97">
              <w:rPr>
                <w:rFonts w:ascii="Garamond" w:hAnsi="Garamond"/>
                <w:lang w:val="en-AU"/>
              </w:rPr>
              <w:t>)</w:t>
            </w:r>
          </w:p>
          <w:p w14:paraId="2C3C180A" w14:textId="7B870535" w:rsidR="00572145" w:rsidRPr="00A77C97" w:rsidRDefault="00A30437" w:rsidP="00190297">
            <w:pPr>
              <w:pStyle w:val="ListParagraph"/>
              <w:numPr>
                <w:ilvl w:val="0"/>
                <w:numId w:val="22"/>
              </w:numPr>
              <w:rPr>
                <w:rFonts w:ascii="Garamond" w:hAnsi="Garamond"/>
                <w:lang w:val="en-AU"/>
              </w:rPr>
            </w:pPr>
            <w:r w:rsidRPr="00A77C97">
              <w:rPr>
                <w:rFonts w:ascii="Garamond" w:hAnsi="Garamond"/>
                <w:lang w:val="en-AU"/>
              </w:rPr>
              <w:t xml:space="preserve">New </w:t>
            </w:r>
            <w:r w:rsidRPr="00A77C97">
              <w:rPr>
                <w:rFonts w:ascii="Garamond" w:hAnsi="Garamond"/>
                <w:b/>
                <w:bCs/>
                <w:lang w:val="en-AU"/>
              </w:rPr>
              <w:t>paramedic scope of practice</w:t>
            </w:r>
            <w:r w:rsidRPr="00A77C97">
              <w:rPr>
                <w:rFonts w:ascii="Garamond" w:hAnsi="Garamond"/>
                <w:lang w:val="en-AU"/>
              </w:rPr>
              <w:t xml:space="preserve"> in Poland based on the 2022 reform </w:t>
            </w:r>
            <w:r w:rsidR="00572145" w:rsidRPr="00A77C97">
              <w:rPr>
                <w:rFonts w:ascii="Garamond" w:hAnsi="Garamond"/>
                <w:lang w:val="en-AU"/>
              </w:rPr>
              <w:t>(</w:t>
            </w:r>
            <w:r w:rsidRPr="00A77C97">
              <w:rPr>
                <w:rFonts w:ascii="Garamond" w:hAnsi="Garamond"/>
                <w:lang w:val="en-AU"/>
              </w:rPr>
              <w:t>Katarzyna Nowak-Zając, Alicja Domagała, I A Bielska, I Kowalska-Bobko</w:t>
            </w:r>
            <w:r w:rsidR="00572145" w:rsidRPr="00A77C97">
              <w:rPr>
                <w:rFonts w:ascii="Garamond" w:hAnsi="Garamond"/>
                <w:lang w:val="en-AU"/>
              </w:rPr>
              <w:t>)</w:t>
            </w:r>
          </w:p>
          <w:p w14:paraId="09E20BF6" w14:textId="05DFB7E5" w:rsidR="003E6A0E" w:rsidRPr="00A77C97" w:rsidRDefault="00A30437" w:rsidP="00E34E0D">
            <w:pPr>
              <w:pStyle w:val="ListParagraph"/>
              <w:numPr>
                <w:ilvl w:val="0"/>
                <w:numId w:val="22"/>
              </w:numPr>
              <w:rPr>
                <w:rFonts w:ascii="Garamond" w:hAnsi="Garamond"/>
                <w:lang w:val="en-AU"/>
              </w:rPr>
            </w:pPr>
            <w:r w:rsidRPr="00A77C97">
              <w:rPr>
                <w:rFonts w:ascii="Garamond" w:hAnsi="Garamond"/>
                <w:lang w:val="en-AU"/>
              </w:rPr>
              <w:t xml:space="preserve">The association between allostatic load and guaranteed annual income using the Canadian Longitudinal Study on Aging: A cross-sectional analysis of the </w:t>
            </w:r>
            <w:r w:rsidRPr="00A77C97">
              <w:rPr>
                <w:rFonts w:ascii="Garamond" w:hAnsi="Garamond"/>
                <w:b/>
                <w:bCs/>
                <w:lang w:val="en-AU"/>
              </w:rPr>
              <w:t>benefits of guaranteed public pensions</w:t>
            </w:r>
            <w:r w:rsidRPr="00A77C97">
              <w:rPr>
                <w:rFonts w:ascii="Garamond" w:hAnsi="Garamond"/>
                <w:lang w:val="en-AU"/>
              </w:rPr>
              <w:t xml:space="preserve"> </w:t>
            </w:r>
            <w:r w:rsidR="003E6A0E" w:rsidRPr="00A77C97">
              <w:rPr>
                <w:rFonts w:ascii="Garamond" w:hAnsi="Garamond"/>
                <w:lang w:val="en-AU"/>
              </w:rPr>
              <w:t>(</w:t>
            </w:r>
            <w:r w:rsidRPr="00A77C97">
              <w:rPr>
                <w:rFonts w:ascii="Garamond" w:hAnsi="Garamond"/>
                <w:lang w:val="en-AU"/>
              </w:rPr>
              <w:t>Luke Duignan, Daniel J Dutton</w:t>
            </w:r>
            <w:r w:rsidR="003E6A0E" w:rsidRPr="00A77C97">
              <w:rPr>
                <w:rFonts w:ascii="Garamond" w:hAnsi="Garamond"/>
                <w:lang w:val="en-AU"/>
              </w:rPr>
              <w:t>)</w:t>
            </w:r>
          </w:p>
          <w:p w14:paraId="0967201A" w14:textId="77777777" w:rsidR="003E6A0E" w:rsidRPr="00A77C97" w:rsidRDefault="00A30437" w:rsidP="00225C4F">
            <w:pPr>
              <w:pStyle w:val="ListParagraph"/>
              <w:numPr>
                <w:ilvl w:val="0"/>
                <w:numId w:val="22"/>
              </w:numPr>
              <w:rPr>
                <w:rFonts w:ascii="Garamond" w:hAnsi="Garamond"/>
                <w:lang w:val="en-AU"/>
              </w:rPr>
            </w:pPr>
            <w:r w:rsidRPr="00A77C97">
              <w:rPr>
                <w:rFonts w:ascii="Garamond" w:hAnsi="Garamond"/>
                <w:lang w:val="en-AU"/>
              </w:rPr>
              <w:t xml:space="preserve">Tackling </w:t>
            </w:r>
            <w:r w:rsidRPr="00A77C97">
              <w:rPr>
                <w:rFonts w:ascii="Garamond" w:hAnsi="Garamond"/>
                <w:b/>
                <w:bCs/>
                <w:lang w:val="en-AU"/>
              </w:rPr>
              <w:t>medicine shortages</w:t>
            </w:r>
            <w:r w:rsidRPr="00A77C97">
              <w:rPr>
                <w:rFonts w:ascii="Garamond" w:hAnsi="Garamond"/>
                <w:lang w:val="en-AU"/>
              </w:rPr>
              <w:t xml:space="preserve"> during and after the COVID-19 pandemic: Compilation of governmental policy measures and developments in 38 countries </w:t>
            </w:r>
            <w:r w:rsidR="003E6A0E" w:rsidRPr="00A77C97">
              <w:rPr>
                <w:rFonts w:ascii="Garamond" w:hAnsi="Garamond"/>
                <w:lang w:val="en-AU"/>
              </w:rPr>
              <w:t>(</w:t>
            </w:r>
            <w:r w:rsidRPr="00A77C97">
              <w:rPr>
                <w:rFonts w:ascii="Garamond" w:hAnsi="Garamond"/>
                <w:lang w:val="en-AU"/>
              </w:rPr>
              <w:t>Sabine Vogler</w:t>
            </w:r>
            <w:r w:rsidR="003E6A0E" w:rsidRPr="00A77C97">
              <w:rPr>
                <w:rFonts w:ascii="Garamond" w:hAnsi="Garamond"/>
                <w:lang w:val="en-AU"/>
              </w:rPr>
              <w:t>)</w:t>
            </w:r>
          </w:p>
          <w:p w14:paraId="03D6F214" w14:textId="77777777" w:rsidR="003E6A0E" w:rsidRPr="00A77C97" w:rsidRDefault="00A30437" w:rsidP="00D95354">
            <w:pPr>
              <w:pStyle w:val="ListParagraph"/>
              <w:numPr>
                <w:ilvl w:val="0"/>
                <w:numId w:val="22"/>
              </w:numPr>
              <w:rPr>
                <w:rFonts w:ascii="Garamond" w:hAnsi="Garamond"/>
                <w:lang w:val="en-AU"/>
              </w:rPr>
            </w:pPr>
            <w:r w:rsidRPr="00A77C97">
              <w:rPr>
                <w:rFonts w:ascii="Garamond" w:hAnsi="Garamond"/>
                <w:lang w:val="en-AU"/>
              </w:rPr>
              <w:t xml:space="preserve">Lessons learned from the Canadian Fabry Disease Initiative for </w:t>
            </w:r>
            <w:r w:rsidRPr="00A77C97">
              <w:rPr>
                <w:rFonts w:ascii="Garamond" w:hAnsi="Garamond"/>
                <w:b/>
                <w:bCs/>
                <w:lang w:val="en-AU"/>
              </w:rPr>
              <w:t>future risk-sharing and managed access agreements for pharmaceutical and advanced therapies</w:t>
            </w:r>
            <w:r w:rsidRPr="00A77C97">
              <w:rPr>
                <w:rFonts w:ascii="Garamond" w:hAnsi="Garamond"/>
                <w:lang w:val="en-AU"/>
              </w:rPr>
              <w:t xml:space="preserve"> in Canada </w:t>
            </w:r>
            <w:r w:rsidR="003E6A0E" w:rsidRPr="00A77C97">
              <w:rPr>
                <w:rFonts w:ascii="Garamond" w:hAnsi="Garamond"/>
                <w:lang w:val="en-AU"/>
              </w:rPr>
              <w:t>(</w:t>
            </w:r>
            <w:r w:rsidRPr="00A77C97">
              <w:rPr>
                <w:rFonts w:ascii="Garamond" w:hAnsi="Garamond"/>
                <w:lang w:val="en-AU"/>
              </w:rPr>
              <w:t>Conor M.W. Douglas, Shir Grunebaum</w:t>
            </w:r>
            <w:r w:rsidR="003E6A0E" w:rsidRPr="00A77C97">
              <w:rPr>
                <w:rFonts w:ascii="Garamond" w:hAnsi="Garamond"/>
                <w:lang w:val="en-AU"/>
              </w:rPr>
              <w:t>)</w:t>
            </w:r>
          </w:p>
          <w:p w14:paraId="356BC8FF" w14:textId="77777777" w:rsidR="003E6A0E" w:rsidRPr="00A77C97" w:rsidRDefault="00A30437" w:rsidP="00C86C6F">
            <w:pPr>
              <w:pStyle w:val="ListParagraph"/>
              <w:numPr>
                <w:ilvl w:val="0"/>
                <w:numId w:val="22"/>
              </w:numPr>
              <w:rPr>
                <w:rFonts w:ascii="Garamond" w:hAnsi="Garamond"/>
                <w:lang w:val="en-AU"/>
              </w:rPr>
            </w:pPr>
            <w:r w:rsidRPr="00A77C97">
              <w:rPr>
                <w:rFonts w:ascii="Garamond" w:hAnsi="Garamond"/>
                <w:b/>
                <w:bCs/>
                <w:lang w:val="en-AU"/>
              </w:rPr>
              <w:t>Nurses’ intention to leave, nurse workload and in-hospital patient mortality</w:t>
            </w:r>
            <w:r w:rsidRPr="00A77C97">
              <w:rPr>
                <w:rFonts w:ascii="Garamond" w:hAnsi="Garamond"/>
                <w:lang w:val="en-AU"/>
              </w:rPr>
              <w:t xml:space="preserve"> in Italy: A descriptive and regression study</w:t>
            </w:r>
            <w:r w:rsidR="003E6A0E" w:rsidRPr="00A77C97">
              <w:rPr>
                <w:rFonts w:ascii="Garamond" w:hAnsi="Garamond"/>
                <w:lang w:val="en-AU"/>
              </w:rPr>
              <w:t xml:space="preserve"> (</w:t>
            </w:r>
            <w:r w:rsidRPr="00A77C97">
              <w:rPr>
                <w:rFonts w:ascii="Garamond" w:hAnsi="Garamond"/>
                <w:lang w:val="en-AU"/>
              </w:rPr>
              <w:t>Gianluca Catania, Milko Zanini, Marzia A. Cremona, Paolo Landa, Maria Emma Musio, Roger Watson, Giuseppe Aleo, Linda H. Aiken, Loredana Sasso, Annamaria Bagnasco</w:t>
            </w:r>
            <w:r w:rsidR="003E6A0E" w:rsidRPr="00A77C97">
              <w:rPr>
                <w:rFonts w:ascii="Garamond" w:hAnsi="Garamond"/>
                <w:lang w:val="en-AU"/>
              </w:rPr>
              <w:t>)</w:t>
            </w:r>
          </w:p>
          <w:p w14:paraId="1A8E1764" w14:textId="77777777" w:rsidR="003E6A0E" w:rsidRPr="00A77C97" w:rsidRDefault="00A30437" w:rsidP="00744247">
            <w:pPr>
              <w:pStyle w:val="ListParagraph"/>
              <w:numPr>
                <w:ilvl w:val="0"/>
                <w:numId w:val="22"/>
              </w:numPr>
              <w:rPr>
                <w:rFonts w:ascii="Garamond" w:hAnsi="Garamond"/>
                <w:lang w:val="en-AU"/>
              </w:rPr>
            </w:pPr>
            <w:r w:rsidRPr="00A77C97">
              <w:rPr>
                <w:rFonts w:ascii="Garamond" w:hAnsi="Garamond"/>
                <w:b/>
                <w:bCs/>
                <w:lang w:val="en-AU"/>
              </w:rPr>
              <w:t>Pay-for-performance and patient safety in acute care</w:t>
            </w:r>
            <w:r w:rsidRPr="00A77C97">
              <w:rPr>
                <w:rFonts w:ascii="Garamond" w:hAnsi="Garamond"/>
                <w:lang w:val="en-AU"/>
              </w:rPr>
              <w:t xml:space="preserve">: A systematic review </w:t>
            </w:r>
            <w:r w:rsidR="003E6A0E" w:rsidRPr="00A77C97">
              <w:rPr>
                <w:rFonts w:ascii="Garamond" w:hAnsi="Garamond"/>
                <w:lang w:val="en-AU"/>
              </w:rPr>
              <w:t>(</w:t>
            </w:r>
            <w:r w:rsidRPr="00A77C97">
              <w:rPr>
                <w:rFonts w:ascii="Garamond" w:hAnsi="Garamond"/>
                <w:lang w:val="en-AU"/>
              </w:rPr>
              <w:t>Luke Slawomirski, Martin Hensher, Julie Campbell, Barbara deGraaff</w:t>
            </w:r>
            <w:r w:rsidR="003E6A0E" w:rsidRPr="00A77C97">
              <w:rPr>
                <w:rFonts w:ascii="Garamond" w:hAnsi="Garamond"/>
                <w:lang w:val="en-AU"/>
              </w:rPr>
              <w:t>)</w:t>
            </w:r>
          </w:p>
          <w:p w14:paraId="4CD264F6" w14:textId="77777777" w:rsidR="003E6A0E" w:rsidRPr="00A77C97" w:rsidRDefault="00A30437" w:rsidP="00C9745E">
            <w:pPr>
              <w:pStyle w:val="ListParagraph"/>
              <w:numPr>
                <w:ilvl w:val="0"/>
                <w:numId w:val="22"/>
              </w:numPr>
              <w:rPr>
                <w:rFonts w:ascii="Garamond" w:hAnsi="Garamond"/>
                <w:lang w:val="en-AU"/>
              </w:rPr>
            </w:pPr>
            <w:r w:rsidRPr="00A77C97">
              <w:rPr>
                <w:rFonts w:ascii="Garamond" w:hAnsi="Garamond"/>
                <w:lang w:val="en-AU"/>
              </w:rPr>
              <w:t xml:space="preserve">From symbiosis to independence: Investigating changes in the relationship between general practitioners’ presence and </w:t>
            </w:r>
            <w:r w:rsidRPr="00A77C97">
              <w:rPr>
                <w:rFonts w:ascii="Garamond" w:hAnsi="Garamond"/>
                <w:b/>
                <w:bCs/>
                <w:lang w:val="en-AU"/>
              </w:rPr>
              <w:t>pharmacies’ market size</w:t>
            </w:r>
            <w:r w:rsidRPr="00A77C97">
              <w:rPr>
                <w:rFonts w:ascii="Garamond" w:hAnsi="Garamond"/>
                <w:lang w:val="en-AU"/>
              </w:rPr>
              <w:t xml:space="preserve"> in Slovakia </w:t>
            </w:r>
            <w:r w:rsidR="003E6A0E" w:rsidRPr="00A77C97">
              <w:rPr>
                <w:rFonts w:ascii="Garamond" w:hAnsi="Garamond"/>
                <w:lang w:val="en-AU"/>
              </w:rPr>
              <w:t>(</w:t>
            </w:r>
            <w:r w:rsidRPr="00A77C97">
              <w:rPr>
                <w:rFonts w:ascii="Garamond" w:hAnsi="Garamond"/>
                <w:lang w:val="en-AU"/>
              </w:rPr>
              <w:t>Richard Kališ</w:t>
            </w:r>
            <w:r w:rsidR="003E6A0E" w:rsidRPr="00A77C97">
              <w:rPr>
                <w:rFonts w:ascii="Garamond" w:hAnsi="Garamond"/>
                <w:lang w:val="en-AU"/>
              </w:rPr>
              <w:t>)</w:t>
            </w:r>
          </w:p>
          <w:p w14:paraId="5FCFA308" w14:textId="2A62CD3B" w:rsidR="003E6A0E" w:rsidRPr="00A77C97" w:rsidRDefault="00A30437" w:rsidP="004D4EB6">
            <w:pPr>
              <w:pStyle w:val="ListParagraph"/>
              <w:numPr>
                <w:ilvl w:val="0"/>
                <w:numId w:val="22"/>
              </w:numPr>
              <w:rPr>
                <w:rFonts w:ascii="Garamond" w:hAnsi="Garamond"/>
                <w:lang w:val="en-AU"/>
              </w:rPr>
            </w:pPr>
            <w:r w:rsidRPr="00A77C97">
              <w:rPr>
                <w:rFonts w:ascii="Garamond" w:hAnsi="Garamond"/>
                <w:lang w:val="en-AU"/>
              </w:rPr>
              <w:t xml:space="preserve">Unlocking the genomic landscape: Results of the Beyond 1 </w:t>
            </w:r>
            <w:proofErr w:type="gramStart"/>
            <w:r w:rsidRPr="00A77C97">
              <w:rPr>
                <w:rFonts w:ascii="Garamond" w:hAnsi="Garamond"/>
                <w:lang w:val="en-AU"/>
              </w:rPr>
              <w:t>Million</w:t>
            </w:r>
            <w:proofErr w:type="gramEnd"/>
            <w:r w:rsidRPr="00A77C97">
              <w:rPr>
                <w:rFonts w:ascii="Garamond" w:hAnsi="Garamond"/>
                <w:lang w:val="en-AU"/>
              </w:rPr>
              <w:t xml:space="preserve"> Genomes (B1MG) pilot in Belgium towards </w:t>
            </w:r>
            <w:r w:rsidRPr="00A77C97">
              <w:rPr>
                <w:rFonts w:ascii="Garamond" w:hAnsi="Garamond"/>
                <w:b/>
                <w:bCs/>
                <w:lang w:val="en-AU"/>
              </w:rPr>
              <w:t>Genomic Data Infrastructure</w:t>
            </w:r>
            <w:r w:rsidRPr="00A77C97">
              <w:rPr>
                <w:rFonts w:ascii="Garamond" w:hAnsi="Garamond"/>
                <w:lang w:val="en-AU"/>
              </w:rPr>
              <w:t xml:space="preserve"> (GDI) </w:t>
            </w:r>
            <w:r w:rsidR="003E6A0E" w:rsidRPr="00A77C97">
              <w:rPr>
                <w:rFonts w:ascii="Garamond" w:hAnsi="Garamond"/>
                <w:lang w:val="en-AU"/>
              </w:rPr>
              <w:t>(</w:t>
            </w:r>
            <w:r w:rsidRPr="00A77C97">
              <w:rPr>
                <w:rFonts w:ascii="Garamond" w:hAnsi="Garamond"/>
                <w:lang w:val="en-AU"/>
              </w:rPr>
              <w:t>Tugce Schmitt, Hélène A. Poirel, E Cauët, M Delnord, M</w:t>
            </w:r>
            <w:r w:rsidR="001C4F8A" w:rsidRPr="00A77C97">
              <w:rPr>
                <w:rFonts w:ascii="Garamond" w:hAnsi="Garamond"/>
                <w:lang w:val="en-AU"/>
              </w:rPr>
              <w:t xml:space="preserve"> </w:t>
            </w:r>
            <w:r w:rsidRPr="00A77C97">
              <w:rPr>
                <w:rFonts w:ascii="Garamond" w:hAnsi="Garamond"/>
                <w:lang w:val="en-AU"/>
              </w:rPr>
              <w:t>Van den Bulcke</w:t>
            </w:r>
            <w:r w:rsidR="003E6A0E" w:rsidRPr="00A77C97">
              <w:rPr>
                <w:rFonts w:ascii="Garamond" w:hAnsi="Garamond"/>
                <w:lang w:val="en-AU"/>
              </w:rPr>
              <w:t>)</w:t>
            </w:r>
          </w:p>
          <w:p w14:paraId="5F45E415" w14:textId="77777777" w:rsidR="003E6A0E" w:rsidRPr="00A77C97" w:rsidRDefault="00A30437" w:rsidP="0022474B">
            <w:pPr>
              <w:pStyle w:val="ListParagraph"/>
              <w:numPr>
                <w:ilvl w:val="0"/>
                <w:numId w:val="22"/>
              </w:numPr>
              <w:rPr>
                <w:rFonts w:ascii="Garamond" w:hAnsi="Garamond"/>
                <w:lang w:val="en-AU"/>
              </w:rPr>
            </w:pPr>
            <w:r w:rsidRPr="00A77C97">
              <w:rPr>
                <w:rFonts w:ascii="Garamond" w:hAnsi="Garamond"/>
                <w:lang w:val="en-AU"/>
              </w:rPr>
              <w:t xml:space="preserve">The </w:t>
            </w:r>
            <w:r w:rsidRPr="00A77C97">
              <w:rPr>
                <w:rFonts w:ascii="Garamond" w:hAnsi="Garamond"/>
                <w:b/>
                <w:bCs/>
                <w:lang w:val="en-AU"/>
              </w:rPr>
              <w:t>hidden toll of the pandemic on nonrespiratory patients</w:t>
            </w:r>
            <w:r w:rsidRPr="00A77C97">
              <w:rPr>
                <w:rFonts w:ascii="Garamond" w:hAnsi="Garamond"/>
                <w:lang w:val="en-AU"/>
              </w:rPr>
              <w:t xml:space="preserve"> </w:t>
            </w:r>
            <w:r w:rsidR="003E6A0E" w:rsidRPr="00A77C97">
              <w:rPr>
                <w:rFonts w:ascii="Garamond" w:hAnsi="Garamond"/>
                <w:lang w:val="en-AU"/>
              </w:rPr>
              <w:t>(</w:t>
            </w:r>
            <w:r w:rsidRPr="00A77C97">
              <w:rPr>
                <w:rFonts w:ascii="Garamond" w:hAnsi="Garamond"/>
                <w:lang w:val="en-AU"/>
              </w:rPr>
              <w:t>Simone Ferro, Andrea Riganti</w:t>
            </w:r>
            <w:r w:rsidR="003E6A0E" w:rsidRPr="00A77C97">
              <w:rPr>
                <w:rFonts w:ascii="Garamond" w:hAnsi="Garamond"/>
                <w:lang w:val="en-AU"/>
              </w:rPr>
              <w:t>)</w:t>
            </w:r>
          </w:p>
          <w:p w14:paraId="54967C94" w14:textId="77777777" w:rsidR="003E6A0E" w:rsidRPr="00A77C97" w:rsidRDefault="00A30437" w:rsidP="00F13924">
            <w:pPr>
              <w:pStyle w:val="ListParagraph"/>
              <w:numPr>
                <w:ilvl w:val="0"/>
                <w:numId w:val="22"/>
              </w:numPr>
              <w:rPr>
                <w:rFonts w:ascii="Garamond" w:hAnsi="Garamond"/>
                <w:lang w:val="en-AU"/>
              </w:rPr>
            </w:pPr>
            <w:r w:rsidRPr="00A77C97">
              <w:rPr>
                <w:rFonts w:ascii="Garamond" w:hAnsi="Garamond"/>
                <w:lang w:val="en-AU"/>
              </w:rPr>
              <w:t xml:space="preserve">The association between </w:t>
            </w:r>
            <w:r w:rsidRPr="00A77C97">
              <w:rPr>
                <w:rFonts w:ascii="Garamond" w:hAnsi="Garamond"/>
                <w:b/>
                <w:bCs/>
                <w:lang w:val="en-AU"/>
              </w:rPr>
              <w:t>SARS-CoV-2 seroprevalence and cross-border mobility</w:t>
            </w:r>
            <w:r w:rsidRPr="00A77C97">
              <w:rPr>
                <w:rFonts w:ascii="Garamond" w:hAnsi="Garamond"/>
                <w:lang w:val="en-AU"/>
              </w:rPr>
              <w:t xml:space="preserve"> for visiting family or friends among Dutch residents of a Euregional province </w:t>
            </w:r>
            <w:r w:rsidR="003E6A0E" w:rsidRPr="00A77C97">
              <w:rPr>
                <w:rFonts w:ascii="Garamond" w:hAnsi="Garamond"/>
                <w:lang w:val="en-AU"/>
              </w:rPr>
              <w:t>(</w:t>
            </w:r>
            <w:r w:rsidRPr="00A77C97">
              <w:rPr>
                <w:rFonts w:ascii="Garamond" w:hAnsi="Garamond"/>
                <w:lang w:val="en-AU"/>
              </w:rPr>
              <w:t>Demi ME Pagen, Daniëlle AT Hanssen, Inge HM van Loo, Stephanie Brinkhues, Casper DJ den Heijer, Nicole HTM Dukers-Muijrers, Christian JPA Hoebe</w:t>
            </w:r>
            <w:r w:rsidR="003E6A0E" w:rsidRPr="00A77C97">
              <w:rPr>
                <w:rFonts w:ascii="Garamond" w:hAnsi="Garamond"/>
                <w:lang w:val="en-AU"/>
              </w:rPr>
              <w:t>)</w:t>
            </w:r>
          </w:p>
          <w:p w14:paraId="0BDE2ADA" w14:textId="77777777" w:rsidR="003E6A0E" w:rsidRPr="00A77C97" w:rsidRDefault="00A30437" w:rsidP="00DF04A2">
            <w:pPr>
              <w:pStyle w:val="ListParagraph"/>
              <w:numPr>
                <w:ilvl w:val="0"/>
                <w:numId w:val="22"/>
              </w:numPr>
              <w:rPr>
                <w:rFonts w:ascii="Garamond" w:hAnsi="Garamond"/>
                <w:lang w:val="en-AU"/>
              </w:rPr>
            </w:pPr>
            <w:r w:rsidRPr="00A77C97">
              <w:rPr>
                <w:rFonts w:ascii="Garamond" w:hAnsi="Garamond"/>
                <w:lang w:val="en-AU"/>
              </w:rPr>
              <w:t xml:space="preserve">The </w:t>
            </w:r>
            <w:r w:rsidRPr="00A77C97">
              <w:rPr>
                <w:rFonts w:ascii="Garamond" w:hAnsi="Garamond"/>
                <w:b/>
                <w:bCs/>
                <w:lang w:val="en-AU"/>
              </w:rPr>
              <w:t>impact of health on economic growth</w:t>
            </w:r>
            <w:r w:rsidRPr="00A77C97">
              <w:rPr>
                <w:rFonts w:ascii="Garamond" w:hAnsi="Garamond"/>
                <w:lang w:val="en-AU"/>
              </w:rPr>
              <w:t xml:space="preserve">: A narrative literature review </w:t>
            </w:r>
            <w:r w:rsidR="003E6A0E" w:rsidRPr="00A77C97">
              <w:rPr>
                <w:rFonts w:ascii="Garamond" w:hAnsi="Garamond"/>
                <w:lang w:val="en-AU"/>
              </w:rPr>
              <w:t>(</w:t>
            </w:r>
            <w:r w:rsidRPr="00A77C97">
              <w:rPr>
                <w:rFonts w:ascii="Garamond" w:hAnsi="Garamond"/>
                <w:lang w:val="en-AU"/>
              </w:rPr>
              <w:t>Elena Fumagalli, M Pinna Pintor, Marc Suhrcke</w:t>
            </w:r>
            <w:r w:rsidR="003E6A0E" w:rsidRPr="00A77C97">
              <w:rPr>
                <w:rFonts w:ascii="Garamond" w:hAnsi="Garamond"/>
                <w:lang w:val="en-AU"/>
              </w:rPr>
              <w:t>)</w:t>
            </w:r>
          </w:p>
          <w:p w14:paraId="333770F4" w14:textId="77777777" w:rsidR="003E6A0E" w:rsidRPr="00A77C97" w:rsidRDefault="00A30437" w:rsidP="00AB60A0">
            <w:pPr>
              <w:pStyle w:val="ListParagraph"/>
              <w:numPr>
                <w:ilvl w:val="0"/>
                <w:numId w:val="22"/>
              </w:numPr>
              <w:rPr>
                <w:rFonts w:ascii="Garamond" w:hAnsi="Garamond"/>
                <w:lang w:val="en-AU"/>
              </w:rPr>
            </w:pPr>
            <w:r w:rsidRPr="00A77C97">
              <w:rPr>
                <w:rFonts w:ascii="Garamond" w:hAnsi="Garamond"/>
                <w:lang w:val="en-AU"/>
              </w:rPr>
              <w:t xml:space="preserve">Environmental co-benefits of health policies to reduce </w:t>
            </w:r>
            <w:r w:rsidRPr="00A77C97">
              <w:rPr>
                <w:rFonts w:ascii="Garamond" w:hAnsi="Garamond"/>
                <w:b/>
                <w:bCs/>
                <w:lang w:val="en-AU"/>
              </w:rPr>
              <w:t>meat consumption</w:t>
            </w:r>
            <w:r w:rsidRPr="00A77C97">
              <w:rPr>
                <w:rFonts w:ascii="Garamond" w:hAnsi="Garamond"/>
                <w:lang w:val="en-AU"/>
              </w:rPr>
              <w:t xml:space="preserve">: A narrative review </w:t>
            </w:r>
            <w:r w:rsidR="003E6A0E" w:rsidRPr="00A77C97">
              <w:rPr>
                <w:rFonts w:ascii="Garamond" w:hAnsi="Garamond"/>
                <w:lang w:val="en-AU"/>
              </w:rPr>
              <w:t>(</w:t>
            </w:r>
            <w:r w:rsidRPr="00A77C97">
              <w:rPr>
                <w:rFonts w:ascii="Garamond" w:hAnsi="Garamond"/>
                <w:lang w:val="en-AU"/>
              </w:rPr>
              <w:t>Céline Bonnet, Marine Coinon</w:t>
            </w:r>
            <w:r w:rsidR="003E6A0E" w:rsidRPr="00A77C97">
              <w:rPr>
                <w:rFonts w:ascii="Garamond" w:hAnsi="Garamond"/>
                <w:lang w:val="en-AU"/>
              </w:rPr>
              <w:t>)</w:t>
            </w:r>
          </w:p>
          <w:p w14:paraId="6B14B07E" w14:textId="77777777" w:rsidR="003E6A0E" w:rsidRPr="00A77C97" w:rsidRDefault="00A30437" w:rsidP="0070594A">
            <w:pPr>
              <w:pStyle w:val="ListParagraph"/>
              <w:numPr>
                <w:ilvl w:val="0"/>
                <w:numId w:val="22"/>
              </w:numPr>
              <w:rPr>
                <w:rFonts w:ascii="Garamond" w:hAnsi="Garamond"/>
                <w:lang w:val="en-AU"/>
              </w:rPr>
            </w:pPr>
            <w:r w:rsidRPr="00A77C97">
              <w:rPr>
                <w:rFonts w:ascii="Garamond" w:hAnsi="Garamond"/>
                <w:lang w:val="en-AU"/>
              </w:rPr>
              <w:t xml:space="preserve">The </w:t>
            </w:r>
            <w:r w:rsidRPr="00A77C97">
              <w:rPr>
                <w:rFonts w:ascii="Garamond" w:hAnsi="Garamond"/>
                <w:b/>
                <w:bCs/>
                <w:lang w:val="en-AU"/>
              </w:rPr>
              <w:t>impact of health on labour market outcomes</w:t>
            </w:r>
            <w:r w:rsidRPr="00A77C97">
              <w:rPr>
                <w:rFonts w:ascii="Garamond" w:hAnsi="Garamond"/>
                <w:lang w:val="en-AU"/>
              </w:rPr>
              <w:t xml:space="preserve">: A rapid systematic review </w:t>
            </w:r>
            <w:r w:rsidR="003E6A0E" w:rsidRPr="00A77C97">
              <w:rPr>
                <w:rFonts w:ascii="Garamond" w:hAnsi="Garamond"/>
                <w:lang w:val="en-AU"/>
              </w:rPr>
              <w:t>(</w:t>
            </w:r>
            <w:r w:rsidRPr="00A77C97">
              <w:rPr>
                <w:rFonts w:ascii="Garamond" w:hAnsi="Garamond"/>
                <w:lang w:val="en-AU"/>
              </w:rPr>
              <w:t>Matteo Pinna Pintor, Elena Fumagalli, Marc Suhrcke</w:t>
            </w:r>
            <w:r w:rsidR="003E6A0E" w:rsidRPr="00A77C97">
              <w:rPr>
                <w:rFonts w:ascii="Garamond" w:hAnsi="Garamond"/>
                <w:lang w:val="en-AU"/>
              </w:rPr>
              <w:t>)</w:t>
            </w:r>
          </w:p>
          <w:p w14:paraId="31A43457" w14:textId="43AD2B43" w:rsidR="00A83B1D" w:rsidRPr="00A77C97" w:rsidRDefault="00A30437" w:rsidP="003E6A0E">
            <w:pPr>
              <w:pStyle w:val="ListParagraph"/>
              <w:numPr>
                <w:ilvl w:val="0"/>
                <w:numId w:val="22"/>
              </w:numPr>
              <w:rPr>
                <w:rFonts w:ascii="Garamond" w:hAnsi="Garamond"/>
                <w:lang w:val="en-AU"/>
              </w:rPr>
            </w:pPr>
            <w:r w:rsidRPr="00A77C97">
              <w:rPr>
                <w:rFonts w:ascii="Garamond" w:hAnsi="Garamond"/>
                <w:lang w:val="en-AU"/>
              </w:rPr>
              <w:t xml:space="preserve">Mitigating the regressivity of </w:t>
            </w:r>
            <w:r w:rsidRPr="00A77C97">
              <w:rPr>
                <w:rFonts w:ascii="Garamond" w:hAnsi="Garamond"/>
                <w:b/>
                <w:bCs/>
                <w:lang w:val="en-AU"/>
              </w:rPr>
              <w:t>private mechanisms of financing healthcare</w:t>
            </w:r>
            <w:r w:rsidRPr="00A77C97">
              <w:rPr>
                <w:rFonts w:ascii="Garamond" w:hAnsi="Garamond"/>
                <w:lang w:val="en-AU"/>
              </w:rPr>
              <w:t xml:space="preserve">: An Assessment of 29 countries </w:t>
            </w:r>
            <w:r w:rsidR="003E6A0E" w:rsidRPr="00A77C97">
              <w:rPr>
                <w:rFonts w:ascii="Garamond" w:hAnsi="Garamond"/>
                <w:lang w:val="en-AU"/>
              </w:rPr>
              <w:t>(</w:t>
            </w:r>
            <w:r w:rsidRPr="00A77C97">
              <w:rPr>
                <w:rFonts w:ascii="Garamond" w:hAnsi="Garamond"/>
                <w:lang w:val="en-AU"/>
              </w:rPr>
              <w:t>Ruth Waitzberg, Sara Allin, Michel Grignon, Åsa Ljungvall, Katharina Habimana, Marios Kantaris, Steve Thomas, T Rice</w:t>
            </w:r>
            <w:r w:rsidR="003E6A0E" w:rsidRPr="00A77C97">
              <w:rPr>
                <w:rFonts w:ascii="Garamond" w:hAnsi="Garamond"/>
                <w:lang w:val="en-AU"/>
              </w:rPr>
              <w:t>)</w:t>
            </w:r>
          </w:p>
        </w:tc>
      </w:tr>
    </w:tbl>
    <w:p w14:paraId="491B4E05" w14:textId="77777777" w:rsidR="00A83B1D" w:rsidRDefault="00A83B1D" w:rsidP="00A83B1D">
      <w:pPr>
        <w:keepNext/>
        <w:rPr>
          <w:rFonts w:ascii="Garamond" w:hAnsi="Garamond"/>
          <w:iCs/>
          <w:lang w:val="en-AU"/>
        </w:rPr>
      </w:pPr>
    </w:p>
    <w:p w14:paraId="5DFF655C" w14:textId="77777777" w:rsidR="00A77C97" w:rsidRDefault="00A77C97">
      <w:pPr>
        <w:rPr>
          <w:rFonts w:ascii="Garamond" w:hAnsi="Garamond"/>
          <w:i/>
          <w:lang w:val="en-AU"/>
        </w:rPr>
      </w:pPr>
      <w:r>
        <w:rPr>
          <w:rFonts w:ascii="Garamond" w:hAnsi="Garamond"/>
          <w:i/>
          <w:lang w:val="en-AU"/>
        </w:rPr>
        <w:br w:type="page"/>
      </w:r>
    </w:p>
    <w:p w14:paraId="42AE2292" w14:textId="6F05D921" w:rsidR="005C6930" w:rsidRPr="00E37911" w:rsidRDefault="005C6930" w:rsidP="0094544D">
      <w:pPr>
        <w:keepNext/>
        <w:tabs>
          <w:tab w:val="center" w:pos="4819"/>
        </w:tabs>
        <w:rPr>
          <w:rFonts w:ascii="Garamond" w:hAnsi="Garamond"/>
          <w:lang w:val="en-AU"/>
        </w:rPr>
      </w:pPr>
      <w:r w:rsidRPr="00E37911">
        <w:rPr>
          <w:rFonts w:ascii="Garamond" w:hAnsi="Garamond"/>
          <w:i/>
          <w:lang w:val="en-AU"/>
        </w:rPr>
        <w:lastRenderedPageBreak/>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C6930" w:rsidRPr="00E37911" w14:paraId="0ECBC418" w14:textId="77777777" w:rsidTr="00EF3E5E">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2D710B97" w14:textId="77777777" w:rsidR="005C6930" w:rsidRPr="00E37911" w:rsidRDefault="005C6930" w:rsidP="00EF3E5E">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4D65D72" w14:textId="77777777" w:rsidR="005C6930" w:rsidRPr="00E37911" w:rsidRDefault="00000000" w:rsidP="00EF3E5E">
            <w:pPr>
              <w:keepNext/>
              <w:rPr>
                <w:rFonts w:ascii="Garamond" w:hAnsi="Garamond"/>
                <w:lang w:val="en-AU"/>
              </w:rPr>
            </w:pPr>
            <w:hyperlink r:id="rId34" w:history="1">
              <w:r w:rsidR="005C6930" w:rsidRPr="00E37911">
                <w:rPr>
                  <w:rStyle w:val="Hyperlink"/>
                  <w:rFonts w:ascii="Garamond" w:hAnsi="Garamond"/>
                  <w:lang w:val="en-AU"/>
                </w:rPr>
                <w:t>https://qualitysafety.bmj.com/content/early/recent</w:t>
              </w:r>
            </w:hyperlink>
          </w:p>
        </w:tc>
      </w:tr>
      <w:tr w:rsidR="005C6930" w:rsidRPr="00E37911" w14:paraId="03ACCF12"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3A2E92DA" w14:textId="77777777" w:rsidR="005C6930" w:rsidRPr="00E37911" w:rsidRDefault="005C6930" w:rsidP="00EF3E5E">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C48FA3" w14:textId="77777777" w:rsidR="005C6930" w:rsidRPr="00E37911" w:rsidRDefault="005C6930" w:rsidP="00EF3E5E">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68CC6E17" w14:textId="0F11C287" w:rsidR="008A68DB" w:rsidRDefault="008A68DB" w:rsidP="00420F4E">
            <w:pPr>
              <w:pStyle w:val="ListParagraph"/>
              <w:numPr>
                <w:ilvl w:val="0"/>
                <w:numId w:val="16"/>
              </w:numPr>
              <w:rPr>
                <w:rFonts w:ascii="Garamond" w:hAnsi="Garamond"/>
                <w:lang w:val="en-AU"/>
              </w:rPr>
            </w:pPr>
            <w:r w:rsidRPr="008A68DB">
              <w:rPr>
                <w:rFonts w:ascii="Garamond" w:hAnsi="Garamond"/>
                <w:lang w:val="en-AU"/>
              </w:rPr>
              <w:t xml:space="preserve">Editorial: Understanding </w:t>
            </w:r>
            <w:r w:rsidRPr="008A68DB">
              <w:rPr>
                <w:rFonts w:ascii="Garamond" w:hAnsi="Garamond"/>
                <w:b/>
                <w:bCs/>
                <w:lang w:val="en-AU"/>
              </w:rPr>
              <w:t>linguistic inequities in healthcare</w:t>
            </w:r>
            <w:r w:rsidRPr="008A68DB">
              <w:rPr>
                <w:rFonts w:ascii="Garamond" w:hAnsi="Garamond"/>
                <w:lang w:val="en-AU"/>
              </w:rPr>
              <w:t>: moving from the technical to the social (Christina Reppas-Rindlisbacher, Shail Rawal</w:t>
            </w:r>
            <w:r>
              <w:rPr>
                <w:rFonts w:ascii="Garamond" w:hAnsi="Garamond"/>
                <w:lang w:val="en-AU"/>
              </w:rPr>
              <w:t>)</w:t>
            </w:r>
          </w:p>
          <w:p w14:paraId="3B884C56" w14:textId="4AF4E58B" w:rsidR="00F422E3" w:rsidRDefault="00F422E3" w:rsidP="00520B3A">
            <w:pPr>
              <w:pStyle w:val="ListParagraph"/>
              <w:numPr>
                <w:ilvl w:val="0"/>
                <w:numId w:val="16"/>
              </w:numPr>
              <w:rPr>
                <w:rFonts w:ascii="Garamond" w:hAnsi="Garamond"/>
                <w:lang w:val="en-AU"/>
              </w:rPr>
            </w:pPr>
            <w:r w:rsidRPr="0094544D">
              <w:rPr>
                <w:rFonts w:ascii="Garamond" w:hAnsi="Garamond"/>
                <w:b/>
                <w:bCs/>
                <w:lang w:val="en-AU"/>
              </w:rPr>
              <w:t>Paediatric medication incident reporting</w:t>
            </w:r>
            <w:r w:rsidRPr="00F422E3">
              <w:rPr>
                <w:rFonts w:ascii="Garamond" w:hAnsi="Garamond"/>
                <w:lang w:val="en-AU"/>
              </w:rPr>
              <w:t xml:space="preserve">: a multicentre comparison study of medication errors identified at audit, detected by </w:t>
            </w:r>
            <w:proofErr w:type="gramStart"/>
            <w:r w:rsidRPr="00F422E3">
              <w:rPr>
                <w:rFonts w:ascii="Garamond" w:hAnsi="Garamond"/>
                <w:lang w:val="en-AU"/>
              </w:rPr>
              <w:t>staff</w:t>
            </w:r>
            <w:proofErr w:type="gramEnd"/>
            <w:r w:rsidRPr="00F422E3">
              <w:rPr>
                <w:rFonts w:ascii="Garamond" w:hAnsi="Garamond"/>
                <w:lang w:val="en-AU"/>
              </w:rPr>
              <w:t xml:space="preserve"> and reported to an incident system (Ling Li, Tim Badgery-Parker, Alison Merchant, Erin Fitzpatrick, Magdalena Z Raban, Virginia Mumford, Najwa-Joelle Metri, Peter Damian Hibbert, Cheryl Mccullagh, Michael Dickinson, Johanna I Westbrook</w:t>
            </w:r>
            <w:r>
              <w:rPr>
                <w:rFonts w:ascii="Garamond" w:hAnsi="Garamond"/>
                <w:lang w:val="en-AU"/>
              </w:rPr>
              <w:t>)</w:t>
            </w:r>
          </w:p>
          <w:p w14:paraId="23D3FC7A" w14:textId="736BDA33" w:rsidR="00F11C0C" w:rsidRPr="00F11C0C" w:rsidRDefault="00F11C0C" w:rsidP="00DB0893">
            <w:pPr>
              <w:pStyle w:val="ListParagraph"/>
              <w:numPr>
                <w:ilvl w:val="0"/>
                <w:numId w:val="16"/>
              </w:numPr>
              <w:rPr>
                <w:rFonts w:ascii="Garamond" w:hAnsi="Garamond"/>
                <w:lang w:val="en-AU"/>
              </w:rPr>
            </w:pPr>
            <w:r w:rsidRPr="00F11C0C">
              <w:rPr>
                <w:rFonts w:ascii="Garamond" w:hAnsi="Garamond"/>
                <w:b/>
                <w:bCs/>
                <w:lang w:val="en-AU"/>
              </w:rPr>
              <w:t>Ensuring safe and equitable discharge</w:t>
            </w:r>
            <w:r w:rsidRPr="00F11C0C">
              <w:rPr>
                <w:rFonts w:ascii="Garamond" w:hAnsi="Garamond"/>
                <w:lang w:val="en-AU"/>
              </w:rPr>
              <w:t>: a quality improvement initiative for individuals with hypertensive disorders of pregnancy</w:t>
            </w:r>
            <w:r>
              <w:rPr>
                <w:rFonts w:ascii="Garamond" w:hAnsi="Garamond"/>
                <w:lang w:val="en-AU"/>
              </w:rPr>
              <w:t xml:space="preserve"> (</w:t>
            </w:r>
            <w:r w:rsidRPr="00F11C0C">
              <w:rPr>
                <w:rFonts w:ascii="Garamond" w:hAnsi="Garamond"/>
                <w:lang w:val="en-AU"/>
              </w:rPr>
              <w:t>Kathleen M. Zacherl, Emily Carper Sterrett, Brenna L. Hughes, Karley M Whelan, James Tyler-Walker, Samuel T Bauer, Heather C Talley, Laura J Havrilesky</w:t>
            </w:r>
            <w:r>
              <w:rPr>
                <w:rFonts w:ascii="Garamond" w:hAnsi="Garamond"/>
                <w:lang w:val="en-AU"/>
              </w:rPr>
              <w:t>)</w:t>
            </w:r>
          </w:p>
          <w:p w14:paraId="518FFB5C" w14:textId="16EAF60E" w:rsidR="00F11C0C" w:rsidRPr="00F11C0C" w:rsidRDefault="00F11C0C" w:rsidP="00315EC3">
            <w:pPr>
              <w:pStyle w:val="ListParagraph"/>
              <w:numPr>
                <w:ilvl w:val="0"/>
                <w:numId w:val="16"/>
              </w:numPr>
              <w:rPr>
                <w:rFonts w:ascii="Garamond" w:hAnsi="Garamond"/>
                <w:lang w:val="en-AU"/>
              </w:rPr>
            </w:pPr>
            <w:r w:rsidRPr="00F11C0C">
              <w:rPr>
                <w:rFonts w:ascii="Garamond" w:hAnsi="Garamond"/>
                <w:b/>
                <w:bCs/>
                <w:lang w:val="en-AU"/>
              </w:rPr>
              <w:t>General practitioners’ risk literacy and real-world prescribing of potentially hazardous drugs</w:t>
            </w:r>
            <w:r w:rsidRPr="00F11C0C">
              <w:rPr>
                <w:rFonts w:ascii="Garamond" w:hAnsi="Garamond"/>
                <w:lang w:val="en-AU"/>
              </w:rPr>
              <w:t>: a cross-sectional study (Odette Wegwarth, Tammy C Hoffmann, Ben Goldacre, Claudia Spies, Helge A Giese</w:t>
            </w:r>
            <w:r>
              <w:rPr>
                <w:rFonts w:ascii="Garamond" w:hAnsi="Garamond"/>
                <w:lang w:val="en-AU"/>
              </w:rPr>
              <w:t>)</w:t>
            </w:r>
          </w:p>
          <w:p w14:paraId="34A4BA1E" w14:textId="6D971763" w:rsidR="00F11C0C" w:rsidRPr="00F11C0C" w:rsidRDefault="00F11C0C" w:rsidP="00673C2D">
            <w:pPr>
              <w:pStyle w:val="ListParagraph"/>
              <w:numPr>
                <w:ilvl w:val="0"/>
                <w:numId w:val="16"/>
              </w:numPr>
              <w:rPr>
                <w:rFonts w:ascii="Garamond" w:hAnsi="Garamond"/>
                <w:lang w:val="en-AU"/>
              </w:rPr>
            </w:pPr>
            <w:r w:rsidRPr="00F11C0C">
              <w:rPr>
                <w:rFonts w:ascii="Garamond" w:hAnsi="Garamond"/>
                <w:lang w:val="en-AU"/>
              </w:rPr>
              <w:t xml:space="preserve">Editorial: </w:t>
            </w:r>
            <w:r w:rsidRPr="00F11C0C">
              <w:rPr>
                <w:rFonts w:ascii="Garamond" w:hAnsi="Garamond"/>
                <w:b/>
                <w:bCs/>
                <w:lang w:val="en-AU"/>
              </w:rPr>
              <w:t>Locums</w:t>
            </w:r>
            <w:r w:rsidRPr="00F11C0C">
              <w:rPr>
                <w:rFonts w:ascii="Garamond" w:hAnsi="Garamond"/>
                <w:lang w:val="en-AU"/>
              </w:rPr>
              <w:t>: threat or opportunity (Richard Lilford</w:t>
            </w:r>
            <w:r>
              <w:rPr>
                <w:rFonts w:ascii="Garamond" w:hAnsi="Garamond"/>
                <w:lang w:val="en-AU"/>
              </w:rPr>
              <w:t>)</w:t>
            </w:r>
          </w:p>
          <w:p w14:paraId="3AC71CE8" w14:textId="6460A0B9" w:rsidR="009C2619" w:rsidRPr="00E37911" w:rsidRDefault="00F11C0C" w:rsidP="00DF772E">
            <w:pPr>
              <w:pStyle w:val="ListParagraph"/>
              <w:numPr>
                <w:ilvl w:val="0"/>
                <w:numId w:val="16"/>
              </w:numPr>
              <w:rPr>
                <w:rFonts w:ascii="Garamond" w:hAnsi="Garamond"/>
                <w:lang w:val="en-AU"/>
              </w:rPr>
            </w:pPr>
            <w:r w:rsidRPr="00F11C0C">
              <w:rPr>
                <w:rFonts w:ascii="Garamond" w:hAnsi="Garamond"/>
                <w:b/>
                <w:bCs/>
                <w:lang w:val="en-AU"/>
              </w:rPr>
              <w:t>Locum doctor working and quality and safety</w:t>
            </w:r>
            <w:r w:rsidRPr="00F11C0C">
              <w:rPr>
                <w:rFonts w:ascii="Garamond" w:hAnsi="Garamond"/>
                <w:lang w:val="en-AU"/>
              </w:rPr>
              <w:t>: a qualitative study in English primary and secondary care (Jane Ferguson, Gemma Stringer, Kieran Walshe, Thomas Allen, Christos Grigoroglou, Darren M Ashcroft, Evangelos Kontopantelis</w:t>
            </w:r>
            <w:r>
              <w:rPr>
                <w:rFonts w:ascii="Garamond" w:hAnsi="Garamond"/>
                <w:lang w:val="en-AU"/>
              </w:rPr>
              <w:t>)</w:t>
            </w:r>
          </w:p>
        </w:tc>
      </w:tr>
    </w:tbl>
    <w:p w14:paraId="17909067" w14:textId="77777777" w:rsidR="005C6930" w:rsidRDefault="005C6930" w:rsidP="005C6930">
      <w:pPr>
        <w:keepLines/>
        <w:autoSpaceDE w:val="0"/>
        <w:autoSpaceDN w:val="0"/>
        <w:adjustRightInd w:val="0"/>
        <w:rPr>
          <w:rFonts w:ascii="Garamond" w:hAnsi="Garamond"/>
          <w:i/>
          <w:lang w:val="en-AU"/>
        </w:rPr>
      </w:pPr>
    </w:p>
    <w:p w14:paraId="20006F00" w14:textId="77777777" w:rsidR="005C6930" w:rsidRPr="00E37911" w:rsidRDefault="005C6930" w:rsidP="005C6930">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C6930" w:rsidRPr="00E37911" w14:paraId="13311788"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4BAF1396" w14:textId="77777777" w:rsidR="005C6930" w:rsidRPr="00E37911" w:rsidRDefault="005C6930" w:rsidP="00EF3E5E">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68F515D" w14:textId="77777777" w:rsidR="005C6930" w:rsidRPr="00E37911" w:rsidRDefault="00000000" w:rsidP="00EF3E5E">
            <w:pPr>
              <w:keepNext/>
              <w:rPr>
                <w:rFonts w:ascii="Garamond" w:hAnsi="Garamond"/>
                <w:lang w:val="en-AU"/>
              </w:rPr>
            </w:pPr>
            <w:hyperlink r:id="rId35" w:history="1">
              <w:r w:rsidR="005C6930" w:rsidRPr="00E37911">
                <w:rPr>
                  <w:rStyle w:val="Hyperlink"/>
                  <w:rFonts w:ascii="Garamond" w:hAnsi="Garamond"/>
                  <w:lang w:val="en-AU"/>
                </w:rPr>
                <w:t>https://academic.oup.com/intqhc/advance-articles</w:t>
              </w:r>
            </w:hyperlink>
          </w:p>
        </w:tc>
      </w:tr>
      <w:tr w:rsidR="005C6930" w:rsidRPr="00E37911" w14:paraId="7DBF2530"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5D607F77" w14:textId="77777777" w:rsidR="005C6930" w:rsidRPr="00E37911" w:rsidRDefault="005C6930" w:rsidP="00EF3E5E">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A06E7DF" w14:textId="354B5102" w:rsidR="005C6930" w:rsidRDefault="005C6930" w:rsidP="00EF3E5E">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 xml:space="preserve">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2A592A8D" w14:textId="4C39389F" w:rsidR="0055681E" w:rsidRPr="0055681E" w:rsidRDefault="0055681E" w:rsidP="00A439E6">
            <w:pPr>
              <w:pStyle w:val="ListParagraph"/>
              <w:numPr>
                <w:ilvl w:val="0"/>
                <w:numId w:val="16"/>
              </w:numPr>
              <w:rPr>
                <w:rFonts w:ascii="Garamond" w:hAnsi="Garamond"/>
                <w:lang w:val="en-AU"/>
              </w:rPr>
            </w:pPr>
            <w:r w:rsidRPr="0055681E">
              <w:rPr>
                <w:rFonts w:ascii="Garamond" w:hAnsi="Garamond"/>
                <w:lang w:val="en-AU"/>
              </w:rPr>
              <w:t xml:space="preserve">Primum non nocere: first, do no harm – determining the current, </w:t>
            </w:r>
            <w:proofErr w:type="gramStart"/>
            <w:r w:rsidRPr="0055681E">
              <w:rPr>
                <w:rFonts w:ascii="Garamond" w:hAnsi="Garamond"/>
                <w:lang w:val="en-AU"/>
              </w:rPr>
              <w:t>ongoing</w:t>
            </w:r>
            <w:proofErr w:type="gramEnd"/>
            <w:r w:rsidRPr="0055681E">
              <w:rPr>
                <w:rFonts w:ascii="Garamond" w:hAnsi="Garamond"/>
                <w:lang w:val="en-AU"/>
              </w:rPr>
              <w:t xml:space="preserve"> and future contribution of </w:t>
            </w:r>
            <w:r w:rsidRPr="0055681E">
              <w:rPr>
                <w:rFonts w:ascii="Garamond" w:hAnsi="Garamond"/>
                <w:b/>
                <w:bCs/>
                <w:lang w:val="en-AU"/>
              </w:rPr>
              <w:t>smart health care</w:t>
            </w:r>
            <w:r w:rsidRPr="0055681E">
              <w:rPr>
                <w:rFonts w:ascii="Garamond" w:hAnsi="Garamond"/>
                <w:lang w:val="en-AU"/>
              </w:rPr>
              <w:t xml:space="preserve"> (Daniel Wu </w:t>
            </w:r>
            <w:r>
              <w:rPr>
                <w:rFonts w:ascii="Garamond" w:hAnsi="Garamond"/>
                <w:lang w:val="en-AU"/>
              </w:rPr>
              <w:t>et al)</w:t>
            </w:r>
          </w:p>
          <w:p w14:paraId="61FD1D41" w14:textId="327AFBF1" w:rsidR="0055681E" w:rsidRPr="0055681E" w:rsidRDefault="0055681E" w:rsidP="008D4893">
            <w:pPr>
              <w:pStyle w:val="ListParagraph"/>
              <w:numPr>
                <w:ilvl w:val="0"/>
                <w:numId w:val="16"/>
              </w:numPr>
              <w:rPr>
                <w:rFonts w:ascii="Garamond" w:hAnsi="Garamond"/>
                <w:lang w:val="en-AU"/>
              </w:rPr>
            </w:pPr>
            <w:r w:rsidRPr="0055681E">
              <w:rPr>
                <w:rFonts w:ascii="Garamond" w:hAnsi="Garamond"/>
                <w:lang w:val="en-AU"/>
              </w:rPr>
              <w:t xml:space="preserve">Implementation remains the biggest challenge to the </w:t>
            </w:r>
            <w:r w:rsidRPr="0055681E">
              <w:rPr>
                <w:rFonts w:ascii="Garamond" w:hAnsi="Garamond"/>
                <w:b/>
                <w:bCs/>
                <w:lang w:val="en-AU"/>
              </w:rPr>
              <w:t>effective use of PROMs and PREMs</w:t>
            </w:r>
            <w:r w:rsidRPr="0055681E">
              <w:rPr>
                <w:rFonts w:ascii="Garamond" w:hAnsi="Garamond"/>
                <w:lang w:val="en-AU"/>
              </w:rPr>
              <w:t>, so what can we do about it? (Claudia Bull and Jason D Pole</w:t>
            </w:r>
            <w:r>
              <w:rPr>
                <w:rFonts w:ascii="Garamond" w:hAnsi="Garamond"/>
                <w:lang w:val="en-AU"/>
              </w:rPr>
              <w:t>)</w:t>
            </w:r>
          </w:p>
          <w:p w14:paraId="19962D51" w14:textId="42D869F3" w:rsidR="0055681E" w:rsidRPr="00B72ABF" w:rsidRDefault="0055681E" w:rsidP="00B35081">
            <w:pPr>
              <w:pStyle w:val="ListParagraph"/>
              <w:numPr>
                <w:ilvl w:val="0"/>
                <w:numId w:val="16"/>
              </w:numPr>
              <w:rPr>
                <w:rFonts w:ascii="Garamond" w:hAnsi="Garamond"/>
                <w:lang w:val="en-AU"/>
              </w:rPr>
            </w:pPr>
            <w:r w:rsidRPr="00B72ABF">
              <w:rPr>
                <w:rFonts w:ascii="Garamond" w:hAnsi="Garamond"/>
                <w:lang w:val="en-AU"/>
              </w:rPr>
              <w:t xml:space="preserve">Process management program to </w:t>
            </w:r>
            <w:r w:rsidRPr="00B72ABF">
              <w:rPr>
                <w:rFonts w:ascii="Garamond" w:hAnsi="Garamond"/>
                <w:b/>
                <w:bCs/>
                <w:lang w:val="en-AU"/>
              </w:rPr>
              <w:t>prevent falls in hospitalized patients with neuropsychiatric disorders</w:t>
            </w:r>
            <w:r w:rsidRPr="00B72ABF">
              <w:rPr>
                <w:rFonts w:ascii="Garamond" w:hAnsi="Garamond"/>
                <w:lang w:val="en-AU"/>
              </w:rPr>
              <w:t xml:space="preserve">: a quality improvement program </w:t>
            </w:r>
            <w:r w:rsidR="00B72ABF" w:rsidRPr="00B72ABF">
              <w:rPr>
                <w:rFonts w:ascii="Garamond" w:hAnsi="Garamond"/>
                <w:lang w:val="en-AU"/>
              </w:rPr>
              <w:t>(</w:t>
            </w:r>
            <w:r w:rsidRPr="00B72ABF">
              <w:rPr>
                <w:rFonts w:ascii="Garamond" w:hAnsi="Garamond"/>
                <w:lang w:val="en-AU"/>
              </w:rPr>
              <w:t>Hua XU et al)</w:t>
            </w:r>
          </w:p>
          <w:p w14:paraId="55FA4893" w14:textId="570727D9" w:rsidR="00A938DF" w:rsidRPr="00D43C2B" w:rsidRDefault="0055681E" w:rsidP="00DF772E">
            <w:pPr>
              <w:pStyle w:val="ListParagraph"/>
              <w:numPr>
                <w:ilvl w:val="0"/>
                <w:numId w:val="16"/>
              </w:numPr>
              <w:rPr>
                <w:rFonts w:ascii="Garamond" w:hAnsi="Garamond"/>
                <w:lang w:val="en-AU"/>
              </w:rPr>
            </w:pPr>
            <w:r w:rsidRPr="00B72ABF">
              <w:rPr>
                <w:rFonts w:ascii="Garamond" w:hAnsi="Garamond"/>
                <w:lang w:val="en-AU"/>
              </w:rPr>
              <w:t xml:space="preserve">A multi-phase, multi-centre development and validation of two maturity tools assessing the </w:t>
            </w:r>
            <w:r w:rsidRPr="00B72ABF">
              <w:rPr>
                <w:rFonts w:ascii="Garamond" w:hAnsi="Garamond"/>
                <w:b/>
                <w:bCs/>
                <w:lang w:val="en-AU"/>
              </w:rPr>
              <w:t>implementation of the FlaQuM co-creation roadmap</w:t>
            </w:r>
            <w:r w:rsidRPr="00B72ABF">
              <w:rPr>
                <w:rFonts w:ascii="Garamond" w:hAnsi="Garamond"/>
                <w:lang w:val="en-AU"/>
              </w:rPr>
              <w:t xml:space="preserve"> </w:t>
            </w:r>
            <w:r w:rsidR="00B72ABF" w:rsidRPr="00B72ABF">
              <w:rPr>
                <w:rFonts w:ascii="Garamond" w:hAnsi="Garamond"/>
                <w:lang w:val="en-AU"/>
              </w:rPr>
              <w:t>(</w:t>
            </w:r>
            <w:r w:rsidRPr="00B72ABF">
              <w:rPr>
                <w:rFonts w:ascii="Garamond" w:hAnsi="Garamond"/>
                <w:lang w:val="en-AU"/>
              </w:rPr>
              <w:t>Fien Claessens et al)</w:t>
            </w:r>
          </w:p>
        </w:tc>
      </w:tr>
    </w:tbl>
    <w:p w14:paraId="290290F5" w14:textId="77777777" w:rsidR="005C6930" w:rsidRDefault="005C6930" w:rsidP="005C6930">
      <w:pPr>
        <w:keepLines/>
        <w:autoSpaceDE w:val="0"/>
        <w:autoSpaceDN w:val="0"/>
        <w:adjustRightInd w:val="0"/>
        <w:rPr>
          <w:rFonts w:ascii="Garamond" w:hAnsi="Garamond"/>
          <w:i/>
          <w:lang w:val="en-AU"/>
        </w:rPr>
      </w:pPr>
    </w:p>
    <w:p w14:paraId="5A2516A4" w14:textId="77777777" w:rsidR="00626E47" w:rsidRDefault="00626E47" w:rsidP="005C6930">
      <w:pPr>
        <w:keepLines/>
        <w:autoSpaceDE w:val="0"/>
        <w:autoSpaceDN w:val="0"/>
        <w:adjustRightInd w:val="0"/>
        <w:rPr>
          <w:rFonts w:ascii="Garamond" w:hAnsi="Garamond"/>
          <w:i/>
          <w:lang w:val="en-AU"/>
        </w:rPr>
      </w:pPr>
    </w:p>
    <w:p w14:paraId="1AB81D18" w14:textId="77777777" w:rsidR="00626E47" w:rsidRDefault="00626E47" w:rsidP="005C6930">
      <w:pPr>
        <w:keepLines/>
        <w:autoSpaceDE w:val="0"/>
        <w:autoSpaceDN w:val="0"/>
        <w:adjustRightInd w:val="0"/>
        <w:rPr>
          <w:rFonts w:ascii="Garamond" w:hAnsi="Garamond"/>
          <w:i/>
          <w:lang w:val="en-AU"/>
        </w:rPr>
      </w:pPr>
    </w:p>
    <w:p w14:paraId="536302D7" w14:textId="77777777" w:rsidR="005C6930" w:rsidRPr="00E37911" w:rsidRDefault="005C6930" w:rsidP="005C6930">
      <w:pPr>
        <w:keepNext/>
        <w:keepLines/>
        <w:rPr>
          <w:rFonts w:ascii="Garamond" w:hAnsi="Garamond"/>
          <w:b/>
          <w:lang w:val="en-AU"/>
        </w:rPr>
      </w:pPr>
      <w:r w:rsidRPr="00E37911">
        <w:rPr>
          <w:rFonts w:ascii="Garamond" w:hAnsi="Garamond"/>
          <w:b/>
          <w:lang w:val="en-AU"/>
        </w:rPr>
        <w:t>Online resources</w:t>
      </w:r>
    </w:p>
    <w:p w14:paraId="6A6500D8" w14:textId="3FDE3EE7" w:rsidR="006C3151" w:rsidRDefault="006C3151">
      <w:pPr>
        <w:rPr>
          <w:rFonts w:ascii="Garamond" w:hAnsi="Garamond"/>
          <w:b/>
          <w:lang w:val="en-AU"/>
        </w:rPr>
      </w:pPr>
    </w:p>
    <w:p w14:paraId="7C4C9F23" w14:textId="31D620AA" w:rsidR="0002471D" w:rsidRPr="00913086" w:rsidRDefault="0002471D" w:rsidP="0002471D">
      <w:pPr>
        <w:keepNext/>
        <w:rPr>
          <w:rFonts w:ascii="Garamond" w:hAnsi="Garamond"/>
          <w:b/>
          <w:bCs/>
          <w:i/>
          <w:lang w:val="en-AU"/>
        </w:rPr>
      </w:pPr>
      <w:r>
        <w:rPr>
          <w:rFonts w:ascii="Garamond" w:hAnsi="Garamond"/>
          <w:b/>
          <w:bCs/>
          <w:i/>
          <w:lang w:val="en-AU"/>
        </w:rPr>
        <w:t>[</w:t>
      </w:r>
      <w:r w:rsidRPr="00913086">
        <w:rPr>
          <w:rFonts w:ascii="Garamond" w:hAnsi="Garamond"/>
          <w:b/>
          <w:bCs/>
          <w:i/>
          <w:lang w:val="en-AU"/>
        </w:rPr>
        <w:t>UK] NICE Guidelines and Quality Standards</w:t>
      </w:r>
    </w:p>
    <w:p w14:paraId="2281F8C7" w14:textId="77777777" w:rsidR="0002471D" w:rsidRPr="008F3909" w:rsidRDefault="00000000" w:rsidP="0002471D">
      <w:pPr>
        <w:keepNext/>
        <w:rPr>
          <w:rFonts w:ascii="Garamond" w:hAnsi="Garamond"/>
          <w:lang w:val="en-AU"/>
        </w:rPr>
      </w:pPr>
      <w:hyperlink r:id="rId36" w:history="1">
        <w:r w:rsidR="0002471D" w:rsidRPr="00DD08AC">
          <w:rPr>
            <w:rStyle w:val="Hyperlink"/>
            <w:rFonts w:ascii="Garamond" w:hAnsi="Garamond"/>
            <w:lang w:val="en-AU"/>
          </w:rPr>
          <w:t>https://www.nice.org.uk/guidance</w:t>
        </w:r>
      </w:hyperlink>
    </w:p>
    <w:p w14:paraId="6F31B5E5" w14:textId="77777777" w:rsidR="0002471D" w:rsidRDefault="0002471D" w:rsidP="0002471D">
      <w:pPr>
        <w:keepNext/>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2084FE85" w14:textId="3D7E7246" w:rsidR="0029615C" w:rsidRDefault="0002471D" w:rsidP="00A72920">
      <w:pPr>
        <w:pStyle w:val="ListParagraph"/>
        <w:numPr>
          <w:ilvl w:val="0"/>
          <w:numId w:val="14"/>
        </w:numPr>
        <w:rPr>
          <w:rFonts w:ascii="Garamond" w:hAnsi="Garamond"/>
          <w:iCs/>
          <w:lang w:val="en-AU"/>
        </w:rPr>
      </w:pPr>
      <w:r w:rsidRPr="003479E2">
        <w:rPr>
          <w:rFonts w:ascii="Garamond" w:hAnsi="Garamond"/>
          <w:iCs/>
          <w:lang w:val="en-AU"/>
        </w:rPr>
        <w:t>NICE Guideline NG</w:t>
      </w:r>
      <w:r w:rsidR="00457BDD">
        <w:rPr>
          <w:rFonts w:ascii="Garamond" w:hAnsi="Garamond"/>
          <w:iCs/>
          <w:lang w:val="en-AU"/>
        </w:rPr>
        <w:t>73</w:t>
      </w:r>
      <w:r w:rsidR="008A68DB">
        <w:rPr>
          <w:rFonts w:ascii="Garamond" w:hAnsi="Garamond"/>
          <w:iCs/>
          <w:lang w:val="en-AU"/>
        </w:rPr>
        <w:t xml:space="preserve"> </w:t>
      </w:r>
      <w:r w:rsidR="00E93CDE" w:rsidRPr="00E93CDE">
        <w:rPr>
          <w:rFonts w:ascii="Garamond" w:hAnsi="Garamond"/>
          <w:b/>
          <w:bCs/>
          <w:i/>
          <w:lang w:val="en-AU"/>
        </w:rPr>
        <w:t>Endometriosis</w:t>
      </w:r>
      <w:r w:rsidR="00E93CDE" w:rsidRPr="00E93CDE">
        <w:rPr>
          <w:rFonts w:ascii="Garamond" w:hAnsi="Garamond"/>
          <w:i/>
          <w:lang w:val="en-AU"/>
        </w:rPr>
        <w:t>: diagnosis and management</w:t>
      </w:r>
      <w:r w:rsidR="00E93CDE">
        <w:rPr>
          <w:rFonts w:ascii="Garamond" w:hAnsi="Garamond"/>
          <w:iCs/>
          <w:lang w:val="en-AU"/>
        </w:rPr>
        <w:t xml:space="preserve"> </w:t>
      </w:r>
      <w:hyperlink r:id="rId37" w:history="1">
        <w:r w:rsidR="00E93CDE" w:rsidRPr="00AF3E25">
          <w:rPr>
            <w:rStyle w:val="Hyperlink"/>
            <w:rFonts w:ascii="Garamond" w:hAnsi="Garamond"/>
            <w:iCs/>
            <w:lang w:val="en-AU"/>
          </w:rPr>
          <w:t>https://www.nice.org.uk/guidance/ng73</w:t>
        </w:r>
      </w:hyperlink>
    </w:p>
    <w:p w14:paraId="47BF4459" w14:textId="77777777" w:rsidR="0002471D" w:rsidRDefault="0002471D" w:rsidP="0002471D">
      <w:pPr>
        <w:rPr>
          <w:rFonts w:ascii="Garamond" w:hAnsi="Garamond"/>
          <w:b/>
          <w:lang w:val="en-AU"/>
        </w:rPr>
      </w:pPr>
    </w:p>
    <w:p w14:paraId="0FADD843" w14:textId="6708E70B" w:rsidR="0002471D" w:rsidRPr="00D77160" w:rsidRDefault="0002471D" w:rsidP="0002471D">
      <w:pPr>
        <w:keepNext/>
        <w:keepLines/>
        <w:rPr>
          <w:rFonts w:ascii="Garamond" w:hAnsi="Garamond"/>
          <w:b/>
          <w:bCs/>
          <w:i/>
          <w:lang w:val="en-AU"/>
        </w:rPr>
      </w:pPr>
      <w:r w:rsidRPr="00D77160">
        <w:rPr>
          <w:rFonts w:ascii="Garamond" w:hAnsi="Garamond"/>
          <w:b/>
          <w:bCs/>
          <w:i/>
          <w:lang w:val="en-AU"/>
        </w:rPr>
        <w:lastRenderedPageBreak/>
        <w:t>USA] Effective Health Care Program reports</w:t>
      </w:r>
    </w:p>
    <w:p w14:paraId="1B4E3239" w14:textId="77777777" w:rsidR="0002471D" w:rsidRPr="000170DA" w:rsidRDefault="00000000" w:rsidP="0002471D">
      <w:pPr>
        <w:keepNext/>
        <w:keepLines/>
        <w:rPr>
          <w:rFonts w:ascii="Garamond" w:hAnsi="Garamond"/>
          <w:u w:val="single"/>
          <w:lang w:val="en-AU"/>
        </w:rPr>
      </w:pPr>
      <w:hyperlink r:id="rId38" w:history="1">
        <w:r w:rsidR="0002471D" w:rsidRPr="000170DA">
          <w:rPr>
            <w:rStyle w:val="Hyperlink"/>
            <w:rFonts w:ascii="Garamond" w:hAnsi="Garamond"/>
            <w:lang w:val="en-AU"/>
          </w:rPr>
          <w:t>https://effectivehealthcare.ahrq.gov/</w:t>
        </w:r>
      </w:hyperlink>
    </w:p>
    <w:p w14:paraId="21E96ACF" w14:textId="77777777" w:rsidR="0002471D" w:rsidRDefault="0002471D" w:rsidP="0002471D">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14:paraId="243C13A2" w14:textId="5B6415EA" w:rsidR="008A68DB" w:rsidRPr="008A68DB" w:rsidRDefault="008A68DB" w:rsidP="00E26241">
      <w:pPr>
        <w:pStyle w:val="ListParagraph"/>
        <w:keepNext/>
        <w:numPr>
          <w:ilvl w:val="0"/>
          <w:numId w:val="14"/>
        </w:numPr>
        <w:rPr>
          <w:rFonts w:ascii="Garamond" w:hAnsi="Garamond"/>
          <w:iCs/>
          <w:lang w:val="en-AU"/>
        </w:rPr>
      </w:pPr>
      <w:r w:rsidRPr="008A68DB">
        <w:rPr>
          <w:rFonts w:ascii="Garamond" w:hAnsi="Garamond"/>
          <w:i/>
          <w:lang w:val="en-AU"/>
        </w:rPr>
        <w:t xml:space="preserve">Engaging Family Caregivers </w:t>
      </w:r>
      <w:proofErr w:type="gramStart"/>
      <w:r w:rsidRPr="008A68DB">
        <w:rPr>
          <w:rFonts w:ascii="Garamond" w:hAnsi="Garamond"/>
          <w:i/>
          <w:lang w:val="en-AU"/>
        </w:rPr>
        <w:t>With</w:t>
      </w:r>
      <w:proofErr w:type="gramEnd"/>
      <w:r w:rsidRPr="008A68DB">
        <w:rPr>
          <w:rFonts w:ascii="Garamond" w:hAnsi="Garamond"/>
          <w:i/>
          <w:lang w:val="en-AU"/>
        </w:rPr>
        <w:t xml:space="preserve"> Structured Communication for </w:t>
      </w:r>
      <w:r w:rsidRPr="008A68DB">
        <w:rPr>
          <w:rFonts w:ascii="Garamond" w:hAnsi="Garamond"/>
          <w:b/>
          <w:bCs/>
          <w:i/>
          <w:lang w:val="en-AU"/>
        </w:rPr>
        <w:t>Safe Care Transitions</w:t>
      </w:r>
      <w:r>
        <w:rPr>
          <w:rFonts w:ascii="Garamond" w:hAnsi="Garamond"/>
          <w:iCs/>
          <w:lang w:val="en-AU"/>
        </w:rPr>
        <w:t xml:space="preserve"> </w:t>
      </w:r>
      <w:hyperlink r:id="rId39" w:history="1">
        <w:r w:rsidRPr="00F6774C">
          <w:rPr>
            <w:rStyle w:val="Hyperlink"/>
            <w:rFonts w:ascii="Garamond" w:hAnsi="Garamond"/>
            <w:iCs/>
            <w:lang w:val="en-AU"/>
          </w:rPr>
          <w:t>https://effectivehealthcare.ahrq.gov/products/engaging-caregivers-mhs4/rapid-research</w:t>
        </w:r>
      </w:hyperlink>
    </w:p>
    <w:p w14:paraId="4951DB01" w14:textId="77777777" w:rsidR="0002471D" w:rsidRPr="003C2554" w:rsidRDefault="0002471D" w:rsidP="0002471D">
      <w:pPr>
        <w:rPr>
          <w:rFonts w:ascii="Garamond" w:hAnsi="Garamond"/>
          <w:iCs/>
          <w:lang w:val="en-AU"/>
        </w:rPr>
      </w:pPr>
    </w:p>
    <w:p w14:paraId="6334B660" w14:textId="77777777" w:rsidR="0002471D" w:rsidRDefault="0002471D" w:rsidP="0002471D">
      <w:pPr>
        <w:rPr>
          <w:rFonts w:ascii="Garamond" w:hAnsi="Garamond"/>
          <w:iCs/>
          <w:lang w:val="en-AU"/>
        </w:rPr>
      </w:pPr>
    </w:p>
    <w:p w14:paraId="78917479" w14:textId="77777777" w:rsidR="00056D5B" w:rsidRPr="003C2554" w:rsidRDefault="00056D5B" w:rsidP="002C14CC">
      <w:pPr>
        <w:rPr>
          <w:rFonts w:ascii="Garamond" w:hAnsi="Garamond"/>
          <w:iCs/>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40"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41"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42"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45AACE7E">
            <wp:extent cx="3278777" cy="4626412"/>
            <wp:effectExtent l="0" t="0" r="0" b="3175"/>
            <wp:docPr id="8" name="Picture 8" descr="COVID-19 poster - combined contact and droplet precautions.">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3315429" cy="4678129"/>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44"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6"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7"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8"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51"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68A4D88">
            <wp:extent cx="5561480" cy="8191040"/>
            <wp:effectExtent l="19050" t="19050" r="20320" b="19685"/>
            <wp:docPr id="2" name="Picture 2" descr="COVID-19 and face masks information for consumers poster image.">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52958" cy="8620333"/>
                    </a:xfrm>
                    <a:prstGeom prst="rect">
                      <a:avLst/>
                    </a:prstGeom>
                    <a:noFill/>
                    <a:ln>
                      <a:solidFill>
                        <a:schemeClr val="accent1"/>
                      </a:solidFill>
                    </a:ln>
                  </pic:spPr>
                </pic:pic>
              </a:graphicData>
            </a:graphic>
          </wp:inline>
        </w:drawing>
      </w:r>
    </w:p>
    <w:p w14:paraId="12BF9FBD" w14:textId="0ED05E05" w:rsidR="00D574D3" w:rsidRPr="008E375B" w:rsidRDefault="00D574D3" w:rsidP="00D574D3">
      <w:pPr>
        <w:keepNext/>
        <w:keepLines/>
        <w:rPr>
          <w:rFonts w:ascii="Garamond" w:hAnsi="Garamond"/>
          <w:i/>
          <w:lang w:val="en-AU"/>
        </w:rPr>
      </w:pPr>
      <w:r w:rsidRPr="008E375B">
        <w:rPr>
          <w:rFonts w:ascii="Garamond" w:hAnsi="Garamond"/>
          <w:i/>
          <w:lang w:val="en-AU"/>
        </w:rPr>
        <w:lastRenderedPageBreak/>
        <w:t>National Clinical Evidence Taskforce</w:t>
      </w:r>
    </w:p>
    <w:p w14:paraId="066BAB2A" w14:textId="1753A1A5" w:rsidR="009C6AF9" w:rsidRPr="008E375B" w:rsidRDefault="00000000" w:rsidP="00D574D3">
      <w:pPr>
        <w:keepNext/>
        <w:keepLines/>
        <w:rPr>
          <w:rFonts w:ascii="Garamond" w:hAnsi="Garamond"/>
        </w:rPr>
      </w:pPr>
      <w:hyperlink r:id="rId54" w:history="1">
        <w:r w:rsidR="009C6AF9" w:rsidRPr="008E375B">
          <w:rPr>
            <w:rStyle w:val="Hyperlink"/>
            <w:rFonts w:ascii="Garamond" w:hAnsi="Garamond"/>
          </w:rPr>
          <w:t>https://clinicalevidence.net.au/</w:t>
        </w:r>
      </w:hyperlink>
    </w:p>
    <w:p w14:paraId="7C588070" w14:textId="77777777" w:rsidR="009C6AF9" w:rsidRPr="008E375B" w:rsidRDefault="009C6AF9" w:rsidP="009C6AF9">
      <w:pPr>
        <w:keepLines/>
        <w:rPr>
          <w:rFonts w:ascii="Garamond" w:hAnsi="Garamond"/>
          <w:lang w:val="en-AU"/>
        </w:rPr>
      </w:pPr>
      <w:r w:rsidRPr="008E375B">
        <w:rPr>
          <w:rFonts w:ascii="Garamond" w:hAnsi="Garamond"/>
          <w:lang w:val="en-AU"/>
        </w:rPr>
        <w:t>The National Clinical Evidence Taskforce is a multi-disciplinary collaboration of 35 member organisations – Australia’s medical colleges and peak health organisations – who share a commitment to provide national evidence-based treatment guidelines for urgent and emerging diseases.</w:t>
      </w:r>
    </w:p>
    <w:p w14:paraId="587F26A5" w14:textId="2D45A6F3" w:rsidR="009C6AF9" w:rsidRPr="008E375B" w:rsidRDefault="009C6AF9" w:rsidP="009C6AF9">
      <w:pPr>
        <w:keepLines/>
        <w:rPr>
          <w:rFonts w:ascii="Garamond" w:hAnsi="Garamond"/>
          <w:lang w:val="en-AU"/>
        </w:rPr>
      </w:pPr>
      <w:r w:rsidRPr="008E375B">
        <w:rPr>
          <w:rFonts w:ascii="Garamond" w:hAnsi="Garamond"/>
          <w:lang w:val="en-AU"/>
        </w:rPr>
        <w:t>This alliance established the world’s first ‘living guidelines’ for the care of people with COVID-19 and MPX.</w:t>
      </w:r>
    </w:p>
    <w:p w14:paraId="3FE22EB3" w14:textId="77777777" w:rsidR="009C6AF9" w:rsidRPr="008E375B" w:rsidRDefault="009C6AF9" w:rsidP="009C6AF9">
      <w:pPr>
        <w:keepLines/>
        <w:rPr>
          <w:rFonts w:ascii="Garamond" w:hAnsi="Garamond"/>
          <w:lang w:val="en-AU"/>
        </w:rPr>
      </w:pPr>
      <w:r w:rsidRPr="008E375B">
        <w:rPr>
          <w:rFonts w:ascii="Garamond" w:hAnsi="Garamond"/>
          <w:lang w:val="en-AU"/>
        </w:rPr>
        <w:t>Funding has now been discontinued for the National Clinical Evidence Taskforce and the COVID-19 guidelines as of 30 June 2023.</w:t>
      </w:r>
    </w:p>
    <w:p w14:paraId="0851C8FF" w14:textId="4E8D45D1" w:rsidR="009C6AF9" w:rsidRDefault="009C6AF9" w:rsidP="009C6AF9">
      <w:pPr>
        <w:keepLines/>
        <w:rPr>
          <w:rFonts w:ascii="Garamond" w:hAnsi="Garamond"/>
          <w:lang w:val="en-AU"/>
        </w:rPr>
      </w:pPr>
      <w:r w:rsidRPr="008E375B">
        <w:rPr>
          <w:rFonts w:ascii="Garamond" w:hAnsi="Garamond"/>
          <w:lang w:val="en-AU"/>
        </w:rPr>
        <w:t>These guidelines are no longer continually updated but will remain online until the guidance becomes inaccurate and/or no longer reflects the evidence or recommended practice.</w:t>
      </w:r>
    </w:p>
    <w:p w14:paraId="1CBC3401" w14:textId="7B23C301" w:rsidR="00DD64D5" w:rsidRDefault="00DD64D5" w:rsidP="009C6AF9">
      <w:pPr>
        <w:keepLines/>
        <w:rPr>
          <w:rFonts w:ascii="Garamond" w:hAnsi="Garamond"/>
          <w:lang w:val="en-AU"/>
        </w:rPr>
      </w:pPr>
    </w:p>
    <w:p w14:paraId="003ED1BD" w14:textId="77777777" w:rsidR="004C2887" w:rsidRDefault="004C2887" w:rsidP="009C6AF9">
      <w:pPr>
        <w:keepLines/>
        <w:rPr>
          <w:rFonts w:ascii="Garamond" w:hAnsi="Garamond"/>
          <w:lang w:val="en-AU"/>
        </w:rPr>
      </w:pPr>
    </w:p>
    <w:p w14:paraId="19F966AA" w14:textId="77777777" w:rsidR="00DD64D5" w:rsidRDefault="00DD64D5" w:rsidP="009C6AF9">
      <w:pPr>
        <w:keepLines/>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4BC3D781"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5"/>
      <w:footerReference w:type="default" r:id="rId5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94BC" w14:textId="77777777" w:rsidR="004F27CF" w:rsidRDefault="004F27CF">
      <w:r>
        <w:separator/>
      </w:r>
    </w:p>
  </w:endnote>
  <w:endnote w:type="continuationSeparator" w:id="0">
    <w:p w14:paraId="29807678" w14:textId="77777777" w:rsidR="004F27CF" w:rsidRDefault="004F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1CE5C780"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1E6903">
      <w:rPr>
        <w:rFonts w:ascii="Garamond" w:hAnsi="Garamond"/>
      </w:rPr>
      <w:t>4</w:t>
    </w:r>
    <w:r w:rsidR="008A68DB">
      <w:rPr>
        <w:rFonts w:ascii="Garamond" w:hAnsi="Garamond"/>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478C93A2"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1E6903">
      <w:rPr>
        <w:rFonts w:ascii="Garamond" w:hAnsi="Garamond"/>
      </w:rPr>
      <w:t>4</w:t>
    </w:r>
    <w:r w:rsidR="008A68DB">
      <w:rPr>
        <w:rFonts w:ascii="Garamond" w:hAnsi="Garamond"/>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9AC3B" w14:textId="77777777" w:rsidR="004F27CF" w:rsidRDefault="004F27CF">
      <w:r>
        <w:separator/>
      </w:r>
    </w:p>
  </w:footnote>
  <w:footnote w:type="continuationSeparator" w:id="0">
    <w:p w14:paraId="16D343B1" w14:textId="77777777" w:rsidR="004F27CF" w:rsidRDefault="004F2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77041"/>
    <w:multiLevelType w:val="hybridMultilevel"/>
    <w:tmpl w:val="8D3236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BB3FC0"/>
    <w:multiLevelType w:val="hybridMultilevel"/>
    <w:tmpl w:val="F5289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F563AC"/>
    <w:multiLevelType w:val="hybridMultilevel"/>
    <w:tmpl w:val="F2229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0315A8"/>
    <w:multiLevelType w:val="hybridMultilevel"/>
    <w:tmpl w:val="120CB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EB0FC8"/>
    <w:multiLevelType w:val="hybridMultilevel"/>
    <w:tmpl w:val="4F5AB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B21DA6"/>
    <w:multiLevelType w:val="hybridMultilevel"/>
    <w:tmpl w:val="1F2AD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0E36B1"/>
    <w:multiLevelType w:val="hybridMultilevel"/>
    <w:tmpl w:val="757C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E04C02"/>
    <w:multiLevelType w:val="hybridMultilevel"/>
    <w:tmpl w:val="4168A0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5D6955"/>
    <w:multiLevelType w:val="hybridMultilevel"/>
    <w:tmpl w:val="48D0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D745BA"/>
    <w:multiLevelType w:val="hybridMultilevel"/>
    <w:tmpl w:val="7E24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0C2C09"/>
    <w:multiLevelType w:val="hybridMultilevel"/>
    <w:tmpl w:val="FE942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2F4874"/>
    <w:multiLevelType w:val="hybridMultilevel"/>
    <w:tmpl w:val="B5A28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67BDC"/>
    <w:multiLevelType w:val="hybridMultilevel"/>
    <w:tmpl w:val="FDDE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A06708"/>
    <w:multiLevelType w:val="hybridMultilevel"/>
    <w:tmpl w:val="CD9C5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C26A0C"/>
    <w:multiLevelType w:val="hybridMultilevel"/>
    <w:tmpl w:val="E92E1A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0D77C1"/>
    <w:multiLevelType w:val="hybridMultilevel"/>
    <w:tmpl w:val="D0724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8D6976"/>
    <w:multiLevelType w:val="hybridMultilevel"/>
    <w:tmpl w:val="31C845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AB90582"/>
    <w:multiLevelType w:val="hybridMultilevel"/>
    <w:tmpl w:val="07188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A73278"/>
    <w:multiLevelType w:val="hybridMultilevel"/>
    <w:tmpl w:val="E604A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EB2EB8"/>
    <w:multiLevelType w:val="hybridMultilevel"/>
    <w:tmpl w:val="12DA9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62101D"/>
    <w:multiLevelType w:val="hybridMultilevel"/>
    <w:tmpl w:val="B4803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541861"/>
    <w:multiLevelType w:val="hybridMultilevel"/>
    <w:tmpl w:val="D11E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D545E9"/>
    <w:multiLevelType w:val="hybridMultilevel"/>
    <w:tmpl w:val="6E3C7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BC3BCF"/>
    <w:multiLevelType w:val="hybridMultilevel"/>
    <w:tmpl w:val="74BCC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4"/>
  </w:num>
  <w:num w:numId="2" w16cid:durableId="1683386478">
    <w:abstractNumId w:val="37"/>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9"/>
  </w:num>
  <w:num w:numId="14" w16cid:durableId="28579523">
    <w:abstractNumId w:val="25"/>
  </w:num>
  <w:num w:numId="15" w16cid:durableId="1756245841">
    <w:abstractNumId w:val="28"/>
  </w:num>
  <w:num w:numId="16" w16cid:durableId="1878159678">
    <w:abstractNumId w:val="16"/>
  </w:num>
  <w:num w:numId="17" w16cid:durableId="1406414453">
    <w:abstractNumId w:val="22"/>
  </w:num>
  <w:num w:numId="18" w16cid:durableId="737750215">
    <w:abstractNumId w:val="30"/>
  </w:num>
  <w:num w:numId="19" w16cid:durableId="1685746231">
    <w:abstractNumId w:val="36"/>
  </w:num>
  <w:num w:numId="20" w16cid:durableId="64836618">
    <w:abstractNumId w:val="26"/>
  </w:num>
  <w:num w:numId="21" w16cid:durableId="412553615">
    <w:abstractNumId w:val="27"/>
  </w:num>
  <w:num w:numId="22" w16cid:durableId="1376396157">
    <w:abstractNumId w:val="17"/>
  </w:num>
  <w:num w:numId="23" w16cid:durableId="980311576">
    <w:abstractNumId w:val="13"/>
  </w:num>
  <w:num w:numId="24" w16cid:durableId="1322276046">
    <w:abstractNumId w:val="41"/>
  </w:num>
  <w:num w:numId="25" w16cid:durableId="250630762">
    <w:abstractNumId w:val="40"/>
  </w:num>
  <w:num w:numId="26" w16cid:durableId="1226453529">
    <w:abstractNumId w:val="15"/>
  </w:num>
  <w:num w:numId="27" w16cid:durableId="1774322985">
    <w:abstractNumId w:val="19"/>
  </w:num>
  <w:num w:numId="28" w16cid:durableId="1540557084">
    <w:abstractNumId w:val="20"/>
  </w:num>
  <w:num w:numId="29" w16cid:durableId="908032508">
    <w:abstractNumId w:val="42"/>
  </w:num>
  <w:num w:numId="30" w16cid:durableId="1385913735">
    <w:abstractNumId w:val="32"/>
  </w:num>
  <w:num w:numId="31" w16cid:durableId="1827473624">
    <w:abstractNumId w:val="31"/>
  </w:num>
  <w:num w:numId="32" w16cid:durableId="1183326293">
    <w:abstractNumId w:val="14"/>
  </w:num>
  <w:num w:numId="33" w16cid:durableId="535389394">
    <w:abstractNumId w:val="10"/>
  </w:num>
  <w:num w:numId="34" w16cid:durableId="1195966720">
    <w:abstractNumId w:val="43"/>
  </w:num>
  <w:num w:numId="35" w16cid:durableId="1520044532">
    <w:abstractNumId w:val="11"/>
  </w:num>
  <w:num w:numId="36" w16cid:durableId="899751785">
    <w:abstractNumId w:val="23"/>
  </w:num>
  <w:num w:numId="37" w16cid:durableId="37824898">
    <w:abstractNumId w:val="38"/>
  </w:num>
  <w:num w:numId="38" w16cid:durableId="1991707285">
    <w:abstractNumId w:val="21"/>
  </w:num>
  <w:num w:numId="39" w16cid:durableId="1953435764">
    <w:abstractNumId w:val="35"/>
  </w:num>
  <w:num w:numId="40" w16cid:durableId="558326374">
    <w:abstractNumId w:val="18"/>
  </w:num>
  <w:num w:numId="41" w16cid:durableId="1058360150">
    <w:abstractNumId w:val="39"/>
  </w:num>
  <w:num w:numId="42" w16cid:durableId="694354933">
    <w:abstractNumId w:val="34"/>
  </w:num>
  <w:num w:numId="43" w16cid:durableId="1385256544">
    <w:abstractNumId w:val="33"/>
  </w:num>
  <w:num w:numId="44" w16cid:durableId="924999829">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CC4"/>
    <w:rsid w:val="00053393"/>
    <w:rsid w:val="000535B1"/>
    <w:rsid w:val="00053881"/>
    <w:rsid w:val="000539E6"/>
    <w:rsid w:val="00053A1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001"/>
    <w:rsid w:val="000701B0"/>
    <w:rsid w:val="00070226"/>
    <w:rsid w:val="00070422"/>
    <w:rsid w:val="000706EA"/>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B62"/>
    <w:rsid w:val="00073CA3"/>
    <w:rsid w:val="00073E65"/>
    <w:rsid w:val="00073F1E"/>
    <w:rsid w:val="00073F5A"/>
    <w:rsid w:val="00073FA4"/>
    <w:rsid w:val="000740F2"/>
    <w:rsid w:val="000742DC"/>
    <w:rsid w:val="00074369"/>
    <w:rsid w:val="00074383"/>
    <w:rsid w:val="00074540"/>
    <w:rsid w:val="00074786"/>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18"/>
    <w:rsid w:val="00076CA1"/>
    <w:rsid w:val="00076F63"/>
    <w:rsid w:val="0007700B"/>
    <w:rsid w:val="000770A7"/>
    <w:rsid w:val="00077417"/>
    <w:rsid w:val="000774CF"/>
    <w:rsid w:val="0007753D"/>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346E"/>
    <w:rsid w:val="000834C7"/>
    <w:rsid w:val="00083515"/>
    <w:rsid w:val="00083712"/>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600"/>
    <w:rsid w:val="0008763D"/>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70"/>
    <w:rsid w:val="00091BB9"/>
    <w:rsid w:val="00091CF5"/>
    <w:rsid w:val="00091D6D"/>
    <w:rsid w:val="00091FE5"/>
    <w:rsid w:val="000921A4"/>
    <w:rsid w:val="0009231A"/>
    <w:rsid w:val="00092425"/>
    <w:rsid w:val="00092493"/>
    <w:rsid w:val="0009290E"/>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B2A"/>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5DB"/>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AEE"/>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754"/>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300"/>
    <w:rsid w:val="000E0509"/>
    <w:rsid w:val="000E0A1B"/>
    <w:rsid w:val="000E0AD7"/>
    <w:rsid w:val="000E0AE5"/>
    <w:rsid w:val="000E0BA0"/>
    <w:rsid w:val="000E0E9C"/>
    <w:rsid w:val="000E0FCB"/>
    <w:rsid w:val="000E10EF"/>
    <w:rsid w:val="000E113C"/>
    <w:rsid w:val="000E1496"/>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33D"/>
    <w:rsid w:val="000E34DE"/>
    <w:rsid w:val="000E3511"/>
    <w:rsid w:val="000E3648"/>
    <w:rsid w:val="000E39C8"/>
    <w:rsid w:val="000E3D74"/>
    <w:rsid w:val="000E3F2F"/>
    <w:rsid w:val="000E42FD"/>
    <w:rsid w:val="000E45E8"/>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B8B"/>
    <w:rsid w:val="000E5F6D"/>
    <w:rsid w:val="000E6105"/>
    <w:rsid w:val="000E6227"/>
    <w:rsid w:val="000E6504"/>
    <w:rsid w:val="000E65F5"/>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6AF"/>
    <w:rsid w:val="000F56F8"/>
    <w:rsid w:val="000F5713"/>
    <w:rsid w:val="000F5AC6"/>
    <w:rsid w:val="000F5ACB"/>
    <w:rsid w:val="000F5B46"/>
    <w:rsid w:val="000F5CED"/>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44E6"/>
    <w:rsid w:val="0011467B"/>
    <w:rsid w:val="001147A2"/>
    <w:rsid w:val="001149FE"/>
    <w:rsid w:val="00114A31"/>
    <w:rsid w:val="00114DEB"/>
    <w:rsid w:val="00114FAF"/>
    <w:rsid w:val="001153A4"/>
    <w:rsid w:val="00115478"/>
    <w:rsid w:val="001154A8"/>
    <w:rsid w:val="001154E9"/>
    <w:rsid w:val="001157F3"/>
    <w:rsid w:val="0011590C"/>
    <w:rsid w:val="00115990"/>
    <w:rsid w:val="00115B0E"/>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2C"/>
    <w:rsid w:val="00127E8B"/>
    <w:rsid w:val="00127FE0"/>
    <w:rsid w:val="00127FE5"/>
    <w:rsid w:val="00130CA5"/>
    <w:rsid w:val="00130CBE"/>
    <w:rsid w:val="00130E64"/>
    <w:rsid w:val="0013119C"/>
    <w:rsid w:val="00131221"/>
    <w:rsid w:val="0013129A"/>
    <w:rsid w:val="001319C3"/>
    <w:rsid w:val="00131A1A"/>
    <w:rsid w:val="00131BB6"/>
    <w:rsid w:val="00132070"/>
    <w:rsid w:val="00132112"/>
    <w:rsid w:val="00132136"/>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F2"/>
    <w:rsid w:val="00143410"/>
    <w:rsid w:val="001435D7"/>
    <w:rsid w:val="0014372E"/>
    <w:rsid w:val="00143872"/>
    <w:rsid w:val="00143B07"/>
    <w:rsid w:val="00143FE3"/>
    <w:rsid w:val="00144096"/>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52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23F"/>
    <w:rsid w:val="001666BB"/>
    <w:rsid w:val="0016673A"/>
    <w:rsid w:val="00166809"/>
    <w:rsid w:val="00166BB7"/>
    <w:rsid w:val="00166CB7"/>
    <w:rsid w:val="00166D23"/>
    <w:rsid w:val="00167240"/>
    <w:rsid w:val="0016726B"/>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6E3"/>
    <w:rsid w:val="001877C1"/>
    <w:rsid w:val="00187A3C"/>
    <w:rsid w:val="00187BCA"/>
    <w:rsid w:val="00187C15"/>
    <w:rsid w:val="00187CCE"/>
    <w:rsid w:val="00187F57"/>
    <w:rsid w:val="00187F8C"/>
    <w:rsid w:val="00187FFE"/>
    <w:rsid w:val="0019048F"/>
    <w:rsid w:val="001905FE"/>
    <w:rsid w:val="001909DA"/>
    <w:rsid w:val="00190B31"/>
    <w:rsid w:val="00190C75"/>
    <w:rsid w:val="00190CEF"/>
    <w:rsid w:val="00190EE3"/>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97E9C"/>
    <w:rsid w:val="001A0093"/>
    <w:rsid w:val="001A02C5"/>
    <w:rsid w:val="001A060E"/>
    <w:rsid w:val="001A06A3"/>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40"/>
    <w:rsid w:val="001B3F64"/>
    <w:rsid w:val="001B41EE"/>
    <w:rsid w:val="001B4470"/>
    <w:rsid w:val="001B498A"/>
    <w:rsid w:val="001B49B3"/>
    <w:rsid w:val="001B4ACF"/>
    <w:rsid w:val="001B4BA3"/>
    <w:rsid w:val="001B4C12"/>
    <w:rsid w:val="001B4CB1"/>
    <w:rsid w:val="001B4F49"/>
    <w:rsid w:val="001B5029"/>
    <w:rsid w:val="001B5138"/>
    <w:rsid w:val="001B5298"/>
    <w:rsid w:val="001B53F8"/>
    <w:rsid w:val="001B5452"/>
    <w:rsid w:val="001B5733"/>
    <w:rsid w:val="001B593D"/>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647"/>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20028A"/>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E12"/>
    <w:rsid w:val="00212132"/>
    <w:rsid w:val="00212169"/>
    <w:rsid w:val="00212482"/>
    <w:rsid w:val="00212691"/>
    <w:rsid w:val="00212844"/>
    <w:rsid w:val="00212917"/>
    <w:rsid w:val="00212BEA"/>
    <w:rsid w:val="00212C61"/>
    <w:rsid w:val="00212DBF"/>
    <w:rsid w:val="00212E4C"/>
    <w:rsid w:val="00213105"/>
    <w:rsid w:val="002132E9"/>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79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015"/>
    <w:rsid w:val="002300B4"/>
    <w:rsid w:val="002302EF"/>
    <w:rsid w:val="00230526"/>
    <w:rsid w:val="00230628"/>
    <w:rsid w:val="002307F0"/>
    <w:rsid w:val="0023099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E76"/>
    <w:rsid w:val="00235FE9"/>
    <w:rsid w:val="002362F5"/>
    <w:rsid w:val="002366BA"/>
    <w:rsid w:val="002367B3"/>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64A"/>
    <w:rsid w:val="00240CFC"/>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57D58"/>
    <w:rsid w:val="0026026A"/>
    <w:rsid w:val="00260308"/>
    <w:rsid w:val="00260459"/>
    <w:rsid w:val="00260A12"/>
    <w:rsid w:val="00260F6A"/>
    <w:rsid w:val="00260FBC"/>
    <w:rsid w:val="00261151"/>
    <w:rsid w:val="002612D0"/>
    <w:rsid w:val="00261330"/>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CEA"/>
    <w:rsid w:val="00265EB1"/>
    <w:rsid w:val="00266001"/>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88"/>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1019"/>
    <w:rsid w:val="002A10C7"/>
    <w:rsid w:val="002A129F"/>
    <w:rsid w:val="002A1909"/>
    <w:rsid w:val="002A19AD"/>
    <w:rsid w:val="002A19B1"/>
    <w:rsid w:val="002A19EA"/>
    <w:rsid w:val="002A1AFE"/>
    <w:rsid w:val="002A1D18"/>
    <w:rsid w:val="002A2043"/>
    <w:rsid w:val="002A252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8F7"/>
    <w:rsid w:val="002A4A0F"/>
    <w:rsid w:val="002A4F78"/>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563"/>
    <w:rsid w:val="002D28D9"/>
    <w:rsid w:val="002D28DA"/>
    <w:rsid w:val="002D2934"/>
    <w:rsid w:val="002D2ADC"/>
    <w:rsid w:val="002D2AE2"/>
    <w:rsid w:val="002D2B06"/>
    <w:rsid w:val="002D2E45"/>
    <w:rsid w:val="002D2EE2"/>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714"/>
    <w:rsid w:val="002D4744"/>
    <w:rsid w:val="002D4811"/>
    <w:rsid w:val="002D48A3"/>
    <w:rsid w:val="002D4B7D"/>
    <w:rsid w:val="002D4C6B"/>
    <w:rsid w:val="002D4CA7"/>
    <w:rsid w:val="002D4F76"/>
    <w:rsid w:val="002D50C1"/>
    <w:rsid w:val="002D5163"/>
    <w:rsid w:val="002D51B6"/>
    <w:rsid w:val="002D5315"/>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E8C"/>
    <w:rsid w:val="002F51A7"/>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E3B"/>
    <w:rsid w:val="00304E40"/>
    <w:rsid w:val="00304E7A"/>
    <w:rsid w:val="00305069"/>
    <w:rsid w:val="00305203"/>
    <w:rsid w:val="003052F8"/>
    <w:rsid w:val="003054F7"/>
    <w:rsid w:val="00305747"/>
    <w:rsid w:val="0030579A"/>
    <w:rsid w:val="003057D6"/>
    <w:rsid w:val="0030598C"/>
    <w:rsid w:val="00305A97"/>
    <w:rsid w:val="00305BAE"/>
    <w:rsid w:val="00305D3C"/>
    <w:rsid w:val="00305F4B"/>
    <w:rsid w:val="00305FA5"/>
    <w:rsid w:val="003062FB"/>
    <w:rsid w:val="0030652A"/>
    <w:rsid w:val="00306619"/>
    <w:rsid w:val="00306625"/>
    <w:rsid w:val="0030673C"/>
    <w:rsid w:val="0030674F"/>
    <w:rsid w:val="00306939"/>
    <w:rsid w:val="00306B0B"/>
    <w:rsid w:val="00306C1A"/>
    <w:rsid w:val="003072A7"/>
    <w:rsid w:val="00307426"/>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17EDA"/>
    <w:rsid w:val="00320126"/>
    <w:rsid w:val="003201ED"/>
    <w:rsid w:val="00320631"/>
    <w:rsid w:val="0032092E"/>
    <w:rsid w:val="00320AA2"/>
    <w:rsid w:val="00320AEA"/>
    <w:rsid w:val="00320AEC"/>
    <w:rsid w:val="00321213"/>
    <w:rsid w:val="00321236"/>
    <w:rsid w:val="00321601"/>
    <w:rsid w:val="0032169F"/>
    <w:rsid w:val="00321757"/>
    <w:rsid w:val="00321949"/>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09"/>
    <w:rsid w:val="0033542A"/>
    <w:rsid w:val="003354F2"/>
    <w:rsid w:val="003356F0"/>
    <w:rsid w:val="00335752"/>
    <w:rsid w:val="0033576B"/>
    <w:rsid w:val="0033588C"/>
    <w:rsid w:val="0033599D"/>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6DE"/>
    <w:rsid w:val="00341A6B"/>
    <w:rsid w:val="00341B19"/>
    <w:rsid w:val="00341B40"/>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354"/>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9E2"/>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BC0"/>
    <w:rsid w:val="00357C4A"/>
    <w:rsid w:val="00357F13"/>
    <w:rsid w:val="00360157"/>
    <w:rsid w:val="003601A2"/>
    <w:rsid w:val="00360410"/>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A4F"/>
    <w:rsid w:val="00372CE9"/>
    <w:rsid w:val="00372ECF"/>
    <w:rsid w:val="00372F2A"/>
    <w:rsid w:val="00372F2E"/>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2A0"/>
    <w:rsid w:val="0038345C"/>
    <w:rsid w:val="003835EE"/>
    <w:rsid w:val="0038363A"/>
    <w:rsid w:val="00383663"/>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6F"/>
    <w:rsid w:val="003A1DA1"/>
    <w:rsid w:val="003A1DC3"/>
    <w:rsid w:val="003A1DC5"/>
    <w:rsid w:val="003A1F59"/>
    <w:rsid w:val="003A1FD3"/>
    <w:rsid w:val="003A2250"/>
    <w:rsid w:val="003A2286"/>
    <w:rsid w:val="003A241F"/>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6F13"/>
    <w:rsid w:val="003A708D"/>
    <w:rsid w:val="003A7108"/>
    <w:rsid w:val="003A737A"/>
    <w:rsid w:val="003A754C"/>
    <w:rsid w:val="003A764E"/>
    <w:rsid w:val="003A7789"/>
    <w:rsid w:val="003A7963"/>
    <w:rsid w:val="003A799F"/>
    <w:rsid w:val="003A7AF2"/>
    <w:rsid w:val="003A7C4D"/>
    <w:rsid w:val="003A7D67"/>
    <w:rsid w:val="003A7E4C"/>
    <w:rsid w:val="003B0009"/>
    <w:rsid w:val="003B02ED"/>
    <w:rsid w:val="003B0336"/>
    <w:rsid w:val="003B03E4"/>
    <w:rsid w:val="003B044B"/>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18"/>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854"/>
    <w:rsid w:val="00415AD6"/>
    <w:rsid w:val="00415B1F"/>
    <w:rsid w:val="00415D44"/>
    <w:rsid w:val="00416045"/>
    <w:rsid w:val="00416523"/>
    <w:rsid w:val="0041657F"/>
    <w:rsid w:val="00416625"/>
    <w:rsid w:val="00416897"/>
    <w:rsid w:val="00416CBE"/>
    <w:rsid w:val="00416EC5"/>
    <w:rsid w:val="00417097"/>
    <w:rsid w:val="00417101"/>
    <w:rsid w:val="00417220"/>
    <w:rsid w:val="00417275"/>
    <w:rsid w:val="004172D8"/>
    <w:rsid w:val="00417316"/>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27C51"/>
    <w:rsid w:val="00430015"/>
    <w:rsid w:val="00430334"/>
    <w:rsid w:val="004307B1"/>
    <w:rsid w:val="00430830"/>
    <w:rsid w:val="00430A0A"/>
    <w:rsid w:val="00430D53"/>
    <w:rsid w:val="00430DC7"/>
    <w:rsid w:val="00430E95"/>
    <w:rsid w:val="004310CA"/>
    <w:rsid w:val="004311E6"/>
    <w:rsid w:val="00431409"/>
    <w:rsid w:val="00431767"/>
    <w:rsid w:val="00431773"/>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2BF"/>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DD7"/>
    <w:rsid w:val="00444E7F"/>
    <w:rsid w:val="00444E9A"/>
    <w:rsid w:val="00445436"/>
    <w:rsid w:val="00445461"/>
    <w:rsid w:val="0044572A"/>
    <w:rsid w:val="0044593B"/>
    <w:rsid w:val="00445B15"/>
    <w:rsid w:val="00445B31"/>
    <w:rsid w:val="00445BC6"/>
    <w:rsid w:val="00445E45"/>
    <w:rsid w:val="00445E5C"/>
    <w:rsid w:val="00445FCE"/>
    <w:rsid w:val="004460EE"/>
    <w:rsid w:val="00446304"/>
    <w:rsid w:val="00446315"/>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3DD1"/>
    <w:rsid w:val="00454085"/>
    <w:rsid w:val="00454157"/>
    <w:rsid w:val="00454179"/>
    <w:rsid w:val="00454455"/>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6"/>
    <w:rsid w:val="004575C8"/>
    <w:rsid w:val="0045779A"/>
    <w:rsid w:val="004577B3"/>
    <w:rsid w:val="00457855"/>
    <w:rsid w:val="00457BDD"/>
    <w:rsid w:val="00457C55"/>
    <w:rsid w:val="00457CFA"/>
    <w:rsid w:val="00457D2D"/>
    <w:rsid w:val="00457E86"/>
    <w:rsid w:val="00457E9B"/>
    <w:rsid w:val="00457EF0"/>
    <w:rsid w:val="00457F82"/>
    <w:rsid w:val="00460040"/>
    <w:rsid w:val="00460085"/>
    <w:rsid w:val="00460159"/>
    <w:rsid w:val="00460264"/>
    <w:rsid w:val="0046038E"/>
    <w:rsid w:val="004603C9"/>
    <w:rsid w:val="004604C4"/>
    <w:rsid w:val="004604CE"/>
    <w:rsid w:val="004604FE"/>
    <w:rsid w:val="00460719"/>
    <w:rsid w:val="00460777"/>
    <w:rsid w:val="004607B0"/>
    <w:rsid w:val="004607C5"/>
    <w:rsid w:val="00460979"/>
    <w:rsid w:val="00460BE6"/>
    <w:rsid w:val="00460E59"/>
    <w:rsid w:val="00461018"/>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2A85"/>
    <w:rsid w:val="00463046"/>
    <w:rsid w:val="0046310C"/>
    <w:rsid w:val="00463614"/>
    <w:rsid w:val="00463B5C"/>
    <w:rsid w:val="00464123"/>
    <w:rsid w:val="0046453F"/>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5B0D"/>
    <w:rsid w:val="0047606C"/>
    <w:rsid w:val="004763BF"/>
    <w:rsid w:val="00476456"/>
    <w:rsid w:val="0047663A"/>
    <w:rsid w:val="00476D0D"/>
    <w:rsid w:val="00476E8B"/>
    <w:rsid w:val="00476FF4"/>
    <w:rsid w:val="00477233"/>
    <w:rsid w:val="00477688"/>
    <w:rsid w:val="00477900"/>
    <w:rsid w:val="00477953"/>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B8C"/>
    <w:rsid w:val="004D1BFB"/>
    <w:rsid w:val="004D1CDC"/>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F4"/>
    <w:rsid w:val="004D5327"/>
    <w:rsid w:val="004D5676"/>
    <w:rsid w:val="004D56E5"/>
    <w:rsid w:val="004D5D11"/>
    <w:rsid w:val="004D63C7"/>
    <w:rsid w:val="004D69A0"/>
    <w:rsid w:val="004D6A08"/>
    <w:rsid w:val="004D6B8C"/>
    <w:rsid w:val="004D6C26"/>
    <w:rsid w:val="004D6E39"/>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2028"/>
    <w:rsid w:val="004E22AC"/>
    <w:rsid w:val="004E243F"/>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7CF"/>
    <w:rsid w:val="004F283D"/>
    <w:rsid w:val="004F293F"/>
    <w:rsid w:val="004F2CD0"/>
    <w:rsid w:val="004F2D39"/>
    <w:rsid w:val="004F2EC0"/>
    <w:rsid w:val="004F3042"/>
    <w:rsid w:val="004F3546"/>
    <w:rsid w:val="004F3550"/>
    <w:rsid w:val="004F35A0"/>
    <w:rsid w:val="004F35E5"/>
    <w:rsid w:val="004F3886"/>
    <w:rsid w:val="004F39B7"/>
    <w:rsid w:val="004F3C24"/>
    <w:rsid w:val="004F3C8A"/>
    <w:rsid w:val="004F3D92"/>
    <w:rsid w:val="004F3F9A"/>
    <w:rsid w:val="004F401F"/>
    <w:rsid w:val="004F41F6"/>
    <w:rsid w:val="004F4266"/>
    <w:rsid w:val="004F43A3"/>
    <w:rsid w:val="004F468D"/>
    <w:rsid w:val="004F47AC"/>
    <w:rsid w:val="004F4B20"/>
    <w:rsid w:val="004F4BFC"/>
    <w:rsid w:val="004F4C5B"/>
    <w:rsid w:val="004F4CFB"/>
    <w:rsid w:val="004F4D7F"/>
    <w:rsid w:val="004F4E27"/>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ABB"/>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C3"/>
    <w:rsid w:val="005234F2"/>
    <w:rsid w:val="005237CD"/>
    <w:rsid w:val="0052382E"/>
    <w:rsid w:val="00523AE4"/>
    <w:rsid w:val="00523CED"/>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103"/>
    <w:rsid w:val="0055225F"/>
    <w:rsid w:val="0055239E"/>
    <w:rsid w:val="00552491"/>
    <w:rsid w:val="00552496"/>
    <w:rsid w:val="005524DB"/>
    <w:rsid w:val="005525AA"/>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A1"/>
    <w:rsid w:val="005666B1"/>
    <w:rsid w:val="00566796"/>
    <w:rsid w:val="00566895"/>
    <w:rsid w:val="005669A6"/>
    <w:rsid w:val="00566E48"/>
    <w:rsid w:val="00566F4B"/>
    <w:rsid w:val="005670B5"/>
    <w:rsid w:val="005674D5"/>
    <w:rsid w:val="0056771E"/>
    <w:rsid w:val="0056782A"/>
    <w:rsid w:val="00567AD6"/>
    <w:rsid w:val="00567B1C"/>
    <w:rsid w:val="00567B44"/>
    <w:rsid w:val="00567BA3"/>
    <w:rsid w:val="00567C60"/>
    <w:rsid w:val="00567D8E"/>
    <w:rsid w:val="00570407"/>
    <w:rsid w:val="005705E1"/>
    <w:rsid w:val="00570715"/>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150"/>
    <w:rsid w:val="00581225"/>
    <w:rsid w:val="0058135E"/>
    <w:rsid w:val="005814DF"/>
    <w:rsid w:val="005816C2"/>
    <w:rsid w:val="005817D9"/>
    <w:rsid w:val="005819E8"/>
    <w:rsid w:val="00581A15"/>
    <w:rsid w:val="00581B9A"/>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C73"/>
    <w:rsid w:val="00597ED7"/>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52"/>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30"/>
    <w:rsid w:val="005C69FD"/>
    <w:rsid w:val="005C6AC7"/>
    <w:rsid w:val="005C6D8C"/>
    <w:rsid w:val="005C71F8"/>
    <w:rsid w:val="005C72AD"/>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3F9"/>
    <w:rsid w:val="005E363B"/>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4A"/>
    <w:rsid w:val="006005E8"/>
    <w:rsid w:val="00600612"/>
    <w:rsid w:val="00600857"/>
    <w:rsid w:val="00600A6D"/>
    <w:rsid w:val="00600ECA"/>
    <w:rsid w:val="006010FA"/>
    <w:rsid w:val="006012BC"/>
    <w:rsid w:val="006012F4"/>
    <w:rsid w:val="00601391"/>
    <w:rsid w:val="00601405"/>
    <w:rsid w:val="00601425"/>
    <w:rsid w:val="0060144A"/>
    <w:rsid w:val="00601573"/>
    <w:rsid w:val="006015C5"/>
    <w:rsid w:val="006016A9"/>
    <w:rsid w:val="00601787"/>
    <w:rsid w:val="006017FE"/>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371"/>
    <w:rsid w:val="0060740D"/>
    <w:rsid w:val="0060766F"/>
    <w:rsid w:val="00607792"/>
    <w:rsid w:val="0060784C"/>
    <w:rsid w:val="006078E3"/>
    <w:rsid w:val="00607B2C"/>
    <w:rsid w:val="00607C8C"/>
    <w:rsid w:val="00607EBA"/>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F89"/>
    <w:rsid w:val="00612111"/>
    <w:rsid w:val="006121B0"/>
    <w:rsid w:val="00612207"/>
    <w:rsid w:val="00612330"/>
    <w:rsid w:val="00612344"/>
    <w:rsid w:val="00612490"/>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902"/>
    <w:rsid w:val="00621912"/>
    <w:rsid w:val="00621B0C"/>
    <w:rsid w:val="00621D86"/>
    <w:rsid w:val="00622211"/>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5D8"/>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F3"/>
    <w:rsid w:val="00652A67"/>
    <w:rsid w:val="00652B13"/>
    <w:rsid w:val="00652D5F"/>
    <w:rsid w:val="00652DFB"/>
    <w:rsid w:val="0065313E"/>
    <w:rsid w:val="00653191"/>
    <w:rsid w:val="0065335C"/>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A12"/>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34"/>
    <w:rsid w:val="00661DCD"/>
    <w:rsid w:val="00661DD3"/>
    <w:rsid w:val="00661EE8"/>
    <w:rsid w:val="00661EEE"/>
    <w:rsid w:val="00662095"/>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B7E"/>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8CD"/>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E6F"/>
    <w:rsid w:val="006A0F4E"/>
    <w:rsid w:val="006A12DF"/>
    <w:rsid w:val="006A155F"/>
    <w:rsid w:val="006A158A"/>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711F"/>
    <w:rsid w:val="006A71A2"/>
    <w:rsid w:val="006A7324"/>
    <w:rsid w:val="006A746B"/>
    <w:rsid w:val="006A7522"/>
    <w:rsid w:val="006A791A"/>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DFF"/>
    <w:rsid w:val="006C3EDF"/>
    <w:rsid w:val="006C420A"/>
    <w:rsid w:val="006C44A7"/>
    <w:rsid w:val="006C4740"/>
    <w:rsid w:val="006C4975"/>
    <w:rsid w:val="006C49A9"/>
    <w:rsid w:val="006C49FD"/>
    <w:rsid w:val="006C4BC6"/>
    <w:rsid w:val="006C4EC9"/>
    <w:rsid w:val="006C4EF7"/>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60A"/>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6E"/>
    <w:rsid w:val="006E0777"/>
    <w:rsid w:val="006E0786"/>
    <w:rsid w:val="006E0899"/>
    <w:rsid w:val="006E09D3"/>
    <w:rsid w:val="006E0A92"/>
    <w:rsid w:val="006E0AE2"/>
    <w:rsid w:val="006E0DF3"/>
    <w:rsid w:val="006E1678"/>
    <w:rsid w:val="006E1737"/>
    <w:rsid w:val="006E18E9"/>
    <w:rsid w:val="006E193D"/>
    <w:rsid w:val="006E1A51"/>
    <w:rsid w:val="006E1AAD"/>
    <w:rsid w:val="006E1B3B"/>
    <w:rsid w:val="006E1B66"/>
    <w:rsid w:val="006E1BB1"/>
    <w:rsid w:val="006E1C9D"/>
    <w:rsid w:val="006E1FEE"/>
    <w:rsid w:val="006E209F"/>
    <w:rsid w:val="006E21FB"/>
    <w:rsid w:val="006E2299"/>
    <w:rsid w:val="006E2583"/>
    <w:rsid w:val="006E2625"/>
    <w:rsid w:val="006E263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D7"/>
    <w:rsid w:val="006E75B8"/>
    <w:rsid w:val="006E76CB"/>
    <w:rsid w:val="006E77B9"/>
    <w:rsid w:val="006E77C7"/>
    <w:rsid w:val="006E787A"/>
    <w:rsid w:val="006E7A6D"/>
    <w:rsid w:val="006E7AF8"/>
    <w:rsid w:val="006E7C45"/>
    <w:rsid w:val="006E7D3D"/>
    <w:rsid w:val="006E7E2B"/>
    <w:rsid w:val="006F016A"/>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C2"/>
    <w:rsid w:val="006F4381"/>
    <w:rsid w:val="006F45E5"/>
    <w:rsid w:val="006F4682"/>
    <w:rsid w:val="006F49C2"/>
    <w:rsid w:val="006F4AA9"/>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2FF4"/>
    <w:rsid w:val="00703176"/>
    <w:rsid w:val="0070336B"/>
    <w:rsid w:val="00703BB9"/>
    <w:rsid w:val="00703CD1"/>
    <w:rsid w:val="00703DEA"/>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03"/>
    <w:rsid w:val="00707AD3"/>
    <w:rsid w:val="00707AEF"/>
    <w:rsid w:val="00707F4F"/>
    <w:rsid w:val="0071004F"/>
    <w:rsid w:val="007103C7"/>
    <w:rsid w:val="00710409"/>
    <w:rsid w:val="00710D8E"/>
    <w:rsid w:val="00710DE5"/>
    <w:rsid w:val="00711025"/>
    <w:rsid w:val="00711346"/>
    <w:rsid w:val="0071135A"/>
    <w:rsid w:val="0071141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8EA"/>
    <w:rsid w:val="00717962"/>
    <w:rsid w:val="00717CAE"/>
    <w:rsid w:val="00717D09"/>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CA4"/>
    <w:rsid w:val="00724E0B"/>
    <w:rsid w:val="00724E5B"/>
    <w:rsid w:val="00724E93"/>
    <w:rsid w:val="00724ED3"/>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F5D"/>
    <w:rsid w:val="007273CC"/>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B6E"/>
    <w:rsid w:val="00731E67"/>
    <w:rsid w:val="00731F59"/>
    <w:rsid w:val="0073208E"/>
    <w:rsid w:val="007320CB"/>
    <w:rsid w:val="00732108"/>
    <w:rsid w:val="00732180"/>
    <w:rsid w:val="00732426"/>
    <w:rsid w:val="007324AD"/>
    <w:rsid w:val="00732505"/>
    <w:rsid w:val="007326A0"/>
    <w:rsid w:val="007329EF"/>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0EB0"/>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3055"/>
    <w:rsid w:val="00763133"/>
    <w:rsid w:val="0076320D"/>
    <w:rsid w:val="007633F0"/>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44"/>
    <w:rsid w:val="007664F0"/>
    <w:rsid w:val="007666C8"/>
    <w:rsid w:val="0076677D"/>
    <w:rsid w:val="00766995"/>
    <w:rsid w:val="00766A60"/>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758"/>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DA8"/>
    <w:rsid w:val="00793091"/>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4FE"/>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198"/>
    <w:rsid w:val="007B62B9"/>
    <w:rsid w:val="007B64EB"/>
    <w:rsid w:val="007B6510"/>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55A"/>
    <w:rsid w:val="007C3778"/>
    <w:rsid w:val="007C37D0"/>
    <w:rsid w:val="007C3920"/>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3B3"/>
    <w:rsid w:val="007C6477"/>
    <w:rsid w:val="007C6481"/>
    <w:rsid w:val="007C65C4"/>
    <w:rsid w:val="007C67DF"/>
    <w:rsid w:val="007C6850"/>
    <w:rsid w:val="007C6BD8"/>
    <w:rsid w:val="007C6BDD"/>
    <w:rsid w:val="007C6C34"/>
    <w:rsid w:val="007C6C51"/>
    <w:rsid w:val="007C6DC7"/>
    <w:rsid w:val="007C7010"/>
    <w:rsid w:val="007C718F"/>
    <w:rsid w:val="007C7532"/>
    <w:rsid w:val="007C798C"/>
    <w:rsid w:val="007C7DEE"/>
    <w:rsid w:val="007C7FB2"/>
    <w:rsid w:val="007D0074"/>
    <w:rsid w:val="007D02C0"/>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8C"/>
    <w:rsid w:val="007D1AF2"/>
    <w:rsid w:val="007D1BAE"/>
    <w:rsid w:val="007D1D4D"/>
    <w:rsid w:val="007D1DFD"/>
    <w:rsid w:val="007D2009"/>
    <w:rsid w:val="007D21C0"/>
    <w:rsid w:val="007D25E5"/>
    <w:rsid w:val="007D2648"/>
    <w:rsid w:val="007D27C0"/>
    <w:rsid w:val="007D2932"/>
    <w:rsid w:val="007D29FA"/>
    <w:rsid w:val="007D30B3"/>
    <w:rsid w:val="007D3239"/>
    <w:rsid w:val="007D328E"/>
    <w:rsid w:val="007D32AD"/>
    <w:rsid w:val="007D32E3"/>
    <w:rsid w:val="007D33CF"/>
    <w:rsid w:val="007D33D7"/>
    <w:rsid w:val="007D34BB"/>
    <w:rsid w:val="007D3743"/>
    <w:rsid w:val="007D378E"/>
    <w:rsid w:val="007D3949"/>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41A"/>
    <w:rsid w:val="007E14AD"/>
    <w:rsid w:val="007E154C"/>
    <w:rsid w:val="007E184B"/>
    <w:rsid w:val="007E1878"/>
    <w:rsid w:val="007E1D89"/>
    <w:rsid w:val="007E1D9A"/>
    <w:rsid w:val="007E1F04"/>
    <w:rsid w:val="007E2009"/>
    <w:rsid w:val="007E20D9"/>
    <w:rsid w:val="007E20E4"/>
    <w:rsid w:val="007E2101"/>
    <w:rsid w:val="007E22A2"/>
    <w:rsid w:val="007E25CC"/>
    <w:rsid w:val="007E2816"/>
    <w:rsid w:val="007E2872"/>
    <w:rsid w:val="007E28AE"/>
    <w:rsid w:val="007E29DC"/>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C32"/>
    <w:rsid w:val="00802C4D"/>
    <w:rsid w:val="00802CA2"/>
    <w:rsid w:val="00802EF9"/>
    <w:rsid w:val="0080315F"/>
    <w:rsid w:val="008033B9"/>
    <w:rsid w:val="00803809"/>
    <w:rsid w:val="00803A1B"/>
    <w:rsid w:val="00803BB4"/>
    <w:rsid w:val="00803BF6"/>
    <w:rsid w:val="00804160"/>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8F0"/>
    <w:rsid w:val="00805B97"/>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AEB"/>
    <w:rsid w:val="00811BEF"/>
    <w:rsid w:val="00811D44"/>
    <w:rsid w:val="008120E8"/>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5B"/>
    <w:rsid w:val="00821197"/>
    <w:rsid w:val="00821472"/>
    <w:rsid w:val="0082152D"/>
    <w:rsid w:val="0082154C"/>
    <w:rsid w:val="008215E6"/>
    <w:rsid w:val="00821958"/>
    <w:rsid w:val="008219F0"/>
    <w:rsid w:val="00821BEE"/>
    <w:rsid w:val="00821D46"/>
    <w:rsid w:val="00821E09"/>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4B3"/>
    <w:rsid w:val="00824564"/>
    <w:rsid w:val="00824A93"/>
    <w:rsid w:val="00824B99"/>
    <w:rsid w:val="00824D50"/>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7104"/>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742"/>
    <w:rsid w:val="008517A3"/>
    <w:rsid w:val="00851832"/>
    <w:rsid w:val="00851C7F"/>
    <w:rsid w:val="00851CB2"/>
    <w:rsid w:val="00851F60"/>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2EB"/>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0DE8"/>
    <w:rsid w:val="008810CF"/>
    <w:rsid w:val="00881300"/>
    <w:rsid w:val="0088142F"/>
    <w:rsid w:val="0088143E"/>
    <w:rsid w:val="00881548"/>
    <w:rsid w:val="00881829"/>
    <w:rsid w:val="00882169"/>
    <w:rsid w:val="00882186"/>
    <w:rsid w:val="00882250"/>
    <w:rsid w:val="00882273"/>
    <w:rsid w:val="00882370"/>
    <w:rsid w:val="008824C9"/>
    <w:rsid w:val="008824E9"/>
    <w:rsid w:val="00882506"/>
    <w:rsid w:val="00882892"/>
    <w:rsid w:val="008828A3"/>
    <w:rsid w:val="0088294D"/>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A4E"/>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3CFF"/>
    <w:rsid w:val="008940A9"/>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0C92"/>
    <w:rsid w:val="008C10F7"/>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73"/>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E30"/>
    <w:rsid w:val="008D00D5"/>
    <w:rsid w:val="008D0201"/>
    <w:rsid w:val="008D0216"/>
    <w:rsid w:val="008D074D"/>
    <w:rsid w:val="008D0825"/>
    <w:rsid w:val="008D0988"/>
    <w:rsid w:val="008D0A70"/>
    <w:rsid w:val="008D0CF1"/>
    <w:rsid w:val="008D0D0E"/>
    <w:rsid w:val="008D0E30"/>
    <w:rsid w:val="008D0E9E"/>
    <w:rsid w:val="008D1056"/>
    <w:rsid w:val="008D1225"/>
    <w:rsid w:val="008D1459"/>
    <w:rsid w:val="008D1479"/>
    <w:rsid w:val="008D16DD"/>
    <w:rsid w:val="008D1755"/>
    <w:rsid w:val="008D181F"/>
    <w:rsid w:val="008D1911"/>
    <w:rsid w:val="008D1BDE"/>
    <w:rsid w:val="008D1DF7"/>
    <w:rsid w:val="008D1E83"/>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75B"/>
    <w:rsid w:val="008E3866"/>
    <w:rsid w:val="008E3876"/>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A8"/>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7B"/>
    <w:rsid w:val="008F0192"/>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BB4"/>
    <w:rsid w:val="008F1C07"/>
    <w:rsid w:val="008F1C92"/>
    <w:rsid w:val="008F1E98"/>
    <w:rsid w:val="008F1F16"/>
    <w:rsid w:val="008F1FF8"/>
    <w:rsid w:val="008F2199"/>
    <w:rsid w:val="008F21C8"/>
    <w:rsid w:val="008F24C8"/>
    <w:rsid w:val="008F258D"/>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948"/>
    <w:rsid w:val="00903C55"/>
    <w:rsid w:val="00904107"/>
    <w:rsid w:val="00904247"/>
    <w:rsid w:val="009042B1"/>
    <w:rsid w:val="00904418"/>
    <w:rsid w:val="00904807"/>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70C"/>
    <w:rsid w:val="009207D6"/>
    <w:rsid w:val="00920831"/>
    <w:rsid w:val="00920892"/>
    <w:rsid w:val="00920D77"/>
    <w:rsid w:val="00920DB5"/>
    <w:rsid w:val="00920E06"/>
    <w:rsid w:val="009210C0"/>
    <w:rsid w:val="00921303"/>
    <w:rsid w:val="00921375"/>
    <w:rsid w:val="00921662"/>
    <w:rsid w:val="00921740"/>
    <w:rsid w:val="00921883"/>
    <w:rsid w:val="00921CA1"/>
    <w:rsid w:val="00921EB3"/>
    <w:rsid w:val="00921F29"/>
    <w:rsid w:val="0092203D"/>
    <w:rsid w:val="00922096"/>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3EF5"/>
    <w:rsid w:val="009243FA"/>
    <w:rsid w:val="0092440C"/>
    <w:rsid w:val="009246FE"/>
    <w:rsid w:val="00924791"/>
    <w:rsid w:val="00924795"/>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2A"/>
    <w:rsid w:val="0093673C"/>
    <w:rsid w:val="009369E7"/>
    <w:rsid w:val="00936A10"/>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37FED"/>
    <w:rsid w:val="009402F0"/>
    <w:rsid w:val="009404B3"/>
    <w:rsid w:val="009404EE"/>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A8"/>
    <w:rsid w:val="00944E82"/>
    <w:rsid w:val="00945130"/>
    <w:rsid w:val="0094544D"/>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1D9"/>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4FF1"/>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3FD"/>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01E"/>
    <w:rsid w:val="00965214"/>
    <w:rsid w:val="009653E3"/>
    <w:rsid w:val="0096555E"/>
    <w:rsid w:val="009656E0"/>
    <w:rsid w:val="00965806"/>
    <w:rsid w:val="00965909"/>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D04"/>
    <w:rsid w:val="00975117"/>
    <w:rsid w:val="00975155"/>
    <w:rsid w:val="00975304"/>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7B2"/>
    <w:rsid w:val="00982975"/>
    <w:rsid w:val="00982A1C"/>
    <w:rsid w:val="00982D43"/>
    <w:rsid w:val="00982D80"/>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5"/>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9A"/>
    <w:rsid w:val="00987DD8"/>
    <w:rsid w:val="00987DF9"/>
    <w:rsid w:val="00987F41"/>
    <w:rsid w:val="009901B5"/>
    <w:rsid w:val="009902D4"/>
    <w:rsid w:val="009903BA"/>
    <w:rsid w:val="0099078F"/>
    <w:rsid w:val="009909A7"/>
    <w:rsid w:val="00990C04"/>
    <w:rsid w:val="00990DC0"/>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DB3"/>
    <w:rsid w:val="00995F91"/>
    <w:rsid w:val="0099616D"/>
    <w:rsid w:val="009961F3"/>
    <w:rsid w:val="00996614"/>
    <w:rsid w:val="00996995"/>
    <w:rsid w:val="00996B07"/>
    <w:rsid w:val="00996CB9"/>
    <w:rsid w:val="00996E79"/>
    <w:rsid w:val="00997363"/>
    <w:rsid w:val="00997571"/>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C69"/>
    <w:rsid w:val="009B6E7B"/>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C6E"/>
    <w:rsid w:val="009C0CD2"/>
    <w:rsid w:val="009C0D2C"/>
    <w:rsid w:val="009C0E63"/>
    <w:rsid w:val="009C106C"/>
    <w:rsid w:val="009C107E"/>
    <w:rsid w:val="009C1292"/>
    <w:rsid w:val="009C12A8"/>
    <w:rsid w:val="009C1382"/>
    <w:rsid w:val="009C1B1D"/>
    <w:rsid w:val="009C1B51"/>
    <w:rsid w:val="009C1D8A"/>
    <w:rsid w:val="009C1FA6"/>
    <w:rsid w:val="009C2169"/>
    <w:rsid w:val="009C21B1"/>
    <w:rsid w:val="009C237F"/>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895"/>
    <w:rsid w:val="009C6A88"/>
    <w:rsid w:val="009C6AF9"/>
    <w:rsid w:val="009C6C51"/>
    <w:rsid w:val="009C6FD5"/>
    <w:rsid w:val="009C73F0"/>
    <w:rsid w:val="009C750D"/>
    <w:rsid w:val="009C75AE"/>
    <w:rsid w:val="009C7794"/>
    <w:rsid w:val="009C781A"/>
    <w:rsid w:val="009C78BC"/>
    <w:rsid w:val="009C7A84"/>
    <w:rsid w:val="009C7B28"/>
    <w:rsid w:val="009C7CC2"/>
    <w:rsid w:val="009C7E60"/>
    <w:rsid w:val="009C7E97"/>
    <w:rsid w:val="009D0194"/>
    <w:rsid w:val="009D042F"/>
    <w:rsid w:val="009D0589"/>
    <w:rsid w:val="009D05DF"/>
    <w:rsid w:val="009D079B"/>
    <w:rsid w:val="009D08C2"/>
    <w:rsid w:val="009D0952"/>
    <w:rsid w:val="009D0BB1"/>
    <w:rsid w:val="009D1099"/>
    <w:rsid w:val="009D146F"/>
    <w:rsid w:val="009D17A0"/>
    <w:rsid w:val="009D196D"/>
    <w:rsid w:val="009D1CDD"/>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5E0"/>
    <w:rsid w:val="009D46E0"/>
    <w:rsid w:val="009D4DC3"/>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8BE"/>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0"/>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E35"/>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CF"/>
    <w:rsid w:val="00A22B7B"/>
    <w:rsid w:val="00A22C2F"/>
    <w:rsid w:val="00A22CEA"/>
    <w:rsid w:val="00A22D05"/>
    <w:rsid w:val="00A22E24"/>
    <w:rsid w:val="00A22EF6"/>
    <w:rsid w:val="00A22F75"/>
    <w:rsid w:val="00A231F6"/>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1FD3"/>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D"/>
    <w:rsid w:val="00A72C8F"/>
    <w:rsid w:val="00A72D37"/>
    <w:rsid w:val="00A7329B"/>
    <w:rsid w:val="00A73379"/>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9FC"/>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77C97"/>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5CB"/>
    <w:rsid w:val="00A86709"/>
    <w:rsid w:val="00A86878"/>
    <w:rsid w:val="00A869F9"/>
    <w:rsid w:val="00A86EBE"/>
    <w:rsid w:val="00A86F60"/>
    <w:rsid w:val="00A87535"/>
    <w:rsid w:val="00A8759A"/>
    <w:rsid w:val="00A875AA"/>
    <w:rsid w:val="00A8793D"/>
    <w:rsid w:val="00A87AE4"/>
    <w:rsid w:val="00A87B82"/>
    <w:rsid w:val="00A87C7C"/>
    <w:rsid w:val="00A901D7"/>
    <w:rsid w:val="00A90241"/>
    <w:rsid w:val="00A902B0"/>
    <w:rsid w:val="00A903F8"/>
    <w:rsid w:val="00A90602"/>
    <w:rsid w:val="00A9069B"/>
    <w:rsid w:val="00A909BA"/>
    <w:rsid w:val="00A909F9"/>
    <w:rsid w:val="00A90A50"/>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532"/>
    <w:rsid w:val="00A9558F"/>
    <w:rsid w:val="00A9583A"/>
    <w:rsid w:val="00A95962"/>
    <w:rsid w:val="00A95A5C"/>
    <w:rsid w:val="00A95E09"/>
    <w:rsid w:val="00A96042"/>
    <w:rsid w:val="00A9646E"/>
    <w:rsid w:val="00A96557"/>
    <w:rsid w:val="00A965A0"/>
    <w:rsid w:val="00A966DD"/>
    <w:rsid w:val="00A96967"/>
    <w:rsid w:val="00A96C31"/>
    <w:rsid w:val="00A96CB2"/>
    <w:rsid w:val="00A96DDA"/>
    <w:rsid w:val="00A96E9F"/>
    <w:rsid w:val="00A96F18"/>
    <w:rsid w:val="00A973AA"/>
    <w:rsid w:val="00A97522"/>
    <w:rsid w:val="00A97627"/>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C18"/>
    <w:rsid w:val="00AB1EFA"/>
    <w:rsid w:val="00AB1FC7"/>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544"/>
    <w:rsid w:val="00AC4A3A"/>
    <w:rsid w:val="00AC4A94"/>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820"/>
    <w:rsid w:val="00AD088A"/>
    <w:rsid w:val="00AD0BA0"/>
    <w:rsid w:val="00AD0F99"/>
    <w:rsid w:val="00AD1101"/>
    <w:rsid w:val="00AD1240"/>
    <w:rsid w:val="00AD145A"/>
    <w:rsid w:val="00AD18E9"/>
    <w:rsid w:val="00AD19D0"/>
    <w:rsid w:val="00AD1AFB"/>
    <w:rsid w:val="00AD1B63"/>
    <w:rsid w:val="00AD1BC5"/>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2B3"/>
    <w:rsid w:val="00AD6312"/>
    <w:rsid w:val="00AD66BA"/>
    <w:rsid w:val="00AD6A22"/>
    <w:rsid w:val="00AD6B41"/>
    <w:rsid w:val="00AD6F8B"/>
    <w:rsid w:val="00AD6F9E"/>
    <w:rsid w:val="00AD70A6"/>
    <w:rsid w:val="00AD71BE"/>
    <w:rsid w:val="00AD7522"/>
    <w:rsid w:val="00AD7CD4"/>
    <w:rsid w:val="00AE015E"/>
    <w:rsid w:val="00AE02C6"/>
    <w:rsid w:val="00AE098D"/>
    <w:rsid w:val="00AE09B0"/>
    <w:rsid w:val="00AE0A49"/>
    <w:rsid w:val="00AE0B0E"/>
    <w:rsid w:val="00AE0C51"/>
    <w:rsid w:val="00AE0CAA"/>
    <w:rsid w:val="00AE17A3"/>
    <w:rsid w:val="00AE17C9"/>
    <w:rsid w:val="00AE1A31"/>
    <w:rsid w:val="00AE1B12"/>
    <w:rsid w:val="00AE1C6D"/>
    <w:rsid w:val="00AE1C7C"/>
    <w:rsid w:val="00AE1D35"/>
    <w:rsid w:val="00AE1E19"/>
    <w:rsid w:val="00AE1E5E"/>
    <w:rsid w:val="00AE224F"/>
    <w:rsid w:val="00AE2275"/>
    <w:rsid w:val="00AE22B2"/>
    <w:rsid w:val="00AE22B3"/>
    <w:rsid w:val="00AE2360"/>
    <w:rsid w:val="00AE246E"/>
    <w:rsid w:val="00AE2493"/>
    <w:rsid w:val="00AE2805"/>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AD"/>
    <w:rsid w:val="00AF1602"/>
    <w:rsid w:val="00AF1803"/>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E"/>
    <w:rsid w:val="00B02F81"/>
    <w:rsid w:val="00B02FB9"/>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96"/>
    <w:rsid w:val="00B108A4"/>
    <w:rsid w:val="00B10950"/>
    <w:rsid w:val="00B109EC"/>
    <w:rsid w:val="00B10A6F"/>
    <w:rsid w:val="00B10D33"/>
    <w:rsid w:val="00B10F4A"/>
    <w:rsid w:val="00B1140D"/>
    <w:rsid w:val="00B11564"/>
    <w:rsid w:val="00B116A3"/>
    <w:rsid w:val="00B11800"/>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42B"/>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0D"/>
    <w:rsid w:val="00B17286"/>
    <w:rsid w:val="00B1731F"/>
    <w:rsid w:val="00B17406"/>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540"/>
    <w:rsid w:val="00B427FA"/>
    <w:rsid w:val="00B4284B"/>
    <w:rsid w:val="00B42C7B"/>
    <w:rsid w:val="00B42CED"/>
    <w:rsid w:val="00B42D00"/>
    <w:rsid w:val="00B42D83"/>
    <w:rsid w:val="00B42E3F"/>
    <w:rsid w:val="00B42E7E"/>
    <w:rsid w:val="00B4302B"/>
    <w:rsid w:val="00B430E3"/>
    <w:rsid w:val="00B43121"/>
    <w:rsid w:val="00B43285"/>
    <w:rsid w:val="00B432DD"/>
    <w:rsid w:val="00B43396"/>
    <w:rsid w:val="00B436B9"/>
    <w:rsid w:val="00B4381C"/>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39F"/>
    <w:rsid w:val="00B46512"/>
    <w:rsid w:val="00B46733"/>
    <w:rsid w:val="00B46930"/>
    <w:rsid w:val="00B46A25"/>
    <w:rsid w:val="00B46A50"/>
    <w:rsid w:val="00B46B1E"/>
    <w:rsid w:val="00B46FDF"/>
    <w:rsid w:val="00B47032"/>
    <w:rsid w:val="00B470FF"/>
    <w:rsid w:val="00B47215"/>
    <w:rsid w:val="00B47332"/>
    <w:rsid w:val="00B4745B"/>
    <w:rsid w:val="00B477F3"/>
    <w:rsid w:val="00B477F5"/>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D51"/>
    <w:rsid w:val="00B51D5C"/>
    <w:rsid w:val="00B51D98"/>
    <w:rsid w:val="00B51EA2"/>
    <w:rsid w:val="00B524BD"/>
    <w:rsid w:val="00B526EB"/>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8"/>
    <w:rsid w:val="00B6064C"/>
    <w:rsid w:val="00B606E2"/>
    <w:rsid w:val="00B60737"/>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944"/>
    <w:rsid w:val="00B63B2B"/>
    <w:rsid w:val="00B63CAD"/>
    <w:rsid w:val="00B63D98"/>
    <w:rsid w:val="00B63FEB"/>
    <w:rsid w:val="00B64166"/>
    <w:rsid w:val="00B6445D"/>
    <w:rsid w:val="00B6475D"/>
    <w:rsid w:val="00B64A95"/>
    <w:rsid w:val="00B64C32"/>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17A"/>
    <w:rsid w:val="00B66276"/>
    <w:rsid w:val="00B662C9"/>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72"/>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E7E"/>
    <w:rsid w:val="00BA6E90"/>
    <w:rsid w:val="00BA6FD8"/>
    <w:rsid w:val="00BA70B2"/>
    <w:rsid w:val="00BA7483"/>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6CF"/>
    <w:rsid w:val="00BC47E4"/>
    <w:rsid w:val="00BC4ADB"/>
    <w:rsid w:val="00BC4BE5"/>
    <w:rsid w:val="00BC4C03"/>
    <w:rsid w:val="00BC4E01"/>
    <w:rsid w:val="00BC514B"/>
    <w:rsid w:val="00BC5190"/>
    <w:rsid w:val="00BC5443"/>
    <w:rsid w:val="00BC545F"/>
    <w:rsid w:val="00BC558E"/>
    <w:rsid w:val="00BC5742"/>
    <w:rsid w:val="00BC58BE"/>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2A3"/>
    <w:rsid w:val="00BE23AC"/>
    <w:rsid w:val="00BE2844"/>
    <w:rsid w:val="00BE2B44"/>
    <w:rsid w:val="00BE2C04"/>
    <w:rsid w:val="00BE2EDD"/>
    <w:rsid w:val="00BE3683"/>
    <w:rsid w:val="00BE36F4"/>
    <w:rsid w:val="00BE37AB"/>
    <w:rsid w:val="00BE37CA"/>
    <w:rsid w:val="00BE393B"/>
    <w:rsid w:val="00BE3994"/>
    <w:rsid w:val="00BE3ACC"/>
    <w:rsid w:val="00BE3C51"/>
    <w:rsid w:val="00BE3E38"/>
    <w:rsid w:val="00BE4092"/>
    <w:rsid w:val="00BE4213"/>
    <w:rsid w:val="00BE442A"/>
    <w:rsid w:val="00BE45D8"/>
    <w:rsid w:val="00BE45D9"/>
    <w:rsid w:val="00BE45DD"/>
    <w:rsid w:val="00BE4709"/>
    <w:rsid w:val="00BE494F"/>
    <w:rsid w:val="00BE4F5B"/>
    <w:rsid w:val="00BE505A"/>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65"/>
    <w:rsid w:val="00BF6B96"/>
    <w:rsid w:val="00BF6BFE"/>
    <w:rsid w:val="00BF6DCF"/>
    <w:rsid w:val="00BF6DE5"/>
    <w:rsid w:val="00BF6FF5"/>
    <w:rsid w:val="00BF7276"/>
    <w:rsid w:val="00BF72D1"/>
    <w:rsid w:val="00BF72DF"/>
    <w:rsid w:val="00BF73F1"/>
    <w:rsid w:val="00BF7553"/>
    <w:rsid w:val="00BF75FB"/>
    <w:rsid w:val="00BF7713"/>
    <w:rsid w:val="00BF77EB"/>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1FC"/>
    <w:rsid w:val="00C0321C"/>
    <w:rsid w:val="00C03482"/>
    <w:rsid w:val="00C034A8"/>
    <w:rsid w:val="00C034CA"/>
    <w:rsid w:val="00C03527"/>
    <w:rsid w:val="00C0359C"/>
    <w:rsid w:val="00C035DB"/>
    <w:rsid w:val="00C0378C"/>
    <w:rsid w:val="00C0387A"/>
    <w:rsid w:val="00C03943"/>
    <w:rsid w:val="00C03AB1"/>
    <w:rsid w:val="00C03B8B"/>
    <w:rsid w:val="00C03F25"/>
    <w:rsid w:val="00C04004"/>
    <w:rsid w:val="00C041FB"/>
    <w:rsid w:val="00C0442B"/>
    <w:rsid w:val="00C04481"/>
    <w:rsid w:val="00C048B7"/>
    <w:rsid w:val="00C04B0A"/>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CA6"/>
    <w:rsid w:val="00C07DBC"/>
    <w:rsid w:val="00C07E64"/>
    <w:rsid w:val="00C1003B"/>
    <w:rsid w:val="00C10076"/>
    <w:rsid w:val="00C1015A"/>
    <w:rsid w:val="00C101DF"/>
    <w:rsid w:val="00C1031E"/>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9C"/>
    <w:rsid w:val="00C16ECC"/>
    <w:rsid w:val="00C16F3E"/>
    <w:rsid w:val="00C16FCD"/>
    <w:rsid w:val="00C171C2"/>
    <w:rsid w:val="00C172FE"/>
    <w:rsid w:val="00C17AC7"/>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361"/>
    <w:rsid w:val="00C236B4"/>
    <w:rsid w:val="00C237B7"/>
    <w:rsid w:val="00C23A26"/>
    <w:rsid w:val="00C23CED"/>
    <w:rsid w:val="00C23E98"/>
    <w:rsid w:val="00C24271"/>
    <w:rsid w:val="00C242CF"/>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3FE"/>
    <w:rsid w:val="00C3166B"/>
    <w:rsid w:val="00C31A80"/>
    <w:rsid w:val="00C31BF3"/>
    <w:rsid w:val="00C31E22"/>
    <w:rsid w:val="00C31EBB"/>
    <w:rsid w:val="00C31F06"/>
    <w:rsid w:val="00C31FC8"/>
    <w:rsid w:val="00C320B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2"/>
    <w:rsid w:val="00C4172F"/>
    <w:rsid w:val="00C41955"/>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78F"/>
    <w:rsid w:val="00C43830"/>
    <w:rsid w:val="00C43852"/>
    <w:rsid w:val="00C4390D"/>
    <w:rsid w:val="00C43EA3"/>
    <w:rsid w:val="00C4408E"/>
    <w:rsid w:val="00C4428F"/>
    <w:rsid w:val="00C442CA"/>
    <w:rsid w:val="00C44541"/>
    <w:rsid w:val="00C445EC"/>
    <w:rsid w:val="00C44664"/>
    <w:rsid w:val="00C4485B"/>
    <w:rsid w:val="00C44CDF"/>
    <w:rsid w:val="00C44F99"/>
    <w:rsid w:val="00C454F7"/>
    <w:rsid w:val="00C45625"/>
    <w:rsid w:val="00C45779"/>
    <w:rsid w:val="00C4579D"/>
    <w:rsid w:val="00C458BC"/>
    <w:rsid w:val="00C4598C"/>
    <w:rsid w:val="00C45C28"/>
    <w:rsid w:val="00C45FF4"/>
    <w:rsid w:val="00C4686A"/>
    <w:rsid w:val="00C46963"/>
    <w:rsid w:val="00C46A6B"/>
    <w:rsid w:val="00C46A7E"/>
    <w:rsid w:val="00C46E3B"/>
    <w:rsid w:val="00C46EB8"/>
    <w:rsid w:val="00C47024"/>
    <w:rsid w:val="00C4723E"/>
    <w:rsid w:val="00C47472"/>
    <w:rsid w:val="00C4753D"/>
    <w:rsid w:val="00C476DD"/>
    <w:rsid w:val="00C4772B"/>
    <w:rsid w:val="00C47A33"/>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7B4"/>
    <w:rsid w:val="00C70881"/>
    <w:rsid w:val="00C70A5B"/>
    <w:rsid w:val="00C70A65"/>
    <w:rsid w:val="00C70B1F"/>
    <w:rsid w:val="00C710C0"/>
    <w:rsid w:val="00C713C5"/>
    <w:rsid w:val="00C71698"/>
    <w:rsid w:val="00C718A4"/>
    <w:rsid w:val="00C71AC8"/>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B1C"/>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6E"/>
    <w:rsid w:val="00C94FDC"/>
    <w:rsid w:val="00C95133"/>
    <w:rsid w:val="00C9517D"/>
    <w:rsid w:val="00C952B3"/>
    <w:rsid w:val="00C952EF"/>
    <w:rsid w:val="00C9534D"/>
    <w:rsid w:val="00C9558E"/>
    <w:rsid w:val="00C95590"/>
    <w:rsid w:val="00C95957"/>
    <w:rsid w:val="00C959AE"/>
    <w:rsid w:val="00C95C4A"/>
    <w:rsid w:val="00C95CAE"/>
    <w:rsid w:val="00C95D9A"/>
    <w:rsid w:val="00C960D6"/>
    <w:rsid w:val="00C96271"/>
    <w:rsid w:val="00C962AA"/>
    <w:rsid w:val="00C962C3"/>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59E"/>
    <w:rsid w:val="00CA66B4"/>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6E94"/>
    <w:rsid w:val="00CB70B1"/>
    <w:rsid w:val="00CB7476"/>
    <w:rsid w:val="00CB74BA"/>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D35"/>
    <w:rsid w:val="00CC1FFE"/>
    <w:rsid w:val="00CC217A"/>
    <w:rsid w:val="00CC2349"/>
    <w:rsid w:val="00CC244C"/>
    <w:rsid w:val="00CC2720"/>
    <w:rsid w:val="00CC29E5"/>
    <w:rsid w:val="00CC3261"/>
    <w:rsid w:val="00CC3281"/>
    <w:rsid w:val="00CC32B1"/>
    <w:rsid w:val="00CC3317"/>
    <w:rsid w:val="00CC3335"/>
    <w:rsid w:val="00CC3349"/>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93F"/>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08E"/>
    <w:rsid w:val="00CE4131"/>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5EDD"/>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7A8"/>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AD8"/>
    <w:rsid w:val="00CF5C87"/>
    <w:rsid w:val="00CF5C8F"/>
    <w:rsid w:val="00CF5CDB"/>
    <w:rsid w:val="00CF5D1E"/>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DAD"/>
    <w:rsid w:val="00D06E05"/>
    <w:rsid w:val="00D071EA"/>
    <w:rsid w:val="00D07362"/>
    <w:rsid w:val="00D075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2A4"/>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771"/>
    <w:rsid w:val="00D35AF7"/>
    <w:rsid w:val="00D35CE6"/>
    <w:rsid w:val="00D35D74"/>
    <w:rsid w:val="00D35E8F"/>
    <w:rsid w:val="00D35EC2"/>
    <w:rsid w:val="00D35FC6"/>
    <w:rsid w:val="00D35FCD"/>
    <w:rsid w:val="00D36014"/>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03"/>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233"/>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8B"/>
    <w:rsid w:val="00D65371"/>
    <w:rsid w:val="00D653B9"/>
    <w:rsid w:val="00D6557C"/>
    <w:rsid w:val="00D6558C"/>
    <w:rsid w:val="00D65744"/>
    <w:rsid w:val="00D6576D"/>
    <w:rsid w:val="00D659B2"/>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70264"/>
    <w:rsid w:val="00D70A36"/>
    <w:rsid w:val="00D70AEE"/>
    <w:rsid w:val="00D70B45"/>
    <w:rsid w:val="00D70B57"/>
    <w:rsid w:val="00D70CA2"/>
    <w:rsid w:val="00D70CDA"/>
    <w:rsid w:val="00D70E93"/>
    <w:rsid w:val="00D70EBB"/>
    <w:rsid w:val="00D70F23"/>
    <w:rsid w:val="00D70FD1"/>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38D"/>
    <w:rsid w:val="00D7752E"/>
    <w:rsid w:val="00D7753B"/>
    <w:rsid w:val="00D7754F"/>
    <w:rsid w:val="00D77639"/>
    <w:rsid w:val="00D7788F"/>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1E"/>
    <w:rsid w:val="00D917F0"/>
    <w:rsid w:val="00D918C9"/>
    <w:rsid w:val="00D91903"/>
    <w:rsid w:val="00D91B21"/>
    <w:rsid w:val="00D91D01"/>
    <w:rsid w:val="00D92152"/>
    <w:rsid w:val="00D9245D"/>
    <w:rsid w:val="00D925B1"/>
    <w:rsid w:val="00D928B1"/>
    <w:rsid w:val="00D92906"/>
    <w:rsid w:val="00D929AA"/>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859"/>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A2C"/>
    <w:rsid w:val="00DC4B7B"/>
    <w:rsid w:val="00DC4C3C"/>
    <w:rsid w:val="00DC4E4E"/>
    <w:rsid w:val="00DC51C4"/>
    <w:rsid w:val="00DC5336"/>
    <w:rsid w:val="00DC574B"/>
    <w:rsid w:val="00DC5814"/>
    <w:rsid w:val="00DC5A25"/>
    <w:rsid w:val="00DC5AD0"/>
    <w:rsid w:val="00DC5CED"/>
    <w:rsid w:val="00DC5DEE"/>
    <w:rsid w:val="00DC5EA9"/>
    <w:rsid w:val="00DC5F00"/>
    <w:rsid w:val="00DC624E"/>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534"/>
    <w:rsid w:val="00DF1A39"/>
    <w:rsid w:val="00DF1B5D"/>
    <w:rsid w:val="00DF1C0E"/>
    <w:rsid w:val="00DF225B"/>
    <w:rsid w:val="00DF249D"/>
    <w:rsid w:val="00DF24CB"/>
    <w:rsid w:val="00DF2537"/>
    <w:rsid w:val="00DF2601"/>
    <w:rsid w:val="00DF26BE"/>
    <w:rsid w:val="00DF26D9"/>
    <w:rsid w:val="00DF2AD0"/>
    <w:rsid w:val="00DF2F3A"/>
    <w:rsid w:val="00DF300F"/>
    <w:rsid w:val="00DF326B"/>
    <w:rsid w:val="00DF33E9"/>
    <w:rsid w:val="00DF3402"/>
    <w:rsid w:val="00DF39CD"/>
    <w:rsid w:val="00DF3B53"/>
    <w:rsid w:val="00DF3DF5"/>
    <w:rsid w:val="00DF3E44"/>
    <w:rsid w:val="00DF3EBD"/>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72E"/>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E3E"/>
    <w:rsid w:val="00E03010"/>
    <w:rsid w:val="00E030C3"/>
    <w:rsid w:val="00E032F9"/>
    <w:rsid w:val="00E0331A"/>
    <w:rsid w:val="00E03382"/>
    <w:rsid w:val="00E035B5"/>
    <w:rsid w:val="00E03A79"/>
    <w:rsid w:val="00E03B21"/>
    <w:rsid w:val="00E03BF4"/>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61F"/>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4CA"/>
    <w:rsid w:val="00E244DB"/>
    <w:rsid w:val="00E2451D"/>
    <w:rsid w:val="00E245C8"/>
    <w:rsid w:val="00E245DB"/>
    <w:rsid w:val="00E248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29"/>
    <w:rsid w:val="00E33CA7"/>
    <w:rsid w:val="00E33EE8"/>
    <w:rsid w:val="00E33F4B"/>
    <w:rsid w:val="00E349CC"/>
    <w:rsid w:val="00E349E2"/>
    <w:rsid w:val="00E34A10"/>
    <w:rsid w:val="00E34C26"/>
    <w:rsid w:val="00E34C93"/>
    <w:rsid w:val="00E34CD6"/>
    <w:rsid w:val="00E34DE7"/>
    <w:rsid w:val="00E3500C"/>
    <w:rsid w:val="00E351A2"/>
    <w:rsid w:val="00E35211"/>
    <w:rsid w:val="00E35479"/>
    <w:rsid w:val="00E356C4"/>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495"/>
    <w:rsid w:val="00E4081F"/>
    <w:rsid w:val="00E40917"/>
    <w:rsid w:val="00E4098B"/>
    <w:rsid w:val="00E410A6"/>
    <w:rsid w:val="00E410C5"/>
    <w:rsid w:val="00E411BD"/>
    <w:rsid w:val="00E41340"/>
    <w:rsid w:val="00E414C7"/>
    <w:rsid w:val="00E417A8"/>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C8F"/>
    <w:rsid w:val="00E50E62"/>
    <w:rsid w:val="00E50EAF"/>
    <w:rsid w:val="00E50EB6"/>
    <w:rsid w:val="00E51432"/>
    <w:rsid w:val="00E5186F"/>
    <w:rsid w:val="00E518E5"/>
    <w:rsid w:val="00E51A29"/>
    <w:rsid w:val="00E51AB0"/>
    <w:rsid w:val="00E51ACA"/>
    <w:rsid w:val="00E51D23"/>
    <w:rsid w:val="00E51E0E"/>
    <w:rsid w:val="00E51E74"/>
    <w:rsid w:val="00E51F6C"/>
    <w:rsid w:val="00E521D0"/>
    <w:rsid w:val="00E5232C"/>
    <w:rsid w:val="00E52336"/>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5F32"/>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8B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86E"/>
    <w:rsid w:val="00E669B3"/>
    <w:rsid w:val="00E66B3F"/>
    <w:rsid w:val="00E66B9D"/>
    <w:rsid w:val="00E66CB7"/>
    <w:rsid w:val="00E66DC3"/>
    <w:rsid w:val="00E66E12"/>
    <w:rsid w:val="00E671E7"/>
    <w:rsid w:val="00E67473"/>
    <w:rsid w:val="00E6770C"/>
    <w:rsid w:val="00E679BA"/>
    <w:rsid w:val="00E679F5"/>
    <w:rsid w:val="00E67BE7"/>
    <w:rsid w:val="00E67CBE"/>
    <w:rsid w:val="00E67CF6"/>
    <w:rsid w:val="00E67EE7"/>
    <w:rsid w:val="00E67FDF"/>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0DC"/>
    <w:rsid w:val="00E7614F"/>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BFB"/>
    <w:rsid w:val="00E80E1D"/>
    <w:rsid w:val="00E80E41"/>
    <w:rsid w:val="00E8114B"/>
    <w:rsid w:val="00E81164"/>
    <w:rsid w:val="00E8150E"/>
    <w:rsid w:val="00E8165C"/>
    <w:rsid w:val="00E81790"/>
    <w:rsid w:val="00E81A52"/>
    <w:rsid w:val="00E81CB2"/>
    <w:rsid w:val="00E81D01"/>
    <w:rsid w:val="00E81DAD"/>
    <w:rsid w:val="00E81F20"/>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3D4"/>
    <w:rsid w:val="00E9040B"/>
    <w:rsid w:val="00E9055A"/>
    <w:rsid w:val="00E90605"/>
    <w:rsid w:val="00E906B0"/>
    <w:rsid w:val="00E90CC8"/>
    <w:rsid w:val="00E90F42"/>
    <w:rsid w:val="00E912C1"/>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1F7"/>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494"/>
    <w:rsid w:val="00EB0565"/>
    <w:rsid w:val="00EB0594"/>
    <w:rsid w:val="00EB05A2"/>
    <w:rsid w:val="00EB05AA"/>
    <w:rsid w:val="00EB05B9"/>
    <w:rsid w:val="00EB069C"/>
    <w:rsid w:val="00EB06E3"/>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1C1"/>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497"/>
    <w:rsid w:val="00EB663C"/>
    <w:rsid w:val="00EB6823"/>
    <w:rsid w:val="00EB683A"/>
    <w:rsid w:val="00EB6BBE"/>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3FD4"/>
    <w:rsid w:val="00EC4046"/>
    <w:rsid w:val="00EC4203"/>
    <w:rsid w:val="00EC44A2"/>
    <w:rsid w:val="00EC4589"/>
    <w:rsid w:val="00EC45A6"/>
    <w:rsid w:val="00EC48B8"/>
    <w:rsid w:val="00EC4A94"/>
    <w:rsid w:val="00EC4F1C"/>
    <w:rsid w:val="00EC50FD"/>
    <w:rsid w:val="00EC5175"/>
    <w:rsid w:val="00EC51D2"/>
    <w:rsid w:val="00EC51DB"/>
    <w:rsid w:val="00EC572F"/>
    <w:rsid w:val="00EC5771"/>
    <w:rsid w:val="00EC5958"/>
    <w:rsid w:val="00EC5972"/>
    <w:rsid w:val="00EC5994"/>
    <w:rsid w:val="00EC59B9"/>
    <w:rsid w:val="00EC5AEF"/>
    <w:rsid w:val="00EC5E2A"/>
    <w:rsid w:val="00EC5F67"/>
    <w:rsid w:val="00EC5F6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D04"/>
    <w:rsid w:val="00ED10BA"/>
    <w:rsid w:val="00ED1179"/>
    <w:rsid w:val="00ED11D4"/>
    <w:rsid w:val="00ED1518"/>
    <w:rsid w:val="00ED153B"/>
    <w:rsid w:val="00ED168E"/>
    <w:rsid w:val="00ED1896"/>
    <w:rsid w:val="00ED198B"/>
    <w:rsid w:val="00ED19E4"/>
    <w:rsid w:val="00ED1B6C"/>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64BF"/>
    <w:rsid w:val="00ED6552"/>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442"/>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C6"/>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B8A"/>
    <w:rsid w:val="00EF2B8F"/>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878"/>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61C"/>
    <w:rsid w:val="00F03702"/>
    <w:rsid w:val="00F0370D"/>
    <w:rsid w:val="00F03B0D"/>
    <w:rsid w:val="00F03B31"/>
    <w:rsid w:val="00F03C06"/>
    <w:rsid w:val="00F03C6B"/>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5FD7"/>
    <w:rsid w:val="00F060E9"/>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1FE5"/>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693"/>
    <w:rsid w:val="00F2769B"/>
    <w:rsid w:val="00F27731"/>
    <w:rsid w:val="00F279F8"/>
    <w:rsid w:val="00F27C8B"/>
    <w:rsid w:val="00F27DF4"/>
    <w:rsid w:val="00F27F6D"/>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448"/>
    <w:rsid w:val="00F53B05"/>
    <w:rsid w:val="00F53C8F"/>
    <w:rsid w:val="00F53ED8"/>
    <w:rsid w:val="00F53F96"/>
    <w:rsid w:val="00F53F9C"/>
    <w:rsid w:val="00F5402A"/>
    <w:rsid w:val="00F5481E"/>
    <w:rsid w:val="00F548CC"/>
    <w:rsid w:val="00F54B01"/>
    <w:rsid w:val="00F553EA"/>
    <w:rsid w:val="00F55616"/>
    <w:rsid w:val="00F5580A"/>
    <w:rsid w:val="00F559BE"/>
    <w:rsid w:val="00F55C0F"/>
    <w:rsid w:val="00F55D9E"/>
    <w:rsid w:val="00F56120"/>
    <w:rsid w:val="00F5645E"/>
    <w:rsid w:val="00F567A6"/>
    <w:rsid w:val="00F56A48"/>
    <w:rsid w:val="00F56BBB"/>
    <w:rsid w:val="00F56DB9"/>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A4"/>
    <w:rsid w:val="00F606B4"/>
    <w:rsid w:val="00F607A3"/>
    <w:rsid w:val="00F60C13"/>
    <w:rsid w:val="00F60CEF"/>
    <w:rsid w:val="00F60D15"/>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10A"/>
    <w:rsid w:val="00F6247B"/>
    <w:rsid w:val="00F62504"/>
    <w:rsid w:val="00F625F2"/>
    <w:rsid w:val="00F6308E"/>
    <w:rsid w:val="00F630DF"/>
    <w:rsid w:val="00F63222"/>
    <w:rsid w:val="00F6322B"/>
    <w:rsid w:val="00F63671"/>
    <w:rsid w:val="00F636D3"/>
    <w:rsid w:val="00F63925"/>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6E4"/>
    <w:rsid w:val="00F808DB"/>
    <w:rsid w:val="00F808F5"/>
    <w:rsid w:val="00F8090F"/>
    <w:rsid w:val="00F81562"/>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2D"/>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5F2"/>
    <w:rsid w:val="00F9264A"/>
    <w:rsid w:val="00F929F7"/>
    <w:rsid w:val="00F92BA9"/>
    <w:rsid w:val="00F92D36"/>
    <w:rsid w:val="00F92DD0"/>
    <w:rsid w:val="00F9315F"/>
    <w:rsid w:val="00F931FE"/>
    <w:rsid w:val="00F937D4"/>
    <w:rsid w:val="00F93884"/>
    <w:rsid w:val="00F93BEF"/>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595"/>
    <w:rsid w:val="00FB259A"/>
    <w:rsid w:val="00FB2624"/>
    <w:rsid w:val="00FB2B55"/>
    <w:rsid w:val="00FB2C77"/>
    <w:rsid w:val="00FB2C80"/>
    <w:rsid w:val="00FB2EED"/>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238"/>
    <w:rsid w:val="00FC0321"/>
    <w:rsid w:val="00FC0399"/>
    <w:rsid w:val="00FC05A1"/>
    <w:rsid w:val="00FC073E"/>
    <w:rsid w:val="00FC0843"/>
    <w:rsid w:val="00FC099D"/>
    <w:rsid w:val="00FC0A2D"/>
    <w:rsid w:val="00FC0EAF"/>
    <w:rsid w:val="00FC1075"/>
    <w:rsid w:val="00FC1328"/>
    <w:rsid w:val="00FC1363"/>
    <w:rsid w:val="00FC140C"/>
    <w:rsid w:val="00FC1426"/>
    <w:rsid w:val="00FC15A1"/>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6E8"/>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9E3"/>
    <w:rsid w:val="00FD5B1D"/>
    <w:rsid w:val="00FD6180"/>
    <w:rsid w:val="00FD6440"/>
    <w:rsid w:val="00FD66A8"/>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4FAA"/>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EC0"/>
    <w:rsid w:val="00FF1147"/>
    <w:rsid w:val="00FF115D"/>
    <w:rsid w:val="00FF1215"/>
    <w:rsid w:val="00FF1406"/>
    <w:rsid w:val="00FF146E"/>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40F5"/>
    <w:rsid w:val="00FF445D"/>
    <w:rsid w:val="00FF474A"/>
    <w:rsid w:val="00FF4826"/>
    <w:rsid w:val="00FF4D13"/>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439841750">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86039295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 w:id="1142382241">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hssib.org.uk/patient-safety-investigations/retained-surgical-swabs/investigation-report/" TargetMode="External"/><Relationship Id="rId26" Type="http://schemas.openxmlformats.org/officeDocument/2006/relationships/hyperlink" Target="https://doi.org/10.11124/JBIES-24-00104" TargetMode="External"/><Relationship Id="rId39" Type="http://schemas.openxmlformats.org/officeDocument/2006/relationships/hyperlink" Target="https://effectivehealthcare.ahrq.gov/products/engaging-caregivers-mhs4/rapid-research" TargetMode="External"/><Relationship Id="rId21" Type="http://schemas.openxmlformats.org/officeDocument/2006/relationships/hyperlink" Target="https://www.safetyandquality.gov.au/our-work/medication-safety" TargetMode="External"/><Relationship Id="rId34" Type="http://schemas.openxmlformats.org/officeDocument/2006/relationships/hyperlink" Target="https://qualitysafety.bmj.com/content/early/recent" TargetMode="External"/><Relationship Id="rId42" Type="http://schemas.openxmlformats.org/officeDocument/2006/relationships/hyperlink" Target="https://www.safetyandquality.gov.au/publications-and-resources/resource-library/infection-prevention-and-control-poster-combined-contact-and-droplet-precautions" TargetMode="External"/><Relationship Id="rId47" Type="http://schemas.openxmlformats.org/officeDocument/2006/relationships/hyperlink" Target="https://www.safetyandquality.gov.au/publications-and-resources/resource-library/covid-19-infection-prevention-and-control-risk-management-guidance" TargetMode="External"/><Relationship Id="rId50" Type="http://schemas.openxmlformats.org/officeDocument/2006/relationships/image" Target="media/image4.PN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017/9781009325233" TargetMode="External"/><Relationship Id="rId25" Type="http://schemas.openxmlformats.org/officeDocument/2006/relationships/hyperlink" Target="https://www.safetyandquality.gov.au/our-work/medication-safety" TargetMode="External"/><Relationship Id="rId33" Type="http://schemas.openxmlformats.org/officeDocument/2006/relationships/hyperlink" Target="https://www.sciencedirect.com/journal/health-policy/vol/143/" TargetMode="External"/><Relationship Id="rId38" Type="http://schemas.openxmlformats.org/officeDocument/2006/relationships/hyperlink" Target="https://effectivehealthcare.ahrq.gov/" TargetMode="External"/><Relationship Id="rId46" Type="http://schemas.openxmlformats.org/officeDocument/2006/relationships/hyperlink" Target="http://www.safetyandquality.gov.au/environmental-cleaning" TargetMode="External"/><Relationship Id="rId2" Type="http://schemas.openxmlformats.org/officeDocument/2006/relationships/numbering" Target="numbering.xml"/><Relationship Id="rId16" Type="http://schemas.openxmlformats.org/officeDocument/2006/relationships/hyperlink" Target="mailto:mail@safetyandquality.gov.au" TargetMode="External"/><Relationship Id="rId20" Type="http://schemas.openxmlformats.org/officeDocument/2006/relationships/hyperlink" Target="https://doi.org/10.1007/s40264-024-01412-w" TargetMode="External"/><Relationship Id="rId29" Type="http://schemas.openxmlformats.org/officeDocument/2006/relationships/hyperlink" Target="https://doi.org/10.1136/bmjqs-2023-016699" TargetMode="External"/><Relationship Id="rId41" Type="http://schemas.openxmlformats.org/officeDocument/2006/relationships/hyperlink" Target="https://www.safetyandquality.gov.au/publications-and-resources/resource-library/covid-19-infection-prevention-and-control-risk-management-guidance" TargetMode="External"/><Relationship Id="rId54" Type="http://schemas.openxmlformats.org/officeDocument/2006/relationships/hyperlink" Target="https://clinicalevidence.net.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136/bmjqs-2023-016711" TargetMode="External"/><Relationship Id="rId32" Type="http://schemas.openxmlformats.org/officeDocument/2006/relationships/hyperlink" Target="https://doi.org/10.1377/hlthaff.2023.01142" TargetMode="External"/><Relationship Id="rId37" Type="http://schemas.openxmlformats.org/officeDocument/2006/relationships/hyperlink" Target="https://www.nice.org.uk/guidance/ng73" TargetMode="External"/><Relationship Id="rId40" Type="http://schemas.openxmlformats.org/officeDocument/2006/relationships/hyperlink" Target="https://www.safetyandquality.gov.au/covid-19" TargetMode="External"/><Relationship Id="rId45" Type="http://schemas.openxmlformats.org/officeDocument/2006/relationships/image" Target="media/image3.PNG"/><Relationship Id="rId53" Type="http://schemas.openxmlformats.org/officeDocument/2006/relationships/image" Target="media/image5.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publications-and-resources/resource-library/emergency-triage-education-kit-etek-second-edition" TargetMode="External"/><Relationship Id="rId23" Type="http://schemas.openxmlformats.org/officeDocument/2006/relationships/hyperlink" Target="https://www.safetyandquality.gov.au/our-work/antimicrobial-stewardship" TargetMode="External"/><Relationship Id="rId28" Type="http://schemas.openxmlformats.org/officeDocument/2006/relationships/hyperlink" Target="https://doi.org/10.1093/intqhc/mzae030" TargetMode="External"/><Relationship Id="rId36" Type="http://schemas.openxmlformats.org/officeDocument/2006/relationships/hyperlink" Target="https://www.nice.org.uk/guidance" TargetMode="External"/><Relationship Id="rId49"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7" Type="http://schemas.openxmlformats.org/officeDocument/2006/relationships/fontTable" Target="fontTable.xml"/><Relationship Id="rId10" Type="http://schemas.openxmlformats.org/officeDocument/2006/relationships/hyperlink" Target="https://www.safetyandquality.gov.au/newsroom/subscribe-news" TargetMode="External"/><Relationship Id="rId19" Type="http://schemas.openxmlformats.org/officeDocument/2006/relationships/hyperlink" Target="https://doi.org/10.1097/PTS.0000000000001204" TargetMode="External"/><Relationship Id="rId31" Type="http://schemas.openxmlformats.org/officeDocument/2006/relationships/hyperlink" Target="https://doi.org/10.1177/1357633X241232464" TargetMode="External"/><Relationship Id="rId44" Type="http://schemas.openxmlformats.org/officeDocument/2006/relationships/hyperlink" Target="https://www.safetyandquality.gov.au/publications-and-resources/resource-library/poster-combined-airborne-and-contact-precautions" TargetMode="External"/><Relationship Id="rId52" Type="http://schemas.openxmlformats.org/officeDocument/2006/relationships/hyperlink" Target="https://www.safetyandquality.gov.au/sites/default/files/2020-07/covid-19_and_face_masks_-_information_for_consumers.pdf"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542/hpeds.2023-007548" TargetMode="External"/><Relationship Id="rId27" Type="http://schemas.openxmlformats.org/officeDocument/2006/relationships/hyperlink" Target="https://doi.org/10.11124/JBIES-22-00409" TargetMode="External"/><Relationship Id="rId30" Type="http://schemas.openxmlformats.org/officeDocument/2006/relationships/hyperlink" Target="https://doi.org/10.1136/bmjqs-2023-016951" TargetMode="External"/><Relationship Id="rId35" Type="http://schemas.openxmlformats.org/officeDocument/2006/relationships/hyperlink" Target="https://academic.oup.com/intqhc/advance-articles" TargetMode="External"/><Relationship Id="rId43" Type="http://schemas.openxmlformats.org/officeDocument/2006/relationships/image" Target="media/image2.PNG"/><Relationship Id="rId48" Type="http://schemas.openxmlformats.org/officeDocument/2006/relationships/hyperlink" Target="https://www.safetyandquality.gov.au/our-work/cognitive-impairment/cognitive-impairment-and-covid-19" TargetMode="External"/><Relationship Id="rId56"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https://www.safetyandquality.gov.au/publications-and-resources/resource-library/covid-19-and-face-masks-information-consumer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13</Pages>
  <Words>4534</Words>
  <Characters>25850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Draft On the Radar Issue 646</vt:lpstr>
    </vt:vector>
  </TitlesOfParts>
  <Company>ACSQHC</Company>
  <LinksUpToDate>false</LinksUpToDate>
  <CharactersWithSpaces>30324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646</dc:title>
  <dc:subject/>
  <dc:creator>Dr Niall Johnson</dc:creator>
  <cp:keywords>On the Radar</cp:keywords>
  <dc:description/>
  <cp:lastModifiedBy>Niall JOHNSON</cp:lastModifiedBy>
  <cp:revision>131</cp:revision>
  <cp:lastPrinted>2018-03-02T02:34:00Z</cp:lastPrinted>
  <dcterms:created xsi:type="dcterms:W3CDTF">2024-04-14T22:11:00Z</dcterms:created>
  <dcterms:modified xsi:type="dcterms:W3CDTF">2024-04-19T00:31:00Z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