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431D" w14:textId="77777777" w:rsidR="00AC6331" w:rsidRDefault="00AC6331" w:rsidP="008C1853">
      <w:pPr>
        <w:pStyle w:val="DraftingNotes"/>
      </w:pPr>
    </w:p>
    <w:p w14:paraId="0BDDDAE1" w14:textId="616EDC28" w:rsidR="00F845DE" w:rsidRPr="00CD1DAE" w:rsidRDefault="00F845DE" w:rsidP="00694113">
      <w:pPr>
        <w:rPr>
          <w:rFonts w:asciiTheme="majorHAnsi" w:eastAsiaTheme="majorEastAsia" w:hAnsiTheme="majorHAnsi" w:cs="Times New Roman (Headings CS)"/>
          <w:b/>
          <w:color w:val="005370" w:themeColor="text2"/>
          <w:spacing w:val="-6"/>
          <w:kern w:val="28"/>
          <w:sz w:val="52"/>
          <w:szCs w:val="52"/>
        </w:rPr>
      </w:pPr>
      <w:r w:rsidRPr="00CD1DAE">
        <w:rPr>
          <w:rFonts w:asciiTheme="majorHAnsi" w:eastAsiaTheme="majorEastAsia" w:hAnsiTheme="majorHAnsi" w:cs="Times New Roman (Headings CS)"/>
          <w:b/>
          <w:color w:val="005370" w:themeColor="text2"/>
          <w:spacing w:val="-6"/>
          <w:kern w:val="28"/>
          <w:sz w:val="52"/>
          <w:szCs w:val="52"/>
        </w:rPr>
        <w:t>Guideline</w:t>
      </w:r>
      <w:r w:rsidR="00C93942">
        <w:rPr>
          <w:rFonts w:asciiTheme="majorHAnsi" w:eastAsiaTheme="majorEastAsia" w:hAnsiTheme="majorHAnsi" w:cs="Times New Roman (Headings CS)"/>
          <w:b/>
          <w:color w:val="005370" w:themeColor="text2"/>
          <w:spacing w:val="-6"/>
          <w:kern w:val="28"/>
          <w:sz w:val="52"/>
          <w:szCs w:val="52"/>
        </w:rPr>
        <w:t>s</w:t>
      </w:r>
      <w:r w:rsidRPr="00CD1DAE">
        <w:rPr>
          <w:rFonts w:asciiTheme="majorHAnsi" w:eastAsiaTheme="majorEastAsia" w:hAnsiTheme="majorHAnsi" w:cs="Times New Roman (Headings CS)"/>
          <w:b/>
          <w:color w:val="005370" w:themeColor="text2"/>
          <w:spacing w:val="-6"/>
          <w:kern w:val="28"/>
          <w:sz w:val="52"/>
          <w:szCs w:val="52"/>
        </w:rPr>
        <w:t xml:space="preserve"> for </w:t>
      </w:r>
      <w:r w:rsidR="00C93942">
        <w:rPr>
          <w:rFonts w:asciiTheme="majorHAnsi" w:eastAsiaTheme="majorEastAsia" w:hAnsiTheme="majorHAnsi" w:cs="Times New Roman (Headings CS)"/>
          <w:b/>
          <w:color w:val="005370" w:themeColor="text2"/>
          <w:spacing w:val="-6"/>
          <w:kern w:val="28"/>
          <w:sz w:val="52"/>
          <w:szCs w:val="52"/>
        </w:rPr>
        <w:t xml:space="preserve">NHHI </w:t>
      </w:r>
      <w:r w:rsidRPr="00CD1DAE">
        <w:rPr>
          <w:rFonts w:asciiTheme="majorHAnsi" w:eastAsiaTheme="majorEastAsia" w:hAnsiTheme="majorHAnsi" w:cs="Times New Roman (Headings CS)"/>
          <w:b/>
          <w:color w:val="005370" w:themeColor="text2"/>
          <w:spacing w:val="-6"/>
          <w:kern w:val="28"/>
          <w:sz w:val="52"/>
          <w:szCs w:val="52"/>
        </w:rPr>
        <w:t xml:space="preserve">Data Submission </w:t>
      </w:r>
    </w:p>
    <w:p w14:paraId="5442D04B" w14:textId="6E86B2BF" w:rsidR="00F845DE" w:rsidRPr="00CD1DAE" w:rsidRDefault="00F845DE" w:rsidP="00CD1DAE">
      <w:pPr>
        <w:rPr>
          <w:b/>
          <w:bCs/>
        </w:rPr>
      </w:pPr>
    </w:p>
    <w:tbl>
      <w:tblPr>
        <w:tblStyle w:val="PulloutBox"/>
        <w:tblW w:w="5000" w:type="pct"/>
        <w:tblLook w:val="0020" w:firstRow="1" w:lastRow="0" w:firstColumn="0" w:lastColumn="0" w:noHBand="0" w:noVBand="0"/>
      </w:tblPr>
      <w:tblGrid>
        <w:gridCol w:w="9632"/>
      </w:tblGrid>
      <w:tr w:rsidR="00C6302F" w14:paraId="11B34BDB" w14:textId="77777777" w:rsidTr="00C6302F">
        <w:trPr>
          <w:trHeight w:val="1112"/>
        </w:trPr>
        <w:tc>
          <w:tcPr>
            <w:tcW w:w="5000" w:type="pct"/>
            <w:tcMar>
              <w:bottom w:w="0" w:type="dxa"/>
            </w:tcMar>
          </w:tcPr>
          <w:p w14:paraId="0748DF83" w14:textId="0A41FA7F" w:rsidR="00C6302F" w:rsidRPr="00C6302F" w:rsidRDefault="00894E89" w:rsidP="00C6302F">
            <w:pPr>
              <w:spacing w:before="0"/>
            </w:pPr>
            <w:r w:rsidRPr="00C6302F">
              <w:t>Th</w:t>
            </w:r>
            <w:r w:rsidR="00E077EF">
              <w:t>e</w:t>
            </w:r>
            <w:r w:rsidRPr="00C6302F">
              <w:t>s</w:t>
            </w:r>
            <w:r w:rsidR="00E077EF">
              <w:t>e</w:t>
            </w:r>
            <w:r w:rsidRPr="00C6302F">
              <w:t xml:space="preserve"> guideline</w:t>
            </w:r>
            <w:r w:rsidR="00E077EF">
              <w:t>s</w:t>
            </w:r>
            <w:r w:rsidR="00C6302F" w:rsidRPr="00C6302F">
              <w:t xml:space="preserve"> outline the hand hygiene compliance data submission requirements for health service organisations, including </w:t>
            </w:r>
            <w:r w:rsidR="001426BA">
              <w:t xml:space="preserve">the </w:t>
            </w:r>
            <w:r w:rsidR="00C6302F" w:rsidRPr="00C6302F">
              <w:t xml:space="preserve">data collection process, clinical area selection, eligible areas, and </w:t>
            </w:r>
            <w:r w:rsidR="00E077EF">
              <w:t xml:space="preserve">the </w:t>
            </w:r>
            <w:r w:rsidR="00C6302F" w:rsidRPr="00C6302F">
              <w:t>number of moments for hand hygiene compliance audits.</w:t>
            </w:r>
          </w:p>
        </w:tc>
      </w:tr>
    </w:tbl>
    <w:p w14:paraId="22AF1F70" w14:textId="4C354CC6" w:rsidR="00246EFA" w:rsidRDefault="00C6302F" w:rsidP="00FD7172">
      <w:pPr>
        <w:pStyle w:val="Heading2"/>
      </w:pPr>
      <w:r w:rsidRPr="00CD1DAE">
        <w:t>Background</w:t>
      </w:r>
    </w:p>
    <w:p w14:paraId="3A3F78E7" w14:textId="21A1DA74" w:rsidR="00C6302F" w:rsidRDefault="00E1606F" w:rsidP="00C6302F">
      <w:hyperlink r:id="rId11" w:history="1">
        <w:r w:rsidR="00060282" w:rsidRPr="004C029E">
          <w:t>Hand</w:t>
        </w:r>
      </w:hyperlink>
      <w:r w:rsidR="00060282" w:rsidRPr="004C029E">
        <w:t xml:space="preserve"> hygiene auditing</w:t>
      </w:r>
      <w:r w:rsidR="00C6302F">
        <w:t xml:space="preserve"> and performance feedback is considered a core element of the </w:t>
      </w:r>
      <w:hyperlink r:id="rId12" w:history="1">
        <w:r w:rsidR="00C6302F" w:rsidRPr="00F35927">
          <w:rPr>
            <w:rStyle w:val="Hyperlink"/>
          </w:rPr>
          <w:t>National Hand Hygiene Initiative (NHHI)</w:t>
        </w:r>
      </w:hyperlink>
      <w:r w:rsidR="00C6302F">
        <w:t>. Auditing workforce compliance to hand hygiene serves multiple purposes, including assessing the quality of care, performance improvement, investigating outbreaks</w:t>
      </w:r>
      <w:r w:rsidR="00E077EF">
        <w:t>,</w:t>
      </w:r>
      <w:r w:rsidR="00C6302F">
        <w:t xml:space="preserve"> and designing infrastructure.</w:t>
      </w:r>
    </w:p>
    <w:p w14:paraId="2BA5BBDF" w14:textId="25AB2C31" w:rsidR="00C6302F" w:rsidRPr="00C6302F" w:rsidRDefault="00C6302F" w:rsidP="00C6302F">
      <w:bookmarkStart w:id="0" w:name="_Hlk176868801"/>
      <w:r>
        <w:t xml:space="preserve">The </w:t>
      </w:r>
      <w:hyperlink r:id="rId13" w:history="1">
        <w:r w:rsidRPr="00FD7172">
          <w:rPr>
            <w:rStyle w:val="Hyperlink"/>
          </w:rPr>
          <w:t>5 Moments for Hand Hygiene</w:t>
        </w:r>
      </w:hyperlink>
      <w:r>
        <w:t xml:space="preserve"> approach </w:t>
      </w:r>
      <w:r w:rsidR="006F1377">
        <w:t>allows a</w:t>
      </w:r>
      <w:r>
        <w:t xml:space="preserve"> comparison of </w:t>
      </w:r>
      <w:r w:rsidR="006F1377">
        <w:t xml:space="preserve">hand hygiene </w:t>
      </w:r>
      <w:r>
        <w:t>performance across various healthcare settings and within organisations, including high and low-risk clinical environments.</w:t>
      </w:r>
    </w:p>
    <w:bookmarkEnd w:id="0"/>
    <w:p w14:paraId="69E6D4A8" w14:textId="766CD2E2" w:rsidR="00092E65" w:rsidRPr="00707D22" w:rsidRDefault="00F845DE" w:rsidP="00FD7172">
      <w:pPr>
        <w:pStyle w:val="Heading2"/>
        <w:rPr>
          <w:bCs/>
          <w:lang w:val="en-GB"/>
        </w:rPr>
      </w:pPr>
      <w:r w:rsidRPr="00F845DE">
        <w:rPr>
          <w:bCs/>
          <w:lang w:val="en-GB"/>
        </w:rPr>
        <w:t xml:space="preserve">Data </w:t>
      </w:r>
      <w:r w:rsidR="00D52315">
        <w:rPr>
          <w:bCs/>
          <w:lang w:val="en-GB"/>
        </w:rPr>
        <w:t>c</w:t>
      </w:r>
      <w:r w:rsidRPr="00F845DE">
        <w:rPr>
          <w:bCs/>
          <w:lang w:val="en-GB"/>
        </w:rPr>
        <w:t xml:space="preserve">ollection </w:t>
      </w:r>
      <w:r w:rsidR="00D52315">
        <w:rPr>
          <w:bCs/>
          <w:lang w:val="en-GB"/>
        </w:rPr>
        <w:t>p</w:t>
      </w:r>
      <w:r w:rsidRPr="00F845DE">
        <w:rPr>
          <w:bCs/>
          <w:lang w:val="en-GB"/>
        </w:rPr>
        <w:t>rocess</w:t>
      </w:r>
    </w:p>
    <w:p w14:paraId="524143EE" w14:textId="77777777" w:rsidR="00F845DE" w:rsidRPr="00F845DE" w:rsidRDefault="00F845DE" w:rsidP="00FD7172">
      <w:r w:rsidRPr="00F845DE">
        <w:t>All hand hygiene compliance data submitted must:</w:t>
      </w:r>
    </w:p>
    <w:p w14:paraId="6F1095A2" w14:textId="4D56566B" w:rsidR="00F845DE" w:rsidRPr="00F845DE" w:rsidRDefault="00F845DE" w:rsidP="00FD7172">
      <w:pPr>
        <w:pStyle w:val="ListParagraph"/>
        <w:numPr>
          <w:ilvl w:val="0"/>
          <w:numId w:val="30"/>
        </w:numPr>
      </w:pPr>
      <w:r>
        <w:t>B</w:t>
      </w:r>
      <w:r w:rsidRPr="00F845DE">
        <w:t>e collected by</w:t>
      </w:r>
      <w:r>
        <w:t xml:space="preserve"> </w:t>
      </w:r>
      <w:r w:rsidRPr="00F845DE">
        <w:t xml:space="preserve">validated </w:t>
      </w:r>
      <w:hyperlink r:id="rId14" w:history="1">
        <w:r w:rsidRPr="00725B79">
          <w:rPr>
            <w:rStyle w:val="Hyperlink"/>
          </w:rPr>
          <w:t>Hand Hygiene Auditors</w:t>
        </w:r>
      </w:hyperlink>
      <w:r>
        <w:t xml:space="preserve"> and </w:t>
      </w:r>
      <w:hyperlink r:id="rId15" w:history="1">
        <w:r w:rsidRPr="00725B79">
          <w:rPr>
            <w:rStyle w:val="Hyperlink"/>
          </w:rPr>
          <w:t>Hand Hygiene Auditor Educators</w:t>
        </w:r>
      </w:hyperlink>
      <w:r>
        <w:t xml:space="preserve"> </w:t>
      </w:r>
    </w:p>
    <w:p w14:paraId="6A496C9F" w14:textId="724AFEAB" w:rsidR="00F845DE" w:rsidRPr="00F845DE" w:rsidRDefault="00F845DE" w:rsidP="00FD7172">
      <w:pPr>
        <w:pStyle w:val="ListParagraph"/>
        <w:numPr>
          <w:ilvl w:val="0"/>
          <w:numId w:val="30"/>
        </w:numPr>
      </w:pPr>
      <w:r>
        <w:t>B</w:t>
      </w:r>
      <w:r w:rsidRPr="00F845DE">
        <w:t xml:space="preserve">e collected from appropriate clinical areas </w:t>
      </w:r>
    </w:p>
    <w:p w14:paraId="1DD90ADF" w14:textId="00204D88" w:rsidR="00F845DE" w:rsidRPr="00F845DE" w:rsidRDefault="00F845DE" w:rsidP="00FD7172">
      <w:pPr>
        <w:pStyle w:val="ListParagraph"/>
        <w:numPr>
          <w:ilvl w:val="0"/>
          <w:numId w:val="30"/>
        </w:numPr>
      </w:pPr>
      <w:r>
        <w:t>M</w:t>
      </w:r>
      <w:r w:rsidRPr="00F845DE">
        <w:t xml:space="preserve">eet the minimum number of moments </w:t>
      </w:r>
    </w:p>
    <w:p w14:paraId="2A82D133" w14:textId="38D5F66D" w:rsidR="00F845DE" w:rsidRPr="00F845DE" w:rsidRDefault="00F845DE" w:rsidP="00FD7172">
      <w:pPr>
        <w:pStyle w:val="ListParagraph"/>
        <w:numPr>
          <w:ilvl w:val="0"/>
          <w:numId w:val="30"/>
        </w:numPr>
      </w:pPr>
      <w:r>
        <w:t>B</w:t>
      </w:r>
      <w:r w:rsidRPr="00F845DE">
        <w:t xml:space="preserve">e submitted </w:t>
      </w:r>
      <w:r w:rsidR="00651BD0">
        <w:t xml:space="preserve">at </w:t>
      </w:r>
      <w:r>
        <w:t>minim</w:t>
      </w:r>
      <w:r w:rsidR="00651BD0">
        <w:t>um</w:t>
      </w:r>
      <w:r>
        <w:t xml:space="preserve"> two</w:t>
      </w:r>
      <w:r w:rsidRPr="00F845DE">
        <w:t xml:space="preserve"> times a year </w:t>
      </w:r>
      <w:r w:rsidR="00625D2E">
        <w:t xml:space="preserve">(national audit period 1 and 3) </w:t>
      </w:r>
      <w:r w:rsidRPr="00F845DE">
        <w:t>to the NHHI database</w:t>
      </w:r>
      <w:r w:rsidR="00625D2E">
        <w:t xml:space="preserve"> </w:t>
      </w:r>
      <w:r w:rsidR="00E05BC3">
        <w:t xml:space="preserve">(For audit period 2, organisations should refer to </w:t>
      </w:r>
      <w:r w:rsidR="00625D2E">
        <w:t>their jurisdictional requirements</w:t>
      </w:r>
      <w:r w:rsidR="00E05BC3">
        <w:t xml:space="preserve"> at </w:t>
      </w:r>
      <w:hyperlink r:id="rId16" w:history="1">
        <w:r w:rsidR="00E05BC3" w:rsidRPr="00E05BC3">
          <w:rPr>
            <w:rStyle w:val="Hyperlink"/>
          </w:rPr>
          <w:t xml:space="preserve">Advisory AS23/01:Advice on </w:t>
        </w:r>
        <w:r w:rsidR="00625D2E" w:rsidRPr="00E05BC3">
          <w:rPr>
            <w:rStyle w:val="Hyperlink"/>
          </w:rPr>
          <w:t xml:space="preserve">national </w:t>
        </w:r>
        <w:r w:rsidR="00E05BC3" w:rsidRPr="00E05BC3">
          <w:rPr>
            <w:rStyle w:val="Hyperlink"/>
          </w:rPr>
          <w:t xml:space="preserve">hand hygiene </w:t>
        </w:r>
        <w:r w:rsidR="00625D2E" w:rsidRPr="00E05BC3">
          <w:rPr>
            <w:rStyle w:val="Hyperlink"/>
          </w:rPr>
          <w:t>audit period 2</w:t>
        </w:r>
      </w:hyperlink>
      <w:r w:rsidR="00E05BC3" w:rsidRPr="00E05BC3">
        <w:t>).</w:t>
      </w:r>
      <w:r w:rsidR="00E05BC3">
        <w:t xml:space="preserve"> </w:t>
      </w:r>
    </w:p>
    <w:p w14:paraId="59F590F7" w14:textId="77777777" w:rsidR="00F845DE" w:rsidRDefault="00F845DE" w:rsidP="00FD7172">
      <w:r w:rsidRPr="00F845DE">
        <w:t>Once submitted, data validation processes are conducted to ensure accuracy of data.</w:t>
      </w:r>
    </w:p>
    <w:p w14:paraId="6A67C1C5" w14:textId="6A6EA469" w:rsidR="00F845DE" w:rsidRDefault="00F845DE" w:rsidP="00FD7172">
      <w:pPr>
        <w:pStyle w:val="Heading2"/>
      </w:pPr>
      <w:r w:rsidRPr="00F845DE">
        <w:t xml:space="preserve">Clinical </w:t>
      </w:r>
      <w:r w:rsidR="00D52315">
        <w:t>a</w:t>
      </w:r>
      <w:r w:rsidRPr="00F845DE">
        <w:t xml:space="preserve">rea </w:t>
      </w:r>
      <w:r w:rsidR="00D52315">
        <w:t>s</w:t>
      </w:r>
      <w:r w:rsidRPr="00F845DE">
        <w:t>election</w:t>
      </w:r>
    </w:p>
    <w:p w14:paraId="14A33DC8" w14:textId="782ACA96" w:rsidR="00B358B7" w:rsidRDefault="00F845DE" w:rsidP="00FD7172">
      <w:bookmarkStart w:id="1" w:name="_Hlk161394804"/>
      <w:r w:rsidRPr="00FD7172">
        <w:t xml:space="preserve">Several factors need to be considered when determining which </w:t>
      </w:r>
      <w:r w:rsidR="00625D2E" w:rsidRPr="00FD7172">
        <w:t>clinical area</w:t>
      </w:r>
      <w:r w:rsidR="00E077EF">
        <w:t>s</w:t>
      </w:r>
      <w:r w:rsidRPr="00FD7172">
        <w:t xml:space="preserve"> should be audited. As </w:t>
      </w:r>
      <w:r w:rsidR="004841C2" w:rsidRPr="00FD7172">
        <w:t xml:space="preserve">effective </w:t>
      </w:r>
      <w:hyperlink r:id="rId17" w:history="1">
        <w:r w:rsidRPr="00725B79">
          <w:rPr>
            <w:rStyle w:val="Hyperlink"/>
          </w:rPr>
          <w:t>hand hygiene</w:t>
        </w:r>
      </w:hyperlink>
      <w:r w:rsidRPr="00FD7172">
        <w:t xml:space="preserve"> is the single most important </w:t>
      </w:r>
      <w:r w:rsidR="004841C2" w:rsidRPr="00FD7172">
        <w:t>strategy in preventing</w:t>
      </w:r>
      <w:r w:rsidRPr="00FD7172">
        <w:t xml:space="preserve"> healthcare</w:t>
      </w:r>
      <w:r w:rsidR="00625D2E" w:rsidRPr="00FD7172">
        <w:t>-</w:t>
      </w:r>
      <w:r w:rsidRPr="00FD7172">
        <w:t>associated infection</w:t>
      </w:r>
      <w:r w:rsidR="004841C2" w:rsidRPr="00FD7172">
        <w:t>s</w:t>
      </w:r>
      <w:r w:rsidR="00662CE7">
        <w:t xml:space="preserve"> (HAIs)</w:t>
      </w:r>
      <w:r w:rsidRPr="00FD7172">
        <w:t xml:space="preserve">, </w:t>
      </w:r>
      <w:r w:rsidR="00625D2E" w:rsidRPr="00FD7172">
        <w:t>clinical area</w:t>
      </w:r>
      <w:r w:rsidR="00004AB2" w:rsidRPr="00FD7172">
        <w:t>s</w:t>
      </w:r>
      <w:r w:rsidRPr="00FD7172">
        <w:t xml:space="preserve"> known to have greater potential for high infection rates should be targeted. Improvements in hand hygiene compliance rates in these areas will have the greatest impact on the prevention of infection and provide a safer environment for patients. </w:t>
      </w:r>
      <w:bookmarkStart w:id="2" w:name="_Hlk176877448"/>
      <w:r w:rsidR="00D822C6" w:rsidRPr="00FD7172">
        <w:t>These areas typically have more</w:t>
      </w:r>
      <w:r w:rsidR="000D6D1C">
        <w:t xml:space="preserve"> </w:t>
      </w:r>
      <w:r w:rsidR="004C029E">
        <w:t>staff/patient activity and interaction</w:t>
      </w:r>
      <w:r w:rsidR="00D822C6" w:rsidRPr="00FD7172">
        <w:t>, resulting in a greater number of 'Moments’ being audited in shorter durations.</w:t>
      </w:r>
    </w:p>
    <w:bookmarkEnd w:id="2"/>
    <w:p w14:paraId="0B0ABE58" w14:textId="65B7C79B" w:rsidR="00F845DE" w:rsidRPr="00FD7172" w:rsidRDefault="00D822C6" w:rsidP="00FD7172">
      <w:r w:rsidRPr="00FD7172">
        <w:t xml:space="preserve">Auditing </w:t>
      </w:r>
      <w:r w:rsidR="00B358B7">
        <w:t xml:space="preserve">clinical areas where there is </w:t>
      </w:r>
      <w:r w:rsidR="009B7080">
        <w:t xml:space="preserve">less staff/patient activity and interaction (for example, </w:t>
      </w:r>
      <w:r w:rsidRPr="00FD7172">
        <w:t>non-acute setting</w:t>
      </w:r>
      <w:r w:rsidR="00F35927">
        <w:t>s</w:t>
      </w:r>
      <w:r w:rsidR="009B7080">
        <w:t>)</w:t>
      </w:r>
      <w:r w:rsidRPr="00FD7172">
        <w:t xml:space="preserve"> </w:t>
      </w:r>
      <w:r w:rsidR="009B7080">
        <w:t>will result in a small number of moments being observed</w:t>
      </w:r>
      <w:r w:rsidR="00060282">
        <w:t xml:space="preserve">. </w:t>
      </w:r>
      <w:r w:rsidR="009B7080">
        <w:t xml:space="preserve"> </w:t>
      </w:r>
      <w:r w:rsidR="003C7634">
        <w:t xml:space="preserve">For these settings, </w:t>
      </w:r>
      <w:r w:rsidR="00F00076">
        <w:t xml:space="preserve">it is recommended to consider </w:t>
      </w:r>
      <w:r w:rsidR="003C7634">
        <w:t>strategies</w:t>
      </w:r>
      <w:r w:rsidRPr="00FD7172">
        <w:t xml:space="preserve"> such as assessing hand hygiene product placement</w:t>
      </w:r>
      <w:r w:rsidR="003C7634">
        <w:t>,</w:t>
      </w:r>
      <w:r w:rsidR="00F00076">
        <w:t xml:space="preserve"> products use audits</w:t>
      </w:r>
      <w:r w:rsidRPr="00FD7172">
        <w:t xml:space="preserve"> and staff education</w:t>
      </w:r>
      <w:r w:rsidR="00F00076">
        <w:t xml:space="preserve"> instead of direct observational auditing</w:t>
      </w:r>
      <w:r w:rsidR="004841C2" w:rsidRPr="00FD7172">
        <w:t>.</w:t>
      </w:r>
      <w:r w:rsidRPr="00FD7172">
        <w:t xml:space="preserve"> </w:t>
      </w:r>
      <w:r w:rsidR="00F00076" w:rsidRPr="00F00076">
        <w:t xml:space="preserve">The selection of </w:t>
      </w:r>
      <w:r w:rsidR="00F00076">
        <w:t>clinical areas</w:t>
      </w:r>
      <w:r w:rsidR="00F00076" w:rsidRPr="00F00076">
        <w:t xml:space="preserve"> should be made in conjunction with the appropriate committee </w:t>
      </w:r>
      <w:r w:rsidR="008A57F6" w:rsidRPr="00F00076">
        <w:t xml:space="preserve">(for example, Infection </w:t>
      </w:r>
      <w:r w:rsidR="008A57F6">
        <w:lastRenderedPageBreak/>
        <w:t xml:space="preserve">Prevention and </w:t>
      </w:r>
      <w:r w:rsidR="008A57F6" w:rsidRPr="00F00076">
        <w:t xml:space="preserve">Control Committee </w:t>
      </w:r>
      <w:r w:rsidR="008A57F6">
        <w:t xml:space="preserve">and </w:t>
      </w:r>
      <w:r w:rsidR="008A57F6" w:rsidRPr="00F00076">
        <w:t xml:space="preserve">Quality Improvement Committee) </w:t>
      </w:r>
      <w:r w:rsidR="00F00076" w:rsidRPr="00F00076">
        <w:t xml:space="preserve">at the </w:t>
      </w:r>
      <w:r w:rsidR="00F00076">
        <w:t>health service</w:t>
      </w:r>
      <w:r w:rsidR="00F00076" w:rsidRPr="00F00076">
        <w:t xml:space="preserve"> </w:t>
      </w:r>
      <w:r w:rsidR="008A57F6">
        <w:t xml:space="preserve">organisation </w:t>
      </w:r>
      <w:r w:rsidR="00F00076" w:rsidRPr="00F00076">
        <w:t xml:space="preserve">and with </w:t>
      </w:r>
      <w:r w:rsidR="008A57F6">
        <w:t>e</w:t>
      </w:r>
      <w:r w:rsidR="00F00076" w:rsidRPr="00F00076">
        <w:t>xecutive approval</w:t>
      </w:r>
      <w:r w:rsidR="00F00076">
        <w:t>.</w:t>
      </w:r>
    </w:p>
    <w:bookmarkEnd w:id="1"/>
    <w:p w14:paraId="231B204F" w14:textId="62CE320F" w:rsidR="00CD1DAE" w:rsidRDefault="00616737" w:rsidP="00FD7172">
      <w:pPr>
        <w:pStyle w:val="Heading2"/>
      </w:pPr>
      <w:r>
        <w:t>Eligible areas for hand hygiene compliance auditing</w:t>
      </w:r>
    </w:p>
    <w:p w14:paraId="06B517EE" w14:textId="5CA9483A" w:rsidR="00CD1DAE" w:rsidRDefault="000502F9" w:rsidP="00FD7172">
      <w:bookmarkStart w:id="3" w:name="_Hlk161394907"/>
      <w:r>
        <w:t>Clinical areas provid</w:t>
      </w:r>
      <w:r w:rsidR="00D822C6">
        <w:t>ing</w:t>
      </w:r>
      <w:r>
        <w:t xml:space="preserve"> acute care are e</w:t>
      </w:r>
      <w:r w:rsidR="00CD1DAE">
        <w:t xml:space="preserve">ligible </w:t>
      </w:r>
      <w:r w:rsidR="006B7092" w:rsidRPr="006B7092">
        <w:t>for hand hygiene compliance auditing</w:t>
      </w:r>
      <w:r w:rsidR="00CD1DAE">
        <w:t>. For the purposes of the NHHI, they are further stratified</w:t>
      </w:r>
      <w:r>
        <w:t xml:space="preserve"> </w:t>
      </w:r>
      <w:r w:rsidR="00CD1DAE">
        <w:t>into ‘high risk’ and ‘standard risk’.</w:t>
      </w:r>
    </w:p>
    <w:p w14:paraId="6C63AB13" w14:textId="0A6ADCA7" w:rsidR="00CD1DAE" w:rsidRPr="00616737" w:rsidRDefault="00CD1DAE" w:rsidP="00FD7172">
      <w:pPr>
        <w:rPr>
          <w:b/>
          <w:bCs/>
        </w:rPr>
      </w:pPr>
      <w:r w:rsidRPr="00616737">
        <w:rPr>
          <w:b/>
          <w:bCs/>
        </w:rPr>
        <w:t>High risk</w:t>
      </w:r>
    </w:p>
    <w:p w14:paraId="46A6D8C9" w14:textId="7CC88329" w:rsidR="00CD1DAE" w:rsidRDefault="000502F9" w:rsidP="00FD7172">
      <w:r>
        <w:t>E</w:t>
      </w:r>
      <w:r w:rsidRPr="000502F9">
        <w:t xml:space="preserve">ligible </w:t>
      </w:r>
      <w:r>
        <w:t>h</w:t>
      </w:r>
      <w:r w:rsidRPr="000502F9">
        <w:t xml:space="preserve">igh risk clinical areas </w:t>
      </w:r>
      <w:r w:rsidR="00662CE7">
        <w:t xml:space="preserve">within a hospital </w:t>
      </w:r>
      <w:r>
        <w:t>include c</w:t>
      </w:r>
      <w:r w:rsidR="00CD1DAE">
        <w:t xml:space="preserve">ritical care, neonatal care, </w:t>
      </w:r>
      <w:r w:rsidR="00616737">
        <w:t>renal</w:t>
      </w:r>
      <w:r w:rsidR="00CD1DAE">
        <w:t xml:space="preserve">, transplantation, and </w:t>
      </w:r>
      <w:r w:rsidR="00616737">
        <w:t>oncology/haematology</w:t>
      </w:r>
      <w:r w:rsidR="00662CE7">
        <w:t xml:space="preserve"> departments</w:t>
      </w:r>
      <w:r w:rsidR="00CD1DAE">
        <w:t>.</w:t>
      </w:r>
    </w:p>
    <w:p w14:paraId="7731A142" w14:textId="74A2942F" w:rsidR="00CD1DAE" w:rsidRDefault="00CD1DAE" w:rsidP="00FD7172">
      <w:r>
        <w:t xml:space="preserve">High risk may also include </w:t>
      </w:r>
      <w:r w:rsidR="00616737">
        <w:t>clinical areas</w:t>
      </w:r>
      <w:r>
        <w:t xml:space="preserve"> with known or suspected high rates of </w:t>
      </w:r>
      <w:r w:rsidR="00662CE7">
        <w:t>HAIs</w:t>
      </w:r>
      <w:r>
        <w:t>, high prevalence of patients with multi</w:t>
      </w:r>
      <w:r w:rsidR="00662CE7">
        <w:t>drug</w:t>
      </w:r>
      <w:r>
        <w:t>-resistant organisms and previous low hand hygiene compliance.</w:t>
      </w:r>
    </w:p>
    <w:p w14:paraId="460461B4" w14:textId="409F99DB" w:rsidR="00CD1DAE" w:rsidRPr="00CD1DAE" w:rsidRDefault="00CD1DAE" w:rsidP="00FD7172">
      <w:pPr>
        <w:rPr>
          <w:b/>
          <w:bCs/>
        </w:rPr>
      </w:pPr>
      <w:r w:rsidRPr="00CD1DAE">
        <w:rPr>
          <w:b/>
          <w:bCs/>
        </w:rPr>
        <w:t>Standard</w:t>
      </w:r>
      <w:r w:rsidR="000502F9">
        <w:rPr>
          <w:b/>
          <w:bCs/>
        </w:rPr>
        <w:t xml:space="preserve"> risk</w:t>
      </w:r>
    </w:p>
    <w:p w14:paraId="764874F7" w14:textId="010D4E18" w:rsidR="00CD1DAE" w:rsidRDefault="000502F9" w:rsidP="00FD7172">
      <w:r>
        <w:t>E</w:t>
      </w:r>
      <w:r w:rsidRPr="000502F9">
        <w:t xml:space="preserve">ligible </w:t>
      </w:r>
      <w:r>
        <w:t>standard</w:t>
      </w:r>
      <w:r w:rsidRPr="000502F9">
        <w:t xml:space="preserve"> </w:t>
      </w:r>
      <w:r>
        <w:t xml:space="preserve">risk </w:t>
      </w:r>
      <w:r w:rsidRPr="000502F9">
        <w:t>clinical areas</w:t>
      </w:r>
      <w:r w:rsidR="00662CE7">
        <w:t xml:space="preserve"> within a hospital </w:t>
      </w:r>
      <w:r>
        <w:t>include s</w:t>
      </w:r>
      <w:r w:rsidR="00CD1DAE">
        <w:t>urgical, medical, maternity, paediatrics, acute aged care, perioperative, emergency departments, radiology</w:t>
      </w:r>
      <w:r w:rsidR="004841C2">
        <w:t>,</w:t>
      </w:r>
      <w:r w:rsidR="00CD1DAE">
        <w:t xml:space="preserve"> and sub-acute</w:t>
      </w:r>
      <w:r>
        <w:t xml:space="preserve"> </w:t>
      </w:r>
      <w:r w:rsidR="00662CE7">
        <w:t>departments</w:t>
      </w:r>
      <w:r w:rsidR="00CD1DAE">
        <w:t>.</w:t>
      </w:r>
    </w:p>
    <w:p w14:paraId="54BC16B3" w14:textId="45DE4053" w:rsidR="00CD1DAE" w:rsidRPr="00CD1DAE" w:rsidRDefault="00CD1DAE" w:rsidP="00FD7172">
      <w:pPr>
        <w:rPr>
          <w:b/>
          <w:bCs/>
        </w:rPr>
      </w:pPr>
      <w:r w:rsidRPr="00CD1DAE">
        <w:rPr>
          <w:b/>
          <w:bCs/>
        </w:rPr>
        <w:t xml:space="preserve">Other </w:t>
      </w:r>
      <w:r w:rsidR="00616737" w:rsidRPr="00616737">
        <w:rPr>
          <w:b/>
          <w:bCs/>
        </w:rPr>
        <w:t>clinical</w:t>
      </w:r>
      <w:r w:rsidR="00616737" w:rsidRPr="00616737">
        <w:t xml:space="preserve"> </w:t>
      </w:r>
      <w:r w:rsidR="00616737" w:rsidRPr="00616737">
        <w:rPr>
          <w:b/>
          <w:bCs/>
        </w:rPr>
        <w:t>areas</w:t>
      </w:r>
      <w:r w:rsidRPr="00CD1DAE">
        <w:rPr>
          <w:b/>
          <w:bCs/>
        </w:rPr>
        <w:t xml:space="preserve"> that can be included</w:t>
      </w:r>
    </w:p>
    <w:p w14:paraId="542A9155" w14:textId="6B5178BF" w:rsidR="00725B79" w:rsidRDefault="00877CB6" w:rsidP="00FD7172">
      <w:r>
        <w:t>Based on a risk assessment, t</w:t>
      </w:r>
      <w:r w:rsidR="00CD1DAE">
        <w:t xml:space="preserve">he following </w:t>
      </w:r>
      <w:r w:rsidR="00616737">
        <w:t>areas</w:t>
      </w:r>
      <w:r w:rsidR="00CD1DAE">
        <w:t xml:space="preserve"> within an acute organisation could be included in </w:t>
      </w:r>
      <w:r w:rsidR="00616737">
        <w:t>n</w:t>
      </w:r>
      <w:r w:rsidR="00CD1DAE">
        <w:t>ational audits</w:t>
      </w:r>
      <w:r>
        <w:t>:</w:t>
      </w:r>
      <w:r w:rsidR="004841C2">
        <w:t xml:space="preserve"> </w:t>
      </w:r>
      <w:r w:rsidR="00CD1DAE">
        <w:t xml:space="preserve">ambulatory care, mental health, palliative care, and </w:t>
      </w:r>
      <w:r w:rsidR="00616737">
        <w:t>long-term</w:t>
      </w:r>
      <w:r w:rsidR="00CD1DAE">
        <w:t xml:space="preserve"> care</w:t>
      </w:r>
      <w:r w:rsidR="000502F9">
        <w:t xml:space="preserve"> setting</w:t>
      </w:r>
      <w:r w:rsidR="004841C2">
        <w:t>s</w:t>
      </w:r>
      <w:r w:rsidR="00CD1DAE">
        <w:t>.</w:t>
      </w:r>
    </w:p>
    <w:p w14:paraId="002A3022" w14:textId="6E45B69E" w:rsidR="00C93942" w:rsidRPr="00CD1DAE" w:rsidRDefault="00C93942" w:rsidP="00C93942">
      <w:pPr>
        <w:rPr>
          <w:b/>
          <w:bCs/>
        </w:rPr>
      </w:pPr>
      <w:r>
        <w:rPr>
          <w:b/>
          <w:bCs/>
        </w:rPr>
        <w:t>Departments that should not be included</w:t>
      </w:r>
    </w:p>
    <w:tbl>
      <w:tblPr>
        <w:tblStyle w:val="TableGrid"/>
        <w:tblW w:w="0" w:type="auto"/>
        <w:tblLook w:val="04A0" w:firstRow="1" w:lastRow="0" w:firstColumn="1" w:lastColumn="0" w:noHBand="0" w:noVBand="1"/>
      </w:tblPr>
      <w:tblGrid>
        <w:gridCol w:w="9622"/>
      </w:tblGrid>
      <w:tr w:rsidR="00336EF0" w14:paraId="4FE23F1B" w14:textId="77777777" w:rsidTr="00336EF0">
        <w:trPr>
          <w:cnfStyle w:val="100000000000" w:firstRow="1" w:lastRow="0" w:firstColumn="0" w:lastColumn="0" w:oddVBand="0" w:evenVBand="0" w:oddHBand="0" w:evenHBand="0" w:firstRowFirstColumn="0" w:firstRowLastColumn="0" w:lastRowFirstColumn="0" w:lastRowLastColumn="0"/>
        </w:trPr>
        <w:tc>
          <w:tcPr>
            <w:tcW w:w="9622" w:type="dxa"/>
          </w:tcPr>
          <w:p w14:paraId="48646E24" w14:textId="0E0F60DC" w:rsidR="00336EF0" w:rsidRPr="00336EF0" w:rsidRDefault="00336EF0" w:rsidP="00336EF0">
            <w:pPr>
              <w:rPr>
                <w:rFonts w:ascii="Arial" w:hAnsi="Arial" w:cs="Arial"/>
                <w:b w:val="0"/>
                <w:bCs/>
              </w:rPr>
            </w:pPr>
            <w:r w:rsidRPr="00336EF0">
              <w:rPr>
                <w:rFonts w:ascii="Arial" w:hAnsi="Arial" w:cs="Arial"/>
                <w:b w:val="0"/>
                <w:bCs/>
                <w:sz w:val="22"/>
                <w:szCs w:val="24"/>
              </w:rPr>
              <w:t>Central sterile services department, kitchen, laundry, and other areas where there are no patients should not be included in national audits.</w:t>
            </w:r>
          </w:p>
        </w:tc>
      </w:tr>
    </w:tbl>
    <w:p w14:paraId="78213ED5" w14:textId="116532C5" w:rsidR="00616737" w:rsidRDefault="00616737" w:rsidP="00FD7172">
      <w:pPr>
        <w:pStyle w:val="Heading2"/>
      </w:pPr>
      <w:r w:rsidRPr="00F845DE">
        <w:t xml:space="preserve">Numbers of </w:t>
      </w:r>
      <w:r w:rsidR="00D52315">
        <w:t>hand hygiene m</w:t>
      </w:r>
      <w:r w:rsidRPr="00F845DE">
        <w:t>oments</w:t>
      </w:r>
    </w:p>
    <w:p w14:paraId="2560EBF9" w14:textId="495DA076" w:rsidR="004841C2" w:rsidRPr="00083CD1" w:rsidRDefault="004841C2" w:rsidP="00725B79">
      <w:r w:rsidRPr="00725B79">
        <w:rPr>
          <w:rFonts w:ascii="Arial" w:hAnsi="Arial" w:cs="Arial"/>
          <w:bCs/>
          <w:shd w:val="clear" w:color="auto" w:fill="FFFFFF"/>
        </w:rPr>
        <w:t xml:space="preserve">There are specific requirements on the </w:t>
      </w:r>
      <w:r w:rsidR="00573100">
        <w:rPr>
          <w:rFonts w:ascii="Arial" w:hAnsi="Arial" w:cs="Arial"/>
          <w:bCs/>
          <w:shd w:val="clear" w:color="auto" w:fill="FFFFFF"/>
        </w:rPr>
        <w:t>number</w:t>
      </w:r>
      <w:r w:rsidR="00573100" w:rsidRPr="00725B79">
        <w:rPr>
          <w:rFonts w:ascii="Arial" w:hAnsi="Arial" w:cs="Arial"/>
          <w:bCs/>
          <w:shd w:val="clear" w:color="auto" w:fill="FFFFFF"/>
        </w:rPr>
        <w:t xml:space="preserve"> </w:t>
      </w:r>
      <w:r w:rsidRPr="00725B79">
        <w:rPr>
          <w:rFonts w:ascii="Arial" w:hAnsi="Arial" w:cs="Arial"/>
          <w:bCs/>
          <w:shd w:val="clear" w:color="auto" w:fill="FFFFFF"/>
        </w:rPr>
        <w:t xml:space="preserve">of hand hygiene observation moments that need to be submitted for different healthcare settings for each national audit period. </w:t>
      </w:r>
      <w:bookmarkStart w:id="4" w:name="_Hlk176881605"/>
      <w:r w:rsidRPr="00725B79">
        <w:rPr>
          <w:rFonts w:ascii="Arial" w:hAnsi="Arial" w:cs="Arial"/>
          <w:bCs/>
          <w:shd w:val="clear" w:color="auto" w:fill="FFFFFF"/>
        </w:rPr>
        <w:t>For more information, see</w:t>
      </w:r>
      <w:r w:rsidR="00725B79" w:rsidRPr="00725B79">
        <w:rPr>
          <w:rFonts w:ascii="Arial" w:hAnsi="Arial" w:cs="Arial"/>
          <w:b/>
          <w:bCs/>
          <w:shd w:val="clear" w:color="auto" w:fill="FFFFFF"/>
        </w:rPr>
        <w:t xml:space="preserve"> </w:t>
      </w:r>
      <w:r w:rsidR="009F3217">
        <w:rPr>
          <w:rFonts w:ascii="Arial" w:hAnsi="Arial" w:cs="Arial"/>
          <w:b/>
          <w:bCs/>
          <w:shd w:val="clear" w:color="auto" w:fill="FFFFFF"/>
        </w:rPr>
        <w:t>‘</w:t>
      </w:r>
      <w:r w:rsidRPr="008A57F6">
        <w:rPr>
          <w:rFonts w:ascii="Arial" w:hAnsi="Arial" w:cs="Arial"/>
          <w:bCs/>
          <w:shd w:val="clear" w:color="auto" w:fill="FFFFFF"/>
        </w:rPr>
        <w:t>Guidelines for submission of data for specific settings</w:t>
      </w:r>
      <w:r w:rsidR="009F3217">
        <w:rPr>
          <w:rFonts w:ascii="Arial" w:hAnsi="Arial" w:cs="Arial"/>
          <w:bCs/>
          <w:shd w:val="clear" w:color="auto" w:fill="FFFFFF"/>
        </w:rPr>
        <w:t>’</w:t>
      </w:r>
      <w:r w:rsidR="00725B79" w:rsidRPr="00725B79">
        <w:rPr>
          <w:rStyle w:val="Hyperlink"/>
          <w:rFonts w:ascii="Arial" w:hAnsi="Arial" w:cs="Arial"/>
          <w:b/>
          <w:bCs/>
          <w:color w:val="auto"/>
          <w:u w:val="none"/>
          <w:shd w:val="clear" w:color="auto" w:fill="FFFFFF"/>
        </w:rPr>
        <w:t xml:space="preserve"> </w:t>
      </w:r>
      <w:r w:rsidR="009F3217">
        <w:rPr>
          <w:rStyle w:val="Hyperlink"/>
          <w:rFonts w:ascii="Arial" w:hAnsi="Arial" w:cs="Arial"/>
          <w:color w:val="auto"/>
          <w:u w:val="none"/>
          <w:shd w:val="clear" w:color="auto" w:fill="FFFFFF"/>
        </w:rPr>
        <w:t>on</w:t>
      </w:r>
      <w:r w:rsidR="00725B79">
        <w:rPr>
          <w:rStyle w:val="Hyperlink"/>
          <w:rFonts w:ascii="Arial" w:hAnsi="Arial" w:cs="Arial"/>
          <w:color w:val="auto"/>
          <w:u w:val="none"/>
          <w:shd w:val="clear" w:color="auto" w:fill="FFFFFF"/>
        </w:rPr>
        <w:t xml:space="preserve"> the</w:t>
      </w:r>
      <w:r w:rsidR="00725B79" w:rsidRPr="00725B79">
        <w:rPr>
          <w:rStyle w:val="Hyperlink"/>
          <w:rFonts w:ascii="Arial" w:hAnsi="Arial" w:cs="Arial"/>
          <w:color w:val="auto"/>
          <w:u w:val="none"/>
          <w:shd w:val="clear" w:color="auto" w:fill="FFFFFF"/>
        </w:rPr>
        <w:t xml:space="preserve"> </w:t>
      </w:r>
      <w:hyperlink r:id="rId18" w:history="1">
        <w:r w:rsidR="00725B79" w:rsidRPr="00725B79">
          <w:rPr>
            <w:rStyle w:val="Hyperlink"/>
            <w:rFonts w:cs="Arial"/>
          </w:rPr>
          <w:t>National Hand Hygiene Initiative - Audit Requirements</w:t>
        </w:r>
      </w:hyperlink>
      <w:r w:rsidR="00725B79" w:rsidRPr="00725B79">
        <w:rPr>
          <w:rFonts w:cs="Arial"/>
          <w:color w:val="000000" w:themeColor="text1"/>
        </w:rPr>
        <w:t xml:space="preserve"> </w:t>
      </w:r>
      <w:r w:rsidR="00725B79">
        <w:rPr>
          <w:rFonts w:cs="Arial"/>
          <w:color w:val="000000" w:themeColor="text1"/>
        </w:rPr>
        <w:t>web page.</w:t>
      </w:r>
    </w:p>
    <w:bookmarkEnd w:id="4"/>
    <w:p w14:paraId="15EED9E3" w14:textId="142A89C8" w:rsidR="00877CB6" w:rsidRDefault="006A7DFC" w:rsidP="00FD7172">
      <w:r>
        <w:t>Inevitably c</w:t>
      </w:r>
      <w:r w:rsidR="00616737">
        <w:t xml:space="preserve">ompliance data </w:t>
      </w:r>
      <w:r>
        <w:t>will</w:t>
      </w:r>
      <w:r w:rsidR="00616737">
        <w:t xml:space="preserve"> be used for comparison, be it at a clinical area, organisational, jurisdictional, or national level. </w:t>
      </w:r>
      <w:r w:rsidR="00A96274" w:rsidRPr="00A96274">
        <w:t>When data is used for comparison, it is important to remember that generally a higher number of Moments audited will generate a more reliable compliance rate, as demonstrated in Chart 1</w:t>
      </w:r>
      <w:r w:rsidR="00A96274">
        <w:t xml:space="preserve">. </w:t>
      </w:r>
    </w:p>
    <w:p w14:paraId="70C07370" w14:textId="43659893" w:rsidR="007B7EDF" w:rsidRDefault="007B7EDF" w:rsidP="00FD7172">
      <w:r>
        <w:t>It is recommended that 95% confidence intervals are included when reporting compliance rates.</w:t>
      </w:r>
    </w:p>
    <w:p w14:paraId="1BC43CDE" w14:textId="77777777" w:rsidR="007B7EDF" w:rsidRDefault="007B7EDF" w:rsidP="00FD7172">
      <w:pPr>
        <w:rPr>
          <w:i/>
          <w:iCs/>
        </w:rPr>
      </w:pPr>
    </w:p>
    <w:p w14:paraId="43439FA3" w14:textId="77777777" w:rsidR="007B7EDF" w:rsidRDefault="007B7EDF" w:rsidP="00FD7172">
      <w:pPr>
        <w:rPr>
          <w:i/>
          <w:iCs/>
        </w:rPr>
      </w:pPr>
    </w:p>
    <w:p w14:paraId="5C1D5E16" w14:textId="77777777" w:rsidR="007B7EDF" w:rsidRDefault="007B7EDF" w:rsidP="00FD7172">
      <w:pPr>
        <w:rPr>
          <w:i/>
          <w:iCs/>
        </w:rPr>
      </w:pPr>
    </w:p>
    <w:p w14:paraId="7B3062B3" w14:textId="77777777" w:rsidR="007B7EDF" w:rsidRDefault="007B7EDF" w:rsidP="00FD7172">
      <w:pPr>
        <w:rPr>
          <w:i/>
          <w:iCs/>
        </w:rPr>
      </w:pPr>
    </w:p>
    <w:p w14:paraId="70DA4651" w14:textId="77777777" w:rsidR="007B7EDF" w:rsidRDefault="007B7EDF" w:rsidP="00FD7172">
      <w:pPr>
        <w:rPr>
          <w:i/>
          <w:iCs/>
        </w:rPr>
      </w:pPr>
    </w:p>
    <w:p w14:paraId="2745D94E" w14:textId="77777777" w:rsidR="007B7EDF" w:rsidRDefault="007B7EDF" w:rsidP="00FD7172">
      <w:pPr>
        <w:rPr>
          <w:i/>
          <w:iCs/>
        </w:rPr>
      </w:pPr>
    </w:p>
    <w:p w14:paraId="6532C245" w14:textId="77777777" w:rsidR="007B7EDF" w:rsidRDefault="007B7EDF" w:rsidP="00FD7172">
      <w:pPr>
        <w:rPr>
          <w:i/>
          <w:iCs/>
        </w:rPr>
      </w:pPr>
    </w:p>
    <w:p w14:paraId="5C8D436D" w14:textId="094803CF" w:rsidR="007B7EDF" w:rsidRPr="007B7EDF" w:rsidRDefault="007B7EDF" w:rsidP="00FD7172">
      <w:r w:rsidRPr="007B7EDF">
        <w:lastRenderedPageBreak/>
        <w:t>Chart 1</w:t>
      </w:r>
      <w:r>
        <w:t>.</w:t>
      </w:r>
      <w:r w:rsidRPr="007B7EDF">
        <w:t xml:space="preserve"> Comparison of 95% Confidence Intervals for different numbers of Moments at 50% Compliance and 75% Compliance</w:t>
      </w:r>
    </w:p>
    <w:p w14:paraId="5C15FFD0" w14:textId="786A45BE" w:rsidR="007B7EDF" w:rsidRDefault="007B7EDF" w:rsidP="00FD7172">
      <w:r>
        <w:rPr>
          <w:noProof/>
        </w:rPr>
        <w:drawing>
          <wp:inline distT="0" distB="0" distL="0" distR="0" wp14:anchorId="200291A5" wp14:editId="68D44286">
            <wp:extent cx="5208104" cy="2750044"/>
            <wp:effectExtent l="0" t="0" r="0" b="0"/>
            <wp:docPr id="1310575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75260" name=""/>
                    <pic:cNvPicPr/>
                  </pic:nvPicPr>
                  <pic:blipFill>
                    <a:blip r:embed="rId19"/>
                    <a:stretch>
                      <a:fillRect/>
                    </a:stretch>
                  </pic:blipFill>
                  <pic:spPr>
                    <a:xfrm>
                      <a:off x="0" y="0"/>
                      <a:ext cx="5253325" cy="2773922"/>
                    </a:xfrm>
                    <a:prstGeom prst="rect">
                      <a:avLst/>
                    </a:prstGeom>
                  </pic:spPr>
                </pic:pic>
              </a:graphicData>
            </a:graphic>
          </wp:inline>
        </w:drawing>
      </w:r>
    </w:p>
    <w:p w14:paraId="4C8FCE9D" w14:textId="12F01CDC" w:rsidR="00E9022B" w:rsidRPr="00725B79" w:rsidRDefault="00E9022B" w:rsidP="00336EF0">
      <w:pPr>
        <w:pStyle w:val="Heading2"/>
        <w:rPr>
          <w:color w:val="auto"/>
          <w:szCs w:val="32"/>
        </w:rPr>
      </w:pPr>
      <w:bookmarkStart w:id="5" w:name="_Hlk142474833"/>
      <w:bookmarkEnd w:id="3"/>
      <w:r w:rsidRPr="00725B79">
        <w:rPr>
          <w:color w:val="0C5979"/>
          <w:szCs w:val="32"/>
        </w:rPr>
        <w:t>More information</w:t>
      </w:r>
    </w:p>
    <w:bookmarkEnd w:id="5"/>
    <w:p w14:paraId="26381F3E" w14:textId="7624BD22" w:rsidR="00311124" w:rsidRPr="00725B79" w:rsidRDefault="00E9022B" w:rsidP="00F35927">
      <w:pPr>
        <w:rPr>
          <w:rFonts w:cs="Arial"/>
        </w:rPr>
      </w:pPr>
      <w:r w:rsidRPr="00610E9D">
        <w:rPr>
          <w:rFonts w:cs="Arial"/>
          <w:color w:val="000000" w:themeColor="text1"/>
        </w:rPr>
        <w:t>For more information</w:t>
      </w:r>
      <w:r>
        <w:rPr>
          <w:rFonts w:cs="Arial"/>
          <w:color w:val="000000" w:themeColor="text1"/>
        </w:rPr>
        <w:t>,</w:t>
      </w:r>
      <w:r w:rsidRPr="00610E9D">
        <w:rPr>
          <w:rFonts w:cs="Arial"/>
          <w:color w:val="000000" w:themeColor="text1"/>
        </w:rPr>
        <w:t xml:space="preserve"> please </w:t>
      </w:r>
      <w:r w:rsidR="00D52315">
        <w:rPr>
          <w:rFonts w:cs="Arial"/>
          <w:color w:val="000000" w:themeColor="text1"/>
        </w:rPr>
        <w:t>see</w:t>
      </w:r>
      <w:r w:rsidR="00725B79">
        <w:rPr>
          <w:rFonts w:cs="Arial"/>
          <w:color w:val="000000" w:themeColor="text1"/>
        </w:rPr>
        <w:t xml:space="preserve"> </w:t>
      </w:r>
      <w:hyperlink r:id="rId20" w:history="1">
        <w:r w:rsidR="00725B79" w:rsidRPr="00625D2E">
          <w:rPr>
            <w:rStyle w:val="Hyperlink"/>
          </w:rPr>
          <w:t>N</w:t>
        </w:r>
        <w:r w:rsidR="00725B79">
          <w:rPr>
            <w:rStyle w:val="Hyperlink"/>
          </w:rPr>
          <w:t xml:space="preserve">ational </w:t>
        </w:r>
        <w:r w:rsidR="00725B79" w:rsidRPr="00625D2E">
          <w:rPr>
            <w:rStyle w:val="Hyperlink"/>
          </w:rPr>
          <w:t>H</w:t>
        </w:r>
        <w:r w:rsidR="00725B79">
          <w:rPr>
            <w:rStyle w:val="Hyperlink"/>
          </w:rPr>
          <w:t xml:space="preserve">and </w:t>
        </w:r>
        <w:r w:rsidR="00725B79" w:rsidRPr="00625D2E">
          <w:rPr>
            <w:rStyle w:val="Hyperlink"/>
          </w:rPr>
          <w:t>H</w:t>
        </w:r>
        <w:r w:rsidR="00725B79">
          <w:rPr>
            <w:rStyle w:val="Hyperlink"/>
          </w:rPr>
          <w:t xml:space="preserve">ygiene </w:t>
        </w:r>
        <w:r w:rsidR="00725B79" w:rsidRPr="00625D2E">
          <w:rPr>
            <w:rStyle w:val="Hyperlink"/>
          </w:rPr>
          <w:t>I</w:t>
        </w:r>
        <w:r w:rsidR="00725B79">
          <w:rPr>
            <w:rStyle w:val="Hyperlink"/>
          </w:rPr>
          <w:t>nitiative</w:t>
        </w:r>
        <w:r w:rsidR="00725B79" w:rsidRPr="00625D2E">
          <w:rPr>
            <w:rStyle w:val="Hyperlink"/>
          </w:rPr>
          <w:t xml:space="preserve"> Implementation Guide</w:t>
        </w:r>
      </w:hyperlink>
      <w:r w:rsidR="00725B79" w:rsidRPr="00725B79">
        <w:rPr>
          <w:rStyle w:val="Hyperlink"/>
          <w:rFonts w:cs="Arial"/>
          <w:color w:val="auto"/>
          <w:u w:val="none"/>
        </w:rPr>
        <w:t>.</w:t>
      </w:r>
    </w:p>
    <w:p w14:paraId="27A1AB37" w14:textId="137DEAF0" w:rsidR="00311124" w:rsidRPr="00311124" w:rsidRDefault="00311124" w:rsidP="00FD7172">
      <w:pPr>
        <w:rPr>
          <w:rFonts w:cs="Arial"/>
        </w:rPr>
      </w:pPr>
      <w:r>
        <w:t xml:space="preserve">For information on state and territory NHHI contacts and the NHHI Help Desk, </w:t>
      </w:r>
      <w:r w:rsidR="00D52315">
        <w:t xml:space="preserve">please </w:t>
      </w:r>
      <w:r>
        <w:t xml:space="preserve">visit the </w:t>
      </w:r>
      <w:hyperlink r:id="rId21" w:history="1">
        <w:r w:rsidRPr="00311124">
          <w:rPr>
            <w:rStyle w:val="Hyperlink"/>
          </w:rPr>
          <w:t>National Hand Hygiene Initiative Help Desk – contact details</w:t>
        </w:r>
      </w:hyperlink>
      <w:r>
        <w:t xml:space="preserve"> web page.</w:t>
      </w:r>
    </w:p>
    <w:p w14:paraId="45244B99" w14:textId="77777777" w:rsidR="009374DD" w:rsidRPr="00EA0B96" w:rsidRDefault="00E1606F" w:rsidP="00262327">
      <w:pPr>
        <w:pStyle w:val="SandQwebaddress"/>
        <w:rPr>
          <w:b/>
          <w:bCs/>
          <w:color w:val="005370"/>
          <w:sz w:val="26"/>
          <w:szCs w:val="26"/>
        </w:rPr>
      </w:pPr>
      <w:hyperlink r:id="rId22" w:history="1">
        <w:r w:rsidR="009374DD" w:rsidRPr="000811F9">
          <w:rPr>
            <w:rStyle w:val="Hyperlink"/>
            <w:b/>
            <w:bCs/>
            <w:sz w:val="26"/>
            <w:szCs w:val="26"/>
            <w:u w:val="none"/>
          </w:rPr>
          <w:t>safetyandquality.gov.au</w:t>
        </w:r>
      </w:hyperlink>
    </w:p>
    <w:p w14:paraId="4E5F279B" w14:textId="18ED2302" w:rsidR="00465AB0" w:rsidRDefault="00262327" w:rsidP="00FD7172">
      <w:pPr>
        <w:pStyle w:val="FootnoteText"/>
        <w:tabs>
          <w:tab w:val="right" w:pos="8931"/>
        </w:tabs>
        <w:spacing w:after="0"/>
      </w:pPr>
      <w:r>
        <w:rPr>
          <w:noProof/>
        </w:rPr>
        <w:drawing>
          <wp:anchor distT="0" distB="0" distL="114300" distR="114300" simplePos="0" relativeHeight="251659264" behindDoc="0" locked="0" layoutInCell="1" allowOverlap="1" wp14:anchorId="337F528E" wp14:editId="368EE4FB">
            <wp:simplePos x="0" y="0"/>
            <wp:positionH relativeFrom="column">
              <wp:posOffset>0</wp:posOffset>
            </wp:positionH>
            <wp:positionV relativeFrom="paragraph">
              <wp:posOffset>34404</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4DD" w:rsidRPr="00EA0B96">
        <w:rPr>
          <w:rStyle w:val="Roman"/>
          <w:rFonts w:eastAsia="MS Gothic"/>
        </w:rPr>
        <w:t xml:space="preserve">© Australian Commission on Safety </w:t>
      </w:r>
      <w:r w:rsidR="009374DD" w:rsidRPr="00EA0B96">
        <w:rPr>
          <w:rStyle w:val="Roman"/>
          <w:rFonts w:eastAsia="MS Gothic"/>
        </w:rPr>
        <w:br/>
        <w:t>and Quality in Health Car</w:t>
      </w:r>
      <w:r w:rsidR="009374DD" w:rsidRPr="000502F9">
        <w:rPr>
          <w:rStyle w:val="Roman"/>
          <w:rFonts w:eastAsia="MS Gothic"/>
        </w:rPr>
        <w:t>e 202</w:t>
      </w:r>
      <w:r w:rsidR="000502F9" w:rsidRPr="000502F9">
        <w:rPr>
          <w:rStyle w:val="Roman"/>
          <w:rFonts w:eastAsia="MS Gothic"/>
        </w:rPr>
        <w:t>4</w:t>
      </w:r>
      <w:r w:rsidR="009374DD" w:rsidRPr="000502F9" w:rsidDel="00174535">
        <w:rPr>
          <w:rStyle w:val="Roman"/>
          <w:rFonts w:eastAsia="MS Gothic"/>
        </w:rPr>
        <w:t xml:space="preserve"> </w:t>
      </w:r>
    </w:p>
    <w:sectPr w:rsidR="00465AB0" w:rsidSect="00AC6331">
      <w:footerReference w:type="default" r:id="rId24"/>
      <w:headerReference w:type="first" r:id="rId25"/>
      <w:footerReference w:type="first" r:id="rId26"/>
      <w:footnotePr>
        <w:numFmt w:val="chicago"/>
      </w:footnotePr>
      <w:pgSz w:w="11900" w:h="16840"/>
      <w:pgMar w:top="1735" w:right="1134"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88C0" w14:textId="77777777" w:rsidR="003B1E58" w:rsidRDefault="003B1E58" w:rsidP="000B0274">
      <w:r>
        <w:separator/>
      </w:r>
    </w:p>
    <w:p w14:paraId="7A8CE605" w14:textId="77777777" w:rsidR="003B1E58" w:rsidRDefault="003B1E58"/>
    <w:p w14:paraId="0A613779" w14:textId="77777777" w:rsidR="003B1E58" w:rsidRDefault="003B1E58"/>
    <w:p w14:paraId="4E99C57E" w14:textId="77777777" w:rsidR="003B1E58" w:rsidRDefault="003B1E58"/>
    <w:p w14:paraId="7C3A56E0" w14:textId="77777777" w:rsidR="003B1E58" w:rsidRDefault="003B1E58"/>
  </w:endnote>
  <w:endnote w:type="continuationSeparator" w:id="0">
    <w:p w14:paraId="27FC483E" w14:textId="77777777" w:rsidR="003B1E58" w:rsidRDefault="003B1E58" w:rsidP="000B0274">
      <w:r>
        <w:continuationSeparator/>
      </w:r>
    </w:p>
    <w:p w14:paraId="146C2E52" w14:textId="77777777" w:rsidR="003B1E58" w:rsidRDefault="003B1E58"/>
    <w:p w14:paraId="1539B152" w14:textId="77777777" w:rsidR="003B1E58" w:rsidRDefault="003B1E58"/>
    <w:p w14:paraId="61544CBC" w14:textId="77777777" w:rsidR="003B1E58" w:rsidRDefault="003B1E58"/>
    <w:p w14:paraId="7A10C01B" w14:textId="77777777" w:rsidR="003B1E58" w:rsidRDefault="003B1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Arial (Body)">
    <w:altName w:val="Arial"/>
    <w:charset w:val="00"/>
    <w:family w:val="roman"/>
    <w:pitch w:val="default"/>
  </w:font>
  <w:font w:name="Gotham Medium">
    <w:altName w:val="Calibri"/>
    <w:panose1 w:val="00000000000000000000"/>
    <w:charset w:val="00"/>
    <w:family w:val="auto"/>
    <w:notTrueType/>
    <w:pitch w:val="variable"/>
    <w:sig w:usb0="A100007F" w:usb1="4000005B" w:usb2="00000000" w:usb3="00000000" w:csb0="0000009B"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991A" w14:textId="3FF9740F" w:rsidR="002E4B35" w:rsidRDefault="00E9022B">
    <w:pPr>
      <w:pStyle w:val="Footer"/>
    </w:pPr>
    <w:r>
      <w:t xml:space="preserve">NHHI - </w:t>
    </w:r>
    <w:r w:rsidRPr="006B7092">
      <w:t>Guidelines for Data Submission</w:t>
    </w:r>
    <w:r w:rsidR="002E4B35" w:rsidRPr="00D84622">
      <w:tab/>
    </w:r>
    <w:r w:rsidR="002E4B35" w:rsidRPr="00D84622">
      <w:fldChar w:fldCharType="begin"/>
    </w:r>
    <w:r w:rsidR="002E4B35" w:rsidRPr="00D84622">
      <w:instrText xml:space="preserve"> PAGE   \* MERGEFORMAT </w:instrText>
    </w:r>
    <w:r w:rsidR="002E4B35" w:rsidRPr="00D84622">
      <w:fldChar w:fldCharType="separate"/>
    </w:r>
    <w:r w:rsidR="002E4B35" w:rsidRPr="00D84622">
      <w:t>4</w:t>
    </w:r>
    <w:r w:rsidR="002E4B35" w:rsidRPr="00D8462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BBD3" w14:textId="5B916EF6" w:rsidR="006D4CD4" w:rsidRPr="006D4CD4" w:rsidRDefault="006B7092" w:rsidP="006D4CD4">
    <w:pPr>
      <w:pStyle w:val="Footer"/>
    </w:pPr>
    <w:r w:rsidRPr="006B7092">
      <w:t xml:space="preserve">Guidelines for </w:t>
    </w:r>
    <w:r w:rsidR="00894E89">
      <w:t>NHHI</w:t>
    </w:r>
    <w:r w:rsidR="00894E89" w:rsidRPr="006B7092">
      <w:t xml:space="preserve"> </w:t>
    </w:r>
    <w:r w:rsidRPr="006B7092">
      <w:t>Data Submission</w:t>
    </w:r>
    <w:r w:rsidR="006D4CD4" w:rsidRPr="00D84622">
      <w:tab/>
    </w:r>
    <w:r w:rsidR="006D4CD4" w:rsidRPr="00D84622">
      <w:fldChar w:fldCharType="begin"/>
    </w:r>
    <w:r w:rsidR="006D4CD4" w:rsidRPr="00D84622">
      <w:instrText xml:space="preserve"> PAGE   \* MERGEFORMAT </w:instrText>
    </w:r>
    <w:r w:rsidR="006D4CD4" w:rsidRPr="00D84622">
      <w:fldChar w:fldCharType="separate"/>
    </w:r>
    <w:r w:rsidR="006D4CD4">
      <w:t>2</w:t>
    </w:r>
    <w:r w:rsidR="006D4CD4"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5ECA" w14:textId="77777777" w:rsidR="003B1E58" w:rsidRDefault="003B1E58" w:rsidP="000B0274">
      <w:r>
        <w:separator/>
      </w:r>
    </w:p>
    <w:p w14:paraId="46BD38A2" w14:textId="77777777" w:rsidR="003B1E58" w:rsidRDefault="003B1E58"/>
    <w:p w14:paraId="6432831B" w14:textId="77777777" w:rsidR="003B1E58" w:rsidRDefault="003B1E58"/>
    <w:p w14:paraId="00DC7E00" w14:textId="77777777" w:rsidR="003B1E58" w:rsidRDefault="003B1E58"/>
    <w:p w14:paraId="25DA7BA7" w14:textId="77777777" w:rsidR="003B1E58" w:rsidRDefault="003B1E58"/>
  </w:footnote>
  <w:footnote w:type="continuationSeparator" w:id="0">
    <w:p w14:paraId="5C0D09FE" w14:textId="77777777" w:rsidR="003B1E58" w:rsidRDefault="003B1E58" w:rsidP="000B0274">
      <w:r>
        <w:continuationSeparator/>
      </w:r>
    </w:p>
    <w:p w14:paraId="7B453CF9" w14:textId="77777777" w:rsidR="003B1E58" w:rsidRDefault="003B1E58"/>
    <w:p w14:paraId="2A410549" w14:textId="77777777" w:rsidR="003B1E58" w:rsidRDefault="003B1E58"/>
    <w:p w14:paraId="1B74797E" w14:textId="77777777" w:rsidR="003B1E58" w:rsidRDefault="003B1E58"/>
    <w:p w14:paraId="5E65A48C" w14:textId="77777777" w:rsidR="003B1E58" w:rsidRDefault="003B1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1A83" w14:textId="1E9910F8" w:rsidR="00EE552C" w:rsidRDefault="00F845DE">
    <w:pPr>
      <w:pStyle w:val="Header"/>
    </w:pPr>
    <w:r>
      <w:rPr>
        <w:noProof/>
      </w:rPr>
      <w:drawing>
        <wp:anchor distT="0" distB="0" distL="114300" distR="114300" simplePos="0" relativeHeight="251658240" behindDoc="0" locked="0" layoutInCell="1" allowOverlap="1" wp14:anchorId="66B659C0" wp14:editId="60426E84">
          <wp:simplePos x="0" y="0"/>
          <wp:positionH relativeFrom="column">
            <wp:posOffset>5437380</wp:posOffset>
          </wp:positionH>
          <wp:positionV relativeFrom="paragraph">
            <wp:posOffset>0</wp:posOffset>
          </wp:positionV>
          <wp:extent cx="586695" cy="61719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6695" cy="617195"/>
                  </a:xfrm>
                  <a:prstGeom prst="rect">
                    <a:avLst/>
                  </a:prstGeom>
                </pic:spPr>
              </pic:pic>
            </a:graphicData>
          </a:graphic>
          <wp14:sizeRelH relativeFrom="margin">
            <wp14:pctWidth>0</wp14:pctWidth>
          </wp14:sizeRelH>
          <wp14:sizeRelV relativeFrom="margin">
            <wp14:pctHeight>0</wp14:pctHeight>
          </wp14:sizeRelV>
        </wp:anchor>
      </w:drawing>
    </w:r>
    <w:r w:rsidR="00EE552C" w:rsidRPr="00FB375B">
      <w:rPr>
        <w:rFonts w:eastAsiaTheme="majorEastAsia"/>
        <w:noProof/>
        <w:lang w:val="en-US" w:eastAsia="en-US"/>
      </w:rPr>
      <w:drawing>
        <wp:inline distT="0" distB="0" distL="0" distR="0" wp14:anchorId="7CA7C6F4" wp14:editId="4B888AC2">
          <wp:extent cx="4307149" cy="543600"/>
          <wp:effectExtent l="0" t="0" r="0" b="2540"/>
          <wp:docPr id="1" name="Picture 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2"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Pr="00F845D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AEA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E9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706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1E75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78E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DE1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92B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E9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EC5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E850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763A4"/>
    <w:multiLevelType w:val="hybridMultilevel"/>
    <w:tmpl w:val="B21A1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90D1CCE"/>
    <w:multiLevelType w:val="hybridMultilevel"/>
    <w:tmpl w:val="72860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9225B4F"/>
    <w:multiLevelType w:val="hybridMultilevel"/>
    <w:tmpl w:val="40042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7264671">
    <w:abstractNumId w:val="11"/>
  </w:num>
  <w:num w:numId="2" w16cid:durableId="151913477">
    <w:abstractNumId w:val="13"/>
  </w:num>
  <w:num w:numId="3" w16cid:durableId="348606052">
    <w:abstractNumId w:val="20"/>
  </w:num>
  <w:num w:numId="4" w16cid:durableId="1235355125">
    <w:abstractNumId w:val="25"/>
  </w:num>
  <w:num w:numId="5" w16cid:durableId="1472750514">
    <w:abstractNumId w:val="24"/>
  </w:num>
  <w:num w:numId="6" w16cid:durableId="614288394">
    <w:abstractNumId w:val="14"/>
  </w:num>
  <w:num w:numId="7" w16cid:durableId="245379576">
    <w:abstractNumId w:val="15"/>
  </w:num>
  <w:num w:numId="8" w16cid:durableId="172110863">
    <w:abstractNumId w:val="12"/>
  </w:num>
  <w:num w:numId="9" w16cid:durableId="58670212">
    <w:abstractNumId w:val="29"/>
  </w:num>
  <w:num w:numId="10" w16cid:durableId="534196612">
    <w:abstractNumId w:val="19"/>
  </w:num>
  <w:num w:numId="11" w16cid:durableId="827283642">
    <w:abstractNumId w:val="17"/>
  </w:num>
  <w:num w:numId="12" w16cid:durableId="1909533196">
    <w:abstractNumId w:val="28"/>
  </w:num>
  <w:num w:numId="13" w16cid:durableId="32389037">
    <w:abstractNumId w:val="18"/>
  </w:num>
  <w:num w:numId="14" w16cid:durableId="600066042">
    <w:abstractNumId w:val="23"/>
  </w:num>
  <w:num w:numId="15" w16cid:durableId="1676572075">
    <w:abstractNumId w:val="30"/>
  </w:num>
  <w:num w:numId="16" w16cid:durableId="1887064147">
    <w:abstractNumId w:val="22"/>
  </w:num>
  <w:num w:numId="17" w16cid:durableId="1194685873">
    <w:abstractNumId w:val="16"/>
  </w:num>
  <w:num w:numId="18" w16cid:durableId="1656180747">
    <w:abstractNumId w:val="26"/>
  </w:num>
  <w:num w:numId="19" w16cid:durableId="507600832">
    <w:abstractNumId w:val="27"/>
  </w:num>
  <w:num w:numId="20" w16cid:durableId="432896054">
    <w:abstractNumId w:val="0"/>
  </w:num>
  <w:num w:numId="21" w16cid:durableId="709962027">
    <w:abstractNumId w:val="1"/>
  </w:num>
  <w:num w:numId="22" w16cid:durableId="127600342">
    <w:abstractNumId w:val="2"/>
  </w:num>
  <w:num w:numId="23" w16cid:durableId="510798662">
    <w:abstractNumId w:val="3"/>
  </w:num>
  <w:num w:numId="24" w16cid:durableId="1460763758">
    <w:abstractNumId w:val="8"/>
  </w:num>
  <w:num w:numId="25" w16cid:durableId="32459187">
    <w:abstractNumId w:val="4"/>
  </w:num>
  <w:num w:numId="26" w16cid:durableId="606155784">
    <w:abstractNumId w:val="5"/>
  </w:num>
  <w:num w:numId="27" w16cid:durableId="1602303292">
    <w:abstractNumId w:val="6"/>
  </w:num>
  <w:num w:numId="28" w16cid:durableId="1497647213">
    <w:abstractNumId w:val="7"/>
  </w:num>
  <w:num w:numId="29" w16cid:durableId="167600216">
    <w:abstractNumId w:val="9"/>
  </w:num>
  <w:num w:numId="30" w16cid:durableId="568928648">
    <w:abstractNumId w:val="31"/>
  </w:num>
  <w:num w:numId="31" w16cid:durableId="1933200356">
    <w:abstractNumId w:val="21"/>
  </w:num>
  <w:num w:numId="32" w16cid:durableId="199086183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DE"/>
    <w:rsid w:val="00002668"/>
    <w:rsid w:val="00003743"/>
    <w:rsid w:val="00004AB2"/>
    <w:rsid w:val="000077FA"/>
    <w:rsid w:val="0001053B"/>
    <w:rsid w:val="00012782"/>
    <w:rsid w:val="00020DBD"/>
    <w:rsid w:val="00025A92"/>
    <w:rsid w:val="0003162D"/>
    <w:rsid w:val="00036AB8"/>
    <w:rsid w:val="00036F5E"/>
    <w:rsid w:val="000406F8"/>
    <w:rsid w:val="00043671"/>
    <w:rsid w:val="00043B32"/>
    <w:rsid w:val="000502F9"/>
    <w:rsid w:val="00050775"/>
    <w:rsid w:val="00054B74"/>
    <w:rsid w:val="00060282"/>
    <w:rsid w:val="00067456"/>
    <w:rsid w:val="00067CE9"/>
    <w:rsid w:val="00070812"/>
    <w:rsid w:val="000720AA"/>
    <w:rsid w:val="00074553"/>
    <w:rsid w:val="00080336"/>
    <w:rsid w:val="0008065C"/>
    <w:rsid w:val="00083CD1"/>
    <w:rsid w:val="00090EFF"/>
    <w:rsid w:val="00091FC5"/>
    <w:rsid w:val="00092229"/>
    <w:rsid w:val="00092E65"/>
    <w:rsid w:val="00095DA6"/>
    <w:rsid w:val="00095DC5"/>
    <w:rsid w:val="00096BF0"/>
    <w:rsid w:val="000A3F0D"/>
    <w:rsid w:val="000A4C01"/>
    <w:rsid w:val="000A6A39"/>
    <w:rsid w:val="000B0274"/>
    <w:rsid w:val="000B0BFE"/>
    <w:rsid w:val="000B4610"/>
    <w:rsid w:val="000B56FE"/>
    <w:rsid w:val="000B79D3"/>
    <w:rsid w:val="000C1722"/>
    <w:rsid w:val="000C1DD4"/>
    <w:rsid w:val="000C5B0F"/>
    <w:rsid w:val="000C7A69"/>
    <w:rsid w:val="000D017D"/>
    <w:rsid w:val="000D6405"/>
    <w:rsid w:val="000D6D1C"/>
    <w:rsid w:val="000E15DA"/>
    <w:rsid w:val="000E2F2E"/>
    <w:rsid w:val="000F0D77"/>
    <w:rsid w:val="000F29C7"/>
    <w:rsid w:val="000F6B39"/>
    <w:rsid w:val="0010673D"/>
    <w:rsid w:val="00106CF5"/>
    <w:rsid w:val="00115403"/>
    <w:rsid w:val="00115E61"/>
    <w:rsid w:val="00120FCB"/>
    <w:rsid w:val="00131E52"/>
    <w:rsid w:val="00140002"/>
    <w:rsid w:val="001426BA"/>
    <w:rsid w:val="00143A76"/>
    <w:rsid w:val="00145BE3"/>
    <w:rsid w:val="00146A66"/>
    <w:rsid w:val="001507C6"/>
    <w:rsid w:val="00157B31"/>
    <w:rsid w:val="00160453"/>
    <w:rsid w:val="001652A9"/>
    <w:rsid w:val="00174141"/>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42D7"/>
    <w:rsid w:val="001B7C8B"/>
    <w:rsid w:val="001C0EB3"/>
    <w:rsid w:val="001C0F51"/>
    <w:rsid w:val="001D0D87"/>
    <w:rsid w:val="001E1042"/>
    <w:rsid w:val="001E38B8"/>
    <w:rsid w:val="001E77C4"/>
    <w:rsid w:val="001F6D10"/>
    <w:rsid w:val="0020299C"/>
    <w:rsid w:val="002132AE"/>
    <w:rsid w:val="002166E4"/>
    <w:rsid w:val="002255F7"/>
    <w:rsid w:val="0023112B"/>
    <w:rsid w:val="0023231A"/>
    <w:rsid w:val="00237ADF"/>
    <w:rsid w:val="00245D81"/>
    <w:rsid w:val="00246EFA"/>
    <w:rsid w:val="0024767D"/>
    <w:rsid w:val="002503C3"/>
    <w:rsid w:val="00251167"/>
    <w:rsid w:val="002550A7"/>
    <w:rsid w:val="00255596"/>
    <w:rsid w:val="00255DCB"/>
    <w:rsid w:val="00261F43"/>
    <w:rsid w:val="00262327"/>
    <w:rsid w:val="002625FB"/>
    <w:rsid w:val="00263A63"/>
    <w:rsid w:val="00264387"/>
    <w:rsid w:val="00264A5A"/>
    <w:rsid w:val="002662B4"/>
    <w:rsid w:val="0026675D"/>
    <w:rsid w:val="002674D8"/>
    <w:rsid w:val="00267635"/>
    <w:rsid w:val="00277A59"/>
    <w:rsid w:val="0028150E"/>
    <w:rsid w:val="00281FD4"/>
    <w:rsid w:val="002851F2"/>
    <w:rsid w:val="00291EBD"/>
    <w:rsid w:val="00293CDE"/>
    <w:rsid w:val="002A5442"/>
    <w:rsid w:val="002C1CA0"/>
    <w:rsid w:val="002C529B"/>
    <w:rsid w:val="002C6AF0"/>
    <w:rsid w:val="002C6E07"/>
    <w:rsid w:val="002D0EB0"/>
    <w:rsid w:val="002D247E"/>
    <w:rsid w:val="002E195D"/>
    <w:rsid w:val="002E2DBA"/>
    <w:rsid w:val="002E3986"/>
    <w:rsid w:val="002E4B35"/>
    <w:rsid w:val="002E6A48"/>
    <w:rsid w:val="002E7082"/>
    <w:rsid w:val="002F3AE3"/>
    <w:rsid w:val="002F7E6F"/>
    <w:rsid w:val="0030786C"/>
    <w:rsid w:val="00311124"/>
    <w:rsid w:val="00312A62"/>
    <w:rsid w:val="00315F25"/>
    <w:rsid w:val="00316683"/>
    <w:rsid w:val="00336EF0"/>
    <w:rsid w:val="00341A36"/>
    <w:rsid w:val="00341BEE"/>
    <w:rsid w:val="00343286"/>
    <w:rsid w:val="0034680F"/>
    <w:rsid w:val="0035066E"/>
    <w:rsid w:val="00350BE1"/>
    <w:rsid w:val="003559EA"/>
    <w:rsid w:val="00357712"/>
    <w:rsid w:val="003657DB"/>
    <w:rsid w:val="0036588B"/>
    <w:rsid w:val="00370326"/>
    <w:rsid w:val="00380792"/>
    <w:rsid w:val="003808E4"/>
    <w:rsid w:val="0038248B"/>
    <w:rsid w:val="00382B2D"/>
    <w:rsid w:val="00386683"/>
    <w:rsid w:val="003873C6"/>
    <w:rsid w:val="00392002"/>
    <w:rsid w:val="00392A85"/>
    <w:rsid w:val="00396AFB"/>
    <w:rsid w:val="003A4E56"/>
    <w:rsid w:val="003A70CE"/>
    <w:rsid w:val="003B1E58"/>
    <w:rsid w:val="003C0E23"/>
    <w:rsid w:val="003C297A"/>
    <w:rsid w:val="003C540E"/>
    <w:rsid w:val="003C5F0C"/>
    <w:rsid w:val="003C7634"/>
    <w:rsid w:val="003D17F9"/>
    <w:rsid w:val="003D3806"/>
    <w:rsid w:val="003D437B"/>
    <w:rsid w:val="003D4829"/>
    <w:rsid w:val="003E197F"/>
    <w:rsid w:val="003E442B"/>
    <w:rsid w:val="003E6E73"/>
    <w:rsid w:val="003E76C8"/>
    <w:rsid w:val="003F19AF"/>
    <w:rsid w:val="003F3F0B"/>
    <w:rsid w:val="0040152C"/>
    <w:rsid w:val="00402CBA"/>
    <w:rsid w:val="00412E9D"/>
    <w:rsid w:val="00414952"/>
    <w:rsid w:val="00423210"/>
    <w:rsid w:val="00425504"/>
    <w:rsid w:val="0042727E"/>
    <w:rsid w:val="004305D6"/>
    <w:rsid w:val="004377EE"/>
    <w:rsid w:val="00440CC0"/>
    <w:rsid w:val="00440D73"/>
    <w:rsid w:val="004437F3"/>
    <w:rsid w:val="00447D31"/>
    <w:rsid w:val="00452849"/>
    <w:rsid w:val="00455560"/>
    <w:rsid w:val="00456385"/>
    <w:rsid w:val="00465AB0"/>
    <w:rsid w:val="00470AB8"/>
    <w:rsid w:val="00477E9B"/>
    <w:rsid w:val="00482ECA"/>
    <w:rsid w:val="004841C2"/>
    <w:rsid w:val="00485776"/>
    <w:rsid w:val="00485794"/>
    <w:rsid w:val="00485996"/>
    <w:rsid w:val="004867E2"/>
    <w:rsid w:val="00486826"/>
    <w:rsid w:val="0048784D"/>
    <w:rsid w:val="00493AA0"/>
    <w:rsid w:val="004A0670"/>
    <w:rsid w:val="004A299A"/>
    <w:rsid w:val="004A4851"/>
    <w:rsid w:val="004A5C81"/>
    <w:rsid w:val="004B0417"/>
    <w:rsid w:val="004B2999"/>
    <w:rsid w:val="004C029E"/>
    <w:rsid w:val="004C04EB"/>
    <w:rsid w:val="004C3664"/>
    <w:rsid w:val="004C4927"/>
    <w:rsid w:val="004C6833"/>
    <w:rsid w:val="004D448C"/>
    <w:rsid w:val="004E067A"/>
    <w:rsid w:val="004E179B"/>
    <w:rsid w:val="004E2389"/>
    <w:rsid w:val="004E50C2"/>
    <w:rsid w:val="004E58C1"/>
    <w:rsid w:val="004F412D"/>
    <w:rsid w:val="00505824"/>
    <w:rsid w:val="0051563D"/>
    <w:rsid w:val="005179C7"/>
    <w:rsid w:val="0052107C"/>
    <w:rsid w:val="005221B7"/>
    <w:rsid w:val="00530100"/>
    <w:rsid w:val="00536E0C"/>
    <w:rsid w:val="005408C7"/>
    <w:rsid w:val="005422E7"/>
    <w:rsid w:val="005437FD"/>
    <w:rsid w:val="00544A4E"/>
    <w:rsid w:val="0055205D"/>
    <w:rsid w:val="00553E33"/>
    <w:rsid w:val="00555C4C"/>
    <w:rsid w:val="00555D6E"/>
    <w:rsid w:val="00562F72"/>
    <w:rsid w:val="0056304B"/>
    <w:rsid w:val="00565356"/>
    <w:rsid w:val="00566B97"/>
    <w:rsid w:val="00570C6C"/>
    <w:rsid w:val="00573100"/>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5D06"/>
    <w:rsid w:val="005D62B5"/>
    <w:rsid w:val="005E2614"/>
    <w:rsid w:val="005E2695"/>
    <w:rsid w:val="005E7144"/>
    <w:rsid w:val="005F1E4A"/>
    <w:rsid w:val="00607B0B"/>
    <w:rsid w:val="00611870"/>
    <w:rsid w:val="00614E29"/>
    <w:rsid w:val="00616737"/>
    <w:rsid w:val="0062216A"/>
    <w:rsid w:val="0062531C"/>
    <w:rsid w:val="00625634"/>
    <w:rsid w:val="00625D2E"/>
    <w:rsid w:val="00625EC1"/>
    <w:rsid w:val="00626F7D"/>
    <w:rsid w:val="00630199"/>
    <w:rsid w:val="006317C9"/>
    <w:rsid w:val="00632475"/>
    <w:rsid w:val="00632C35"/>
    <w:rsid w:val="006340B0"/>
    <w:rsid w:val="00636395"/>
    <w:rsid w:val="00641773"/>
    <w:rsid w:val="00641CB0"/>
    <w:rsid w:val="0064239F"/>
    <w:rsid w:val="006456F1"/>
    <w:rsid w:val="006501AE"/>
    <w:rsid w:val="00651BD0"/>
    <w:rsid w:val="00653E73"/>
    <w:rsid w:val="00656A90"/>
    <w:rsid w:val="00657DD2"/>
    <w:rsid w:val="00662CE7"/>
    <w:rsid w:val="00664B6D"/>
    <w:rsid w:val="00664F67"/>
    <w:rsid w:val="006655E2"/>
    <w:rsid w:val="00670F54"/>
    <w:rsid w:val="006728F9"/>
    <w:rsid w:val="006746DA"/>
    <w:rsid w:val="00675A73"/>
    <w:rsid w:val="006765C3"/>
    <w:rsid w:val="006767BC"/>
    <w:rsid w:val="006803BA"/>
    <w:rsid w:val="00684FB9"/>
    <w:rsid w:val="00686BFF"/>
    <w:rsid w:val="006922F5"/>
    <w:rsid w:val="00694113"/>
    <w:rsid w:val="006947D9"/>
    <w:rsid w:val="006A16DD"/>
    <w:rsid w:val="006A2587"/>
    <w:rsid w:val="006A641D"/>
    <w:rsid w:val="006A7DFC"/>
    <w:rsid w:val="006B2EBD"/>
    <w:rsid w:val="006B3CFC"/>
    <w:rsid w:val="006B7092"/>
    <w:rsid w:val="006C0CD8"/>
    <w:rsid w:val="006C45E7"/>
    <w:rsid w:val="006C5AEE"/>
    <w:rsid w:val="006C679A"/>
    <w:rsid w:val="006D09FE"/>
    <w:rsid w:val="006D0C40"/>
    <w:rsid w:val="006D15C1"/>
    <w:rsid w:val="006D2783"/>
    <w:rsid w:val="006D4CD4"/>
    <w:rsid w:val="006D6D90"/>
    <w:rsid w:val="006D732F"/>
    <w:rsid w:val="006E110B"/>
    <w:rsid w:val="006E27DA"/>
    <w:rsid w:val="006E4597"/>
    <w:rsid w:val="006E688D"/>
    <w:rsid w:val="006F1377"/>
    <w:rsid w:val="006F1432"/>
    <w:rsid w:val="006F618A"/>
    <w:rsid w:val="006F7964"/>
    <w:rsid w:val="007028EC"/>
    <w:rsid w:val="007035D8"/>
    <w:rsid w:val="0070703E"/>
    <w:rsid w:val="00707D22"/>
    <w:rsid w:val="007103BE"/>
    <w:rsid w:val="00711E21"/>
    <w:rsid w:val="00712832"/>
    <w:rsid w:val="00713F05"/>
    <w:rsid w:val="0071482E"/>
    <w:rsid w:val="00715168"/>
    <w:rsid w:val="0071637F"/>
    <w:rsid w:val="00716597"/>
    <w:rsid w:val="00716FED"/>
    <w:rsid w:val="00722691"/>
    <w:rsid w:val="007238E8"/>
    <w:rsid w:val="0072413F"/>
    <w:rsid w:val="00725B79"/>
    <w:rsid w:val="00725FB9"/>
    <w:rsid w:val="00730020"/>
    <w:rsid w:val="007333AD"/>
    <w:rsid w:val="007360BF"/>
    <w:rsid w:val="00737D4D"/>
    <w:rsid w:val="007406E6"/>
    <w:rsid w:val="00746C3B"/>
    <w:rsid w:val="00746CCD"/>
    <w:rsid w:val="00747CE1"/>
    <w:rsid w:val="007517A6"/>
    <w:rsid w:val="007545C7"/>
    <w:rsid w:val="0076005C"/>
    <w:rsid w:val="0076111D"/>
    <w:rsid w:val="007635C1"/>
    <w:rsid w:val="00766B42"/>
    <w:rsid w:val="0076731D"/>
    <w:rsid w:val="00767650"/>
    <w:rsid w:val="00767A90"/>
    <w:rsid w:val="00770588"/>
    <w:rsid w:val="00770EDE"/>
    <w:rsid w:val="0077450C"/>
    <w:rsid w:val="0078070C"/>
    <w:rsid w:val="00784541"/>
    <w:rsid w:val="00787790"/>
    <w:rsid w:val="00794DF2"/>
    <w:rsid w:val="007968CC"/>
    <w:rsid w:val="00796FB7"/>
    <w:rsid w:val="0079708B"/>
    <w:rsid w:val="007A4FD1"/>
    <w:rsid w:val="007B04A9"/>
    <w:rsid w:val="007B16AC"/>
    <w:rsid w:val="007B1D5C"/>
    <w:rsid w:val="007B5D05"/>
    <w:rsid w:val="007B5D1E"/>
    <w:rsid w:val="007B7EDF"/>
    <w:rsid w:val="007C2217"/>
    <w:rsid w:val="007C2E29"/>
    <w:rsid w:val="007C471C"/>
    <w:rsid w:val="007C52D3"/>
    <w:rsid w:val="007D4258"/>
    <w:rsid w:val="007E000D"/>
    <w:rsid w:val="007E175B"/>
    <w:rsid w:val="007E3F8A"/>
    <w:rsid w:val="007E5B77"/>
    <w:rsid w:val="007E716E"/>
    <w:rsid w:val="007F3645"/>
    <w:rsid w:val="007F58DD"/>
    <w:rsid w:val="007F5917"/>
    <w:rsid w:val="007F6791"/>
    <w:rsid w:val="00801F36"/>
    <w:rsid w:val="00802131"/>
    <w:rsid w:val="00805E44"/>
    <w:rsid w:val="00811C26"/>
    <w:rsid w:val="00812A44"/>
    <w:rsid w:val="00820059"/>
    <w:rsid w:val="008264EB"/>
    <w:rsid w:val="00827924"/>
    <w:rsid w:val="00830756"/>
    <w:rsid w:val="00837A90"/>
    <w:rsid w:val="0084624A"/>
    <w:rsid w:val="00855A49"/>
    <w:rsid w:val="00856DF5"/>
    <w:rsid w:val="00857E76"/>
    <w:rsid w:val="0086059A"/>
    <w:rsid w:val="008634B1"/>
    <w:rsid w:val="00865932"/>
    <w:rsid w:val="00872059"/>
    <w:rsid w:val="00873673"/>
    <w:rsid w:val="00877CB6"/>
    <w:rsid w:val="008803A1"/>
    <w:rsid w:val="0088122A"/>
    <w:rsid w:val="008839CD"/>
    <w:rsid w:val="00892AC8"/>
    <w:rsid w:val="00892F78"/>
    <w:rsid w:val="00894E89"/>
    <w:rsid w:val="00897E5A"/>
    <w:rsid w:val="008A07AF"/>
    <w:rsid w:val="008A4580"/>
    <w:rsid w:val="008A4AC8"/>
    <w:rsid w:val="008A4E8B"/>
    <w:rsid w:val="008A57F6"/>
    <w:rsid w:val="008A58F9"/>
    <w:rsid w:val="008B014E"/>
    <w:rsid w:val="008B3895"/>
    <w:rsid w:val="008C1853"/>
    <w:rsid w:val="008D09DE"/>
    <w:rsid w:val="008D5AFD"/>
    <w:rsid w:val="008D7939"/>
    <w:rsid w:val="008E3658"/>
    <w:rsid w:val="008E59EB"/>
    <w:rsid w:val="008E5D6A"/>
    <w:rsid w:val="008F26C0"/>
    <w:rsid w:val="00901462"/>
    <w:rsid w:val="00901D6C"/>
    <w:rsid w:val="00902A76"/>
    <w:rsid w:val="00904474"/>
    <w:rsid w:val="00904D1C"/>
    <w:rsid w:val="00910C03"/>
    <w:rsid w:val="0091137C"/>
    <w:rsid w:val="0091384C"/>
    <w:rsid w:val="0091791A"/>
    <w:rsid w:val="009213F3"/>
    <w:rsid w:val="0092204C"/>
    <w:rsid w:val="00922DEE"/>
    <w:rsid w:val="009238AA"/>
    <w:rsid w:val="009244B8"/>
    <w:rsid w:val="00925748"/>
    <w:rsid w:val="00932407"/>
    <w:rsid w:val="00933B21"/>
    <w:rsid w:val="00933EC2"/>
    <w:rsid w:val="009374DD"/>
    <w:rsid w:val="00941048"/>
    <w:rsid w:val="009424A5"/>
    <w:rsid w:val="00950089"/>
    <w:rsid w:val="0095539D"/>
    <w:rsid w:val="00957E88"/>
    <w:rsid w:val="009602C4"/>
    <w:rsid w:val="00960E7A"/>
    <w:rsid w:val="00961B39"/>
    <w:rsid w:val="00961FBE"/>
    <w:rsid w:val="00964277"/>
    <w:rsid w:val="0097582E"/>
    <w:rsid w:val="00977D26"/>
    <w:rsid w:val="00977E26"/>
    <w:rsid w:val="009805EC"/>
    <w:rsid w:val="0098207C"/>
    <w:rsid w:val="00984227"/>
    <w:rsid w:val="009904EA"/>
    <w:rsid w:val="00991AF5"/>
    <w:rsid w:val="0099343F"/>
    <w:rsid w:val="00995094"/>
    <w:rsid w:val="009A007B"/>
    <w:rsid w:val="009A0425"/>
    <w:rsid w:val="009A1037"/>
    <w:rsid w:val="009A263C"/>
    <w:rsid w:val="009B053D"/>
    <w:rsid w:val="009B3A3F"/>
    <w:rsid w:val="009B3E5D"/>
    <w:rsid w:val="009B64E3"/>
    <w:rsid w:val="009B7080"/>
    <w:rsid w:val="009C5964"/>
    <w:rsid w:val="009C672E"/>
    <w:rsid w:val="009C77A3"/>
    <w:rsid w:val="009D0B90"/>
    <w:rsid w:val="009D1A6C"/>
    <w:rsid w:val="009D3827"/>
    <w:rsid w:val="009D6852"/>
    <w:rsid w:val="009E0725"/>
    <w:rsid w:val="009E0D48"/>
    <w:rsid w:val="009E1F38"/>
    <w:rsid w:val="009E5D18"/>
    <w:rsid w:val="009E6B78"/>
    <w:rsid w:val="009E6D37"/>
    <w:rsid w:val="009F1EC9"/>
    <w:rsid w:val="009F3217"/>
    <w:rsid w:val="009F33F8"/>
    <w:rsid w:val="009F430A"/>
    <w:rsid w:val="009F4ACF"/>
    <w:rsid w:val="009F5557"/>
    <w:rsid w:val="00A00138"/>
    <w:rsid w:val="00A02BFF"/>
    <w:rsid w:val="00A0554C"/>
    <w:rsid w:val="00A1015B"/>
    <w:rsid w:val="00A139AB"/>
    <w:rsid w:val="00A15082"/>
    <w:rsid w:val="00A16AEE"/>
    <w:rsid w:val="00A2167C"/>
    <w:rsid w:val="00A229A5"/>
    <w:rsid w:val="00A25AF1"/>
    <w:rsid w:val="00A369E8"/>
    <w:rsid w:val="00A4199A"/>
    <w:rsid w:val="00A44515"/>
    <w:rsid w:val="00A4512D"/>
    <w:rsid w:val="00A541E1"/>
    <w:rsid w:val="00A54775"/>
    <w:rsid w:val="00A5502C"/>
    <w:rsid w:val="00A5694A"/>
    <w:rsid w:val="00A65795"/>
    <w:rsid w:val="00A6672E"/>
    <w:rsid w:val="00A705AF"/>
    <w:rsid w:val="00A7126D"/>
    <w:rsid w:val="00A73C2F"/>
    <w:rsid w:val="00A75B58"/>
    <w:rsid w:val="00A77349"/>
    <w:rsid w:val="00A81D72"/>
    <w:rsid w:val="00A931E2"/>
    <w:rsid w:val="00A93A18"/>
    <w:rsid w:val="00A96274"/>
    <w:rsid w:val="00A964DB"/>
    <w:rsid w:val="00A96DED"/>
    <w:rsid w:val="00AA0055"/>
    <w:rsid w:val="00AA0A90"/>
    <w:rsid w:val="00AA3A3E"/>
    <w:rsid w:val="00AA603A"/>
    <w:rsid w:val="00AA6DC2"/>
    <w:rsid w:val="00AA7B58"/>
    <w:rsid w:val="00AB05F5"/>
    <w:rsid w:val="00AB0A6E"/>
    <w:rsid w:val="00AB21C3"/>
    <w:rsid w:val="00AB40AB"/>
    <w:rsid w:val="00AB64E5"/>
    <w:rsid w:val="00AB67C9"/>
    <w:rsid w:val="00AB6E76"/>
    <w:rsid w:val="00AB6ED9"/>
    <w:rsid w:val="00AB6F9B"/>
    <w:rsid w:val="00AC6331"/>
    <w:rsid w:val="00AC637F"/>
    <w:rsid w:val="00AD01B4"/>
    <w:rsid w:val="00AD055C"/>
    <w:rsid w:val="00AD52A0"/>
    <w:rsid w:val="00AD5717"/>
    <w:rsid w:val="00AE05BB"/>
    <w:rsid w:val="00AE0BA6"/>
    <w:rsid w:val="00AE3267"/>
    <w:rsid w:val="00AE5BCB"/>
    <w:rsid w:val="00AF6154"/>
    <w:rsid w:val="00B00182"/>
    <w:rsid w:val="00B004EB"/>
    <w:rsid w:val="00B07615"/>
    <w:rsid w:val="00B163F6"/>
    <w:rsid w:val="00B17FDF"/>
    <w:rsid w:val="00B20701"/>
    <w:rsid w:val="00B213FD"/>
    <w:rsid w:val="00B2338E"/>
    <w:rsid w:val="00B24DF4"/>
    <w:rsid w:val="00B2665E"/>
    <w:rsid w:val="00B27998"/>
    <w:rsid w:val="00B30753"/>
    <w:rsid w:val="00B328AF"/>
    <w:rsid w:val="00B32DD1"/>
    <w:rsid w:val="00B358B7"/>
    <w:rsid w:val="00B37148"/>
    <w:rsid w:val="00B3720C"/>
    <w:rsid w:val="00B37974"/>
    <w:rsid w:val="00B41409"/>
    <w:rsid w:val="00B4251C"/>
    <w:rsid w:val="00B42851"/>
    <w:rsid w:val="00B42EA6"/>
    <w:rsid w:val="00B456E0"/>
    <w:rsid w:val="00B459E9"/>
    <w:rsid w:val="00B47076"/>
    <w:rsid w:val="00B5113E"/>
    <w:rsid w:val="00B56B37"/>
    <w:rsid w:val="00B57759"/>
    <w:rsid w:val="00B60D44"/>
    <w:rsid w:val="00B60D86"/>
    <w:rsid w:val="00B904EC"/>
    <w:rsid w:val="00B91269"/>
    <w:rsid w:val="00B91454"/>
    <w:rsid w:val="00B929D9"/>
    <w:rsid w:val="00B93CD5"/>
    <w:rsid w:val="00B9432A"/>
    <w:rsid w:val="00B95A67"/>
    <w:rsid w:val="00B96A84"/>
    <w:rsid w:val="00BA0015"/>
    <w:rsid w:val="00BA2A5D"/>
    <w:rsid w:val="00BA2DE8"/>
    <w:rsid w:val="00BA4AEE"/>
    <w:rsid w:val="00BB2D0A"/>
    <w:rsid w:val="00BC07E4"/>
    <w:rsid w:val="00BC4293"/>
    <w:rsid w:val="00BC4D09"/>
    <w:rsid w:val="00BD0B57"/>
    <w:rsid w:val="00BD5F76"/>
    <w:rsid w:val="00BD649D"/>
    <w:rsid w:val="00BD741B"/>
    <w:rsid w:val="00BE0DE7"/>
    <w:rsid w:val="00BE6832"/>
    <w:rsid w:val="00BF2561"/>
    <w:rsid w:val="00BF560C"/>
    <w:rsid w:val="00BF5905"/>
    <w:rsid w:val="00BF6152"/>
    <w:rsid w:val="00C0181F"/>
    <w:rsid w:val="00C025A9"/>
    <w:rsid w:val="00C06314"/>
    <w:rsid w:val="00C10135"/>
    <w:rsid w:val="00C123DF"/>
    <w:rsid w:val="00C13A69"/>
    <w:rsid w:val="00C206EE"/>
    <w:rsid w:val="00C23604"/>
    <w:rsid w:val="00C261EA"/>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618D7"/>
    <w:rsid w:val="00C624CC"/>
    <w:rsid w:val="00C6302F"/>
    <w:rsid w:val="00C63431"/>
    <w:rsid w:val="00C63C14"/>
    <w:rsid w:val="00C64BBB"/>
    <w:rsid w:val="00C64D00"/>
    <w:rsid w:val="00C74935"/>
    <w:rsid w:val="00C74D11"/>
    <w:rsid w:val="00C7543A"/>
    <w:rsid w:val="00C84B06"/>
    <w:rsid w:val="00C85E91"/>
    <w:rsid w:val="00C911AD"/>
    <w:rsid w:val="00C929AD"/>
    <w:rsid w:val="00C93942"/>
    <w:rsid w:val="00CA04C6"/>
    <w:rsid w:val="00CB0684"/>
    <w:rsid w:val="00CB2190"/>
    <w:rsid w:val="00CB5999"/>
    <w:rsid w:val="00CB5B1A"/>
    <w:rsid w:val="00CB733F"/>
    <w:rsid w:val="00CC36EF"/>
    <w:rsid w:val="00CC4B4F"/>
    <w:rsid w:val="00CC4B8E"/>
    <w:rsid w:val="00CC697B"/>
    <w:rsid w:val="00CC7207"/>
    <w:rsid w:val="00CD1DAE"/>
    <w:rsid w:val="00CE16CC"/>
    <w:rsid w:val="00CE1712"/>
    <w:rsid w:val="00CE3387"/>
    <w:rsid w:val="00CE3A39"/>
    <w:rsid w:val="00CE7355"/>
    <w:rsid w:val="00CF34D6"/>
    <w:rsid w:val="00CF4118"/>
    <w:rsid w:val="00CF419C"/>
    <w:rsid w:val="00CF702F"/>
    <w:rsid w:val="00D05CB2"/>
    <w:rsid w:val="00D07C0D"/>
    <w:rsid w:val="00D07FE9"/>
    <w:rsid w:val="00D10D90"/>
    <w:rsid w:val="00D116AD"/>
    <w:rsid w:val="00D13C42"/>
    <w:rsid w:val="00D16B25"/>
    <w:rsid w:val="00D20AD1"/>
    <w:rsid w:val="00D24922"/>
    <w:rsid w:val="00D301EA"/>
    <w:rsid w:val="00D31DC2"/>
    <w:rsid w:val="00D41AE5"/>
    <w:rsid w:val="00D429E0"/>
    <w:rsid w:val="00D42B9A"/>
    <w:rsid w:val="00D443A1"/>
    <w:rsid w:val="00D446AF"/>
    <w:rsid w:val="00D469E4"/>
    <w:rsid w:val="00D4728F"/>
    <w:rsid w:val="00D50BCB"/>
    <w:rsid w:val="00D50F47"/>
    <w:rsid w:val="00D52315"/>
    <w:rsid w:val="00D5354B"/>
    <w:rsid w:val="00D563D0"/>
    <w:rsid w:val="00D738DB"/>
    <w:rsid w:val="00D73FE2"/>
    <w:rsid w:val="00D7465B"/>
    <w:rsid w:val="00D74BD7"/>
    <w:rsid w:val="00D77741"/>
    <w:rsid w:val="00D81026"/>
    <w:rsid w:val="00D812BD"/>
    <w:rsid w:val="00D822C6"/>
    <w:rsid w:val="00D84622"/>
    <w:rsid w:val="00D87CBD"/>
    <w:rsid w:val="00D9306A"/>
    <w:rsid w:val="00D944BF"/>
    <w:rsid w:val="00D96327"/>
    <w:rsid w:val="00D975CE"/>
    <w:rsid w:val="00DA7986"/>
    <w:rsid w:val="00DB07A4"/>
    <w:rsid w:val="00DB5454"/>
    <w:rsid w:val="00DB5911"/>
    <w:rsid w:val="00DC0477"/>
    <w:rsid w:val="00DC0D24"/>
    <w:rsid w:val="00DD047B"/>
    <w:rsid w:val="00DD5D99"/>
    <w:rsid w:val="00DD6F15"/>
    <w:rsid w:val="00DE3C4E"/>
    <w:rsid w:val="00DE5D9E"/>
    <w:rsid w:val="00DE75D8"/>
    <w:rsid w:val="00DF0B12"/>
    <w:rsid w:val="00DF3751"/>
    <w:rsid w:val="00DF515C"/>
    <w:rsid w:val="00DF5695"/>
    <w:rsid w:val="00E015E6"/>
    <w:rsid w:val="00E05B44"/>
    <w:rsid w:val="00E05BC3"/>
    <w:rsid w:val="00E066B4"/>
    <w:rsid w:val="00E077EF"/>
    <w:rsid w:val="00E13C5C"/>
    <w:rsid w:val="00E1606F"/>
    <w:rsid w:val="00E209BF"/>
    <w:rsid w:val="00E2144C"/>
    <w:rsid w:val="00E236C6"/>
    <w:rsid w:val="00E246E6"/>
    <w:rsid w:val="00E26723"/>
    <w:rsid w:val="00E3115C"/>
    <w:rsid w:val="00E34F33"/>
    <w:rsid w:val="00E35CBB"/>
    <w:rsid w:val="00E35DC5"/>
    <w:rsid w:val="00E40F95"/>
    <w:rsid w:val="00E41CF8"/>
    <w:rsid w:val="00E4269D"/>
    <w:rsid w:val="00E4312B"/>
    <w:rsid w:val="00E5222C"/>
    <w:rsid w:val="00E57576"/>
    <w:rsid w:val="00E604B3"/>
    <w:rsid w:val="00E60650"/>
    <w:rsid w:val="00E60EE1"/>
    <w:rsid w:val="00E6109E"/>
    <w:rsid w:val="00E708F6"/>
    <w:rsid w:val="00E716B4"/>
    <w:rsid w:val="00E7210E"/>
    <w:rsid w:val="00E86B67"/>
    <w:rsid w:val="00E9022B"/>
    <w:rsid w:val="00E9314D"/>
    <w:rsid w:val="00E95DFC"/>
    <w:rsid w:val="00EA33D5"/>
    <w:rsid w:val="00EA5C37"/>
    <w:rsid w:val="00EA5E02"/>
    <w:rsid w:val="00EA5FD0"/>
    <w:rsid w:val="00EA63B1"/>
    <w:rsid w:val="00EB0020"/>
    <w:rsid w:val="00EB3985"/>
    <w:rsid w:val="00EC7D3F"/>
    <w:rsid w:val="00ED0468"/>
    <w:rsid w:val="00ED0DD3"/>
    <w:rsid w:val="00ED648B"/>
    <w:rsid w:val="00EE16DD"/>
    <w:rsid w:val="00EE2AE5"/>
    <w:rsid w:val="00EE31B0"/>
    <w:rsid w:val="00EE356F"/>
    <w:rsid w:val="00EE397E"/>
    <w:rsid w:val="00EE552C"/>
    <w:rsid w:val="00EE65B1"/>
    <w:rsid w:val="00EF1C55"/>
    <w:rsid w:val="00EF1C95"/>
    <w:rsid w:val="00EF23C0"/>
    <w:rsid w:val="00EF2774"/>
    <w:rsid w:val="00EF4059"/>
    <w:rsid w:val="00EF5586"/>
    <w:rsid w:val="00F00076"/>
    <w:rsid w:val="00F00403"/>
    <w:rsid w:val="00F067A6"/>
    <w:rsid w:val="00F078B7"/>
    <w:rsid w:val="00F07B77"/>
    <w:rsid w:val="00F100D6"/>
    <w:rsid w:val="00F1278D"/>
    <w:rsid w:val="00F14BFD"/>
    <w:rsid w:val="00F17566"/>
    <w:rsid w:val="00F20F84"/>
    <w:rsid w:val="00F238F2"/>
    <w:rsid w:val="00F332B3"/>
    <w:rsid w:val="00F34D63"/>
    <w:rsid w:val="00F35927"/>
    <w:rsid w:val="00F35F7A"/>
    <w:rsid w:val="00F41C35"/>
    <w:rsid w:val="00F4438C"/>
    <w:rsid w:val="00F46ED7"/>
    <w:rsid w:val="00F549D7"/>
    <w:rsid w:val="00F556DB"/>
    <w:rsid w:val="00F560D5"/>
    <w:rsid w:val="00F5623F"/>
    <w:rsid w:val="00F56325"/>
    <w:rsid w:val="00F73D95"/>
    <w:rsid w:val="00F7441E"/>
    <w:rsid w:val="00F77044"/>
    <w:rsid w:val="00F8015E"/>
    <w:rsid w:val="00F83598"/>
    <w:rsid w:val="00F845DE"/>
    <w:rsid w:val="00F85766"/>
    <w:rsid w:val="00F866FA"/>
    <w:rsid w:val="00F87AD4"/>
    <w:rsid w:val="00F91869"/>
    <w:rsid w:val="00F91CCA"/>
    <w:rsid w:val="00F931D3"/>
    <w:rsid w:val="00F9524F"/>
    <w:rsid w:val="00F95769"/>
    <w:rsid w:val="00FA289A"/>
    <w:rsid w:val="00FA3C5E"/>
    <w:rsid w:val="00FA4197"/>
    <w:rsid w:val="00FA58B0"/>
    <w:rsid w:val="00FB375B"/>
    <w:rsid w:val="00FB6425"/>
    <w:rsid w:val="00FB722E"/>
    <w:rsid w:val="00FC7F5D"/>
    <w:rsid w:val="00FD1BC7"/>
    <w:rsid w:val="00FD1D84"/>
    <w:rsid w:val="00FD4E9C"/>
    <w:rsid w:val="00FD50A4"/>
    <w:rsid w:val="00FD7172"/>
    <w:rsid w:val="00FD744A"/>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F20D3"/>
  <w15:docId w15:val="{3AAC1AC7-207D-41B1-9AA8-FD28DA7C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99"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6302F"/>
    <w:pPr>
      <w:spacing w:before="120" w:after="120"/>
    </w:pPr>
  </w:style>
  <w:style w:type="paragraph" w:styleId="Heading1">
    <w:name w:val="heading 1"/>
    <w:basedOn w:val="Normal"/>
    <w:next w:val="Normal"/>
    <w:qFormat/>
    <w:rsid w:val="008C1853"/>
    <w:pPr>
      <w:spacing w:before="480" w:after="240"/>
      <w:outlineLvl w:val="0"/>
    </w:pPr>
    <w:rPr>
      <w:rFonts w:cs="Arial"/>
      <w:b/>
      <w:bCs/>
      <w:color w:val="005370" w:themeColor="text2"/>
      <w:kern w:val="28"/>
      <w:sz w:val="40"/>
      <w:szCs w:val="32"/>
    </w:rPr>
  </w:style>
  <w:style w:type="paragraph" w:styleId="Heading2">
    <w:name w:val="heading 2"/>
    <w:basedOn w:val="Heading1"/>
    <w:next w:val="Normal"/>
    <w:link w:val="Heading2Char"/>
    <w:qFormat/>
    <w:rsid w:val="002A5442"/>
    <w:pPr>
      <w:spacing w:before="360"/>
      <w:outlineLvl w:val="1"/>
    </w:pPr>
    <w:rPr>
      <w:bCs w:val="0"/>
      <w:iCs/>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2A5442"/>
    <w:pPr>
      <w:keepNext/>
      <w:spacing w:before="240"/>
      <w:outlineLvl w:val="4"/>
    </w:pPr>
    <w:rPr>
      <w:b/>
      <w:bCs/>
      <w:iCs/>
      <w:color w:val="000000" w:themeColor="text1"/>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D975CE"/>
    <w:pPr>
      <w:spacing w:before="480" w:after="24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99"/>
    <w:rsid w:val="00D975CE"/>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036AB8"/>
    <w:pPr>
      <w:pBdr>
        <w:left w:val="single" w:sz="48" w:space="8" w:color="1178A0" w:themeColor="background2"/>
      </w:pBdr>
      <w:spacing w:before="180" w:after="120"/>
      <w:ind w:left="284"/>
    </w:pPr>
    <w:rPr>
      <w:caps/>
      <w:sz w:val="22"/>
      <w:lang w:val="en-GB"/>
    </w:rPr>
  </w:style>
  <w:style w:type="paragraph" w:styleId="TOC1">
    <w:name w:val="toc 1"/>
    <w:basedOn w:val="Normal"/>
    <w:next w:val="Normal"/>
    <w:autoRedefine/>
    <w:uiPriority w:val="39"/>
    <w:qFormat/>
    <w:rsid w:val="007A4FD1"/>
    <w:pPr>
      <w:tabs>
        <w:tab w:val="left" w:leader="dot" w:pos="9015"/>
      </w:tabs>
    </w:pPr>
    <w:rPr>
      <w:rFonts w:cstheme="minorHAnsi"/>
      <w:b/>
      <w:bCs/>
      <w:color w:val="005370" w:themeColor="text2"/>
      <w:sz w:val="24"/>
      <w:szCs w:val="20"/>
    </w:rPr>
  </w:style>
  <w:style w:type="paragraph" w:styleId="TOC2">
    <w:name w:val="toc 2"/>
    <w:basedOn w:val="Normal"/>
    <w:next w:val="Normal"/>
    <w:autoRedefine/>
    <w:uiPriority w:val="39"/>
    <w:qFormat/>
    <w:rsid w:val="004A299A"/>
    <w:pPr>
      <w:tabs>
        <w:tab w:val="right" w:leader="dot" w:pos="9015"/>
      </w:tabs>
      <w:ind w:left="221"/>
    </w:pPr>
    <w:rPr>
      <w:rFonts w:cstheme="minorHAnsi"/>
      <w:noProof/>
      <w:szCs w:val="20"/>
    </w:rPr>
  </w:style>
  <w:style w:type="paragraph" w:styleId="TOC3">
    <w:name w:val="toc 3"/>
    <w:basedOn w:val="Normal"/>
    <w:next w:val="Normal"/>
    <w:autoRedefine/>
    <w:uiPriority w:val="39"/>
    <w:qFormat/>
    <w:rsid w:val="007A4FD1"/>
    <w:pPr>
      <w:tabs>
        <w:tab w:val="right" w:leader="dot" w:pos="9015"/>
      </w:tabs>
      <w:spacing w:after="0"/>
      <w:ind w:left="442"/>
    </w:pPr>
    <w:rPr>
      <w:rFonts w:cs="Arial (Body)"/>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iPriority w:val="99"/>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555D6E"/>
  </w:style>
  <w:style w:type="character" w:styleId="Hyperlink">
    <w:name w:val="Hyperlink"/>
    <w:basedOn w:val="DefaultParagraphFont"/>
    <w:uiPriority w:val="99"/>
    <w:rsid w:val="009374DD"/>
    <w:rPr>
      <w:color w:val="005370" w:themeColor="text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6E110B"/>
    <w:pPr>
      <w:spacing w:before="480" w:after="0"/>
    </w:pPr>
    <w:rPr>
      <w:color w:val="005370" w:themeColor="text2"/>
      <w:sz w:val="32"/>
      <w:szCs w:val="40"/>
    </w:rPr>
  </w:style>
  <w:style w:type="character" w:customStyle="1" w:styleId="PublicationDateChar">
    <w:name w:val="Publication Date Char"/>
    <w:basedOn w:val="DefaultParagraphFont"/>
    <w:link w:val="PublicationDate"/>
    <w:uiPriority w:val="99"/>
    <w:rsid w:val="006E110B"/>
    <w:rPr>
      <w:color w:val="005370" w:themeColor="text2"/>
      <w:sz w:val="32"/>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036AB8"/>
    <w:pPr>
      <w:spacing w:before="120" w:after="60"/>
    </w:p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036AB8"/>
    <w:pPr>
      <w:pBdr>
        <w:left w:val="single" w:sz="48" w:space="8" w:color="1178A0" w:themeColor="background2"/>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Heading1a">
    <w:name w:val="Heading 1a"/>
    <w:basedOn w:val="Heading1"/>
    <w:next w:val="Normal"/>
    <w:rsid w:val="008C1853"/>
    <w:pPr>
      <w:spacing w:before="0" w:after="480"/>
      <w:outlineLvl w:val="9"/>
    </w:pPr>
    <w:rPr>
      <w:rFonts w:ascii="Arial" w:hAnsi="Arial"/>
      <w:color w:val="0B6080"/>
      <w:kern w:val="32"/>
      <w:sz w:val="44"/>
    </w:rPr>
  </w:style>
  <w:style w:type="paragraph" w:customStyle="1" w:styleId="ImprintText">
    <w:name w:val="ImprintText"/>
    <w:basedOn w:val="Normal"/>
    <w:rsid w:val="000F6B39"/>
    <w:pPr>
      <w:spacing w:before="0"/>
    </w:pPr>
    <w:rPr>
      <w:rFonts w:ascii="Arial" w:hAnsi="Arial"/>
      <w:color w:val="000000"/>
      <w:szCs w:val="20"/>
    </w:rPr>
  </w:style>
  <w:style w:type="character" w:customStyle="1" w:styleId="DraftingNotesChar">
    <w:name w:val="DraftingNotesChar"/>
    <w:basedOn w:val="DefaultParagraphFont"/>
    <w:uiPriority w:val="1"/>
    <w:rsid w:val="000F6B39"/>
    <w:rPr>
      <w:rFonts w:ascii="Arial" w:hAnsi="Arial"/>
      <w:noProof/>
      <w:color w:val="FF40FF"/>
      <w:sz w:val="22"/>
    </w:rPr>
  </w:style>
  <w:style w:type="paragraph" w:customStyle="1" w:styleId="DraftingNotes">
    <w:name w:val="DraftingNotes"/>
    <w:basedOn w:val="Normal"/>
    <w:rsid w:val="008C1853"/>
    <w:pPr>
      <w:spacing w:before="0" w:after="240"/>
    </w:pPr>
    <w:rPr>
      <w:rFonts w:ascii="Arial" w:hAnsi="Arial"/>
      <w:b/>
      <w:color w:val="FF40FF"/>
      <w:szCs w:val="20"/>
    </w:rPr>
  </w:style>
  <w:style w:type="paragraph" w:customStyle="1" w:styleId="Backpagelogoholder">
    <w:name w:val="Back page logo holder"/>
    <w:basedOn w:val="Normal"/>
    <w:qFormat/>
    <w:rsid w:val="000E15DA"/>
    <w:pPr>
      <w:keepLines/>
      <w:spacing w:before="10920" w:after="240"/>
      <w:ind w:hanging="142"/>
    </w:pPr>
    <w:rPr>
      <w:rFonts w:eastAsiaTheme="majorEastAsia"/>
      <w:noProof/>
    </w:rPr>
  </w:style>
  <w:style w:type="character" w:styleId="LineNumber">
    <w:name w:val="line number"/>
    <w:basedOn w:val="DefaultParagraphFont"/>
    <w:uiPriority w:val="98"/>
    <w:semiHidden/>
    <w:unhideWhenUsed/>
    <w:locked/>
    <w:rsid w:val="006C45E7"/>
  </w:style>
  <w:style w:type="paragraph" w:customStyle="1" w:styleId="SandQwebaddress">
    <w:name w:val="S and Q web address"/>
    <w:basedOn w:val="Normal"/>
    <w:qFormat/>
    <w:rsid w:val="00262327"/>
    <w:pPr>
      <w:spacing w:before="480" w:after="60"/>
    </w:pPr>
  </w:style>
  <w:style w:type="character" w:customStyle="1" w:styleId="Heading2Char">
    <w:name w:val="Heading 2 Char"/>
    <w:basedOn w:val="DefaultParagraphFont"/>
    <w:link w:val="Heading2"/>
    <w:rsid w:val="00616737"/>
    <w:rPr>
      <w:rFonts w:cs="Arial"/>
      <w:b/>
      <w:iCs/>
      <w:color w:val="005370" w:themeColor="text2"/>
      <w:kern w:val="28"/>
      <w:sz w:val="32"/>
      <w:szCs w:val="28"/>
    </w:rPr>
  </w:style>
  <w:style w:type="character" w:styleId="CommentReference">
    <w:name w:val="annotation reference"/>
    <w:basedOn w:val="DefaultParagraphFont"/>
    <w:semiHidden/>
    <w:unhideWhenUsed/>
    <w:locked/>
    <w:rsid w:val="00651BD0"/>
    <w:rPr>
      <w:sz w:val="16"/>
      <w:szCs w:val="16"/>
    </w:rPr>
  </w:style>
  <w:style w:type="paragraph" w:styleId="CommentText">
    <w:name w:val="annotation text"/>
    <w:basedOn w:val="Normal"/>
    <w:link w:val="CommentTextChar"/>
    <w:unhideWhenUsed/>
    <w:locked/>
    <w:rsid w:val="00651BD0"/>
    <w:rPr>
      <w:sz w:val="20"/>
      <w:szCs w:val="20"/>
    </w:rPr>
  </w:style>
  <w:style w:type="character" w:customStyle="1" w:styleId="CommentTextChar">
    <w:name w:val="Comment Text Char"/>
    <w:basedOn w:val="DefaultParagraphFont"/>
    <w:link w:val="CommentText"/>
    <w:rsid w:val="00651BD0"/>
    <w:rPr>
      <w:sz w:val="20"/>
      <w:szCs w:val="20"/>
    </w:rPr>
  </w:style>
  <w:style w:type="paragraph" w:styleId="CommentSubject">
    <w:name w:val="annotation subject"/>
    <w:basedOn w:val="CommentText"/>
    <w:next w:val="CommentText"/>
    <w:link w:val="CommentSubjectChar"/>
    <w:uiPriority w:val="98"/>
    <w:semiHidden/>
    <w:unhideWhenUsed/>
    <w:locked/>
    <w:rsid w:val="00651BD0"/>
    <w:rPr>
      <w:b/>
      <w:bCs/>
    </w:rPr>
  </w:style>
  <w:style w:type="character" w:customStyle="1" w:styleId="CommentSubjectChar">
    <w:name w:val="Comment Subject Char"/>
    <w:basedOn w:val="CommentTextChar"/>
    <w:link w:val="CommentSubject"/>
    <w:uiPriority w:val="98"/>
    <w:semiHidden/>
    <w:rsid w:val="00651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 w:id="19090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yandquality.gov.au/our-work/infection-prevention-and-control/national-hand-hygiene-initiative/what-hand-hygiene/5-moments-hand-hygiene" TargetMode="External"/><Relationship Id="rId18" Type="http://schemas.openxmlformats.org/officeDocument/2006/relationships/hyperlink" Target="https://www.safetyandquality.gov.au/our-work/infection-prevention-and-control/national-hand-hygiene-initiative/national-audits-and-hhcapp-nhhi/national-hand-hygiene-initiative-audit-requiremen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afetyandquality.gov.au/our-work/infection-prevention-and-control/national-hand-hygiene-initiative/national-hand-hygiene-initiative-contact-details" TargetMode="External"/><Relationship Id="rId7" Type="http://schemas.openxmlformats.org/officeDocument/2006/relationships/settings" Target="settings.xml"/><Relationship Id="rId12" Type="http://schemas.openxmlformats.org/officeDocument/2006/relationships/hyperlink" Target="https://www.safetyandquality.gov.au/our-work/infection-prevention-and-control/national-hand-hygiene-initiative" TargetMode="External"/><Relationship Id="rId17" Type="http://schemas.openxmlformats.org/officeDocument/2006/relationships/hyperlink" Target="https://www.safetyandquality.gov.au/our-work/infection-prevention-and-control/national-hand-hygiene-initiative/what-hand-hygiene/5-moments-hand-hygien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fetyandquality.gov.au/standards/nsqhs-standards/assessment-nsqhs-standards/nsqhs-standards-advisories/advisory-as2301-advice-national-hand-hygiene-audit-period-2" TargetMode="External"/><Relationship Id="rId20" Type="http://schemas.openxmlformats.org/officeDocument/2006/relationships/hyperlink" Target="https://www.safetyandquality.gov.au/publications-and-resources/resource-library/national-hand-hygiene-initiative-implementation-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andquality.gov.au/publications-and-resources/resource-library/nhhi-direct-observational-auditing-hand-hygiene-compliance-user-guid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afetyandquality.gov.au/our-work/infection-prevention-and-control/national-hand-hygiene-initiative/auditor-training-and-validation-nhhi/hand-hygiene-auditor-educator-training"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tyandquality.gov.au/our-work/infection-prevention-and-control/national-hand-hygiene-initiative/auditor-training-and-validation-nhhi/hand-hygiene-auditor-training-nhhi" TargetMode="External"/><Relationship Id="rId22" Type="http://schemas.openxmlformats.org/officeDocument/2006/relationships/hyperlink" Target="http://www.safetyandquality.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ohu\AppData\Roaming\Hewlett-Packard\HP%20TRIM\TEMP\HPTRIM.14828\D22-40121%20%20TEMPLATE%20-%20Accessible%20Word%20-%20ACSQHC%20Short%20Form%20Document%20-%201%20September%202022.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E47AA-81C7-49BD-8812-6D7D342C1FB2}">
  <ds:schemaRefs>
    <ds:schemaRef ds:uri="http://schemas.microsoft.com/office/2006/documentManagement/types"/>
    <ds:schemaRef ds:uri="4498f89d-1eae-456b-90f1-fc78c5fe8b2a"/>
    <ds:schemaRef ds:uri="http://schemas.openxmlformats.org/package/2006/metadata/core-properties"/>
    <ds:schemaRef ds:uri="http://purl.org/dc/elements/1.1/"/>
    <ds:schemaRef ds:uri="http://schemas.microsoft.com/office/2006/metadata/properties"/>
    <ds:schemaRef ds:uri="ac66711c-8613-4dde-a928-6bd510ab7da4"/>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E1C3D3-2B3A-4E54-8A75-513EA6A431F3}">
  <ds:schemaRefs>
    <ds:schemaRef ds:uri="http://schemas.microsoft.com/sharepoint/v3/contenttype/forms"/>
  </ds:schemaRefs>
</ds:datastoreItem>
</file>

<file path=customXml/itemProps3.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4.xml><?xml version="1.0" encoding="utf-8"?>
<ds:datastoreItem xmlns:ds="http://schemas.openxmlformats.org/officeDocument/2006/customXml" ds:itemID="{A968CD84-916F-405B-B1B8-49EDDD3F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D22-40121  TEMPLATE - Accessible Word - ACSQHC Short Form Document - 1 September 2022.DOTX</Template>
  <TotalTime>523</TotalTime>
  <Pages>3</Pages>
  <Words>727</Words>
  <Characters>6223</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Manager/>
  <Company>Australian Commission on Safety and Quality in Health Care</Company>
  <LinksUpToDate>false</LinksUpToDate>
  <CharactersWithSpaces>6937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NHHI - Guideline for data submission</dc:title>
  <dc:subject/>
  <dc:creator/>
  <cp:keywords/>
  <dc:description/>
  <cp:lastModifiedBy>ZHAO, Denise</cp:lastModifiedBy>
  <cp:revision>36</cp:revision>
  <cp:lastPrinted>2020-03-04T03:32:00Z</cp:lastPrinted>
  <dcterms:created xsi:type="dcterms:W3CDTF">2024-03-13T23:34:00Z</dcterms:created>
  <dcterms:modified xsi:type="dcterms:W3CDTF">2024-09-11T01:41:00Z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